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1"/>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626"/>
        <w:gridCol w:w="2151"/>
        <w:gridCol w:w="1660"/>
        <w:gridCol w:w="2357"/>
        <w:gridCol w:w="182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bookmarkStart w:id="0" w:name="_Toc406094279"/>
            <w:bookmarkStart w:id="1" w:name="_Toc421196177"/>
            <w:bookmarkStart w:id="2" w:name="_Toc393375430"/>
          </w:p>
        </w:tc>
        <w:tc>
          <w:tcPr>
            <w:tcW w:w="1981" w:type="pct"/>
            <w:gridSpan w:val="2"/>
            <w:vAlign w:val="center"/>
          </w:tcPr>
          <w:p>
            <w:pPr>
              <w:pStyle w:val="60"/>
              <w:jc w:val="center"/>
              <w:rPr>
                <w:rFonts w:ascii="仿宋" w:hAnsi="仿宋" w:eastAsia="仿宋"/>
                <w:b/>
                <w:bCs/>
                <w:color w:val="auto"/>
                <w:sz w:val="32"/>
                <w:szCs w:val="32"/>
              </w:rPr>
            </w:pPr>
          </w:p>
        </w:tc>
        <w:tc>
          <w:tcPr>
            <w:tcW w:w="2173" w:type="pct"/>
            <w:gridSpan w:val="2"/>
            <w:vAlign w:val="center"/>
          </w:tcPr>
          <w:p>
            <w:pPr>
              <w:pStyle w:val="60"/>
              <w:jc w:val="both"/>
              <w:rPr>
                <w:rFonts w:ascii="仿宋" w:hAnsi="仿宋" w:eastAsia="仿宋"/>
                <w:b/>
                <w:bCs/>
                <w:color w:val="auto"/>
                <w:sz w:val="32"/>
                <w:szCs w:val="32"/>
              </w:rPr>
            </w:pPr>
            <w:r>
              <w:rPr>
                <w:rFonts w:hint="eastAsia" w:ascii="仿宋" w:hAnsi="仿宋" w:eastAsia="仿宋"/>
                <w:b/>
                <w:bCs/>
                <w:color w:val="auto"/>
                <w:sz w:val="32"/>
                <w:szCs w:val="32"/>
              </w:rPr>
              <w:t>预案编号：SXWHFD</w:t>
            </w:r>
            <w:r>
              <w:rPr>
                <w:rFonts w:ascii="仿宋" w:hAnsi="仿宋" w:eastAsia="仿宋"/>
                <w:b/>
                <w:bCs/>
                <w:color w:val="auto"/>
                <w:sz w:val="32"/>
                <w:szCs w:val="32"/>
              </w:rPr>
              <w:t>-</w:t>
            </w:r>
            <w:r>
              <w:rPr>
                <w:rFonts w:hint="eastAsia" w:ascii="仿宋" w:hAnsi="仿宋" w:eastAsia="仿宋"/>
                <w:b/>
                <w:bCs/>
                <w:color w:val="auto"/>
                <w:sz w:val="32"/>
                <w:szCs w:val="32"/>
              </w:rPr>
              <w:t>HJYA</w:t>
            </w:r>
            <w:r>
              <w:rPr>
                <w:rFonts w:ascii="仿宋" w:hAnsi="仿宋" w:eastAsia="仿宋"/>
                <w:b/>
                <w:bCs/>
                <w:color w:val="auto"/>
                <w:sz w:val="32"/>
                <w:szCs w:val="32"/>
              </w:rPr>
              <w:t>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2173" w:type="pct"/>
            <w:gridSpan w:val="2"/>
            <w:vAlign w:val="center"/>
          </w:tcPr>
          <w:p>
            <w:pPr>
              <w:pStyle w:val="60"/>
              <w:jc w:val="both"/>
              <w:rPr>
                <w:rFonts w:ascii="仿宋" w:hAnsi="仿宋" w:eastAsia="仿宋"/>
                <w:b/>
                <w:bCs/>
                <w:color w:val="auto"/>
                <w:sz w:val="32"/>
                <w:szCs w:val="32"/>
              </w:rPr>
            </w:pPr>
            <w:r>
              <w:rPr>
                <w:rFonts w:hint="eastAsia" w:ascii="仿宋" w:hAnsi="仿宋" w:eastAsia="仿宋"/>
                <w:b/>
                <w:bCs/>
                <w:color w:val="auto"/>
                <w:sz w:val="32"/>
                <w:szCs w:val="32"/>
              </w:rPr>
              <w:t>预案版本号：2</w:t>
            </w:r>
            <w:r>
              <w:rPr>
                <w:rFonts w:ascii="仿宋" w:hAnsi="仿宋" w:eastAsia="仿宋"/>
                <w:b/>
                <w:bCs/>
                <w:color w:val="auto"/>
                <w:sz w:val="32"/>
                <w:szCs w:val="32"/>
              </w:rPr>
              <w:t>020-01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2173" w:type="pct"/>
            <w:gridSpan w:val="2"/>
            <w:vAlign w:val="center"/>
          </w:tcPr>
          <w:p>
            <w:pPr>
              <w:pStyle w:val="60"/>
              <w:jc w:val="both"/>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2173" w:type="pct"/>
            <w:gridSpan w:val="2"/>
            <w:vAlign w:val="center"/>
          </w:tcPr>
          <w:p>
            <w:pPr>
              <w:pStyle w:val="60"/>
              <w:jc w:val="both"/>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5000" w:type="pct"/>
            <w:gridSpan w:val="5"/>
            <w:vAlign w:val="center"/>
          </w:tcPr>
          <w:p>
            <w:pPr>
              <w:pStyle w:val="60"/>
              <w:jc w:val="center"/>
              <w:rPr>
                <w:rFonts w:ascii="仿宋" w:hAnsi="仿宋" w:eastAsia="仿宋"/>
                <w:b/>
                <w:bCs/>
                <w:color w:val="auto"/>
                <w:sz w:val="44"/>
                <w:szCs w:val="44"/>
              </w:rPr>
            </w:pPr>
            <w:r>
              <w:rPr>
                <w:rFonts w:hint="eastAsia" w:ascii="仿宋" w:hAnsi="仿宋" w:eastAsia="仿宋"/>
                <w:b/>
                <w:bCs/>
                <w:color w:val="auto"/>
                <w:sz w:val="44"/>
                <w:szCs w:val="44"/>
              </w:rPr>
              <w:t>陕西渭河发电有限公司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5000" w:type="pct"/>
            <w:gridSpan w:val="5"/>
            <w:vAlign w:val="center"/>
          </w:tcPr>
          <w:p>
            <w:pPr>
              <w:pStyle w:val="60"/>
              <w:jc w:val="center"/>
              <w:rPr>
                <w:rFonts w:ascii="仿宋" w:hAnsi="仿宋" w:eastAsia="仿宋"/>
                <w:b/>
                <w:bCs/>
                <w:color w:val="auto"/>
                <w:sz w:val="44"/>
                <w:szCs w:val="44"/>
              </w:rPr>
            </w:pPr>
            <w:r>
              <w:rPr>
                <w:rFonts w:hint="eastAsia" w:ascii="仿宋" w:hAnsi="仿宋" w:eastAsia="仿宋"/>
                <w:b/>
                <w:bCs/>
                <w:color w:val="auto"/>
                <w:sz w:val="44"/>
                <w:szCs w:val="44"/>
              </w:rPr>
              <w:t>突发环境事件应急预案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1225" w:type="pct"/>
            <w:vAlign w:val="center"/>
          </w:tcPr>
          <w:p>
            <w:pPr>
              <w:pStyle w:val="60"/>
              <w:jc w:val="center"/>
              <w:rPr>
                <w:rFonts w:ascii="仿宋" w:hAnsi="仿宋" w:eastAsia="仿宋"/>
                <w:b/>
                <w:bCs/>
                <w:color w:val="auto"/>
                <w:sz w:val="32"/>
                <w:szCs w:val="32"/>
              </w:rPr>
            </w:pPr>
          </w:p>
        </w:tc>
        <w:tc>
          <w:tcPr>
            <w:tcW w:w="948" w:type="pct"/>
            <w:vAlign w:val="center"/>
          </w:tcPr>
          <w:p>
            <w:pPr>
              <w:pStyle w:val="60"/>
              <w:jc w:val="center"/>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75" w:hRule="atLeast"/>
        </w:trPr>
        <w:tc>
          <w:tcPr>
            <w:tcW w:w="5000" w:type="pct"/>
            <w:gridSpan w:val="5"/>
            <w:vAlign w:val="center"/>
          </w:tcPr>
          <w:p>
            <w:pPr>
              <w:pStyle w:val="60"/>
              <w:jc w:val="center"/>
              <w:rPr>
                <w:rFonts w:ascii="仿宋" w:hAnsi="仿宋" w:eastAsia="仿宋"/>
                <w:b/>
                <w:bCs/>
                <w:color w:val="auto"/>
                <w:sz w:val="32"/>
                <w:szCs w:val="32"/>
              </w:rPr>
            </w:pPr>
            <w:r>
              <w:rPr>
                <w:rFonts w:ascii="仿宋" w:hAnsi="仿宋"/>
                <w:b/>
                <w:color w:val="auto"/>
                <w:sz w:val="36"/>
                <w:szCs w:val="36"/>
              </w:rPr>
              <w:drawing>
                <wp:inline distT="0" distB="0" distL="0" distR="0">
                  <wp:extent cx="5201285" cy="2945130"/>
                  <wp:effectExtent l="0" t="0" r="0" b="7620"/>
                  <wp:docPr id="23" name="图片 23" descr="微信图片_20180930180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微信图片_201809301803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201285" cy="294513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1225" w:type="pct"/>
            <w:vAlign w:val="center"/>
          </w:tcPr>
          <w:p>
            <w:pPr>
              <w:pStyle w:val="60"/>
              <w:jc w:val="center"/>
              <w:rPr>
                <w:rFonts w:ascii="仿宋" w:hAnsi="仿宋" w:eastAsia="仿宋"/>
                <w:b/>
                <w:bCs/>
                <w:color w:val="auto"/>
                <w:sz w:val="32"/>
                <w:szCs w:val="32"/>
              </w:rPr>
            </w:pPr>
          </w:p>
        </w:tc>
        <w:tc>
          <w:tcPr>
            <w:tcW w:w="948" w:type="pct"/>
            <w:vAlign w:val="center"/>
          </w:tcPr>
          <w:p>
            <w:pPr>
              <w:pStyle w:val="60"/>
              <w:jc w:val="center"/>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1225" w:type="pct"/>
            <w:vAlign w:val="center"/>
          </w:tcPr>
          <w:p>
            <w:pPr>
              <w:pStyle w:val="60"/>
              <w:jc w:val="center"/>
              <w:rPr>
                <w:rFonts w:ascii="仿宋" w:hAnsi="仿宋" w:eastAsia="仿宋"/>
                <w:b/>
                <w:bCs/>
                <w:color w:val="auto"/>
                <w:sz w:val="32"/>
                <w:szCs w:val="32"/>
              </w:rPr>
            </w:pPr>
          </w:p>
        </w:tc>
        <w:tc>
          <w:tcPr>
            <w:tcW w:w="948" w:type="pct"/>
            <w:vAlign w:val="center"/>
          </w:tcPr>
          <w:p>
            <w:pPr>
              <w:pStyle w:val="60"/>
              <w:jc w:val="center"/>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981" w:type="pct"/>
            <w:gridSpan w:val="2"/>
            <w:vAlign w:val="center"/>
          </w:tcPr>
          <w:p>
            <w:pPr>
              <w:pStyle w:val="60"/>
              <w:jc w:val="center"/>
              <w:rPr>
                <w:rFonts w:ascii="仿宋" w:hAnsi="仿宋" w:eastAsia="仿宋"/>
                <w:b/>
                <w:bCs/>
                <w:color w:val="auto"/>
                <w:sz w:val="32"/>
                <w:szCs w:val="32"/>
              </w:rPr>
            </w:pPr>
          </w:p>
        </w:tc>
        <w:tc>
          <w:tcPr>
            <w:tcW w:w="1225" w:type="pct"/>
            <w:vAlign w:val="center"/>
          </w:tcPr>
          <w:p>
            <w:pPr>
              <w:pStyle w:val="60"/>
              <w:jc w:val="center"/>
              <w:rPr>
                <w:rFonts w:ascii="仿宋" w:hAnsi="仿宋" w:eastAsia="仿宋"/>
                <w:b/>
                <w:bCs/>
                <w:color w:val="auto"/>
                <w:sz w:val="32"/>
                <w:szCs w:val="32"/>
              </w:rPr>
            </w:pPr>
          </w:p>
        </w:tc>
        <w:tc>
          <w:tcPr>
            <w:tcW w:w="948" w:type="pct"/>
            <w:vAlign w:val="center"/>
          </w:tcPr>
          <w:p>
            <w:pPr>
              <w:pStyle w:val="60"/>
              <w:jc w:val="center"/>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4155" w:type="pct"/>
            <w:gridSpan w:val="4"/>
            <w:vAlign w:val="center"/>
          </w:tcPr>
          <w:p>
            <w:pPr>
              <w:pStyle w:val="60"/>
              <w:jc w:val="center"/>
              <w:rPr>
                <w:rFonts w:ascii="仿宋" w:hAnsi="仿宋" w:eastAsia="仿宋"/>
                <w:b/>
                <w:bCs/>
                <w:color w:val="auto"/>
                <w:sz w:val="32"/>
                <w:szCs w:val="3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118" w:type="pct"/>
            <w:vAlign w:val="center"/>
          </w:tcPr>
          <w:p>
            <w:pPr>
              <w:pStyle w:val="60"/>
              <w:jc w:val="right"/>
              <w:rPr>
                <w:rFonts w:ascii="仿宋" w:hAnsi="仿宋" w:eastAsia="仿宋"/>
                <w:b/>
                <w:bCs/>
                <w:color w:val="auto"/>
                <w:sz w:val="32"/>
                <w:szCs w:val="32"/>
              </w:rPr>
            </w:pPr>
            <w:r>
              <w:rPr>
                <w:rFonts w:hint="eastAsia" w:ascii="仿宋" w:hAnsi="仿宋" w:eastAsia="仿宋"/>
                <w:b/>
                <w:bCs/>
                <w:color w:val="auto"/>
                <w:sz w:val="32"/>
                <w:szCs w:val="32"/>
              </w:rPr>
              <w:t>编制单位：</w:t>
            </w:r>
          </w:p>
        </w:tc>
        <w:tc>
          <w:tcPr>
            <w:tcW w:w="3037" w:type="pct"/>
            <w:gridSpan w:val="3"/>
            <w:vAlign w:val="center"/>
          </w:tcPr>
          <w:p>
            <w:pPr>
              <w:pStyle w:val="60"/>
              <w:rPr>
                <w:rFonts w:ascii="仿宋" w:hAnsi="仿宋" w:eastAsia="仿宋"/>
                <w:b/>
                <w:bCs/>
                <w:color w:val="auto"/>
                <w:sz w:val="30"/>
                <w:szCs w:val="30"/>
              </w:rPr>
            </w:pPr>
            <w:r>
              <w:rPr>
                <w:rFonts w:hint="eastAsia" w:ascii="仿宋" w:hAnsi="仿宋" w:eastAsia="仿宋"/>
                <w:b/>
                <w:bCs/>
                <w:color w:val="auto"/>
                <w:sz w:val="30"/>
                <w:szCs w:val="30"/>
              </w:rPr>
              <w:t>陕西渭河发电有限公司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118" w:type="pct"/>
            <w:vAlign w:val="center"/>
          </w:tcPr>
          <w:p>
            <w:pPr>
              <w:pStyle w:val="60"/>
              <w:jc w:val="right"/>
              <w:rPr>
                <w:rFonts w:ascii="仿宋" w:hAnsi="仿宋" w:eastAsia="仿宋"/>
                <w:b/>
                <w:bCs/>
                <w:color w:val="auto"/>
                <w:sz w:val="32"/>
                <w:szCs w:val="32"/>
              </w:rPr>
            </w:pPr>
            <w:r>
              <w:rPr>
                <w:rFonts w:hint="eastAsia" w:ascii="仿宋" w:hAnsi="仿宋" w:eastAsia="仿宋"/>
                <w:b/>
                <w:bCs/>
                <w:color w:val="auto"/>
                <w:sz w:val="32"/>
                <w:szCs w:val="32"/>
              </w:rPr>
              <w:t>编制时间：</w:t>
            </w:r>
          </w:p>
        </w:tc>
        <w:tc>
          <w:tcPr>
            <w:tcW w:w="3037" w:type="pct"/>
            <w:gridSpan w:val="3"/>
            <w:vAlign w:val="center"/>
          </w:tcPr>
          <w:p>
            <w:pPr>
              <w:pStyle w:val="60"/>
              <w:rPr>
                <w:rFonts w:ascii="仿宋" w:hAnsi="仿宋" w:eastAsia="仿宋"/>
                <w:b/>
                <w:bCs/>
                <w:color w:val="auto"/>
                <w:sz w:val="30"/>
                <w:szCs w:val="30"/>
              </w:rPr>
            </w:pPr>
            <w:r>
              <w:rPr>
                <w:rFonts w:hint="eastAsia" w:ascii="仿宋" w:hAnsi="仿宋" w:eastAsia="仿宋"/>
                <w:b/>
                <w:bCs/>
                <w:color w:val="auto"/>
                <w:sz w:val="32"/>
                <w:szCs w:val="32"/>
              </w:rPr>
              <w:t>2</w:t>
            </w:r>
            <w:r>
              <w:rPr>
                <w:rFonts w:ascii="仿宋" w:hAnsi="仿宋" w:eastAsia="仿宋"/>
                <w:b/>
                <w:bCs/>
                <w:color w:val="auto"/>
                <w:sz w:val="32"/>
                <w:szCs w:val="32"/>
              </w:rPr>
              <w:t>020</w:t>
            </w:r>
            <w:r>
              <w:rPr>
                <w:rFonts w:hint="eastAsia" w:ascii="仿宋" w:hAnsi="仿宋" w:eastAsia="仿宋"/>
                <w:b/>
                <w:bCs/>
                <w:color w:val="auto"/>
                <w:sz w:val="32"/>
                <w:szCs w:val="32"/>
              </w:rPr>
              <w:t>年1</w:t>
            </w:r>
            <w:r>
              <w:rPr>
                <w:rFonts w:ascii="仿宋" w:hAnsi="仿宋" w:eastAsia="仿宋"/>
                <w:b/>
                <w:bCs/>
                <w:color w:val="auto"/>
                <w:sz w:val="32"/>
                <w:szCs w:val="32"/>
              </w:rPr>
              <w:t>2</w:t>
            </w:r>
            <w:r>
              <w:rPr>
                <w:rFonts w:hint="eastAsia" w:ascii="仿宋" w:hAnsi="仿宋" w:eastAsia="仿宋"/>
                <w:b/>
                <w:bCs/>
                <w:color w:val="auto"/>
                <w:sz w:val="32"/>
                <w:szCs w:val="32"/>
              </w:rPr>
              <w:t>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845" w:type="pct"/>
            <w:vAlign w:val="center"/>
          </w:tcPr>
          <w:p>
            <w:pPr>
              <w:pStyle w:val="60"/>
              <w:jc w:val="center"/>
              <w:rPr>
                <w:rFonts w:ascii="仿宋" w:hAnsi="仿宋" w:eastAsia="仿宋"/>
                <w:b/>
                <w:bCs/>
                <w:color w:val="auto"/>
                <w:sz w:val="32"/>
                <w:szCs w:val="32"/>
              </w:rPr>
            </w:pPr>
          </w:p>
        </w:tc>
        <w:tc>
          <w:tcPr>
            <w:tcW w:w="1118" w:type="pct"/>
            <w:vAlign w:val="center"/>
          </w:tcPr>
          <w:p>
            <w:pPr>
              <w:pStyle w:val="60"/>
              <w:jc w:val="center"/>
              <w:rPr>
                <w:rFonts w:ascii="仿宋" w:hAnsi="仿宋" w:eastAsia="仿宋"/>
                <w:b/>
                <w:bCs/>
                <w:color w:val="auto"/>
                <w:sz w:val="32"/>
                <w:szCs w:val="32"/>
              </w:rPr>
            </w:pPr>
          </w:p>
        </w:tc>
        <w:tc>
          <w:tcPr>
            <w:tcW w:w="3037" w:type="pct"/>
            <w:gridSpan w:val="3"/>
            <w:vAlign w:val="center"/>
          </w:tcPr>
          <w:p>
            <w:pPr>
              <w:pStyle w:val="60"/>
              <w:rPr>
                <w:rFonts w:ascii="仿宋" w:hAnsi="仿宋" w:eastAsia="仿宋"/>
                <w:b/>
                <w:bCs/>
                <w:color w:val="auto"/>
                <w:sz w:val="32"/>
                <w:szCs w:val="32"/>
              </w:rPr>
            </w:pPr>
          </w:p>
        </w:tc>
      </w:tr>
    </w:tbl>
    <w:p>
      <w:pPr>
        <w:ind w:firstLine="723"/>
        <w:jc w:val="center"/>
        <w:rPr>
          <w:rFonts w:ascii="仿宋" w:hAnsi="仿宋"/>
          <w:b/>
          <w:bCs/>
          <w:color w:val="auto"/>
          <w:sz w:val="36"/>
          <w:szCs w:val="36"/>
        </w:rPr>
        <w:sectPr>
          <w:headerReference r:id="rId5" w:type="first"/>
          <w:footerReference r:id="rId8" w:type="first"/>
          <w:headerReference r:id="rId3" w:type="default"/>
          <w:footerReference r:id="rId6" w:type="default"/>
          <w:headerReference r:id="rId4" w:type="even"/>
          <w:footerReference r:id="rId7" w:type="even"/>
          <w:pgSz w:w="12240" w:h="15840"/>
          <w:pgMar w:top="1418" w:right="1418" w:bottom="1418" w:left="1418" w:header="720" w:footer="720" w:gutter="0"/>
          <w:pgNumType w:fmt="upperRoman" w:start="1"/>
          <w:cols w:space="720" w:num="1"/>
        </w:sectPr>
      </w:pPr>
    </w:p>
    <w:p>
      <w:pPr>
        <w:ind w:firstLine="723"/>
        <w:jc w:val="center"/>
        <w:rPr>
          <w:rFonts w:ascii="仿宋" w:hAnsi="仿宋"/>
          <w:b/>
          <w:bCs/>
          <w:color w:val="auto"/>
          <w:sz w:val="36"/>
          <w:szCs w:val="36"/>
        </w:rPr>
      </w:pPr>
      <w:r>
        <w:rPr>
          <w:rFonts w:ascii="仿宋" w:hAnsi="仿宋"/>
          <w:b/>
          <w:bCs/>
          <w:color w:val="auto"/>
          <w:sz w:val="36"/>
          <w:szCs w:val="36"/>
        </w:rPr>
        <w:t>陕西渭河发电有限公司</w:t>
      </w:r>
    </w:p>
    <w:p>
      <w:pPr>
        <w:ind w:firstLine="723"/>
        <w:jc w:val="center"/>
        <w:rPr>
          <w:rFonts w:ascii="仿宋" w:hAnsi="仿宋"/>
          <w:b/>
          <w:bCs/>
          <w:color w:val="auto"/>
          <w:sz w:val="36"/>
          <w:szCs w:val="36"/>
        </w:rPr>
      </w:pPr>
      <w:r>
        <w:rPr>
          <w:rFonts w:ascii="仿宋" w:hAnsi="仿宋"/>
          <w:b/>
          <w:bCs/>
          <w:color w:val="auto"/>
          <w:sz w:val="36"/>
          <w:szCs w:val="36"/>
        </w:rPr>
        <w:t>突发环境事件应急预案发布批准书</w:t>
      </w:r>
    </w:p>
    <w:p>
      <w:pPr>
        <w:adjustRightInd/>
        <w:snapToGrid/>
        <w:ind w:firstLine="560"/>
        <w:rPr>
          <w:rFonts w:ascii="仿宋" w:hAnsi="仿宋"/>
          <w:color w:val="auto"/>
          <w:szCs w:val="28"/>
        </w:rPr>
      </w:pPr>
      <w:r>
        <w:rPr>
          <w:rFonts w:ascii="仿宋" w:hAnsi="仿宋"/>
          <w:color w:val="auto"/>
          <w:szCs w:val="28"/>
        </w:rPr>
        <w:t>根据《中华人民共和国环境保护法》、《中华人民共和国突发事件应对法》、《国家突发环境事件应急预案》</w:t>
      </w:r>
      <w:r>
        <w:rPr>
          <w:rFonts w:hint="eastAsia" w:ascii="仿宋" w:hAnsi="仿宋"/>
          <w:color w:val="auto"/>
          <w:szCs w:val="28"/>
        </w:rPr>
        <w:t>、</w:t>
      </w:r>
      <w:r>
        <w:rPr>
          <w:rFonts w:ascii="仿宋" w:hAnsi="仿宋"/>
          <w:color w:val="auto"/>
          <w:szCs w:val="28"/>
        </w:rPr>
        <w:t>《突发环境事件应急预案管理暂行办法》</w:t>
      </w:r>
      <w:r>
        <w:rPr>
          <w:rFonts w:hint="eastAsia" w:ascii="仿宋" w:hAnsi="仿宋"/>
          <w:color w:val="auto"/>
          <w:szCs w:val="28"/>
        </w:rPr>
        <w:t>、《突发环境事件信息报告办法》、</w:t>
      </w:r>
      <w:r>
        <w:rPr>
          <w:rFonts w:ascii="仿宋" w:hAnsi="仿宋"/>
          <w:color w:val="auto"/>
          <w:szCs w:val="28"/>
        </w:rPr>
        <w:t>《企业事业单位突发环境事件应急预案备案管理办法》、《陕西省环境保护厅办公室关于进一步加强突发环境事件应急预案工作的通知》</w:t>
      </w:r>
      <w:r>
        <w:rPr>
          <w:rFonts w:hint="eastAsia" w:ascii="仿宋" w:hAnsi="仿宋"/>
          <w:color w:val="auto"/>
          <w:szCs w:val="28"/>
        </w:rPr>
        <w:t>及相关法律法规和规范性</w:t>
      </w:r>
      <w:r>
        <w:rPr>
          <w:rFonts w:ascii="仿宋" w:hAnsi="仿宋"/>
          <w:color w:val="auto"/>
          <w:szCs w:val="28"/>
        </w:rPr>
        <w:t>文件</w:t>
      </w:r>
      <w:r>
        <w:rPr>
          <w:rFonts w:hint="eastAsia" w:ascii="仿宋" w:hAnsi="仿宋"/>
          <w:color w:val="auto"/>
          <w:szCs w:val="28"/>
        </w:rPr>
        <w:t>的</w:t>
      </w:r>
      <w:r>
        <w:rPr>
          <w:rFonts w:ascii="仿宋" w:hAnsi="仿宋"/>
          <w:color w:val="auto"/>
          <w:szCs w:val="28"/>
        </w:rPr>
        <w:t>要求，结合陕西渭河发电有限公司实际情况</w:t>
      </w:r>
      <w:r>
        <w:rPr>
          <w:rFonts w:hint="eastAsia" w:ascii="仿宋" w:hAnsi="仿宋"/>
          <w:color w:val="auto"/>
          <w:szCs w:val="28"/>
        </w:rPr>
        <w:t>，修编完成</w:t>
      </w:r>
      <w:r>
        <w:rPr>
          <w:rFonts w:ascii="仿宋" w:hAnsi="仿宋"/>
          <w:color w:val="auto"/>
          <w:szCs w:val="28"/>
        </w:rPr>
        <w:t>《陕西渭河发电有限公司突发环境事件应急预案》，</w:t>
      </w:r>
      <w:r>
        <w:rPr>
          <w:rFonts w:hint="eastAsia" w:ascii="仿宋" w:hAnsi="仿宋"/>
          <w:color w:val="auto"/>
          <w:szCs w:val="28"/>
        </w:rPr>
        <w:t>并附《陕西渭河发电有限公司突发环境事件风险评估报告》。</w:t>
      </w:r>
      <w:r>
        <w:rPr>
          <w:rFonts w:ascii="仿宋" w:hAnsi="仿宋"/>
          <w:color w:val="auto"/>
          <w:szCs w:val="28"/>
        </w:rPr>
        <w:t>该预案经公司专业技术人员及有关专家讨论通过，现正式批准发布。</w:t>
      </w:r>
    </w:p>
    <w:p>
      <w:pPr>
        <w:adjustRightInd/>
        <w:snapToGrid/>
        <w:ind w:firstLine="560"/>
        <w:rPr>
          <w:rFonts w:ascii="仿宋" w:hAnsi="仿宋"/>
          <w:color w:val="auto"/>
          <w:szCs w:val="28"/>
        </w:rPr>
      </w:pPr>
      <w:r>
        <w:rPr>
          <w:rFonts w:ascii="仿宋" w:hAnsi="仿宋"/>
          <w:color w:val="auto"/>
          <w:szCs w:val="28"/>
        </w:rPr>
        <w:t>本预案作为陕西渭河发电有限公司</w:t>
      </w:r>
      <w:r>
        <w:rPr>
          <w:rFonts w:hint="eastAsia" w:ascii="仿宋" w:hAnsi="仿宋"/>
          <w:color w:val="auto"/>
          <w:szCs w:val="28"/>
        </w:rPr>
        <w:t>内部实施应急救援工作的法规性文件，用于规范、指导</w:t>
      </w:r>
      <w:r>
        <w:rPr>
          <w:rFonts w:ascii="仿宋" w:hAnsi="仿宋"/>
          <w:color w:val="auto"/>
          <w:szCs w:val="28"/>
        </w:rPr>
        <w:t>突发环境事件的</w:t>
      </w:r>
      <w:r>
        <w:rPr>
          <w:rFonts w:hint="eastAsia" w:ascii="仿宋" w:hAnsi="仿宋"/>
          <w:color w:val="auto"/>
          <w:szCs w:val="28"/>
        </w:rPr>
        <w:t>应急救援行动。</w:t>
      </w:r>
    </w:p>
    <w:p>
      <w:pPr>
        <w:adjustRightInd/>
        <w:snapToGrid/>
        <w:ind w:firstLine="560"/>
        <w:rPr>
          <w:rFonts w:ascii="仿宋" w:hAnsi="仿宋"/>
          <w:color w:val="auto"/>
          <w:szCs w:val="28"/>
        </w:rPr>
      </w:pPr>
      <w:r>
        <w:rPr>
          <w:rFonts w:ascii="仿宋" w:hAnsi="仿宋"/>
          <w:color w:val="auto"/>
          <w:szCs w:val="28"/>
        </w:rPr>
        <w:t>该预案自公布之日起</w:t>
      </w:r>
      <w:r>
        <w:rPr>
          <w:rFonts w:hint="eastAsia" w:ascii="仿宋" w:hAnsi="仿宋"/>
          <w:color w:val="auto"/>
          <w:szCs w:val="28"/>
        </w:rPr>
        <w:t>实施</w:t>
      </w:r>
      <w:r>
        <w:rPr>
          <w:rFonts w:ascii="仿宋" w:hAnsi="仿宋"/>
          <w:color w:val="auto"/>
          <w:szCs w:val="28"/>
        </w:rPr>
        <w:t>。</w:t>
      </w:r>
    </w:p>
    <w:p>
      <w:pPr>
        <w:ind w:firstLine="2520" w:firstLineChars="900"/>
        <w:rPr>
          <w:rFonts w:ascii="仿宋" w:hAnsi="仿宋"/>
          <w:color w:val="auto"/>
          <w:szCs w:val="28"/>
        </w:rPr>
      </w:pPr>
    </w:p>
    <w:p>
      <w:pPr>
        <w:ind w:firstLine="2520" w:firstLineChars="900"/>
        <w:rPr>
          <w:rFonts w:ascii="仿宋" w:hAnsi="仿宋"/>
          <w:color w:val="auto"/>
          <w:szCs w:val="28"/>
        </w:rPr>
      </w:pPr>
    </w:p>
    <w:p>
      <w:pPr>
        <w:ind w:firstLine="3640" w:firstLineChars="1300"/>
        <w:rPr>
          <w:rFonts w:ascii="仿宋" w:hAnsi="仿宋"/>
          <w:color w:val="auto"/>
          <w:szCs w:val="28"/>
        </w:rPr>
      </w:pPr>
      <w:r>
        <w:rPr>
          <w:rFonts w:ascii="仿宋" w:hAnsi="仿宋"/>
          <w:color w:val="auto"/>
          <w:szCs w:val="28"/>
        </w:rPr>
        <w:t>批准人：</w:t>
      </w:r>
    </w:p>
    <w:p>
      <w:pPr>
        <w:ind w:firstLine="3920" w:firstLineChars="1400"/>
        <w:rPr>
          <w:rFonts w:ascii="仿宋" w:hAnsi="仿宋"/>
          <w:color w:val="auto"/>
          <w:szCs w:val="28"/>
        </w:rPr>
      </w:pPr>
      <w:r>
        <w:rPr>
          <w:rFonts w:hint="eastAsia" w:ascii="仿宋" w:hAnsi="仿宋"/>
          <w:color w:val="auto"/>
          <w:szCs w:val="28"/>
        </w:rPr>
        <w:t>时间：</w:t>
      </w:r>
      <w:r>
        <w:rPr>
          <w:rFonts w:hint="eastAsia" w:ascii="仿宋" w:hAnsi="仿宋"/>
          <w:color w:val="auto"/>
          <w:szCs w:val="28"/>
          <w:lang w:val="en-US" w:eastAsia="zh-CN"/>
        </w:rPr>
        <w:t>2021</w:t>
      </w:r>
      <w:r>
        <w:rPr>
          <w:rFonts w:hint="eastAsia" w:ascii="仿宋" w:hAnsi="仿宋"/>
          <w:color w:val="auto"/>
          <w:szCs w:val="28"/>
        </w:rPr>
        <w:t>年</w:t>
      </w:r>
      <w:r>
        <w:rPr>
          <w:rFonts w:hint="eastAsia" w:ascii="仿宋" w:hAnsi="仿宋"/>
          <w:color w:val="auto"/>
          <w:szCs w:val="28"/>
          <w:lang w:val="en-US" w:eastAsia="zh-CN"/>
        </w:rPr>
        <w:t>1</w:t>
      </w:r>
      <w:r>
        <w:rPr>
          <w:rFonts w:hint="eastAsia" w:ascii="仿宋" w:hAnsi="仿宋"/>
          <w:color w:val="auto"/>
          <w:szCs w:val="28"/>
        </w:rPr>
        <w:t>月</w:t>
      </w:r>
      <w:r>
        <w:rPr>
          <w:rFonts w:hint="eastAsia" w:ascii="仿宋" w:hAnsi="仿宋"/>
          <w:color w:val="auto"/>
          <w:szCs w:val="28"/>
          <w:lang w:val="en-US" w:eastAsia="zh-CN"/>
        </w:rPr>
        <w:t>11</w:t>
      </w:r>
      <w:r>
        <w:rPr>
          <w:rFonts w:hint="eastAsia" w:ascii="仿宋" w:hAnsi="仿宋"/>
          <w:color w:val="auto"/>
          <w:szCs w:val="28"/>
        </w:rPr>
        <w:t>日</w:t>
      </w:r>
    </w:p>
    <w:p>
      <w:pPr>
        <w:ind w:firstLine="3920" w:firstLineChars="1400"/>
        <w:rPr>
          <w:rFonts w:ascii="仿宋" w:hAnsi="仿宋"/>
          <w:color w:val="auto"/>
          <w:szCs w:val="28"/>
        </w:rPr>
      </w:pPr>
    </w:p>
    <w:p>
      <w:pPr>
        <w:ind w:firstLine="3920" w:firstLineChars="1400"/>
        <w:rPr>
          <w:rFonts w:ascii="仿宋" w:hAnsi="仿宋"/>
          <w:color w:val="auto"/>
          <w:szCs w:val="28"/>
        </w:rPr>
      </w:pPr>
    </w:p>
    <w:p>
      <w:pPr>
        <w:ind w:firstLine="3920" w:firstLineChars="1400"/>
        <w:rPr>
          <w:rFonts w:ascii="仿宋" w:hAnsi="仿宋"/>
          <w:color w:val="auto"/>
          <w:szCs w:val="28"/>
        </w:rPr>
      </w:pPr>
      <w:bookmarkStart w:id="355" w:name="_GoBack"/>
      <w:bookmarkEnd w:id="355"/>
    </w:p>
    <w:p>
      <w:pPr>
        <w:ind w:firstLine="3920" w:firstLineChars="1400"/>
        <w:rPr>
          <w:rFonts w:ascii="仿宋" w:hAnsi="仿宋"/>
          <w:color w:val="auto"/>
          <w:szCs w:val="28"/>
        </w:rPr>
      </w:pPr>
    </w:p>
    <w:p>
      <w:pPr>
        <w:pStyle w:val="2"/>
        <w:rPr>
          <w:rFonts w:ascii="Times New Roman" w:cs="Times New Roman"/>
          <w:color w:val="auto"/>
        </w:rPr>
      </w:pPr>
    </w:p>
    <w:p>
      <w:pPr>
        <w:pStyle w:val="2"/>
        <w:rPr>
          <w:rFonts w:ascii="Times New Roman" w:cs="Times New Roman"/>
          <w:color w:val="auto"/>
        </w:rPr>
      </w:pPr>
    </w:p>
    <w:p>
      <w:pPr>
        <w:pStyle w:val="2"/>
        <w:rPr>
          <w:rFonts w:ascii="Times New Roman" w:cs="Times New Roman"/>
          <w:color w:val="auto"/>
        </w:rPr>
      </w:pPr>
    </w:p>
    <w:p>
      <w:pPr>
        <w:pStyle w:val="2"/>
        <w:rPr>
          <w:rFonts w:ascii="Times New Roman" w:cs="Times New Roman"/>
          <w:color w:val="auto"/>
        </w:rPr>
      </w:pPr>
    </w:p>
    <w:p>
      <w:pPr>
        <w:pStyle w:val="2"/>
        <w:rPr>
          <w:rFonts w:ascii="Times New Roman" w:cs="Times New Roman"/>
          <w:color w:val="auto"/>
        </w:rPr>
        <w:sectPr>
          <w:footerReference r:id="rId9" w:type="default"/>
          <w:pgSz w:w="12240" w:h="15840"/>
          <w:pgMar w:top="1418" w:right="1418" w:bottom="1418" w:left="1418" w:header="720" w:footer="720" w:gutter="0"/>
          <w:pgNumType w:fmt="upperRoman" w:start="1"/>
          <w:cols w:space="720" w:num="1"/>
        </w:sectPr>
      </w:pPr>
    </w:p>
    <w:p>
      <w:pPr>
        <w:pStyle w:val="25"/>
        <w:jc w:val="center"/>
        <w:rPr>
          <w:rFonts w:cs="Times New Roman"/>
          <w:caps w:val="0"/>
          <w:color w:val="auto"/>
          <w:sz w:val="32"/>
          <w:szCs w:val="32"/>
        </w:rPr>
      </w:pPr>
      <w:r>
        <w:rPr>
          <w:rFonts w:hint="eastAsia" w:cs="Times New Roman"/>
          <w:caps w:val="0"/>
          <w:color w:val="auto"/>
          <w:sz w:val="32"/>
          <w:szCs w:val="32"/>
        </w:rPr>
        <w:t xml:space="preserve">目 </w:t>
      </w:r>
      <w:r>
        <w:rPr>
          <w:rFonts w:cs="Times New Roman"/>
          <w:caps w:val="0"/>
          <w:color w:val="auto"/>
          <w:sz w:val="32"/>
          <w:szCs w:val="32"/>
        </w:rPr>
        <w:t xml:space="preserve">   </w:t>
      </w:r>
      <w:r>
        <w:rPr>
          <w:rFonts w:hint="eastAsia" w:cs="Times New Roman"/>
          <w:caps w:val="0"/>
          <w:color w:val="auto"/>
          <w:sz w:val="32"/>
          <w:szCs w:val="32"/>
        </w:rPr>
        <w:t>录</w:t>
      </w:r>
    </w:p>
    <w:p>
      <w:pPr>
        <w:pStyle w:val="25"/>
        <w:tabs>
          <w:tab w:val="right" w:leader="dot" w:pos="9070"/>
        </w:tabs>
        <w:ind w:firstLine="482"/>
        <w:rPr>
          <w:color w:val="auto"/>
          <w:sz w:val="24"/>
          <w:szCs w:val="24"/>
        </w:rPr>
      </w:pPr>
      <w:bookmarkStart w:id="3" w:name="_Toc490845140"/>
      <w:r>
        <w:rPr>
          <w:rFonts w:cs="Times New Roman"/>
          <w:bCs w:val="0"/>
          <w:iCs/>
          <w:caps w:val="0"/>
          <w:color w:val="auto"/>
          <w:sz w:val="24"/>
          <w:szCs w:val="24"/>
        </w:rPr>
        <w:fldChar w:fldCharType="begin"/>
      </w:r>
      <w:r>
        <w:rPr>
          <w:rFonts w:cs="Times New Roman"/>
          <w:bCs w:val="0"/>
          <w:iCs/>
          <w:caps w:val="0"/>
          <w:color w:val="auto"/>
          <w:sz w:val="24"/>
          <w:szCs w:val="24"/>
        </w:rPr>
        <w:instrText xml:space="preserve"> TOC \o "1-3" \h \z \u </w:instrText>
      </w:r>
      <w:r>
        <w:rPr>
          <w:rFonts w:cs="Times New Roman"/>
          <w:bCs w:val="0"/>
          <w:iCs/>
          <w:caps w:val="0"/>
          <w:color w:val="auto"/>
          <w:sz w:val="24"/>
          <w:szCs w:val="24"/>
        </w:rPr>
        <w:fldChar w:fldCharType="separate"/>
      </w:r>
      <w:r>
        <w:rPr>
          <w:color w:val="auto"/>
        </w:rPr>
        <w:fldChar w:fldCharType="begin"/>
      </w:r>
      <w:r>
        <w:rPr>
          <w:color w:val="auto"/>
        </w:rPr>
        <w:instrText xml:space="preserve"> HYPERLINK \l "_Toc7411" </w:instrText>
      </w:r>
      <w:r>
        <w:rPr>
          <w:color w:val="auto"/>
        </w:rPr>
        <w:fldChar w:fldCharType="separate"/>
      </w:r>
      <w:r>
        <w:rPr>
          <w:color w:val="auto"/>
          <w:sz w:val="24"/>
          <w:szCs w:val="24"/>
        </w:rPr>
        <w:t>1 总则</w:t>
      </w:r>
      <w:r>
        <w:rPr>
          <w:color w:val="auto"/>
          <w:sz w:val="24"/>
          <w:szCs w:val="24"/>
        </w:rPr>
        <w:tab/>
      </w:r>
      <w:r>
        <w:rPr>
          <w:color w:val="auto"/>
          <w:sz w:val="24"/>
          <w:szCs w:val="24"/>
        </w:rPr>
        <w:fldChar w:fldCharType="begin"/>
      </w:r>
      <w:r>
        <w:rPr>
          <w:color w:val="auto"/>
          <w:sz w:val="24"/>
          <w:szCs w:val="24"/>
        </w:rPr>
        <w:instrText xml:space="preserve"> PAGEREF _Toc7411 </w:instrText>
      </w:r>
      <w:r>
        <w:rPr>
          <w:color w:val="auto"/>
          <w:sz w:val="24"/>
          <w:szCs w:val="24"/>
        </w:rPr>
        <w:fldChar w:fldCharType="separate"/>
      </w:r>
      <w:r>
        <w:rPr>
          <w:color w:val="auto"/>
          <w:sz w:val="24"/>
          <w:szCs w:val="24"/>
        </w:rPr>
        <w:t>- 1 -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"_Toc30613" </w:instrText>
      </w:r>
      <w:r>
        <w:rPr>
          <w:color w:val="auto"/>
        </w:rPr>
        <w:fldChar w:fldCharType="separate"/>
      </w:r>
      <w:r>
        <w:rPr>
          <w:color w:val="auto"/>
          <w:sz w:val="24"/>
          <w:szCs w:val="24"/>
        </w:rPr>
        <w:t>1.1 编制目的</w:t>
      </w:r>
      <w:r>
        <w:rPr>
          <w:color w:val="auto"/>
          <w:sz w:val="24"/>
          <w:szCs w:val="24"/>
        </w:rPr>
        <w:tab/>
      </w:r>
      <w:r>
        <w:rPr>
          <w:color w:val="auto"/>
          <w:sz w:val="24"/>
          <w:szCs w:val="24"/>
        </w:rPr>
        <w:fldChar w:fldCharType="begin"/>
      </w:r>
      <w:r>
        <w:rPr>
          <w:color w:val="auto"/>
          <w:sz w:val="24"/>
          <w:szCs w:val="24"/>
        </w:rPr>
        <w:instrText xml:space="preserve"> PAGEREF _Toc30613 </w:instrText>
      </w:r>
      <w:r>
        <w:rPr>
          <w:color w:val="auto"/>
          <w:sz w:val="24"/>
          <w:szCs w:val="24"/>
        </w:rPr>
        <w:fldChar w:fldCharType="separate"/>
      </w:r>
      <w:r>
        <w:rPr>
          <w:color w:val="auto"/>
          <w:sz w:val="24"/>
          <w:szCs w:val="24"/>
        </w:rPr>
        <w:t>- 1 -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"_Toc18589" </w:instrText>
      </w:r>
      <w:r>
        <w:rPr>
          <w:color w:val="auto"/>
        </w:rPr>
        <w:fldChar w:fldCharType="separate"/>
      </w:r>
      <w:r>
        <w:rPr>
          <w:color w:val="auto"/>
          <w:sz w:val="24"/>
          <w:szCs w:val="24"/>
        </w:rPr>
        <w:t>1.2 编制依据</w:t>
      </w:r>
      <w:r>
        <w:rPr>
          <w:color w:val="auto"/>
          <w:sz w:val="24"/>
          <w:szCs w:val="24"/>
        </w:rPr>
        <w:tab/>
      </w:r>
      <w:r>
        <w:rPr>
          <w:color w:val="auto"/>
          <w:sz w:val="24"/>
          <w:szCs w:val="24"/>
        </w:rPr>
        <w:fldChar w:fldCharType="begin"/>
      </w:r>
      <w:r>
        <w:rPr>
          <w:color w:val="auto"/>
          <w:sz w:val="24"/>
          <w:szCs w:val="24"/>
        </w:rPr>
        <w:instrText xml:space="preserve"> PAGEREF _Toc18589 </w:instrText>
      </w:r>
      <w:r>
        <w:rPr>
          <w:color w:val="auto"/>
          <w:sz w:val="24"/>
          <w:szCs w:val="24"/>
        </w:rPr>
        <w:fldChar w:fldCharType="separate"/>
      </w:r>
      <w:r>
        <w:rPr>
          <w:color w:val="auto"/>
          <w:sz w:val="24"/>
          <w:szCs w:val="24"/>
        </w:rPr>
        <w:t>- 1 -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"_Toc11891" </w:instrText>
      </w:r>
      <w:r>
        <w:rPr>
          <w:color w:val="auto"/>
        </w:rPr>
        <w:fldChar w:fldCharType="separate"/>
      </w:r>
      <w:r>
        <w:rPr>
          <w:color w:val="auto"/>
          <w:sz w:val="24"/>
          <w:szCs w:val="24"/>
        </w:rPr>
        <w:t>1.2.1 法律</w:t>
      </w:r>
      <w:r>
        <w:rPr>
          <w:rFonts w:hint="eastAsia"/>
          <w:color w:val="auto"/>
          <w:sz w:val="24"/>
          <w:szCs w:val="24"/>
        </w:rPr>
        <w:t>依据</w:t>
      </w:r>
      <w:r>
        <w:rPr>
          <w:color w:val="auto"/>
          <w:sz w:val="24"/>
          <w:szCs w:val="24"/>
        </w:rPr>
        <w:tab/>
      </w:r>
      <w:r>
        <w:rPr>
          <w:color w:val="auto"/>
          <w:sz w:val="24"/>
          <w:szCs w:val="24"/>
        </w:rPr>
        <w:fldChar w:fldCharType="begin"/>
      </w:r>
      <w:r>
        <w:rPr>
          <w:color w:val="auto"/>
          <w:sz w:val="24"/>
          <w:szCs w:val="24"/>
        </w:rPr>
        <w:instrText xml:space="preserve"> PAGEREF _Toc11891 </w:instrText>
      </w:r>
      <w:r>
        <w:rPr>
          <w:color w:val="auto"/>
          <w:sz w:val="24"/>
          <w:szCs w:val="24"/>
        </w:rPr>
        <w:fldChar w:fldCharType="separate"/>
      </w:r>
      <w:r>
        <w:rPr>
          <w:color w:val="auto"/>
          <w:sz w:val="24"/>
          <w:szCs w:val="24"/>
        </w:rPr>
        <w:t>- 1 -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"_Toc16149" </w:instrText>
      </w:r>
      <w:r>
        <w:rPr>
          <w:color w:val="auto"/>
        </w:rPr>
        <w:fldChar w:fldCharType="separate"/>
      </w:r>
      <w:r>
        <w:rPr>
          <w:color w:val="auto"/>
          <w:sz w:val="24"/>
          <w:szCs w:val="24"/>
        </w:rPr>
        <w:t>1.2.</w:t>
      </w:r>
      <w:r>
        <w:rPr>
          <w:rFonts w:hint="eastAsia"/>
          <w:color w:val="auto"/>
          <w:sz w:val="24"/>
          <w:szCs w:val="24"/>
        </w:rPr>
        <w:t>2</w:t>
      </w:r>
      <w:r>
        <w:rPr>
          <w:color w:val="auto"/>
          <w:sz w:val="24"/>
          <w:szCs w:val="24"/>
        </w:rPr>
        <w:t xml:space="preserve"> </w:t>
      </w:r>
      <w:r>
        <w:rPr>
          <w:rFonts w:hint="eastAsia"/>
          <w:color w:val="auto"/>
          <w:sz w:val="24"/>
          <w:szCs w:val="24"/>
        </w:rPr>
        <w:t>法规依据</w:t>
      </w:r>
      <w:r>
        <w:rPr>
          <w:color w:val="auto"/>
          <w:sz w:val="24"/>
          <w:szCs w:val="24"/>
        </w:rPr>
        <w:tab/>
      </w:r>
      <w:r>
        <w:rPr>
          <w:color w:val="auto"/>
          <w:sz w:val="24"/>
          <w:szCs w:val="24"/>
        </w:rPr>
        <w:fldChar w:fldCharType="begin"/>
      </w:r>
      <w:r>
        <w:rPr>
          <w:color w:val="auto"/>
          <w:sz w:val="24"/>
          <w:szCs w:val="24"/>
        </w:rPr>
        <w:instrText xml:space="preserve"> PAGEREF _Toc16149 </w:instrText>
      </w:r>
      <w:r>
        <w:rPr>
          <w:color w:val="auto"/>
          <w:sz w:val="24"/>
          <w:szCs w:val="24"/>
        </w:rPr>
        <w:fldChar w:fldCharType="separate"/>
      </w:r>
      <w:r>
        <w:rPr>
          <w:color w:val="auto"/>
          <w:sz w:val="24"/>
          <w:szCs w:val="24"/>
        </w:rPr>
        <w:t>- 1 -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"_Toc8178" </w:instrText>
      </w:r>
      <w:r>
        <w:rPr>
          <w:color w:val="auto"/>
        </w:rPr>
        <w:fldChar w:fldCharType="separate"/>
      </w:r>
      <w:r>
        <w:rPr>
          <w:color w:val="auto"/>
          <w:sz w:val="24"/>
          <w:szCs w:val="24"/>
        </w:rPr>
        <w:t>1.2.</w:t>
      </w:r>
      <w:r>
        <w:rPr>
          <w:rFonts w:hint="eastAsia"/>
          <w:color w:val="auto"/>
          <w:sz w:val="24"/>
          <w:szCs w:val="24"/>
        </w:rPr>
        <w:t>3</w:t>
      </w:r>
      <w:r>
        <w:rPr>
          <w:color w:val="auto"/>
          <w:sz w:val="24"/>
          <w:szCs w:val="24"/>
        </w:rPr>
        <w:t xml:space="preserve"> 技术</w:t>
      </w:r>
      <w:r>
        <w:rPr>
          <w:rFonts w:hint="eastAsia"/>
          <w:color w:val="auto"/>
          <w:sz w:val="24"/>
          <w:szCs w:val="24"/>
        </w:rPr>
        <w:t>标准</w:t>
      </w:r>
      <w:r>
        <w:rPr>
          <w:color w:val="auto"/>
          <w:sz w:val="24"/>
          <w:szCs w:val="24"/>
        </w:rPr>
        <w:tab/>
      </w:r>
      <w:r>
        <w:rPr>
          <w:color w:val="auto"/>
          <w:sz w:val="24"/>
          <w:szCs w:val="24"/>
        </w:rPr>
        <w:fldChar w:fldCharType="begin"/>
      </w:r>
      <w:r>
        <w:rPr>
          <w:color w:val="auto"/>
          <w:sz w:val="24"/>
          <w:szCs w:val="24"/>
        </w:rPr>
        <w:instrText xml:space="preserve"> PAGEREF _Toc8178 </w:instrText>
      </w:r>
      <w:r>
        <w:rPr>
          <w:color w:val="auto"/>
          <w:sz w:val="24"/>
          <w:szCs w:val="24"/>
        </w:rPr>
        <w:fldChar w:fldCharType="separate"/>
      </w:r>
      <w:r>
        <w:rPr>
          <w:color w:val="auto"/>
          <w:sz w:val="24"/>
          <w:szCs w:val="24"/>
        </w:rPr>
        <w:t>- 3 -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"_Toc31107" </w:instrText>
      </w:r>
      <w:r>
        <w:rPr>
          <w:color w:val="auto"/>
        </w:rPr>
        <w:fldChar w:fldCharType="separate"/>
      </w:r>
      <w:r>
        <w:rPr>
          <w:color w:val="auto"/>
          <w:sz w:val="24"/>
          <w:szCs w:val="24"/>
        </w:rPr>
        <w:t>1.3 事件分级</w:t>
      </w:r>
      <w:r>
        <w:rPr>
          <w:color w:val="auto"/>
          <w:sz w:val="24"/>
          <w:szCs w:val="24"/>
        </w:rPr>
        <w:tab/>
      </w:r>
      <w:r>
        <w:rPr>
          <w:color w:val="auto"/>
          <w:sz w:val="24"/>
          <w:szCs w:val="24"/>
        </w:rPr>
        <w:fldChar w:fldCharType="begin"/>
      </w:r>
      <w:r>
        <w:rPr>
          <w:color w:val="auto"/>
          <w:sz w:val="24"/>
          <w:szCs w:val="24"/>
        </w:rPr>
        <w:instrText xml:space="preserve"> PAGEREF _Toc31107 </w:instrText>
      </w:r>
      <w:r>
        <w:rPr>
          <w:color w:val="auto"/>
          <w:sz w:val="24"/>
          <w:szCs w:val="24"/>
        </w:rPr>
        <w:fldChar w:fldCharType="separate"/>
      </w:r>
      <w:r>
        <w:rPr>
          <w:color w:val="auto"/>
          <w:sz w:val="24"/>
          <w:szCs w:val="24"/>
        </w:rPr>
        <w:t>- 4 -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"_Toc6917" </w:instrText>
      </w:r>
      <w:r>
        <w:rPr>
          <w:color w:val="auto"/>
        </w:rPr>
        <w:fldChar w:fldCharType="separate"/>
      </w:r>
      <w:r>
        <w:rPr>
          <w:color w:val="auto"/>
          <w:sz w:val="24"/>
          <w:szCs w:val="24"/>
        </w:rPr>
        <w:t>1.3.1标准分级</w:t>
      </w:r>
      <w:r>
        <w:rPr>
          <w:color w:val="auto"/>
          <w:sz w:val="24"/>
          <w:szCs w:val="24"/>
        </w:rPr>
        <w:tab/>
      </w:r>
      <w:r>
        <w:rPr>
          <w:color w:val="auto"/>
          <w:sz w:val="24"/>
          <w:szCs w:val="24"/>
        </w:rPr>
        <w:fldChar w:fldCharType="begin"/>
      </w:r>
      <w:r>
        <w:rPr>
          <w:color w:val="auto"/>
          <w:sz w:val="24"/>
          <w:szCs w:val="24"/>
        </w:rPr>
        <w:instrText xml:space="preserve"> PAGEREF _Toc6917 </w:instrText>
      </w:r>
      <w:r>
        <w:rPr>
          <w:color w:val="auto"/>
          <w:sz w:val="24"/>
          <w:szCs w:val="24"/>
        </w:rPr>
        <w:fldChar w:fldCharType="separate"/>
      </w:r>
      <w:r>
        <w:rPr>
          <w:color w:val="auto"/>
          <w:sz w:val="24"/>
          <w:szCs w:val="24"/>
        </w:rPr>
        <w:t>- 4 -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"_Toc976" </w:instrText>
      </w:r>
      <w:r>
        <w:rPr>
          <w:color w:val="auto"/>
        </w:rPr>
        <w:fldChar w:fldCharType="separate"/>
      </w:r>
      <w:r>
        <w:rPr>
          <w:color w:val="auto"/>
          <w:sz w:val="24"/>
          <w:szCs w:val="24"/>
        </w:rPr>
        <w:t>1.3.2 突发环境事件等级确定</w:t>
      </w:r>
      <w:r>
        <w:rPr>
          <w:color w:val="auto"/>
          <w:sz w:val="24"/>
          <w:szCs w:val="24"/>
        </w:rPr>
        <w:tab/>
      </w:r>
      <w:r>
        <w:rPr>
          <w:color w:val="auto"/>
          <w:sz w:val="24"/>
          <w:szCs w:val="24"/>
        </w:rPr>
        <w:fldChar w:fldCharType="begin"/>
      </w:r>
      <w:r>
        <w:rPr>
          <w:color w:val="auto"/>
          <w:sz w:val="24"/>
          <w:szCs w:val="24"/>
        </w:rPr>
        <w:instrText xml:space="preserve"> PAGEREF _Toc976 </w:instrText>
      </w:r>
      <w:r>
        <w:rPr>
          <w:color w:val="auto"/>
          <w:sz w:val="24"/>
          <w:szCs w:val="24"/>
        </w:rPr>
        <w:fldChar w:fldCharType="separate"/>
      </w:r>
      <w:r>
        <w:rPr>
          <w:color w:val="auto"/>
          <w:sz w:val="24"/>
          <w:szCs w:val="24"/>
        </w:rPr>
        <w:t>- 6 -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"_Toc6573" </w:instrText>
      </w:r>
      <w:r>
        <w:rPr>
          <w:color w:val="auto"/>
        </w:rPr>
        <w:fldChar w:fldCharType="separate"/>
      </w:r>
      <w:r>
        <w:rPr>
          <w:color w:val="auto"/>
          <w:sz w:val="24"/>
          <w:szCs w:val="24"/>
        </w:rPr>
        <w:t>1.4 适用范围</w:t>
      </w:r>
      <w:r>
        <w:rPr>
          <w:color w:val="auto"/>
          <w:sz w:val="24"/>
          <w:szCs w:val="24"/>
        </w:rPr>
        <w:tab/>
      </w:r>
      <w:r>
        <w:rPr>
          <w:color w:val="auto"/>
          <w:sz w:val="24"/>
          <w:szCs w:val="24"/>
        </w:rPr>
        <w:fldChar w:fldCharType="begin"/>
      </w:r>
      <w:r>
        <w:rPr>
          <w:color w:val="auto"/>
          <w:sz w:val="24"/>
          <w:szCs w:val="24"/>
        </w:rPr>
        <w:instrText xml:space="preserve"> PAGEREF _Toc6573 </w:instrText>
      </w:r>
      <w:r>
        <w:rPr>
          <w:color w:val="auto"/>
          <w:sz w:val="24"/>
          <w:szCs w:val="24"/>
        </w:rPr>
        <w:fldChar w:fldCharType="separate"/>
      </w:r>
      <w:r>
        <w:rPr>
          <w:color w:val="auto"/>
          <w:sz w:val="24"/>
          <w:szCs w:val="24"/>
        </w:rPr>
        <w:t>- 6 -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"_Toc32457" </w:instrText>
      </w:r>
      <w:r>
        <w:rPr>
          <w:color w:val="auto"/>
        </w:rPr>
        <w:fldChar w:fldCharType="separate"/>
      </w:r>
      <w:r>
        <w:rPr>
          <w:color w:val="auto"/>
          <w:sz w:val="24"/>
          <w:szCs w:val="24"/>
        </w:rPr>
        <w:t>1.5 工作原则</w:t>
      </w:r>
      <w:r>
        <w:rPr>
          <w:color w:val="auto"/>
          <w:sz w:val="24"/>
          <w:szCs w:val="24"/>
        </w:rPr>
        <w:tab/>
      </w:r>
      <w:r>
        <w:rPr>
          <w:color w:val="auto"/>
          <w:sz w:val="24"/>
          <w:szCs w:val="24"/>
        </w:rPr>
        <w:fldChar w:fldCharType="begin"/>
      </w:r>
      <w:r>
        <w:rPr>
          <w:color w:val="auto"/>
          <w:sz w:val="24"/>
          <w:szCs w:val="24"/>
        </w:rPr>
        <w:instrText xml:space="preserve"> PAGEREF _Toc32457 </w:instrText>
      </w:r>
      <w:r>
        <w:rPr>
          <w:color w:val="auto"/>
          <w:sz w:val="24"/>
          <w:szCs w:val="24"/>
        </w:rPr>
        <w:fldChar w:fldCharType="separate"/>
      </w:r>
      <w:r>
        <w:rPr>
          <w:color w:val="auto"/>
          <w:sz w:val="24"/>
          <w:szCs w:val="24"/>
        </w:rPr>
        <w:t>- 6 -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"_Toc21773" </w:instrText>
      </w:r>
      <w:r>
        <w:rPr>
          <w:color w:val="auto"/>
        </w:rPr>
        <w:fldChar w:fldCharType="separate"/>
      </w:r>
      <w:r>
        <w:rPr>
          <w:color w:val="auto"/>
          <w:sz w:val="24"/>
          <w:szCs w:val="24"/>
        </w:rPr>
        <w:t>1.</w:t>
      </w:r>
      <w:r>
        <w:rPr>
          <w:rFonts w:hint="eastAsia"/>
          <w:color w:val="auto"/>
          <w:sz w:val="24"/>
          <w:szCs w:val="24"/>
        </w:rPr>
        <w:t xml:space="preserve">6 </w:t>
      </w:r>
      <w:r>
        <w:rPr>
          <w:color w:val="auto"/>
          <w:sz w:val="24"/>
          <w:szCs w:val="24"/>
        </w:rPr>
        <w:t>应急预案体系</w:t>
      </w:r>
      <w:r>
        <w:rPr>
          <w:color w:val="auto"/>
          <w:sz w:val="24"/>
          <w:szCs w:val="24"/>
        </w:rPr>
        <w:tab/>
      </w:r>
      <w:r>
        <w:rPr>
          <w:color w:val="auto"/>
          <w:sz w:val="24"/>
          <w:szCs w:val="24"/>
        </w:rPr>
        <w:fldChar w:fldCharType="begin"/>
      </w:r>
      <w:r>
        <w:rPr>
          <w:color w:val="auto"/>
          <w:sz w:val="24"/>
          <w:szCs w:val="24"/>
        </w:rPr>
        <w:instrText xml:space="preserve"> PAGEREF _Toc21773 </w:instrText>
      </w:r>
      <w:r>
        <w:rPr>
          <w:color w:val="auto"/>
          <w:sz w:val="24"/>
          <w:szCs w:val="24"/>
        </w:rPr>
        <w:fldChar w:fldCharType="separate"/>
      </w:r>
      <w:r>
        <w:rPr>
          <w:color w:val="auto"/>
          <w:sz w:val="24"/>
          <w:szCs w:val="24"/>
        </w:rPr>
        <w:t>- 8 -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"_Toc5226" </w:instrText>
      </w:r>
      <w:r>
        <w:rPr>
          <w:color w:val="auto"/>
        </w:rPr>
        <w:fldChar w:fldCharType="separate"/>
      </w:r>
      <w:r>
        <w:rPr>
          <w:rFonts w:hint="eastAsia"/>
          <w:color w:val="auto"/>
          <w:sz w:val="24"/>
          <w:szCs w:val="24"/>
        </w:rPr>
        <w:t>1.7预案体系说明</w:t>
      </w:r>
      <w:r>
        <w:rPr>
          <w:color w:val="auto"/>
          <w:sz w:val="24"/>
          <w:szCs w:val="24"/>
        </w:rPr>
        <w:tab/>
      </w:r>
      <w:r>
        <w:rPr>
          <w:color w:val="auto"/>
          <w:sz w:val="24"/>
          <w:szCs w:val="24"/>
        </w:rPr>
        <w:fldChar w:fldCharType="begin"/>
      </w:r>
      <w:r>
        <w:rPr>
          <w:color w:val="auto"/>
          <w:sz w:val="24"/>
          <w:szCs w:val="24"/>
        </w:rPr>
        <w:instrText xml:space="preserve"> PAGEREF _Toc5226 </w:instrText>
      </w:r>
      <w:r>
        <w:rPr>
          <w:color w:val="auto"/>
          <w:sz w:val="24"/>
          <w:szCs w:val="24"/>
        </w:rPr>
        <w:fldChar w:fldCharType="separate"/>
      </w:r>
      <w:r>
        <w:rPr>
          <w:color w:val="auto"/>
          <w:sz w:val="24"/>
          <w:szCs w:val="24"/>
        </w:rPr>
        <w:t>- 9 -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"_Toc22281" </w:instrText>
      </w:r>
      <w:r>
        <w:rPr>
          <w:color w:val="auto"/>
        </w:rPr>
        <w:fldChar w:fldCharType="separate"/>
      </w:r>
      <w:r>
        <w:rPr>
          <w:color w:val="auto"/>
          <w:sz w:val="24"/>
          <w:szCs w:val="24"/>
        </w:rPr>
        <w:t xml:space="preserve">2 </w:t>
      </w:r>
      <w:r>
        <w:rPr>
          <w:rFonts w:hint="eastAsia"/>
          <w:color w:val="auto"/>
          <w:sz w:val="24"/>
          <w:szCs w:val="24"/>
        </w:rPr>
        <w:t>企业概况</w:t>
      </w:r>
      <w:r>
        <w:rPr>
          <w:color w:val="auto"/>
          <w:sz w:val="24"/>
          <w:szCs w:val="24"/>
        </w:rPr>
        <w:tab/>
      </w:r>
      <w:r>
        <w:rPr>
          <w:color w:val="auto"/>
          <w:sz w:val="24"/>
          <w:szCs w:val="24"/>
        </w:rPr>
        <w:fldChar w:fldCharType="begin"/>
      </w:r>
      <w:r>
        <w:rPr>
          <w:color w:val="auto"/>
          <w:sz w:val="24"/>
          <w:szCs w:val="24"/>
        </w:rPr>
        <w:instrText xml:space="preserve"> PAGEREF _Toc22281 </w:instrText>
      </w:r>
      <w:r>
        <w:rPr>
          <w:color w:val="auto"/>
          <w:sz w:val="24"/>
          <w:szCs w:val="24"/>
        </w:rPr>
        <w:fldChar w:fldCharType="separate"/>
      </w:r>
      <w:r>
        <w:rPr>
          <w:color w:val="auto"/>
          <w:sz w:val="24"/>
          <w:szCs w:val="24"/>
        </w:rPr>
        <w:t>- 10 -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"_Toc30581" </w:instrText>
      </w:r>
      <w:r>
        <w:rPr>
          <w:color w:val="auto"/>
        </w:rPr>
        <w:fldChar w:fldCharType="separate"/>
      </w:r>
      <w:r>
        <w:rPr>
          <w:color w:val="auto"/>
          <w:sz w:val="24"/>
          <w:szCs w:val="24"/>
        </w:rPr>
        <w:t xml:space="preserve">2.1 </w:t>
      </w:r>
      <w:r>
        <w:rPr>
          <w:rFonts w:hint="eastAsia"/>
          <w:color w:val="auto"/>
          <w:sz w:val="24"/>
          <w:szCs w:val="24"/>
        </w:rPr>
        <w:t>企业基本情况</w:t>
      </w:r>
      <w:r>
        <w:rPr>
          <w:color w:val="auto"/>
          <w:sz w:val="24"/>
          <w:szCs w:val="24"/>
        </w:rPr>
        <w:tab/>
      </w:r>
      <w:r>
        <w:rPr>
          <w:color w:val="auto"/>
          <w:sz w:val="24"/>
          <w:szCs w:val="24"/>
        </w:rPr>
        <w:fldChar w:fldCharType="begin"/>
      </w:r>
      <w:r>
        <w:rPr>
          <w:color w:val="auto"/>
          <w:sz w:val="24"/>
          <w:szCs w:val="24"/>
        </w:rPr>
        <w:instrText xml:space="preserve"> PAGEREF _Toc30581 </w:instrText>
      </w:r>
      <w:r>
        <w:rPr>
          <w:color w:val="auto"/>
          <w:sz w:val="24"/>
          <w:szCs w:val="24"/>
        </w:rPr>
        <w:fldChar w:fldCharType="separate"/>
      </w:r>
      <w:r>
        <w:rPr>
          <w:color w:val="auto"/>
          <w:sz w:val="24"/>
          <w:szCs w:val="24"/>
        </w:rPr>
        <w:t>- 10 -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"_Toc24071" </w:instrText>
      </w:r>
      <w:r>
        <w:rPr>
          <w:color w:val="auto"/>
        </w:rPr>
        <w:fldChar w:fldCharType="separate"/>
      </w:r>
      <w:r>
        <w:rPr>
          <w:color w:val="auto"/>
          <w:sz w:val="24"/>
          <w:szCs w:val="24"/>
        </w:rPr>
        <w:t>2.1.1自然概况</w:t>
      </w:r>
      <w:r>
        <w:rPr>
          <w:color w:val="auto"/>
          <w:sz w:val="24"/>
          <w:szCs w:val="24"/>
        </w:rPr>
        <w:tab/>
      </w:r>
      <w:r>
        <w:rPr>
          <w:color w:val="auto"/>
          <w:sz w:val="24"/>
          <w:szCs w:val="24"/>
        </w:rPr>
        <w:fldChar w:fldCharType="begin"/>
      </w:r>
      <w:r>
        <w:rPr>
          <w:color w:val="auto"/>
          <w:sz w:val="24"/>
          <w:szCs w:val="24"/>
        </w:rPr>
        <w:instrText xml:space="preserve"> PAGEREF _Toc24071 </w:instrText>
      </w:r>
      <w:r>
        <w:rPr>
          <w:color w:val="auto"/>
          <w:sz w:val="24"/>
          <w:szCs w:val="24"/>
        </w:rPr>
        <w:fldChar w:fldCharType="separate"/>
      </w:r>
      <w:r>
        <w:rPr>
          <w:color w:val="auto"/>
          <w:sz w:val="24"/>
          <w:szCs w:val="24"/>
        </w:rPr>
        <w:t>- 13 -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"_Toc4285" </w:instrText>
      </w:r>
      <w:r>
        <w:rPr>
          <w:color w:val="auto"/>
        </w:rPr>
        <w:fldChar w:fldCharType="separate"/>
      </w:r>
      <w:r>
        <w:rPr>
          <w:rFonts w:hint="eastAsia"/>
          <w:color w:val="auto"/>
          <w:sz w:val="24"/>
          <w:szCs w:val="24"/>
        </w:rPr>
        <w:t>2.1.</w:t>
      </w:r>
      <w:r>
        <w:rPr>
          <w:color w:val="auto"/>
          <w:sz w:val="24"/>
          <w:szCs w:val="24"/>
        </w:rPr>
        <w:t>2</w:t>
      </w:r>
      <w:r>
        <w:rPr>
          <w:rFonts w:hint="eastAsia"/>
          <w:color w:val="auto"/>
          <w:sz w:val="24"/>
          <w:szCs w:val="24"/>
        </w:rPr>
        <w:t xml:space="preserve"> 主要原辅材料表</w:t>
      </w:r>
      <w:r>
        <w:rPr>
          <w:color w:val="auto"/>
          <w:sz w:val="24"/>
          <w:szCs w:val="24"/>
        </w:rPr>
        <w:tab/>
      </w:r>
      <w:r>
        <w:rPr>
          <w:color w:val="auto"/>
          <w:sz w:val="24"/>
          <w:szCs w:val="24"/>
        </w:rPr>
        <w:fldChar w:fldCharType="begin"/>
      </w:r>
      <w:r>
        <w:rPr>
          <w:color w:val="auto"/>
          <w:sz w:val="24"/>
          <w:szCs w:val="24"/>
        </w:rPr>
        <w:instrText xml:space="preserve"> PAGEREF _Toc4285 </w:instrText>
      </w:r>
      <w:r>
        <w:rPr>
          <w:color w:val="auto"/>
          <w:sz w:val="24"/>
          <w:szCs w:val="24"/>
        </w:rPr>
        <w:fldChar w:fldCharType="separate"/>
      </w:r>
      <w:r>
        <w:rPr>
          <w:color w:val="auto"/>
          <w:sz w:val="24"/>
          <w:szCs w:val="24"/>
        </w:rPr>
        <w:t>- 13 -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"_Toc19338" </w:instrText>
      </w:r>
      <w:r>
        <w:rPr>
          <w:color w:val="auto"/>
        </w:rPr>
        <w:fldChar w:fldCharType="separate"/>
      </w:r>
      <w:r>
        <w:rPr>
          <w:rFonts w:hint="eastAsia"/>
          <w:color w:val="auto"/>
          <w:sz w:val="24"/>
          <w:szCs w:val="24"/>
        </w:rPr>
        <w:t>2</w:t>
      </w:r>
      <w:r>
        <w:rPr>
          <w:color w:val="auto"/>
          <w:sz w:val="24"/>
          <w:szCs w:val="24"/>
        </w:rPr>
        <w:t xml:space="preserve">.1.3 </w:t>
      </w:r>
      <w:r>
        <w:rPr>
          <w:rFonts w:hint="eastAsia"/>
          <w:color w:val="auto"/>
          <w:sz w:val="24"/>
          <w:szCs w:val="24"/>
        </w:rPr>
        <w:t>主要设备</w:t>
      </w:r>
      <w:r>
        <w:rPr>
          <w:color w:val="auto"/>
          <w:sz w:val="24"/>
          <w:szCs w:val="24"/>
        </w:rPr>
        <w:tab/>
      </w:r>
      <w:r>
        <w:rPr>
          <w:color w:val="auto"/>
          <w:sz w:val="24"/>
          <w:szCs w:val="24"/>
        </w:rPr>
        <w:fldChar w:fldCharType="begin"/>
      </w:r>
      <w:r>
        <w:rPr>
          <w:color w:val="auto"/>
          <w:sz w:val="24"/>
          <w:szCs w:val="24"/>
        </w:rPr>
        <w:instrText xml:space="preserve"> PAGEREF _Toc19338 </w:instrText>
      </w:r>
      <w:r>
        <w:rPr>
          <w:color w:val="auto"/>
          <w:sz w:val="24"/>
          <w:szCs w:val="24"/>
        </w:rPr>
        <w:fldChar w:fldCharType="separate"/>
      </w:r>
      <w:r>
        <w:rPr>
          <w:color w:val="auto"/>
          <w:sz w:val="24"/>
          <w:szCs w:val="24"/>
        </w:rPr>
        <w:t>- 13 -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"_Toc20429" </w:instrText>
      </w:r>
      <w:r>
        <w:rPr>
          <w:color w:val="auto"/>
        </w:rPr>
        <w:fldChar w:fldCharType="separate"/>
      </w:r>
      <w:r>
        <w:rPr>
          <w:rFonts w:hint="eastAsia"/>
          <w:color w:val="auto"/>
          <w:sz w:val="24"/>
          <w:szCs w:val="24"/>
        </w:rPr>
        <w:t>2.1.</w:t>
      </w:r>
      <w:r>
        <w:rPr>
          <w:color w:val="auto"/>
          <w:sz w:val="24"/>
          <w:szCs w:val="24"/>
        </w:rPr>
        <w:t>4</w:t>
      </w:r>
      <w:r>
        <w:rPr>
          <w:rFonts w:hint="eastAsia"/>
          <w:color w:val="auto"/>
          <w:sz w:val="24"/>
          <w:szCs w:val="24"/>
        </w:rPr>
        <w:t>主要生产工艺及产污环节</w:t>
      </w:r>
      <w:r>
        <w:rPr>
          <w:color w:val="auto"/>
          <w:sz w:val="24"/>
          <w:szCs w:val="24"/>
        </w:rPr>
        <w:tab/>
      </w:r>
      <w:r>
        <w:rPr>
          <w:color w:val="auto"/>
          <w:sz w:val="24"/>
          <w:szCs w:val="24"/>
        </w:rPr>
        <w:fldChar w:fldCharType="begin"/>
      </w:r>
      <w:r>
        <w:rPr>
          <w:color w:val="auto"/>
          <w:sz w:val="24"/>
          <w:szCs w:val="24"/>
        </w:rPr>
        <w:instrText xml:space="preserve"> PAGEREF _Toc20429 </w:instrText>
      </w:r>
      <w:r>
        <w:rPr>
          <w:color w:val="auto"/>
          <w:sz w:val="24"/>
          <w:szCs w:val="24"/>
        </w:rPr>
        <w:fldChar w:fldCharType="separate"/>
      </w:r>
      <w:r>
        <w:rPr>
          <w:color w:val="auto"/>
          <w:sz w:val="24"/>
          <w:szCs w:val="24"/>
        </w:rPr>
        <w:t>- 16 -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"_Toc23732" </w:instrText>
      </w:r>
      <w:r>
        <w:rPr>
          <w:color w:val="auto"/>
        </w:rPr>
        <w:fldChar w:fldCharType="separate"/>
      </w:r>
      <w:r>
        <w:rPr>
          <w:color w:val="auto"/>
          <w:sz w:val="24"/>
          <w:szCs w:val="24"/>
        </w:rPr>
        <w:t xml:space="preserve">2.1.5 </w:t>
      </w:r>
      <w:r>
        <w:rPr>
          <w:rFonts w:hint="eastAsia"/>
          <w:color w:val="auto"/>
          <w:sz w:val="24"/>
          <w:szCs w:val="24"/>
        </w:rPr>
        <w:t>污染物产生情况及环保措施</w:t>
      </w:r>
      <w:r>
        <w:rPr>
          <w:color w:val="auto"/>
          <w:sz w:val="24"/>
          <w:szCs w:val="24"/>
        </w:rPr>
        <w:tab/>
      </w:r>
      <w:r>
        <w:rPr>
          <w:color w:val="auto"/>
          <w:sz w:val="24"/>
          <w:szCs w:val="24"/>
        </w:rPr>
        <w:fldChar w:fldCharType="begin"/>
      </w:r>
      <w:r>
        <w:rPr>
          <w:color w:val="auto"/>
          <w:sz w:val="24"/>
          <w:szCs w:val="24"/>
        </w:rPr>
        <w:instrText xml:space="preserve"> PAGEREF _Toc23732 </w:instrText>
      </w:r>
      <w:r>
        <w:rPr>
          <w:color w:val="auto"/>
          <w:sz w:val="24"/>
          <w:szCs w:val="24"/>
        </w:rPr>
        <w:fldChar w:fldCharType="separate"/>
      </w:r>
      <w:r>
        <w:rPr>
          <w:color w:val="auto"/>
          <w:sz w:val="24"/>
          <w:szCs w:val="24"/>
        </w:rPr>
        <w:t>- 19 -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"_Toc474" </w:instrText>
      </w:r>
      <w:r>
        <w:rPr>
          <w:color w:val="auto"/>
        </w:rPr>
        <w:fldChar w:fldCharType="separate"/>
      </w:r>
      <w:r>
        <w:rPr>
          <w:rFonts w:hint="eastAsia"/>
          <w:color w:val="auto"/>
          <w:sz w:val="24"/>
          <w:szCs w:val="24"/>
        </w:rPr>
        <w:t>2.</w:t>
      </w:r>
      <w:r>
        <w:rPr>
          <w:color w:val="auto"/>
          <w:sz w:val="24"/>
          <w:szCs w:val="24"/>
        </w:rPr>
        <w:t>2</w:t>
      </w:r>
      <w:r>
        <w:rPr>
          <w:rFonts w:hint="eastAsia"/>
          <w:color w:val="auto"/>
          <w:sz w:val="24"/>
          <w:szCs w:val="24"/>
        </w:rPr>
        <w:t xml:space="preserve"> 周边环境敏感点</w:t>
      </w:r>
      <w:r>
        <w:rPr>
          <w:color w:val="auto"/>
          <w:sz w:val="24"/>
          <w:szCs w:val="24"/>
        </w:rPr>
        <w:tab/>
      </w:r>
      <w:r>
        <w:rPr>
          <w:color w:val="auto"/>
          <w:sz w:val="24"/>
          <w:szCs w:val="24"/>
        </w:rPr>
        <w:fldChar w:fldCharType="begin"/>
      </w:r>
      <w:r>
        <w:rPr>
          <w:color w:val="auto"/>
          <w:sz w:val="24"/>
          <w:szCs w:val="24"/>
        </w:rPr>
        <w:instrText xml:space="preserve"> PAGEREF _Toc474 </w:instrText>
      </w:r>
      <w:r>
        <w:rPr>
          <w:color w:val="auto"/>
          <w:sz w:val="24"/>
          <w:szCs w:val="24"/>
        </w:rPr>
        <w:fldChar w:fldCharType="separate"/>
      </w:r>
      <w:r>
        <w:rPr>
          <w:color w:val="auto"/>
          <w:sz w:val="24"/>
          <w:szCs w:val="24"/>
        </w:rPr>
        <w:t>- 26 -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"_Toc9222" </w:instrText>
      </w:r>
      <w:r>
        <w:rPr>
          <w:color w:val="auto"/>
        </w:rPr>
        <w:fldChar w:fldCharType="separate"/>
      </w:r>
      <w:r>
        <w:rPr>
          <w:color w:val="auto"/>
          <w:sz w:val="24"/>
          <w:szCs w:val="24"/>
        </w:rPr>
        <w:t>3 组织指挥体系</w:t>
      </w:r>
      <w:r>
        <w:rPr>
          <w:color w:val="auto"/>
          <w:sz w:val="24"/>
          <w:szCs w:val="24"/>
        </w:rPr>
        <w:tab/>
      </w:r>
      <w:r>
        <w:rPr>
          <w:color w:val="auto"/>
          <w:sz w:val="24"/>
          <w:szCs w:val="24"/>
        </w:rPr>
        <w:fldChar w:fldCharType="begin"/>
      </w:r>
      <w:r>
        <w:rPr>
          <w:color w:val="auto"/>
          <w:sz w:val="24"/>
          <w:szCs w:val="24"/>
        </w:rPr>
        <w:instrText xml:space="preserve"> PAGEREF _Toc9222 </w:instrText>
      </w:r>
      <w:r>
        <w:rPr>
          <w:color w:val="auto"/>
          <w:sz w:val="24"/>
          <w:szCs w:val="24"/>
        </w:rPr>
        <w:fldChar w:fldCharType="separate"/>
      </w:r>
      <w:r>
        <w:rPr>
          <w:color w:val="auto"/>
          <w:sz w:val="24"/>
          <w:szCs w:val="24"/>
        </w:rPr>
        <w:t>- 29 -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"_Toc26905" </w:instrText>
      </w:r>
      <w:r>
        <w:rPr>
          <w:color w:val="auto"/>
        </w:rPr>
        <w:fldChar w:fldCharType="separate"/>
      </w:r>
      <w:r>
        <w:rPr>
          <w:color w:val="auto"/>
          <w:sz w:val="24"/>
          <w:szCs w:val="24"/>
        </w:rPr>
        <w:t>3.1 应急</w:t>
      </w:r>
      <w:r>
        <w:rPr>
          <w:rFonts w:hint="eastAsia"/>
          <w:color w:val="auto"/>
          <w:sz w:val="24"/>
          <w:szCs w:val="24"/>
        </w:rPr>
        <w:t>指挥机构</w:t>
      </w:r>
      <w:r>
        <w:rPr>
          <w:color w:val="auto"/>
          <w:sz w:val="24"/>
          <w:szCs w:val="24"/>
        </w:rPr>
        <w:tab/>
      </w:r>
      <w:r>
        <w:rPr>
          <w:color w:val="auto"/>
          <w:sz w:val="24"/>
          <w:szCs w:val="24"/>
        </w:rPr>
        <w:fldChar w:fldCharType="begin"/>
      </w:r>
      <w:r>
        <w:rPr>
          <w:color w:val="auto"/>
          <w:sz w:val="24"/>
          <w:szCs w:val="24"/>
        </w:rPr>
        <w:instrText xml:space="preserve"> PAGEREF _Toc26905 </w:instrText>
      </w:r>
      <w:r>
        <w:rPr>
          <w:color w:val="auto"/>
          <w:sz w:val="24"/>
          <w:szCs w:val="24"/>
        </w:rPr>
        <w:fldChar w:fldCharType="separate"/>
      </w:r>
      <w:r>
        <w:rPr>
          <w:color w:val="auto"/>
          <w:sz w:val="24"/>
          <w:szCs w:val="24"/>
        </w:rPr>
        <w:t>- 29 -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"_Toc13768" </w:instrText>
      </w:r>
      <w:r>
        <w:rPr>
          <w:color w:val="auto"/>
        </w:rPr>
        <w:fldChar w:fldCharType="separate"/>
      </w:r>
      <w:r>
        <w:rPr>
          <w:rFonts w:hint="eastAsia"/>
          <w:color w:val="auto"/>
          <w:sz w:val="24"/>
          <w:szCs w:val="24"/>
        </w:rPr>
        <w:t>3</w:t>
      </w:r>
      <w:r>
        <w:rPr>
          <w:rFonts w:hint="eastAsia" w:ascii="仿宋" w:hAnsi="仿宋"/>
          <w:color w:val="auto"/>
          <w:sz w:val="24"/>
          <w:szCs w:val="24"/>
        </w:rPr>
        <w:t>.2 应急救援专业队伍</w:t>
      </w:r>
      <w:r>
        <w:rPr>
          <w:color w:val="auto"/>
          <w:sz w:val="24"/>
          <w:szCs w:val="24"/>
        </w:rPr>
        <w:tab/>
      </w:r>
      <w:r>
        <w:rPr>
          <w:color w:val="auto"/>
          <w:sz w:val="24"/>
          <w:szCs w:val="24"/>
        </w:rPr>
        <w:fldChar w:fldCharType="begin"/>
      </w:r>
      <w:r>
        <w:rPr>
          <w:color w:val="auto"/>
          <w:sz w:val="24"/>
          <w:szCs w:val="24"/>
        </w:rPr>
        <w:instrText xml:space="preserve"> PAGEREF _Toc13768 </w:instrText>
      </w:r>
      <w:r>
        <w:rPr>
          <w:color w:val="auto"/>
          <w:sz w:val="24"/>
          <w:szCs w:val="24"/>
        </w:rPr>
        <w:fldChar w:fldCharType="separate"/>
      </w:r>
      <w:r>
        <w:rPr>
          <w:color w:val="auto"/>
          <w:sz w:val="24"/>
          <w:szCs w:val="24"/>
        </w:rPr>
        <w:t>- 30 -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"_Toc24562" </w:instrText>
      </w:r>
      <w:r>
        <w:rPr>
          <w:color w:val="auto"/>
        </w:rPr>
        <w:fldChar w:fldCharType="separate"/>
      </w:r>
      <w:r>
        <w:rPr>
          <w:rFonts w:hint="eastAsia"/>
          <w:color w:val="auto"/>
          <w:sz w:val="24"/>
          <w:szCs w:val="24"/>
        </w:rPr>
        <w:t>4 环境风险分析</w:t>
      </w:r>
      <w:r>
        <w:rPr>
          <w:color w:val="auto"/>
          <w:sz w:val="24"/>
          <w:szCs w:val="24"/>
        </w:rPr>
        <w:tab/>
      </w:r>
      <w:r>
        <w:rPr>
          <w:color w:val="auto"/>
          <w:sz w:val="24"/>
          <w:szCs w:val="24"/>
        </w:rPr>
        <w:fldChar w:fldCharType="begin"/>
      </w:r>
      <w:r>
        <w:rPr>
          <w:color w:val="auto"/>
          <w:sz w:val="24"/>
          <w:szCs w:val="24"/>
        </w:rPr>
        <w:instrText xml:space="preserve"> PAGEREF _Toc24562 </w:instrText>
      </w:r>
      <w:r>
        <w:rPr>
          <w:color w:val="auto"/>
          <w:sz w:val="24"/>
          <w:szCs w:val="24"/>
        </w:rPr>
        <w:fldChar w:fldCharType="separate"/>
      </w:r>
      <w:r>
        <w:rPr>
          <w:color w:val="auto"/>
          <w:sz w:val="24"/>
          <w:szCs w:val="24"/>
        </w:rPr>
        <w:t>- 35 -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"_Toc17663" </w:instrText>
      </w:r>
      <w:r>
        <w:rPr>
          <w:color w:val="auto"/>
        </w:rPr>
        <w:fldChar w:fldCharType="separate"/>
      </w:r>
      <w:r>
        <w:rPr>
          <w:rFonts w:hint="eastAsia"/>
          <w:color w:val="auto"/>
          <w:sz w:val="24"/>
          <w:szCs w:val="24"/>
        </w:rPr>
        <w:t>4.1</w:t>
      </w:r>
      <w:r>
        <w:rPr>
          <w:color w:val="auto"/>
          <w:sz w:val="24"/>
          <w:szCs w:val="24"/>
        </w:rPr>
        <w:t xml:space="preserve"> </w:t>
      </w:r>
      <w:r>
        <w:rPr>
          <w:rFonts w:hint="eastAsia"/>
          <w:color w:val="auto"/>
          <w:sz w:val="24"/>
          <w:szCs w:val="24"/>
        </w:rPr>
        <w:t>环境风险物质</w:t>
      </w:r>
      <w:r>
        <w:rPr>
          <w:color w:val="auto"/>
          <w:sz w:val="24"/>
          <w:szCs w:val="24"/>
        </w:rPr>
        <w:tab/>
      </w:r>
      <w:r>
        <w:rPr>
          <w:color w:val="auto"/>
          <w:sz w:val="24"/>
          <w:szCs w:val="24"/>
        </w:rPr>
        <w:fldChar w:fldCharType="begin"/>
      </w:r>
      <w:r>
        <w:rPr>
          <w:color w:val="auto"/>
          <w:sz w:val="24"/>
          <w:szCs w:val="24"/>
        </w:rPr>
        <w:instrText xml:space="preserve"> PAGEREF _Toc17663 </w:instrText>
      </w:r>
      <w:r>
        <w:rPr>
          <w:color w:val="auto"/>
          <w:sz w:val="24"/>
          <w:szCs w:val="24"/>
        </w:rPr>
        <w:fldChar w:fldCharType="separate"/>
      </w:r>
      <w:r>
        <w:rPr>
          <w:color w:val="auto"/>
          <w:sz w:val="24"/>
          <w:szCs w:val="24"/>
        </w:rPr>
        <w:t>- 35 -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"_Toc28330" </w:instrText>
      </w:r>
      <w:r>
        <w:rPr>
          <w:color w:val="auto"/>
        </w:rPr>
        <w:fldChar w:fldCharType="separate"/>
      </w:r>
      <w:r>
        <w:rPr>
          <w:rFonts w:hint="eastAsia"/>
          <w:color w:val="auto"/>
          <w:sz w:val="24"/>
          <w:szCs w:val="24"/>
        </w:rPr>
        <w:t>4.</w:t>
      </w:r>
      <w:r>
        <w:rPr>
          <w:color w:val="auto"/>
          <w:sz w:val="24"/>
          <w:szCs w:val="24"/>
        </w:rPr>
        <w:t xml:space="preserve">2 </w:t>
      </w:r>
      <w:r>
        <w:rPr>
          <w:rFonts w:hint="eastAsia"/>
          <w:color w:val="auto"/>
          <w:sz w:val="24"/>
          <w:szCs w:val="24"/>
        </w:rPr>
        <w:t>历史事故分析</w:t>
      </w:r>
      <w:r>
        <w:rPr>
          <w:color w:val="auto"/>
          <w:sz w:val="24"/>
          <w:szCs w:val="24"/>
        </w:rPr>
        <w:tab/>
      </w:r>
      <w:r>
        <w:rPr>
          <w:color w:val="auto"/>
          <w:sz w:val="24"/>
          <w:szCs w:val="24"/>
        </w:rPr>
        <w:fldChar w:fldCharType="begin"/>
      </w:r>
      <w:r>
        <w:rPr>
          <w:color w:val="auto"/>
          <w:sz w:val="24"/>
          <w:szCs w:val="24"/>
        </w:rPr>
        <w:instrText xml:space="preserve"> PAGEREF _Toc28330 </w:instrText>
      </w:r>
      <w:r>
        <w:rPr>
          <w:color w:val="auto"/>
          <w:sz w:val="24"/>
          <w:szCs w:val="24"/>
        </w:rPr>
        <w:fldChar w:fldCharType="separate"/>
      </w:r>
      <w:r>
        <w:rPr>
          <w:color w:val="auto"/>
          <w:sz w:val="24"/>
          <w:szCs w:val="24"/>
        </w:rPr>
        <w:t>- 35 -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"_Toc7395" </w:instrText>
      </w:r>
      <w:r>
        <w:rPr>
          <w:color w:val="auto"/>
        </w:rPr>
        <w:fldChar w:fldCharType="separate"/>
      </w:r>
      <w:r>
        <w:rPr>
          <w:rFonts w:hint="eastAsia"/>
          <w:color w:val="auto"/>
          <w:sz w:val="24"/>
          <w:szCs w:val="24"/>
        </w:rPr>
        <w:t>5 预防与预警</w:t>
      </w:r>
      <w:r>
        <w:rPr>
          <w:color w:val="auto"/>
          <w:sz w:val="24"/>
          <w:szCs w:val="24"/>
        </w:rPr>
        <w:tab/>
      </w:r>
      <w:r>
        <w:rPr>
          <w:color w:val="auto"/>
          <w:sz w:val="24"/>
          <w:szCs w:val="24"/>
        </w:rPr>
        <w:fldChar w:fldCharType="begin"/>
      </w:r>
      <w:r>
        <w:rPr>
          <w:color w:val="auto"/>
          <w:sz w:val="24"/>
          <w:szCs w:val="24"/>
        </w:rPr>
        <w:instrText xml:space="preserve"> PAGEREF _Toc7395 </w:instrText>
      </w:r>
      <w:r>
        <w:rPr>
          <w:color w:val="auto"/>
          <w:sz w:val="24"/>
          <w:szCs w:val="24"/>
        </w:rPr>
        <w:fldChar w:fldCharType="separate"/>
      </w:r>
      <w:r>
        <w:rPr>
          <w:color w:val="auto"/>
          <w:sz w:val="24"/>
          <w:szCs w:val="24"/>
        </w:rPr>
        <w:t>- 37 -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"_Toc12151" </w:instrText>
      </w:r>
      <w:r>
        <w:rPr>
          <w:color w:val="auto"/>
        </w:rPr>
        <w:fldChar w:fldCharType="separate"/>
      </w:r>
      <w:r>
        <w:rPr>
          <w:color w:val="auto"/>
          <w:sz w:val="24"/>
          <w:szCs w:val="24"/>
        </w:rPr>
        <w:t>5.1 环境风险防范措施</w:t>
      </w:r>
      <w:r>
        <w:rPr>
          <w:color w:val="auto"/>
          <w:sz w:val="24"/>
          <w:szCs w:val="24"/>
        </w:rPr>
        <w:tab/>
      </w:r>
      <w:r>
        <w:rPr>
          <w:color w:val="auto"/>
          <w:sz w:val="24"/>
          <w:szCs w:val="24"/>
        </w:rPr>
        <w:fldChar w:fldCharType="begin"/>
      </w:r>
      <w:r>
        <w:rPr>
          <w:color w:val="auto"/>
          <w:sz w:val="24"/>
          <w:szCs w:val="24"/>
        </w:rPr>
        <w:instrText xml:space="preserve"> PAGEREF _Toc12151 </w:instrText>
      </w:r>
      <w:r>
        <w:rPr>
          <w:color w:val="auto"/>
          <w:sz w:val="24"/>
          <w:szCs w:val="24"/>
        </w:rPr>
        <w:fldChar w:fldCharType="separate"/>
      </w:r>
      <w:r>
        <w:rPr>
          <w:color w:val="auto"/>
          <w:sz w:val="24"/>
          <w:szCs w:val="24"/>
        </w:rPr>
        <w:t>- 37 -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"_Toc816" </w:instrText>
      </w:r>
      <w:r>
        <w:rPr>
          <w:color w:val="auto"/>
        </w:rPr>
        <w:fldChar w:fldCharType="separate"/>
      </w:r>
      <w:r>
        <w:rPr>
          <w:rFonts w:hint="eastAsia"/>
          <w:bCs/>
          <w:color w:val="auto"/>
          <w:sz w:val="24"/>
          <w:szCs w:val="24"/>
        </w:rPr>
        <w:t>5</w:t>
      </w:r>
      <w:r>
        <w:rPr>
          <w:bCs/>
          <w:color w:val="auto"/>
          <w:sz w:val="24"/>
          <w:szCs w:val="24"/>
        </w:rPr>
        <w:t xml:space="preserve">.1.1 </w:t>
      </w:r>
      <w:r>
        <w:rPr>
          <w:rFonts w:hint="eastAsia"/>
          <w:bCs/>
          <w:color w:val="auto"/>
          <w:sz w:val="24"/>
          <w:szCs w:val="24"/>
        </w:rPr>
        <w:t>风险源安全措施</w:t>
      </w:r>
      <w:r>
        <w:rPr>
          <w:color w:val="auto"/>
          <w:sz w:val="24"/>
          <w:szCs w:val="24"/>
        </w:rPr>
        <w:tab/>
      </w:r>
      <w:r>
        <w:rPr>
          <w:color w:val="auto"/>
          <w:sz w:val="24"/>
          <w:szCs w:val="24"/>
        </w:rPr>
        <w:fldChar w:fldCharType="begin"/>
      </w:r>
      <w:r>
        <w:rPr>
          <w:color w:val="auto"/>
          <w:sz w:val="24"/>
          <w:szCs w:val="24"/>
        </w:rPr>
        <w:instrText xml:space="preserve"> PAGEREF _Toc816 </w:instrText>
      </w:r>
      <w:r>
        <w:rPr>
          <w:color w:val="auto"/>
          <w:sz w:val="24"/>
          <w:szCs w:val="24"/>
        </w:rPr>
        <w:fldChar w:fldCharType="separate"/>
      </w:r>
      <w:r>
        <w:rPr>
          <w:color w:val="auto"/>
          <w:sz w:val="24"/>
          <w:szCs w:val="24"/>
        </w:rPr>
        <w:t>- 37 -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"_Toc31771" </w:instrText>
      </w:r>
      <w:r>
        <w:rPr>
          <w:color w:val="auto"/>
        </w:rPr>
        <w:fldChar w:fldCharType="separate"/>
      </w:r>
      <w:r>
        <w:rPr>
          <w:bCs/>
          <w:color w:val="auto"/>
          <w:sz w:val="24"/>
          <w:szCs w:val="24"/>
        </w:rPr>
        <w:t xml:space="preserve">5.1.2 </w:t>
      </w:r>
      <w:r>
        <w:rPr>
          <w:rFonts w:hint="eastAsia"/>
          <w:bCs/>
          <w:color w:val="auto"/>
          <w:sz w:val="24"/>
          <w:szCs w:val="24"/>
        </w:rPr>
        <w:t>风险源管理</w:t>
      </w:r>
      <w:r>
        <w:rPr>
          <w:color w:val="auto"/>
          <w:sz w:val="24"/>
          <w:szCs w:val="24"/>
        </w:rPr>
        <w:tab/>
      </w:r>
      <w:r>
        <w:rPr>
          <w:color w:val="auto"/>
          <w:sz w:val="24"/>
          <w:szCs w:val="24"/>
        </w:rPr>
        <w:fldChar w:fldCharType="begin"/>
      </w:r>
      <w:r>
        <w:rPr>
          <w:color w:val="auto"/>
          <w:sz w:val="24"/>
          <w:szCs w:val="24"/>
        </w:rPr>
        <w:instrText xml:space="preserve"> PAGEREF _Toc31771 </w:instrText>
      </w:r>
      <w:r>
        <w:rPr>
          <w:color w:val="auto"/>
          <w:sz w:val="24"/>
          <w:szCs w:val="24"/>
        </w:rPr>
        <w:fldChar w:fldCharType="separate"/>
      </w:r>
      <w:r>
        <w:rPr>
          <w:color w:val="auto"/>
          <w:sz w:val="24"/>
          <w:szCs w:val="24"/>
        </w:rPr>
        <w:t>- 37 -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"_Toc12739" </w:instrText>
      </w:r>
      <w:r>
        <w:rPr>
          <w:color w:val="auto"/>
        </w:rPr>
        <w:fldChar w:fldCharType="separate"/>
      </w:r>
      <w:r>
        <w:rPr>
          <w:rFonts w:hint="eastAsia"/>
          <w:bCs/>
          <w:color w:val="auto"/>
          <w:sz w:val="24"/>
          <w:szCs w:val="24"/>
        </w:rPr>
        <w:t>5.</w:t>
      </w:r>
      <w:r>
        <w:rPr>
          <w:bCs/>
          <w:color w:val="auto"/>
          <w:sz w:val="24"/>
          <w:szCs w:val="24"/>
        </w:rPr>
        <w:t>1.3</w:t>
      </w:r>
      <w:r>
        <w:rPr>
          <w:rFonts w:hint="eastAsia"/>
          <w:bCs/>
          <w:color w:val="auto"/>
          <w:sz w:val="24"/>
          <w:szCs w:val="24"/>
        </w:rPr>
        <w:t xml:space="preserve"> 风险隐患排查</w:t>
      </w:r>
      <w:r>
        <w:rPr>
          <w:color w:val="auto"/>
          <w:sz w:val="24"/>
          <w:szCs w:val="24"/>
        </w:rPr>
        <w:tab/>
      </w:r>
      <w:r>
        <w:rPr>
          <w:color w:val="auto"/>
          <w:sz w:val="24"/>
          <w:szCs w:val="24"/>
        </w:rPr>
        <w:fldChar w:fldCharType="begin"/>
      </w:r>
      <w:r>
        <w:rPr>
          <w:color w:val="auto"/>
          <w:sz w:val="24"/>
          <w:szCs w:val="24"/>
        </w:rPr>
        <w:instrText xml:space="preserve"> PAGEREF _Toc12739 </w:instrText>
      </w:r>
      <w:r>
        <w:rPr>
          <w:color w:val="auto"/>
          <w:sz w:val="24"/>
          <w:szCs w:val="24"/>
        </w:rPr>
        <w:fldChar w:fldCharType="separate"/>
      </w:r>
      <w:r>
        <w:rPr>
          <w:color w:val="auto"/>
          <w:sz w:val="24"/>
          <w:szCs w:val="24"/>
        </w:rPr>
        <w:t>- 38 -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"_Toc31102" </w:instrText>
      </w:r>
      <w:r>
        <w:rPr>
          <w:color w:val="auto"/>
        </w:rPr>
        <w:fldChar w:fldCharType="separate"/>
      </w:r>
      <w:r>
        <w:rPr>
          <w:color w:val="auto"/>
          <w:sz w:val="24"/>
          <w:szCs w:val="24"/>
        </w:rPr>
        <w:t>5.2 预警分级与准备</w:t>
      </w:r>
      <w:r>
        <w:rPr>
          <w:color w:val="auto"/>
          <w:sz w:val="24"/>
          <w:szCs w:val="24"/>
        </w:rPr>
        <w:tab/>
      </w:r>
      <w:r>
        <w:rPr>
          <w:color w:val="auto"/>
          <w:sz w:val="24"/>
          <w:szCs w:val="24"/>
        </w:rPr>
        <w:fldChar w:fldCharType="begin"/>
      </w:r>
      <w:r>
        <w:rPr>
          <w:color w:val="auto"/>
          <w:sz w:val="24"/>
          <w:szCs w:val="24"/>
        </w:rPr>
        <w:instrText xml:space="preserve"> PAGEREF _Toc31102 </w:instrText>
      </w:r>
      <w:r>
        <w:rPr>
          <w:color w:val="auto"/>
          <w:sz w:val="24"/>
          <w:szCs w:val="24"/>
        </w:rPr>
        <w:fldChar w:fldCharType="separate"/>
      </w:r>
      <w:r>
        <w:rPr>
          <w:color w:val="auto"/>
          <w:sz w:val="24"/>
          <w:szCs w:val="24"/>
        </w:rPr>
        <w:t>- 41 -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"_Toc19046" </w:instrText>
      </w:r>
      <w:r>
        <w:rPr>
          <w:color w:val="auto"/>
        </w:rPr>
        <w:fldChar w:fldCharType="separate"/>
      </w:r>
      <w:r>
        <w:rPr>
          <w:color w:val="auto"/>
          <w:sz w:val="24"/>
          <w:szCs w:val="24"/>
        </w:rPr>
        <w:t>5.2.1 预警</w:t>
      </w:r>
      <w:r>
        <w:rPr>
          <w:rFonts w:hint="eastAsia"/>
          <w:color w:val="auto"/>
          <w:sz w:val="24"/>
          <w:szCs w:val="24"/>
        </w:rPr>
        <w:t>分级</w:t>
      </w:r>
      <w:r>
        <w:rPr>
          <w:color w:val="auto"/>
          <w:sz w:val="24"/>
          <w:szCs w:val="24"/>
        </w:rPr>
        <w:tab/>
      </w:r>
      <w:r>
        <w:rPr>
          <w:color w:val="auto"/>
          <w:sz w:val="24"/>
          <w:szCs w:val="24"/>
        </w:rPr>
        <w:fldChar w:fldCharType="begin"/>
      </w:r>
      <w:r>
        <w:rPr>
          <w:color w:val="auto"/>
          <w:sz w:val="24"/>
          <w:szCs w:val="24"/>
        </w:rPr>
        <w:instrText xml:space="preserve"> PAGEREF _Toc19046 </w:instrText>
      </w:r>
      <w:r>
        <w:rPr>
          <w:color w:val="auto"/>
          <w:sz w:val="24"/>
          <w:szCs w:val="24"/>
        </w:rPr>
        <w:fldChar w:fldCharType="separate"/>
      </w:r>
      <w:r>
        <w:rPr>
          <w:color w:val="auto"/>
          <w:sz w:val="24"/>
          <w:szCs w:val="24"/>
        </w:rPr>
        <w:t>- 41 -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"_Toc30935" </w:instrText>
      </w:r>
      <w:r>
        <w:rPr>
          <w:color w:val="auto"/>
        </w:rPr>
        <w:fldChar w:fldCharType="separate"/>
      </w:r>
      <w:r>
        <w:rPr>
          <w:color w:val="auto"/>
          <w:sz w:val="24"/>
          <w:szCs w:val="24"/>
        </w:rPr>
        <w:t>5.2.</w:t>
      </w:r>
      <w:r>
        <w:rPr>
          <w:rFonts w:hint="eastAsia"/>
          <w:color w:val="auto"/>
          <w:sz w:val="24"/>
          <w:szCs w:val="24"/>
        </w:rPr>
        <w:t>2</w:t>
      </w:r>
      <w:r>
        <w:rPr>
          <w:color w:val="auto"/>
          <w:sz w:val="24"/>
          <w:szCs w:val="24"/>
        </w:rPr>
        <w:t xml:space="preserve"> 预警响应</w:t>
      </w:r>
      <w:r>
        <w:rPr>
          <w:color w:val="auto"/>
          <w:sz w:val="24"/>
          <w:szCs w:val="24"/>
        </w:rPr>
        <w:tab/>
      </w:r>
      <w:r>
        <w:rPr>
          <w:color w:val="auto"/>
          <w:sz w:val="24"/>
          <w:szCs w:val="24"/>
        </w:rPr>
        <w:fldChar w:fldCharType="begin"/>
      </w:r>
      <w:r>
        <w:rPr>
          <w:color w:val="auto"/>
          <w:sz w:val="24"/>
          <w:szCs w:val="24"/>
        </w:rPr>
        <w:instrText xml:space="preserve"> PAGEREF _Toc30935 </w:instrText>
      </w:r>
      <w:r>
        <w:rPr>
          <w:color w:val="auto"/>
          <w:sz w:val="24"/>
          <w:szCs w:val="24"/>
        </w:rPr>
        <w:fldChar w:fldCharType="separate"/>
      </w:r>
      <w:r>
        <w:rPr>
          <w:color w:val="auto"/>
          <w:sz w:val="24"/>
          <w:szCs w:val="24"/>
        </w:rPr>
        <w:t>- 42 -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"_Toc32184" </w:instrText>
      </w:r>
      <w:r>
        <w:rPr>
          <w:color w:val="auto"/>
        </w:rPr>
        <w:fldChar w:fldCharType="separate"/>
      </w:r>
      <w:r>
        <w:rPr>
          <w:rFonts w:hint="eastAsia"/>
          <w:color w:val="auto"/>
          <w:sz w:val="24"/>
          <w:szCs w:val="24"/>
        </w:rPr>
        <w:t>5.2.3预警准备</w:t>
      </w:r>
      <w:r>
        <w:rPr>
          <w:color w:val="auto"/>
          <w:sz w:val="24"/>
          <w:szCs w:val="24"/>
        </w:rPr>
        <w:tab/>
      </w:r>
      <w:r>
        <w:rPr>
          <w:color w:val="auto"/>
          <w:sz w:val="24"/>
          <w:szCs w:val="24"/>
        </w:rPr>
        <w:fldChar w:fldCharType="begin"/>
      </w:r>
      <w:r>
        <w:rPr>
          <w:color w:val="auto"/>
          <w:sz w:val="24"/>
          <w:szCs w:val="24"/>
        </w:rPr>
        <w:instrText xml:space="preserve"> PAGEREF _Toc32184 </w:instrText>
      </w:r>
      <w:r>
        <w:rPr>
          <w:color w:val="auto"/>
          <w:sz w:val="24"/>
          <w:szCs w:val="24"/>
        </w:rPr>
        <w:fldChar w:fldCharType="separate"/>
      </w:r>
      <w:r>
        <w:rPr>
          <w:color w:val="auto"/>
          <w:sz w:val="24"/>
          <w:szCs w:val="24"/>
        </w:rPr>
        <w:t>- 43 -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"_Toc9064" </w:instrText>
      </w:r>
      <w:r>
        <w:rPr>
          <w:color w:val="auto"/>
        </w:rPr>
        <w:fldChar w:fldCharType="separate"/>
      </w:r>
      <w:r>
        <w:rPr>
          <w:rFonts w:hint="eastAsia"/>
          <w:color w:val="auto"/>
          <w:sz w:val="24"/>
          <w:szCs w:val="24"/>
        </w:rPr>
        <w:t>5.3 预警信息汇总</w:t>
      </w:r>
      <w:r>
        <w:rPr>
          <w:color w:val="auto"/>
          <w:sz w:val="24"/>
          <w:szCs w:val="24"/>
        </w:rPr>
        <w:tab/>
      </w:r>
      <w:r>
        <w:rPr>
          <w:color w:val="auto"/>
          <w:sz w:val="24"/>
          <w:szCs w:val="24"/>
        </w:rPr>
        <w:fldChar w:fldCharType="begin"/>
      </w:r>
      <w:r>
        <w:rPr>
          <w:color w:val="auto"/>
          <w:sz w:val="24"/>
          <w:szCs w:val="24"/>
        </w:rPr>
        <w:instrText xml:space="preserve"> PAGEREF _Toc9064 </w:instrText>
      </w:r>
      <w:r>
        <w:rPr>
          <w:color w:val="auto"/>
          <w:sz w:val="24"/>
          <w:szCs w:val="24"/>
        </w:rPr>
        <w:fldChar w:fldCharType="separate"/>
      </w:r>
      <w:r>
        <w:rPr>
          <w:color w:val="auto"/>
          <w:sz w:val="24"/>
          <w:szCs w:val="24"/>
        </w:rPr>
        <w:t>- 43 -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"_Toc9873" </w:instrText>
      </w:r>
      <w:r>
        <w:rPr>
          <w:color w:val="auto"/>
        </w:rPr>
        <w:fldChar w:fldCharType="separate"/>
      </w:r>
      <w:r>
        <w:rPr>
          <w:rFonts w:hint="eastAsia"/>
          <w:color w:val="auto"/>
          <w:sz w:val="24"/>
          <w:szCs w:val="24"/>
        </w:rPr>
        <w:t>5.4 预警发布</w:t>
      </w:r>
      <w:r>
        <w:rPr>
          <w:color w:val="auto"/>
          <w:sz w:val="24"/>
          <w:szCs w:val="24"/>
        </w:rPr>
        <w:tab/>
      </w:r>
      <w:r>
        <w:rPr>
          <w:color w:val="auto"/>
          <w:sz w:val="24"/>
          <w:szCs w:val="24"/>
        </w:rPr>
        <w:fldChar w:fldCharType="begin"/>
      </w:r>
      <w:r>
        <w:rPr>
          <w:color w:val="auto"/>
          <w:sz w:val="24"/>
          <w:szCs w:val="24"/>
        </w:rPr>
        <w:instrText xml:space="preserve"> PAGEREF _Toc9873 </w:instrText>
      </w:r>
      <w:r>
        <w:rPr>
          <w:color w:val="auto"/>
          <w:sz w:val="24"/>
          <w:szCs w:val="24"/>
        </w:rPr>
        <w:fldChar w:fldCharType="separate"/>
      </w:r>
      <w:r>
        <w:rPr>
          <w:color w:val="auto"/>
          <w:sz w:val="24"/>
          <w:szCs w:val="24"/>
        </w:rPr>
        <w:t>- 44 -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"_Toc19675" </w:instrText>
      </w:r>
      <w:r>
        <w:rPr>
          <w:color w:val="auto"/>
        </w:rPr>
        <w:fldChar w:fldCharType="separate"/>
      </w:r>
      <w:r>
        <w:rPr>
          <w:rFonts w:hint="eastAsia"/>
          <w:color w:val="auto"/>
          <w:sz w:val="24"/>
          <w:szCs w:val="24"/>
        </w:rPr>
        <w:t>5.5 预警行动</w:t>
      </w:r>
      <w:r>
        <w:rPr>
          <w:color w:val="auto"/>
          <w:sz w:val="24"/>
          <w:szCs w:val="24"/>
        </w:rPr>
        <w:tab/>
      </w:r>
      <w:r>
        <w:rPr>
          <w:color w:val="auto"/>
          <w:sz w:val="24"/>
          <w:szCs w:val="24"/>
        </w:rPr>
        <w:fldChar w:fldCharType="begin"/>
      </w:r>
      <w:r>
        <w:rPr>
          <w:color w:val="auto"/>
          <w:sz w:val="24"/>
          <w:szCs w:val="24"/>
        </w:rPr>
        <w:instrText xml:space="preserve"> PAGEREF _Toc19675 </w:instrText>
      </w:r>
      <w:r>
        <w:rPr>
          <w:color w:val="auto"/>
          <w:sz w:val="24"/>
          <w:szCs w:val="24"/>
        </w:rPr>
        <w:fldChar w:fldCharType="separate"/>
      </w:r>
      <w:r>
        <w:rPr>
          <w:color w:val="auto"/>
          <w:sz w:val="24"/>
          <w:szCs w:val="24"/>
        </w:rPr>
        <w:t>- 44 -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"_Toc25944" </w:instrText>
      </w:r>
      <w:r>
        <w:rPr>
          <w:color w:val="auto"/>
        </w:rPr>
        <w:fldChar w:fldCharType="separate"/>
      </w:r>
      <w:r>
        <w:rPr>
          <w:rFonts w:hint="eastAsia"/>
          <w:color w:val="auto"/>
          <w:sz w:val="24"/>
          <w:szCs w:val="24"/>
        </w:rPr>
        <w:t>5.6预警解除</w:t>
      </w:r>
      <w:r>
        <w:rPr>
          <w:color w:val="auto"/>
          <w:sz w:val="24"/>
          <w:szCs w:val="24"/>
        </w:rPr>
        <w:tab/>
      </w:r>
      <w:r>
        <w:rPr>
          <w:color w:val="auto"/>
          <w:sz w:val="24"/>
          <w:szCs w:val="24"/>
        </w:rPr>
        <w:fldChar w:fldCharType="begin"/>
      </w:r>
      <w:r>
        <w:rPr>
          <w:color w:val="auto"/>
          <w:sz w:val="24"/>
          <w:szCs w:val="24"/>
        </w:rPr>
        <w:instrText xml:space="preserve"> PAGEREF _Toc25944 </w:instrText>
      </w:r>
      <w:r>
        <w:rPr>
          <w:color w:val="auto"/>
          <w:sz w:val="24"/>
          <w:szCs w:val="24"/>
        </w:rPr>
        <w:fldChar w:fldCharType="separate"/>
      </w:r>
      <w:r>
        <w:rPr>
          <w:color w:val="auto"/>
          <w:sz w:val="24"/>
          <w:szCs w:val="24"/>
        </w:rPr>
        <w:t>- 45 -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"_Toc27073" </w:instrText>
      </w:r>
      <w:r>
        <w:rPr>
          <w:color w:val="auto"/>
        </w:rPr>
        <w:fldChar w:fldCharType="separate"/>
      </w:r>
      <w:r>
        <w:rPr>
          <w:rFonts w:hint="eastAsia"/>
          <w:color w:val="auto"/>
          <w:sz w:val="24"/>
          <w:szCs w:val="24"/>
        </w:rPr>
        <w:t>5.7预警措施</w:t>
      </w:r>
      <w:r>
        <w:rPr>
          <w:color w:val="auto"/>
          <w:sz w:val="24"/>
          <w:szCs w:val="24"/>
        </w:rPr>
        <w:tab/>
      </w:r>
      <w:r>
        <w:rPr>
          <w:color w:val="auto"/>
          <w:sz w:val="24"/>
          <w:szCs w:val="24"/>
        </w:rPr>
        <w:fldChar w:fldCharType="begin"/>
      </w:r>
      <w:r>
        <w:rPr>
          <w:color w:val="auto"/>
          <w:sz w:val="24"/>
          <w:szCs w:val="24"/>
        </w:rPr>
        <w:instrText xml:space="preserve"> PAGEREF _Toc27073 </w:instrText>
      </w:r>
      <w:r>
        <w:rPr>
          <w:color w:val="auto"/>
          <w:sz w:val="24"/>
          <w:szCs w:val="24"/>
        </w:rPr>
        <w:fldChar w:fldCharType="separate"/>
      </w:r>
      <w:r>
        <w:rPr>
          <w:color w:val="auto"/>
          <w:sz w:val="24"/>
          <w:szCs w:val="24"/>
        </w:rPr>
        <w:t>- 45 -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"_Toc25371" </w:instrText>
      </w:r>
      <w:r>
        <w:rPr>
          <w:color w:val="auto"/>
        </w:rPr>
        <w:fldChar w:fldCharType="separate"/>
      </w:r>
      <w:r>
        <w:rPr>
          <w:rFonts w:hint="eastAsia"/>
          <w:color w:val="auto"/>
          <w:sz w:val="24"/>
          <w:szCs w:val="24"/>
        </w:rPr>
        <w:t>6 应急处置</w:t>
      </w:r>
      <w:r>
        <w:rPr>
          <w:color w:val="auto"/>
          <w:sz w:val="24"/>
          <w:szCs w:val="24"/>
        </w:rPr>
        <w:tab/>
      </w:r>
      <w:r>
        <w:rPr>
          <w:color w:val="auto"/>
          <w:sz w:val="24"/>
          <w:szCs w:val="24"/>
        </w:rPr>
        <w:fldChar w:fldCharType="begin"/>
      </w:r>
      <w:r>
        <w:rPr>
          <w:color w:val="auto"/>
          <w:sz w:val="24"/>
          <w:szCs w:val="24"/>
        </w:rPr>
        <w:instrText xml:space="preserve"> PAGEREF _Toc25371 </w:instrText>
      </w:r>
      <w:r>
        <w:rPr>
          <w:color w:val="auto"/>
          <w:sz w:val="24"/>
          <w:szCs w:val="24"/>
        </w:rPr>
        <w:fldChar w:fldCharType="separate"/>
      </w:r>
      <w:r>
        <w:rPr>
          <w:color w:val="auto"/>
          <w:sz w:val="24"/>
          <w:szCs w:val="24"/>
        </w:rPr>
        <w:t>- 46 -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"_Toc21182" </w:instrText>
      </w:r>
      <w:r>
        <w:rPr>
          <w:color w:val="auto"/>
        </w:rPr>
        <w:fldChar w:fldCharType="separate"/>
      </w:r>
      <w:r>
        <w:rPr>
          <w:color w:val="auto"/>
          <w:sz w:val="24"/>
          <w:szCs w:val="24"/>
        </w:rPr>
        <w:t>6.1 应急预案启动</w:t>
      </w:r>
      <w:r>
        <w:rPr>
          <w:color w:val="auto"/>
          <w:sz w:val="24"/>
          <w:szCs w:val="24"/>
        </w:rPr>
        <w:tab/>
      </w:r>
      <w:r>
        <w:rPr>
          <w:color w:val="auto"/>
          <w:sz w:val="24"/>
          <w:szCs w:val="24"/>
        </w:rPr>
        <w:fldChar w:fldCharType="begin"/>
      </w:r>
      <w:r>
        <w:rPr>
          <w:color w:val="auto"/>
          <w:sz w:val="24"/>
          <w:szCs w:val="24"/>
        </w:rPr>
        <w:instrText xml:space="preserve"> PAGEREF _Toc21182 </w:instrText>
      </w:r>
      <w:r>
        <w:rPr>
          <w:color w:val="auto"/>
          <w:sz w:val="24"/>
          <w:szCs w:val="24"/>
        </w:rPr>
        <w:fldChar w:fldCharType="separate"/>
      </w:r>
      <w:r>
        <w:rPr>
          <w:color w:val="auto"/>
          <w:sz w:val="24"/>
          <w:szCs w:val="24"/>
        </w:rPr>
        <w:t>- 46 -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"_Toc25203" </w:instrText>
      </w:r>
      <w:r>
        <w:rPr>
          <w:color w:val="auto"/>
        </w:rPr>
        <w:fldChar w:fldCharType="separate"/>
      </w:r>
      <w:r>
        <w:rPr>
          <w:color w:val="auto"/>
          <w:sz w:val="24"/>
          <w:szCs w:val="24"/>
        </w:rPr>
        <w:t>6.2 信息报告</w:t>
      </w:r>
      <w:r>
        <w:rPr>
          <w:color w:val="auto"/>
          <w:sz w:val="24"/>
          <w:szCs w:val="24"/>
        </w:rPr>
        <w:tab/>
      </w:r>
      <w:r>
        <w:rPr>
          <w:color w:val="auto"/>
          <w:sz w:val="24"/>
          <w:szCs w:val="24"/>
        </w:rPr>
        <w:fldChar w:fldCharType="begin"/>
      </w:r>
      <w:r>
        <w:rPr>
          <w:color w:val="auto"/>
          <w:sz w:val="24"/>
          <w:szCs w:val="24"/>
        </w:rPr>
        <w:instrText xml:space="preserve"> PAGEREF _Toc25203 </w:instrText>
      </w:r>
      <w:r>
        <w:rPr>
          <w:color w:val="auto"/>
          <w:sz w:val="24"/>
          <w:szCs w:val="24"/>
        </w:rPr>
        <w:fldChar w:fldCharType="separate"/>
      </w:r>
      <w:r>
        <w:rPr>
          <w:color w:val="auto"/>
          <w:sz w:val="24"/>
          <w:szCs w:val="24"/>
        </w:rPr>
        <w:t>- 47 -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"_Toc616" </w:instrText>
      </w:r>
      <w:r>
        <w:rPr>
          <w:color w:val="auto"/>
        </w:rPr>
        <w:fldChar w:fldCharType="separate"/>
      </w:r>
      <w:r>
        <w:rPr>
          <w:color w:val="auto"/>
          <w:sz w:val="24"/>
          <w:szCs w:val="24"/>
        </w:rPr>
        <w:t xml:space="preserve">6.2.1 </w:t>
      </w:r>
      <w:r>
        <w:rPr>
          <w:rFonts w:hint="eastAsia"/>
          <w:color w:val="auto"/>
          <w:sz w:val="24"/>
          <w:szCs w:val="24"/>
        </w:rPr>
        <w:t>企业内部报告程序</w:t>
      </w:r>
      <w:r>
        <w:rPr>
          <w:color w:val="auto"/>
          <w:sz w:val="24"/>
          <w:szCs w:val="24"/>
        </w:rPr>
        <w:tab/>
      </w:r>
      <w:r>
        <w:rPr>
          <w:color w:val="auto"/>
          <w:sz w:val="24"/>
          <w:szCs w:val="24"/>
        </w:rPr>
        <w:fldChar w:fldCharType="begin"/>
      </w:r>
      <w:r>
        <w:rPr>
          <w:color w:val="auto"/>
          <w:sz w:val="24"/>
          <w:szCs w:val="24"/>
        </w:rPr>
        <w:instrText xml:space="preserve"> PAGEREF _Toc616 </w:instrText>
      </w:r>
      <w:r>
        <w:rPr>
          <w:color w:val="auto"/>
          <w:sz w:val="24"/>
          <w:szCs w:val="24"/>
        </w:rPr>
        <w:fldChar w:fldCharType="separate"/>
      </w:r>
      <w:r>
        <w:rPr>
          <w:color w:val="auto"/>
          <w:sz w:val="24"/>
          <w:szCs w:val="24"/>
        </w:rPr>
        <w:t>- 47 -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"_Toc13432" </w:instrText>
      </w:r>
      <w:r>
        <w:rPr>
          <w:color w:val="auto"/>
        </w:rPr>
        <w:fldChar w:fldCharType="separate"/>
      </w:r>
      <w:r>
        <w:rPr>
          <w:color w:val="auto"/>
          <w:sz w:val="24"/>
          <w:szCs w:val="24"/>
        </w:rPr>
        <w:t xml:space="preserve">6.2.2 </w:t>
      </w:r>
      <w:r>
        <w:rPr>
          <w:rFonts w:hint="eastAsia"/>
          <w:color w:val="auto"/>
          <w:sz w:val="24"/>
          <w:szCs w:val="24"/>
        </w:rPr>
        <w:t>外部报告时限要求及程序</w:t>
      </w:r>
      <w:r>
        <w:rPr>
          <w:color w:val="auto"/>
          <w:sz w:val="24"/>
          <w:szCs w:val="24"/>
        </w:rPr>
        <w:tab/>
      </w:r>
      <w:r>
        <w:rPr>
          <w:color w:val="auto"/>
          <w:sz w:val="24"/>
          <w:szCs w:val="24"/>
        </w:rPr>
        <w:fldChar w:fldCharType="begin"/>
      </w:r>
      <w:r>
        <w:rPr>
          <w:color w:val="auto"/>
          <w:sz w:val="24"/>
          <w:szCs w:val="24"/>
        </w:rPr>
        <w:instrText xml:space="preserve"> PAGEREF _Toc13432 </w:instrText>
      </w:r>
      <w:r>
        <w:rPr>
          <w:color w:val="auto"/>
          <w:sz w:val="24"/>
          <w:szCs w:val="24"/>
        </w:rPr>
        <w:fldChar w:fldCharType="separate"/>
      </w:r>
      <w:r>
        <w:rPr>
          <w:color w:val="auto"/>
          <w:sz w:val="24"/>
          <w:szCs w:val="24"/>
        </w:rPr>
        <w:t>- 47 -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"_Toc10990" </w:instrText>
      </w:r>
      <w:r>
        <w:rPr>
          <w:color w:val="auto"/>
        </w:rPr>
        <w:fldChar w:fldCharType="separate"/>
      </w:r>
      <w:r>
        <w:rPr>
          <w:rFonts w:hint="eastAsia"/>
          <w:color w:val="auto"/>
          <w:kern w:val="0"/>
          <w:sz w:val="24"/>
          <w:szCs w:val="24"/>
        </w:rPr>
        <w:t>6.2.3 事故报告内容</w:t>
      </w:r>
      <w:r>
        <w:rPr>
          <w:color w:val="auto"/>
          <w:sz w:val="24"/>
          <w:szCs w:val="24"/>
        </w:rPr>
        <w:tab/>
      </w:r>
      <w:r>
        <w:rPr>
          <w:color w:val="auto"/>
          <w:sz w:val="24"/>
          <w:szCs w:val="24"/>
        </w:rPr>
        <w:fldChar w:fldCharType="begin"/>
      </w:r>
      <w:r>
        <w:rPr>
          <w:color w:val="auto"/>
          <w:sz w:val="24"/>
          <w:szCs w:val="24"/>
        </w:rPr>
        <w:instrText xml:space="preserve"> PAGEREF _Toc10990 </w:instrText>
      </w:r>
      <w:r>
        <w:rPr>
          <w:color w:val="auto"/>
          <w:sz w:val="24"/>
          <w:szCs w:val="24"/>
        </w:rPr>
        <w:fldChar w:fldCharType="separate"/>
      </w:r>
      <w:r>
        <w:rPr>
          <w:color w:val="auto"/>
          <w:sz w:val="24"/>
          <w:szCs w:val="24"/>
        </w:rPr>
        <w:t>- 48 -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"_Toc6730" </w:instrText>
      </w:r>
      <w:r>
        <w:rPr>
          <w:color w:val="auto"/>
        </w:rPr>
        <w:fldChar w:fldCharType="separate"/>
      </w:r>
      <w:r>
        <w:rPr>
          <w:rFonts w:hint="eastAsia"/>
          <w:color w:val="auto"/>
          <w:kern w:val="0"/>
          <w:sz w:val="24"/>
          <w:szCs w:val="24"/>
        </w:rPr>
        <w:t>6.2.4 通报可能影响的区域</w:t>
      </w:r>
      <w:r>
        <w:rPr>
          <w:color w:val="auto"/>
          <w:sz w:val="24"/>
          <w:szCs w:val="24"/>
        </w:rPr>
        <w:tab/>
      </w:r>
      <w:r>
        <w:rPr>
          <w:color w:val="auto"/>
          <w:sz w:val="24"/>
          <w:szCs w:val="24"/>
        </w:rPr>
        <w:fldChar w:fldCharType="begin"/>
      </w:r>
      <w:r>
        <w:rPr>
          <w:color w:val="auto"/>
          <w:sz w:val="24"/>
          <w:szCs w:val="24"/>
        </w:rPr>
        <w:instrText xml:space="preserve"> PAGEREF _Toc6730 </w:instrText>
      </w:r>
      <w:r>
        <w:rPr>
          <w:color w:val="auto"/>
          <w:sz w:val="24"/>
          <w:szCs w:val="24"/>
        </w:rPr>
        <w:fldChar w:fldCharType="separate"/>
      </w:r>
      <w:r>
        <w:rPr>
          <w:color w:val="auto"/>
          <w:sz w:val="24"/>
          <w:szCs w:val="24"/>
        </w:rPr>
        <w:t>- 48 -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"_Toc10736" </w:instrText>
      </w:r>
      <w:r>
        <w:rPr>
          <w:color w:val="auto"/>
        </w:rPr>
        <w:fldChar w:fldCharType="separate"/>
      </w:r>
      <w:r>
        <w:rPr>
          <w:color w:val="auto"/>
          <w:sz w:val="24"/>
          <w:szCs w:val="24"/>
        </w:rPr>
        <w:t>6.3 分级响应</w:t>
      </w:r>
      <w:r>
        <w:rPr>
          <w:color w:val="auto"/>
          <w:sz w:val="24"/>
          <w:szCs w:val="24"/>
        </w:rPr>
        <w:tab/>
      </w:r>
      <w:r>
        <w:rPr>
          <w:color w:val="auto"/>
          <w:sz w:val="24"/>
          <w:szCs w:val="24"/>
        </w:rPr>
        <w:fldChar w:fldCharType="begin"/>
      </w:r>
      <w:r>
        <w:rPr>
          <w:color w:val="auto"/>
          <w:sz w:val="24"/>
          <w:szCs w:val="24"/>
        </w:rPr>
        <w:instrText xml:space="preserve"> PAGEREF _Toc10736 </w:instrText>
      </w:r>
      <w:r>
        <w:rPr>
          <w:color w:val="auto"/>
          <w:sz w:val="24"/>
          <w:szCs w:val="24"/>
        </w:rPr>
        <w:fldChar w:fldCharType="separate"/>
      </w:r>
      <w:r>
        <w:rPr>
          <w:color w:val="auto"/>
          <w:sz w:val="24"/>
          <w:szCs w:val="24"/>
        </w:rPr>
        <w:t>- 49 -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"_Toc8191" </w:instrText>
      </w:r>
      <w:r>
        <w:rPr>
          <w:color w:val="auto"/>
        </w:rPr>
        <w:fldChar w:fldCharType="separate"/>
      </w:r>
      <w:r>
        <w:rPr>
          <w:color w:val="auto"/>
          <w:kern w:val="0"/>
          <w:sz w:val="24"/>
          <w:szCs w:val="24"/>
        </w:rPr>
        <w:t>6.3.1 分级</w:t>
      </w:r>
      <w:r>
        <w:rPr>
          <w:rFonts w:hint="eastAsia"/>
          <w:color w:val="auto"/>
          <w:kern w:val="0"/>
          <w:sz w:val="24"/>
          <w:szCs w:val="24"/>
        </w:rPr>
        <w:t>响应措施</w:t>
      </w:r>
      <w:r>
        <w:rPr>
          <w:color w:val="auto"/>
          <w:sz w:val="24"/>
          <w:szCs w:val="24"/>
        </w:rPr>
        <w:tab/>
      </w:r>
      <w:r>
        <w:rPr>
          <w:color w:val="auto"/>
          <w:sz w:val="24"/>
          <w:szCs w:val="24"/>
        </w:rPr>
        <w:fldChar w:fldCharType="begin"/>
      </w:r>
      <w:r>
        <w:rPr>
          <w:color w:val="auto"/>
          <w:sz w:val="24"/>
          <w:szCs w:val="24"/>
        </w:rPr>
        <w:instrText xml:space="preserve"> PAGEREF _Toc8191 </w:instrText>
      </w:r>
      <w:r>
        <w:rPr>
          <w:color w:val="auto"/>
          <w:sz w:val="24"/>
          <w:szCs w:val="24"/>
        </w:rPr>
        <w:fldChar w:fldCharType="separate"/>
      </w:r>
      <w:r>
        <w:rPr>
          <w:color w:val="auto"/>
          <w:sz w:val="24"/>
          <w:szCs w:val="24"/>
        </w:rPr>
        <w:t>- 49 -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"_Toc21564" </w:instrText>
      </w:r>
      <w:r>
        <w:rPr>
          <w:color w:val="auto"/>
        </w:rPr>
        <w:fldChar w:fldCharType="separate"/>
      </w:r>
      <w:r>
        <w:rPr>
          <w:color w:val="auto"/>
          <w:sz w:val="24"/>
          <w:szCs w:val="24"/>
        </w:rPr>
        <w:t>6.3.2 响应行动</w:t>
      </w:r>
      <w:r>
        <w:rPr>
          <w:color w:val="auto"/>
          <w:sz w:val="24"/>
          <w:szCs w:val="24"/>
        </w:rPr>
        <w:tab/>
      </w:r>
      <w:r>
        <w:rPr>
          <w:color w:val="auto"/>
          <w:sz w:val="24"/>
          <w:szCs w:val="24"/>
        </w:rPr>
        <w:fldChar w:fldCharType="begin"/>
      </w:r>
      <w:r>
        <w:rPr>
          <w:color w:val="auto"/>
          <w:sz w:val="24"/>
          <w:szCs w:val="24"/>
        </w:rPr>
        <w:instrText xml:space="preserve"> PAGEREF _Toc21564 </w:instrText>
      </w:r>
      <w:r>
        <w:rPr>
          <w:color w:val="auto"/>
          <w:sz w:val="24"/>
          <w:szCs w:val="24"/>
        </w:rPr>
        <w:fldChar w:fldCharType="separate"/>
      </w:r>
      <w:r>
        <w:rPr>
          <w:color w:val="auto"/>
          <w:sz w:val="24"/>
          <w:szCs w:val="24"/>
        </w:rPr>
        <w:t>- 51 -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"_Toc9211" </w:instrText>
      </w:r>
      <w:r>
        <w:rPr>
          <w:color w:val="auto"/>
        </w:rPr>
        <w:fldChar w:fldCharType="separate"/>
      </w:r>
      <w:r>
        <w:rPr>
          <w:color w:val="auto"/>
          <w:sz w:val="24"/>
          <w:szCs w:val="24"/>
        </w:rPr>
        <w:t>6.4</w:t>
      </w:r>
      <w:r>
        <w:rPr>
          <w:rFonts w:hint="eastAsia"/>
          <w:color w:val="auto"/>
          <w:sz w:val="24"/>
          <w:szCs w:val="24"/>
        </w:rPr>
        <w:t xml:space="preserve"> 指挥与协调</w:t>
      </w:r>
      <w:r>
        <w:rPr>
          <w:color w:val="auto"/>
          <w:sz w:val="24"/>
          <w:szCs w:val="24"/>
        </w:rPr>
        <w:tab/>
      </w:r>
      <w:r>
        <w:rPr>
          <w:color w:val="auto"/>
          <w:sz w:val="24"/>
          <w:szCs w:val="24"/>
        </w:rPr>
        <w:fldChar w:fldCharType="begin"/>
      </w:r>
      <w:r>
        <w:rPr>
          <w:color w:val="auto"/>
          <w:sz w:val="24"/>
          <w:szCs w:val="24"/>
        </w:rPr>
        <w:instrText xml:space="preserve"> PAGEREF _Toc9211 </w:instrText>
      </w:r>
      <w:r>
        <w:rPr>
          <w:color w:val="auto"/>
          <w:sz w:val="24"/>
          <w:szCs w:val="24"/>
        </w:rPr>
        <w:fldChar w:fldCharType="separate"/>
      </w:r>
      <w:r>
        <w:rPr>
          <w:color w:val="auto"/>
          <w:sz w:val="24"/>
          <w:szCs w:val="24"/>
        </w:rPr>
        <w:t>- 52 -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"_Toc8263" </w:instrText>
      </w:r>
      <w:r>
        <w:rPr>
          <w:color w:val="auto"/>
        </w:rPr>
        <w:fldChar w:fldCharType="separate"/>
      </w:r>
      <w:r>
        <w:rPr>
          <w:rFonts w:hint="eastAsia"/>
          <w:color w:val="auto"/>
          <w:sz w:val="24"/>
          <w:szCs w:val="24"/>
        </w:rPr>
        <w:t>6.5 现场处置</w:t>
      </w:r>
      <w:r>
        <w:rPr>
          <w:color w:val="auto"/>
          <w:sz w:val="24"/>
          <w:szCs w:val="24"/>
        </w:rPr>
        <w:tab/>
      </w:r>
      <w:r>
        <w:rPr>
          <w:color w:val="auto"/>
          <w:sz w:val="24"/>
          <w:szCs w:val="24"/>
        </w:rPr>
        <w:fldChar w:fldCharType="begin"/>
      </w:r>
      <w:r>
        <w:rPr>
          <w:color w:val="auto"/>
          <w:sz w:val="24"/>
          <w:szCs w:val="24"/>
        </w:rPr>
        <w:instrText xml:space="preserve"> PAGEREF _Toc8263 </w:instrText>
      </w:r>
      <w:r>
        <w:rPr>
          <w:color w:val="auto"/>
          <w:sz w:val="24"/>
          <w:szCs w:val="24"/>
        </w:rPr>
        <w:fldChar w:fldCharType="separate"/>
      </w:r>
      <w:r>
        <w:rPr>
          <w:color w:val="auto"/>
          <w:sz w:val="24"/>
          <w:szCs w:val="24"/>
        </w:rPr>
        <w:t>- 52 -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"_Toc5624" </w:instrText>
      </w:r>
      <w:r>
        <w:rPr>
          <w:color w:val="auto"/>
        </w:rPr>
        <w:fldChar w:fldCharType="separate"/>
      </w:r>
      <w:r>
        <w:rPr>
          <w:rFonts w:hint="eastAsia"/>
          <w:color w:val="auto"/>
          <w:kern w:val="0"/>
          <w:sz w:val="24"/>
          <w:szCs w:val="24"/>
        </w:rPr>
        <w:t>6.5.1 锅炉烟气排放异常事件处置措施</w:t>
      </w:r>
      <w:r>
        <w:rPr>
          <w:color w:val="auto"/>
          <w:sz w:val="24"/>
          <w:szCs w:val="24"/>
        </w:rPr>
        <w:tab/>
      </w:r>
      <w:r>
        <w:rPr>
          <w:color w:val="auto"/>
          <w:sz w:val="24"/>
          <w:szCs w:val="24"/>
        </w:rPr>
        <w:fldChar w:fldCharType="begin"/>
      </w:r>
      <w:r>
        <w:rPr>
          <w:color w:val="auto"/>
          <w:sz w:val="24"/>
          <w:szCs w:val="24"/>
        </w:rPr>
        <w:instrText xml:space="preserve"> PAGEREF _Toc5624 </w:instrText>
      </w:r>
      <w:r>
        <w:rPr>
          <w:color w:val="auto"/>
          <w:sz w:val="24"/>
          <w:szCs w:val="24"/>
        </w:rPr>
        <w:fldChar w:fldCharType="separate"/>
      </w:r>
      <w:r>
        <w:rPr>
          <w:color w:val="auto"/>
          <w:sz w:val="24"/>
          <w:szCs w:val="24"/>
        </w:rPr>
        <w:t>- 53 -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"_Toc11675" </w:instrText>
      </w:r>
      <w:r>
        <w:rPr>
          <w:color w:val="auto"/>
        </w:rPr>
        <w:fldChar w:fldCharType="separate"/>
      </w:r>
      <w:r>
        <w:rPr>
          <w:rFonts w:hint="eastAsia"/>
          <w:color w:val="auto"/>
          <w:kern w:val="0"/>
          <w:sz w:val="24"/>
          <w:szCs w:val="24"/>
        </w:rPr>
        <w:t>6</w:t>
      </w:r>
      <w:r>
        <w:rPr>
          <w:color w:val="auto"/>
          <w:kern w:val="0"/>
          <w:sz w:val="24"/>
          <w:szCs w:val="24"/>
        </w:rPr>
        <w:t xml:space="preserve">.5.2 </w:t>
      </w:r>
      <w:r>
        <w:rPr>
          <w:rFonts w:hint="eastAsia"/>
          <w:color w:val="auto"/>
          <w:kern w:val="0"/>
          <w:sz w:val="24"/>
          <w:szCs w:val="24"/>
        </w:rPr>
        <w:t>柴油泄漏、火灾爆炸事故情景处置方案</w:t>
      </w:r>
      <w:r>
        <w:rPr>
          <w:color w:val="auto"/>
          <w:sz w:val="24"/>
          <w:szCs w:val="24"/>
        </w:rPr>
        <w:tab/>
      </w:r>
      <w:r>
        <w:rPr>
          <w:color w:val="auto"/>
          <w:sz w:val="24"/>
          <w:szCs w:val="24"/>
        </w:rPr>
        <w:fldChar w:fldCharType="begin"/>
      </w:r>
      <w:r>
        <w:rPr>
          <w:color w:val="auto"/>
          <w:sz w:val="24"/>
          <w:szCs w:val="24"/>
        </w:rPr>
        <w:instrText xml:space="preserve"> PAGEREF _Toc11675 </w:instrText>
      </w:r>
      <w:r>
        <w:rPr>
          <w:color w:val="auto"/>
          <w:sz w:val="24"/>
          <w:szCs w:val="24"/>
        </w:rPr>
        <w:fldChar w:fldCharType="separate"/>
      </w:r>
      <w:r>
        <w:rPr>
          <w:color w:val="auto"/>
          <w:sz w:val="24"/>
          <w:szCs w:val="24"/>
        </w:rPr>
        <w:t>- 55 -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"_Toc4928" </w:instrText>
      </w:r>
      <w:r>
        <w:rPr>
          <w:color w:val="auto"/>
        </w:rPr>
        <w:fldChar w:fldCharType="separate"/>
      </w:r>
      <w:r>
        <w:rPr>
          <w:rFonts w:hint="eastAsia"/>
          <w:color w:val="auto"/>
          <w:kern w:val="0"/>
          <w:sz w:val="24"/>
          <w:szCs w:val="24"/>
        </w:rPr>
        <w:t>6</w:t>
      </w:r>
      <w:r>
        <w:rPr>
          <w:color w:val="auto"/>
          <w:kern w:val="0"/>
          <w:sz w:val="24"/>
          <w:szCs w:val="24"/>
        </w:rPr>
        <w:t xml:space="preserve">.5.3 </w:t>
      </w:r>
      <w:r>
        <w:rPr>
          <w:rFonts w:hint="eastAsia"/>
          <w:color w:val="auto"/>
          <w:kern w:val="0"/>
          <w:sz w:val="24"/>
          <w:szCs w:val="24"/>
        </w:rPr>
        <w:t>危险废物泄漏事故情景处置方案</w:t>
      </w:r>
      <w:r>
        <w:rPr>
          <w:color w:val="auto"/>
          <w:sz w:val="24"/>
          <w:szCs w:val="24"/>
        </w:rPr>
        <w:tab/>
      </w:r>
      <w:r>
        <w:rPr>
          <w:color w:val="auto"/>
          <w:sz w:val="24"/>
          <w:szCs w:val="24"/>
        </w:rPr>
        <w:fldChar w:fldCharType="begin"/>
      </w:r>
      <w:r>
        <w:rPr>
          <w:color w:val="auto"/>
          <w:sz w:val="24"/>
          <w:szCs w:val="24"/>
        </w:rPr>
        <w:instrText xml:space="preserve"> PAGEREF _Toc4928 </w:instrText>
      </w:r>
      <w:r>
        <w:rPr>
          <w:color w:val="auto"/>
          <w:sz w:val="24"/>
          <w:szCs w:val="24"/>
        </w:rPr>
        <w:fldChar w:fldCharType="separate"/>
      </w:r>
      <w:r>
        <w:rPr>
          <w:color w:val="auto"/>
          <w:sz w:val="24"/>
          <w:szCs w:val="24"/>
        </w:rPr>
        <w:t>- 56 -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"_Toc22677" </w:instrText>
      </w:r>
      <w:r>
        <w:rPr>
          <w:color w:val="auto"/>
        </w:rPr>
        <w:fldChar w:fldCharType="separate"/>
      </w:r>
      <w:r>
        <w:rPr>
          <w:color w:val="auto"/>
          <w:kern w:val="0"/>
          <w:sz w:val="24"/>
          <w:szCs w:val="24"/>
        </w:rPr>
        <w:t>6.5.4 污废水排放异常事故情景处置方案</w:t>
      </w:r>
      <w:r>
        <w:rPr>
          <w:color w:val="auto"/>
          <w:sz w:val="24"/>
          <w:szCs w:val="24"/>
        </w:rPr>
        <w:tab/>
      </w:r>
      <w:r>
        <w:rPr>
          <w:color w:val="auto"/>
          <w:sz w:val="24"/>
          <w:szCs w:val="24"/>
        </w:rPr>
        <w:fldChar w:fldCharType="begin"/>
      </w:r>
      <w:r>
        <w:rPr>
          <w:color w:val="auto"/>
          <w:sz w:val="24"/>
          <w:szCs w:val="24"/>
        </w:rPr>
        <w:instrText xml:space="preserve"> PAGEREF _Toc22677 </w:instrText>
      </w:r>
      <w:r>
        <w:rPr>
          <w:color w:val="auto"/>
          <w:sz w:val="24"/>
          <w:szCs w:val="24"/>
        </w:rPr>
        <w:fldChar w:fldCharType="separate"/>
      </w:r>
      <w:r>
        <w:rPr>
          <w:color w:val="auto"/>
          <w:sz w:val="24"/>
          <w:szCs w:val="24"/>
        </w:rPr>
        <w:t>- 57 -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"_Toc29174" </w:instrText>
      </w:r>
      <w:r>
        <w:rPr>
          <w:color w:val="auto"/>
        </w:rPr>
        <w:fldChar w:fldCharType="separate"/>
      </w:r>
      <w:r>
        <w:rPr>
          <w:color w:val="auto"/>
          <w:kern w:val="0"/>
          <w:sz w:val="24"/>
          <w:szCs w:val="24"/>
        </w:rPr>
        <w:t>6.5.5 制氢站氢气泄漏事故情景处置方案</w:t>
      </w:r>
      <w:r>
        <w:rPr>
          <w:color w:val="auto"/>
          <w:sz w:val="24"/>
          <w:szCs w:val="24"/>
        </w:rPr>
        <w:tab/>
      </w:r>
      <w:r>
        <w:rPr>
          <w:color w:val="auto"/>
          <w:sz w:val="24"/>
          <w:szCs w:val="24"/>
        </w:rPr>
        <w:fldChar w:fldCharType="begin"/>
      </w:r>
      <w:r>
        <w:rPr>
          <w:color w:val="auto"/>
          <w:sz w:val="24"/>
          <w:szCs w:val="24"/>
        </w:rPr>
        <w:instrText xml:space="preserve"> PAGEREF _Toc29174 </w:instrText>
      </w:r>
      <w:r>
        <w:rPr>
          <w:color w:val="auto"/>
          <w:sz w:val="24"/>
          <w:szCs w:val="24"/>
        </w:rPr>
        <w:fldChar w:fldCharType="separate"/>
      </w:r>
      <w:r>
        <w:rPr>
          <w:color w:val="auto"/>
          <w:sz w:val="24"/>
          <w:szCs w:val="24"/>
        </w:rPr>
        <w:t>- 58 -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"_Toc17700" </w:instrText>
      </w:r>
      <w:r>
        <w:rPr>
          <w:color w:val="auto"/>
        </w:rPr>
        <w:fldChar w:fldCharType="separate"/>
      </w:r>
      <w:r>
        <w:rPr>
          <w:color w:val="auto"/>
          <w:kern w:val="0"/>
          <w:sz w:val="24"/>
          <w:szCs w:val="24"/>
        </w:rPr>
        <w:t>6.5.6 盐酸、硫酸、氢氧化钠泄漏事故情景处置方案</w:t>
      </w:r>
      <w:r>
        <w:rPr>
          <w:color w:val="auto"/>
          <w:sz w:val="24"/>
          <w:szCs w:val="24"/>
        </w:rPr>
        <w:tab/>
      </w:r>
      <w:r>
        <w:rPr>
          <w:color w:val="auto"/>
          <w:sz w:val="24"/>
          <w:szCs w:val="24"/>
        </w:rPr>
        <w:fldChar w:fldCharType="begin"/>
      </w:r>
      <w:r>
        <w:rPr>
          <w:color w:val="auto"/>
          <w:sz w:val="24"/>
          <w:szCs w:val="24"/>
        </w:rPr>
        <w:instrText xml:space="preserve"> PAGEREF _Toc17700 </w:instrText>
      </w:r>
      <w:r>
        <w:rPr>
          <w:color w:val="auto"/>
          <w:sz w:val="24"/>
          <w:szCs w:val="24"/>
        </w:rPr>
        <w:fldChar w:fldCharType="separate"/>
      </w:r>
      <w:r>
        <w:rPr>
          <w:color w:val="auto"/>
          <w:sz w:val="24"/>
          <w:szCs w:val="24"/>
        </w:rPr>
        <w:t>- 59 -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"_Toc7001" </w:instrText>
      </w:r>
      <w:r>
        <w:rPr>
          <w:color w:val="auto"/>
        </w:rPr>
        <w:fldChar w:fldCharType="separate"/>
      </w:r>
      <w:r>
        <w:rPr>
          <w:rFonts w:hint="eastAsia"/>
          <w:color w:val="auto"/>
          <w:sz w:val="24"/>
          <w:szCs w:val="24"/>
        </w:rPr>
        <w:t>6.6 应急监测</w:t>
      </w:r>
      <w:r>
        <w:rPr>
          <w:color w:val="auto"/>
          <w:sz w:val="24"/>
          <w:szCs w:val="24"/>
        </w:rPr>
        <w:tab/>
      </w:r>
      <w:r>
        <w:rPr>
          <w:color w:val="auto"/>
          <w:sz w:val="24"/>
          <w:szCs w:val="24"/>
        </w:rPr>
        <w:fldChar w:fldCharType="begin"/>
      </w:r>
      <w:r>
        <w:rPr>
          <w:color w:val="auto"/>
          <w:sz w:val="24"/>
          <w:szCs w:val="24"/>
        </w:rPr>
        <w:instrText xml:space="preserve"> PAGEREF _Toc7001 </w:instrText>
      </w:r>
      <w:r>
        <w:rPr>
          <w:color w:val="auto"/>
          <w:sz w:val="24"/>
          <w:szCs w:val="24"/>
        </w:rPr>
        <w:fldChar w:fldCharType="separate"/>
      </w:r>
      <w:r>
        <w:rPr>
          <w:color w:val="auto"/>
          <w:sz w:val="24"/>
          <w:szCs w:val="24"/>
        </w:rPr>
        <w:t>- 61 -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"_Toc24679" </w:instrText>
      </w:r>
      <w:r>
        <w:rPr>
          <w:color w:val="auto"/>
        </w:rPr>
        <w:fldChar w:fldCharType="separate"/>
      </w:r>
      <w:r>
        <w:rPr>
          <w:rFonts w:hint="eastAsia"/>
          <w:color w:val="auto"/>
          <w:sz w:val="24"/>
          <w:szCs w:val="24"/>
        </w:rPr>
        <w:t>6.7 信息发布</w:t>
      </w:r>
      <w:r>
        <w:rPr>
          <w:color w:val="auto"/>
          <w:sz w:val="24"/>
          <w:szCs w:val="24"/>
        </w:rPr>
        <w:tab/>
      </w:r>
      <w:r>
        <w:rPr>
          <w:color w:val="auto"/>
          <w:sz w:val="24"/>
          <w:szCs w:val="24"/>
        </w:rPr>
        <w:fldChar w:fldCharType="begin"/>
      </w:r>
      <w:r>
        <w:rPr>
          <w:color w:val="auto"/>
          <w:sz w:val="24"/>
          <w:szCs w:val="24"/>
        </w:rPr>
        <w:instrText xml:space="preserve"> PAGEREF _Toc24679 </w:instrText>
      </w:r>
      <w:r>
        <w:rPr>
          <w:color w:val="auto"/>
          <w:sz w:val="24"/>
          <w:szCs w:val="24"/>
        </w:rPr>
        <w:fldChar w:fldCharType="separate"/>
      </w:r>
      <w:r>
        <w:rPr>
          <w:color w:val="auto"/>
          <w:sz w:val="24"/>
          <w:szCs w:val="24"/>
        </w:rPr>
        <w:t>- 63 -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"_Toc21863" </w:instrText>
      </w:r>
      <w:r>
        <w:rPr>
          <w:color w:val="auto"/>
        </w:rPr>
        <w:fldChar w:fldCharType="separate"/>
      </w:r>
      <w:r>
        <w:rPr>
          <w:rFonts w:hint="eastAsia"/>
          <w:color w:val="auto"/>
          <w:sz w:val="24"/>
          <w:szCs w:val="24"/>
        </w:rPr>
        <w:t>6.8  应急终止</w:t>
      </w:r>
      <w:r>
        <w:rPr>
          <w:color w:val="auto"/>
          <w:sz w:val="24"/>
          <w:szCs w:val="24"/>
        </w:rPr>
        <w:tab/>
      </w:r>
      <w:r>
        <w:rPr>
          <w:color w:val="auto"/>
          <w:sz w:val="24"/>
          <w:szCs w:val="24"/>
        </w:rPr>
        <w:fldChar w:fldCharType="begin"/>
      </w:r>
      <w:r>
        <w:rPr>
          <w:color w:val="auto"/>
          <w:sz w:val="24"/>
          <w:szCs w:val="24"/>
        </w:rPr>
        <w:instrText xml:space="preserve"> PAGEREF _Toc21863 </w:instrText>
      </w:r>
      <w:r>
        <w:rPr>
          <w:color w:val="auto"/>
          <w:sz w:val="24"/>
          <w:szCs w:val="24"/>
        </w:rPr>
        <w:fldChar w:fldCharType="separate"/>
      </w:r>
      <w:r>
        <w:rPr>
          <w:color w:val="auto"/>
          <w:sz w:val="24"/>
          <w:szCs w:val="24"/>
        </w:rPr>
        <w:t>- 63 -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"_Toc6238" </w:instrText>
      </w:r>
      <w:r>
        <w:rPr>
          <w:color w:val="auto"/>
        </w:rPr>
        <w:fldChar w:fldCharType="separate"/>
      </w:r>
      <w:r>
        <w:rPr>
          <w:color w:val="auto"/>
          <w:sz w:val="24"/>
          <w:szCs w:val="24"/>
        </w:rPr>
        <w:t>7 后期处置</w:t>
      </w:r>
      <w:r>
        <w:rPr>
          <w:color w:val="auto"/>
          <w:sz w:val="24"/>
          <w:szCs w:val="24"/>
        </w:rPr>
        <w:tab/>
      </w:r>
      <w:r>
        <w:rPr>
          <w:color w:val="auto"/>
          <w:sz w:val="24"/>
          <w:szCs w:val="24"/>
        </w:rPr>
        <w:fldChar w:fldCharType="begin"/>
      </w:r>
      <w:r>
        <w:rPr>
          <w:color w:val="auto"/>
          <w:sz w:val="24"/>
          <w:szCs w:val="24"/>
        </w:rPr>
        <w:instrText xml:space="preserve"> PAGEREF _Toc6238 </w:instrText>
      </w:r>
      <w:r>
        <w:rPr>
          <w:color w:val="auto"/>
          <w:sz w:val="24"/>
          <w:szCs w:val="24"/>
        </w:rPr>
        <w:fldChar w:fldCharType="separate"/>
      </w:r>
      <w:r>
        <w:rPr>
          <w:color w:val="auto"/>
          <w:sz w:val="24"/>
          <w:szCs w:val="24"/>
        </w:rPr>
        <w:t>- 65 -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"_Toc24135" </w:instrText>
      </w:r>
      <w:r>
        <w:rPr>
          <w:color w:val="auto"/>
        </w:rPr>
        <w:fldChar w:fldCharType="separate"/>
      </w:r>
      <w:r>
        <w:rPr>
          <w:color w:val="auto"/>
          <w:sz w:val="24"/>
          <w:szCs w:val="24"/>
        </w:rPr>
        <w:t>7.1 善后处置</w:t>
      </w:r>
      <w:r>
        <w:rPr>
          <w:color w:val="auto"/>
          <w:sz w:val="24"/>
          <w:szCs w:val="24"/>
        </w:rPr>
        <w:tab/>
      </w:r>
      <w:r>
        <w:rPr>
          <w:color w:val="auto"/>
          <w:sz w:val="24"/>
          <w:szCs w:val="24"/>
        </w:rPr>
        <w:fldChar w:fldCharType="begin"/>
      </w:r>
      <w:r>
        <w:rPr>
          <w:color w:val="auto"/>
          <w:sz w:val="24"/>
          <w:szCs w:val="24"/>
        </w:rPr>
        <w:instrText xml:space="preserve"> PAGEREF _Toc24135 </w:instrText>
      </w:r>
      <w:r>
        <w:rPr>
          <w:color w:val="auto"/>
          <w:sz w:val="24"/>
          <w:szCs w:val="24"/>
        </w:rPr>
        <w:fldChar w:fldCharType="separate"/>
      </w:r>
      <w:r>
        <w:rPr>
          <w:color w:val="auto"/>
          <w:sz w:val="24"/>
          <w:szCs w:val="24"/>
        </w:rPr>
        <w:t>- 65 -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"_Toc16909" </w:instrText>
      </w:r>
      <w:r>
        <w:rPr>
          <w:color w:val="auto"/>
        </w:rPr>
        <w:fldChar w:fldCharType="separate"/>
      </w:r>
      <w:r>
        <w:rPr>
          <w:color w:val="auto"/>
          <w:sz w:val="24"/>
          <w:szCs w:val="24"/>
        </w:rPr>
        <w:t xml:space="preserve">7.2 </w:t>
      </w:r>
      <w:r>
        <w:rPr>
          <w:rFonts w:hint="eastAsia"/>
          <w:color w:val="auto"/>
          <w:sz w:val="24"/>
          <w:szCs w:val="24"/>
        </w:rPr>
        <w:t>警戒与治安</w:t>
      </w:r>
      <w:r>
        <w:rPr>
          <w:color w:val="auto"/>
          <w:sz w:val="24"/>
          <w:szCs w:val="24"/>
        </w:rPr>
        <w:tab/>
      </w:r>
      <w:r>
        <w:rPr>
          <w:color w:val="auto"/>
          <w:sz w:val="24"/>
          <w:szCs w:val="24"/>
        </w:rPr>
        <w:fldChar w:fldCharType="begin"/>
      </w:r>
      <w:r>
        <w:rPr>
          <w:color w:val="auto"/>
          <w:sz w:val="24"/>
          <w:szCs w:val="24"/>
        </w:rPr>
        <w:instrText xml:space="preserve"> PAGEREF _Toc16909 </w:instrText>
      </w:r>
      <w:r>
        <w:rPr>
          <w:color w:val="auto"/>
          <w:sz w:val="24"/>
          <w:szCs w:val="24"/>
        </w:rPr>
        <w:fldChar w:fldCharType="separate"/>
      </w:r>
      <w:r>
        <w:rPr>
          <w:color w:val="auto"/>
          <w:sz w:val="24"/>
          <w:szCs w:val="24"/>
        </w:rPr>
        <w:t>- 65 -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"_Toc4201" </w:instrText>
      </w:r>
      <w:r>
        <w:rPr>
          <w:color w:val="auto"/>
        </w:rPr>
        <w:fldChar w:fldCharType="separate"/>
      </w:r>
      <w:r>
        <w:rPr>
          <w:rFonts w:hint="eastAsia"/>
          <w:color w:val="auto"/>
          <w:sz w:val="24"/>
          <w:szCs w:val="24"/>
        </w:rPr>
        <w:t>7.3 二次生灾害防范</w:t>
      </w:r>
      <w:r>
        <w:rPr>
          <w:color w:val="auto"/>
          <w:sz w:val="24"/>
          <w:szCs w:val="24"/>
        </w:rPr>
        <w:tab/>
      </w:r>
      <w:r>
        <w:rPr>
          <w:color w:val="auto"/>
          <w:sz w:val="24"/>
          <w:szCs w:val="24"/>
        </w:rPr>
        <w:fldChar w:fldCharType="begin"/>
      </w:r>
      <w:r>
        <w:rPr>
          <w:color w:val="auto"/>
          <w:sz w:val="24"/>
          <w:szCs w:val="24"/>
        </w:rPr>
        <w:instrText xml:space="preserve"> PAGEREF _Toc4201 </w:instrText>
      </w:r>
      <w:r>
        <w:rPr>
          <w:color w:val="auto"/>
          <w:sz w:val="24"/>
          <w:szCs w:val="24"/>
        </w:rPr>
        <w:fldChar w:fldCharType="separate"/>
      </w:r>
      <w:r>
        <w:rPr>
          <w:color w:val="auto"/>
          <w:sz w:val="24"/>
          <w:szCs w:val="24"/>
        </w:rPr>
        <w:t>- 65 -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"_Toc10685" </w:instrText>
      </w:r>
      <w:r>
        <w:rPr>
          <w:color w:val="auto"/>
        </w:rPr>
        <w:fldChar w:fldCharType="separate"/>
      </w:r>
      <w:r>
        <w:rPr>
          <w:color w:val="auto"/>
          <w:sz w:val="24"/>
          <w:szCs w:val="24"/>
        </w:rPr>
        <w:t>7.</w:t>
      </w:r>
      <w:r>
        <w:rPr>
          <w:rFonts w:hint="eastAsia"/>
          <w:color w:val="auto"/>
          <w:sz w:val="24"/>
          <w:szCs w:val="24"/>
        </w:rPr>
        <w:t>4</w:t>
      </w:r>
      <w:r>
        <w:rPr>
          <w:color w:val="auto"/>
          <w:sz w:val="24"/>
          <w:szCs w:val="24"/>
        </w:rPr>
        <w:t>调查与评估</w:t>
      </w:r>
      <w:r>
        <w:rPr>
          <w:color w:val="auto"/>
          <w:sz w:val="24"/>
          <w:szCs w:val="24"/>
        </w:rPr>
        <w:tab/>
      </w:r>
      <w:r>
        <w:rPr>
          <w:color w:val="auto"/>
          <w:sz w:val="24"/>
          <w:szCs w:val="24"/>
        </w:rPr>
        <w:fldChar w:fldCharType="begin"/>
      </w:r>
      <w:r>
        <w:rPr>
          <w:color w:val="auto"/>
          <w:sz w:val="24"/>
          <w:szCs w:val="24"/>
        </w:rPr>
        <w:instrText xml:space="preserve"> PAGEREF _Toc10685 </w:instrText>
      </w:r>
      <w:r>
        <w:rPr>
          <w:color w:val="auto"/>
          <w:sz w:val="24"/>
          <w:szCs w:val="24"/>
        </w:rPr>
        <w:fldChar w:fldCharType="separate"/>
      </w:r>
      <w:r>
        <w:rPr>
          <w:color w:val="auto"/>
          <w:sz w:val="24"/>
          <w:szCs w:val="24"/>
        </w:rPr>
        <w:t>- 66 -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"_Toc15419" </w:instrText>
      </w:r>
      <w:r>
        <w:rPr>
          <w:color w:val="auto"/>
        </w:rPr>
        <w:fldChar w:fldCharType="separate"/>
      </w:r>
      <w:r>
        <w:rPr>
          <w:color w:val="auto"/>
          <w:sz w:val="24"/>
          <w:szCs w:val="24"/>
        </w:rPr>
        <w:t>7.</w:t>
      </w:r>
      <w:r>
        <w:rPr>
          <w:rFonts w:hint="eastAsia"/>
          <w:color w:val="auto"/>
          <w:sz w:val="24"/>
          <w:szCs w:val="24"/>
        </w:rPr>
        <w:t>5</w:t>
      </w:r>
      <w:r>
        <w:rPr>
          <w:color w:val="auto"/>
          <w:sz w:val="24"/>
          <w:szCs w:val="24"/>
        </w:rPr>
        <w:t xml:space="preserve"> 生产秩序恢复重建</w:t>
      </w:r>
      <w:r>
        <w:rPr>
          <w:color w:val="auto"/>
          <w:sz w:val="24"/>
          <w:szCs w:val="24"/>
        </w:rPr>
        <w:tab/>
      </w:r>
      <w:r>
        <w:rPr>
          <w:color w:val="auto"/>
          <w:sz w:val="24"/>
          <w:szCs w:val="24"/>
        </w:rPr>
        <w:fldChar w:fldCharType="begin"/>
      </w:r>
      <w:r>
        <w:rPr>
          <w:color w:val="auto"/>
          <w:sz w:val="24"/>
          <w:szCs w:val="24"/>
        </w:rPr>
        <w:instrText xml:space="preserve"> PAGEREF _Toc15419 </w:instrText>
      </w:r>
      <w:r>
        <w:rPr>
          <w:color w:val="auto"/>
          <w:sz w:val="24"/>
          <w:szCs w:val="24"/>
        </w:rPr>
        <w:fldChar w:fldCharType="separate"/>
      </w:r>
      <w:r>
        <w:rPr>
          <w:color w:val="auto"/>
          <w:sz w:val="24"/>
          <w:szCs w:val="24"/>
        </w:rPr>
        <w:t>- 66 -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"_Toc26176" </w:instrText>
      </w:r>
      <w:r>
        <w:rPr>
          <w:color w:val="auto"/>
        </w:rPr>
        <w:fldChar w:fldCharType="separate"/>
      </w:r>
      <w:r>
        <w:rPr>
          <w:color w:val="auto"/>
          <w:sz w:val="24"/>
          <w:szCs w:val="24"/>
        </w:rPr>
        <w:t>8 应急保障</w:t>
      </w:r>
      <w:r>
        <w:rPr>
          <w:color w:val="auto"/>
          <w:sz w:val="24"/>
          <w:szCs w:val="24"/>
        </w:rPr>
        <w:tab/>
      </w:r>
      <w:r>
        <w:rPr>
          <w:color w:val="auto"/>
          <w:sz w:val="24"/>
          <w:szCs w:val="24"/>
        </w:rPr>
        <w:fldChar w:fldCharType="begin"/>
      </w:r>
      <w:r>
        <w:rPr>
          <w:color w:val="auto"/>
          <w:sz w:val="24"/>
          <w:szCs w:val="24"/>
        </w:rPr>
        <w:instrText xml:space="preserve"> PAGEREF _Toc26176 </w:instrText>
      </w:r>
      <w:r>
        <w:rPr>
          <w:color w:val="auto"/>
          <w:sz w:val="24"/>
          <w:szCs w:val="24"/>
        </w:rPr>
        <w:fldChar w:fldCharType="separate"/>
      </w:r>
      <w:r>
        <w:rPr>
          <w:color w:val="auto"/>
          <w:sz w:val="24"/>
          <w:szCs w:val="24"/>
        </w:rPr>
        <w:t>- 67 -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"_Toc3295" </w:instrText>
      </w:r>
      <w:r>
        <w:rPr>
          <w:color w:val="auto"/>
        </w:rPr>
        <w:fldChar w:fldCharType="separate"/>
      </w:r>
      <w:r>
        <w:rPr>
          <w:color w:val="auto"/>
          <w:sz w:val="24"/>
          <w:szCs w:val="24"/>
        </w:rPr>
        <w:t>8.1 人力资源保障</w:t>
      </w:r>
      <w:r>
        <w:rPr>
          <w:color w:val="auto"/>
          <w:sz w:val="24"/>
          <w:szCs w:val="24"/>
        </w:rPr>
        <w:tab/>
      </w:r>
      <w:r>
        <w:rPr>
          <w:color w:val="auto"/>
          <w:sz w:val="24"/>
          <w:szCs w:val="24"/>
        </w:rPr>
        <w:fldChar w:fldCharType="begin"/>
      </w:r>
      <w:r>
        <w:rPr>
          <w:color w:val="auto"/>
          <w:sz w:val="24"/>
          <w:szCs w:val="24"/>
        </w:rPr>
        <w:instrText xml:space="preserve"> PAGEREF _Toc3295 </w:instrText>
      </w:r>
      <w:r>
        <w:rPr>
          <w:color w:val="auto"/>
          <w:sz w:val="24"/>
          <w:szCs w:val="24"/>
        </w:rPr>
        <w:fldChar w:fldCharType="separate"/>
      </w:r>
      <w:r>
        <w:rPr>
          <w:color w:val="auto"/>
          <w:sz w:val="24"/>
          <w:szCs w:val="24"/>
        </w:rPr>
        <w:t>- 67 -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"_Toc3944" </w:instrText>
      </w:r>
      <w:r>
        <w:rPr>
          <w:color w:val="auto"/>
        </w:rPr>
        <w:fldChar w:fldCharType="separate"/>
      </w:r>
      <w:r>
        <w:rPr>
          <w:color w:val="auto"/>
          <w:sz w:val="24"/>
          <w:szCs w:val="24"/>
        </w:rPr>
        <w:t>8.2 资金保障</w:t>
      </w:r>
      <w:r>
        <w:rPr>
          <w:color w:val="auto"/>
          <w:sz w:val="24"/>
          <w:szCs w:val="24"/>
        </w:rPr>
        <w:tab/>
      </w:r>
      <w:r>
        <w:rPr>
          <w:color w:val="auto"/>
          <w:sz w:val="24"/>
          <w:szCs w:val="24"/>
        </w:rPr>
        <w:fldChar w:fldCharType="begin"/>
      </w:r>
      <w:r>
        <w:rPr>
          <w:color w:val="auto"/>
          <w:sz w:val="24"/>
          <w:szCs w:val="24"/>
        </w:rPr>
        <w:instrText xml:space="preserve"> PAGEREF _Toc3944 </w:instrText>
      </w:r>
      <w:r>
        <w:rPr>
          <w:color w:val="auto"/>
          <w:sz w:val="24"/>
          <w:szCs w:val="24"/>
        </w:rPr>
        <w:fldChar w:fldCharType="separate"/>
      </w:r>
      <w:r>
        <w:rPr>
          <w:color w:val="auto"/>
          <w:sz w:val="24"/>
          <w:szCs w:val="24"/>
        </w:rPr>
        <w:t>- 67 -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"_Toc14158" </w:instrText>
      </w:r>
      <w:r>
        <w:rPr>
          <w:color w:val="auto"/>
        </w:rPr>
        <w:fldChar w:fldCharType="separate"/>
      </w:r>
      <w:r>
        <w:rPr>
          <w:color w:val="auto"/>
          <w:sz w:val="24"/>
          <w:szCs w:val="24"/>
        </w:rPr>
        <w:t>8.3 物资保障</w:t>
      </w:r>
      <w:r>
        <w:rPr>
          <w:color w:val="auto"/>
          <w:sz w:val="24"/>
          <w:szCs w:val="24"/>
        </w:rPr>
        <w:tab/>
      </w:r>
      <w:r>
        <w:rPr>
          <w:color w:val="auto"/>
          <w:sz w:val="24"/>
          <w:szCs w:val="24"/>
        </w:rPr>
        <w:fldChar w:fldCharType="begin"/>
      </w:r>
      <w:r>
        <w:rPr>
          <w:color w:val="auto"/>
          <w:sz w:val="24"/>
          <w:szCs w:val="24"/>
        </w:rPr>
        <w:instrText xml:space="preserve"> PAGEREF _Toc14158 </w:instrText>
      </w:r>
      <w:r>
        <w:rPr>
          <w:color w:val="auto"/>
          <w:sz w:val="24"/>
          <w:szCs w:val="24"/>
        </w:rPr>
        <w:fldChar w:fldCharType="separate"/>
      </w:r>
      <w:r>
        <w:rPr>
          <w:color w:val="auto"/>
          <w:sz w:val="24"/>
          <w:szCs w:val="24"/>
        </w:rPr>
        <w:t>- 67 -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"_Toc14601" </w:instrText>
      </w:r>
      <w:r>
        <w:rPr>
          <w:color w:val="auto"/>
        </w:rPr>
        <w:fldChar w:fldCharType="separate"/>
      </w:r>
      <w:r>
        <w:rPr>
          <w:color w:val="auto"/>
          <w:sz w:val="24"/>
          <w:szCs w:val="24"/>
        </w:rPr>
        <w:t>8.4 医疗卫生保障</w:t>
      </w:r>
      <w:r>
        <w:rPr>
          <w:color w:val="auto"/>
          <w:sz w:val="24"/>
          <w:szCs w:val="24"/>
        </w:rPr>
        <w:tab/>
      </w:r>
      <w:r>
        <w:rPr>
          <w:color w:val="auto"/>
          <w:sz w:val="24"/>
          <w:szCs w:val="24"/>
        </w:rPr>
        <w:fldChar w:fldCharType="begin"/>
      </w:r>
      <w:r>
        <w:rPr>
          <w:color w:val="auto"/>
          <w:sz w:val="24"/>
          <w:szCs w:val="24"/>
        </w:rPr>
        <w:instrText xml:space="preserve"> PAGEREF _Toc14601 </w:instrText>
      </w:r>
      <w:r>
        <w:rPr>
          <w:color w:val="auto"/>
          <w:sz w:val="24"/>
          <w:szCs w:val="24"/>
        </w:rPr>
        <w:fldChar w:fldCharType="separate"/>
      </w:r>
      <w:r>
        <w:rPr>
          <w:color w:val="auto"/>
          <w:sz w:val="24"/>
          <w:szCs w:val="24"/>
        </w:rPr>
        <w:t>- 68 -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"_Toc28612" </w:instrText>
      </w:r>
      <w:r>
        <w:rPr>
          <w:color w:val="auto"/>
        </w:rPr>
        <w:fldChar w:fldCharType="separate"/>
      </w:r>
      <w:r>
        <w:rPr>
          <w:color w:val="auto"/>
          <w:sz w:val="24"/>
          <w:szCs w:val="24"/>
        </w:rPr>
        <w:t>8.5 交通运输保障</w:t>
      </w:r>
      <w:r>
        <w:rPr>
          <w:color w:val="auto"/>
          <w:sz w:val="24"/>
          <w:szCs w:val="24"/>
        </w:rPr>
        <w:tab/>
      </w:r>
      <w:r>
        <w:rPr>
          <w:color w:val="auto"/>
          <w:sz w:val="24"/>
          <w:szCs w:val="24"/>
        </w:rPr>
        <w:fldChar w:fldCharType="begin"/>
      </w:r>
      <w:r>
        <w:rPr>
          <w:color w:val="auto"/>
          <w:sz w:val="24"/>
          <w:szCs w:val="24"/>
        </w:rPr>
        <w:instrText xml:space="preserve"> PAGEREF _Toc28612 </w:instrText>
      </w:r>
      <w:r>
        <w:rPr>
          <w:color w:val="auto"/>
          <w:sz w:val="24"/>
          <w:szCs w:val="24"/>
        </w:rPr>
        <w:fldChar w:fldCharType="separate"/>
      </w:r>
      <w:r>
        <w:rPr>
          <w:color w:val="auto"/>
          <w:sz w:val="24"/>
          <w:szCs w:val="24"/>
        </w:rPr>
        <w:t>- 68 -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"_Toc24383" </w:instrText>
      </w:r>
      <w:r>
        <w:rPr>
          <w:color w:val="auto"/>
        </w:rPr>
        <w:fldChar w:fldCharType="separate"/>
      </w:r>
      <w:r>
        <w:rPr>
          <w:color w:val="auto"/>
          <w:sz w:val="24"/>
          <w:szCs w:val="24"/>
        </w:rPr>
        <w:t>8.6 治安维护</w:t>
      </w:r>
      <w:r>
        <w:rPr>
          <w:color w:val="auto"/>
          <w:sz w:val="24"/>
          <w:szCs w:val="24"/>
        </w:rPr>
        <w:tab/>
      </w:r>
      <w:r>
        <w:rPr>
          <w:color w:val="auto"/>
          <w:sz w:val="24"/>
          <w:szCs w:val="24"/>
        </w:rPr>
        <w:fldChar w:fldCharType="begin"/>
      </w:r>
      <w:r>
        <w:rPr>
          <w:color w:val="auto"/>
          <w:sz w:val="24"/>
          <w:szCs w:val="24"/>
        </w:rPr>
        <w:instrText xml:space="preserve"> PAGEREF _Toc24383 </w:instrText>
      </w:r>
      <w:r>
        <w:rPr>
          <w:color w:val="auto"/>
          <w:sz w:val="24"/>
          <w:szCs w:val="24"/>
        </w:rPr>
        <w:fldChar w:fldCharType="separate"/>
      </w:r>
      <w:r>
        <w:rPr>
          <w:color w:val="auto"/>
          <w:sz w:val="24"/>
          <w:szCs w:val="24"/>
        </w:rPr>
        <w:t>- 68 -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"_Toc16242" </w:instrText>
      </w:r>
      <w:r>
        <w:rPr>
          <w:color w:val="auto"/>
        </w:rPr>
        <w:fldChar w:fldCharType="separate"/>
      </w:r>
      <w:r>
        <w:rPr>
          <w:color w:val="auto"/>
          <w:sz w:val="24"/>
          <w:szCs w:val="24"/>
        </w:rPr>
        <w:t>8.7 通信保障</w:t>
      </w:r>
      <w:r>
        <w:rPr>
          <w:color w:val="auto"/>
          <w:sz w:val="24"/>
          <w:szCs w:val="24"/>
        </w:rPr>
        <w:tab/>
      </w:r>
      <w:r>
        <w:rPr>
          <w:color w:val="auto"/>
          <w:sz w:val="24"/>
          <w:szCs w:val="24"/>
        </w:rPr>
        <w:fldChar w:fldCharType="begin"/>
      </w:r>
      <w:r>
        <w:rPr>
          <w:color w:val="auto"/>
          <w:sz w:val="24"/>
          <w:szCs w:val="24"/>
        </w:rPr>
        <w:instrText xml:space="preserve"> PAGEREF _Toc16242 </w:instrText>
      </w:r>
      <w:r>
        <w:rPr>
          <w:color w:val="auto"/>
          <w:sz w:val="24"/>
          <w:szCs w:val="24"/>
        </w:rPr>
        <w:fldChar w:fldCharType="separate"/>
      </w:r>
      <w:r>
        <w:rPr>
          <w:color w:val="auto"/>
          <w:sz w:val="24"/>
          <w:szCs w:val="24"/>
        </w:rPr>
        <w:t>- 68 -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"_Toc5598" </w:instrText>
      </w:r>
      <w:r>
        <w:rPr>
          <w:color w:val="auto"/>
        </w:rPr>
        <w:fldChar w:fldCharType="separate"/>
      </w:r>
      <w:r>
        <w:rPr>
          <w:color w:val="auto"/>
          <w:sz w:val="24"/>
          <w:szCs w:val="24"/>
        </w:rPr>
        <w:t>8.8 科技支撑</w:t>
      </w:r>
      <w:r>
        <w:rPr>
          <w:color w:val="auto"/>
          <w:sz w:val="24"/>
          <w:szCs w:val="24"/>
        </w:rPr>
        <w:tab/>
      </w:r>
      <w:r>
        <w:rPr>
          <w:color w:val="auto"/>
          <w:sz w:val="24"/>
          <w:szCs w:val="24"/>
        </w:rPr>
        <w:fldChar w:fldCharType="begin"/>
      </w:r>
      <w:r>
        <w:rPr>
          <w:color w:val="auto"/>
          <w:sz w:val="24"/>
          <w:szCs w:val="24"/>
        </w:rPr>
        <w:instrText xml:space="preserve"> PAGEREF _Toc5598 </w:instrText>
      </w:r>
      <w:r>
        <w:rPr>
          <w:color w:val="auto"/>
          <w:sz w:val="24"/>
          <w:szCs w:val="24"/>
        </w:rPr>
        <w:fldChar w:fldCharType="separate"/>
      </w:r>
      <w:r>
        <w:rPr>
          <w:color w:val="auto"/>
          <w:sz w:val="24"/>
          <w:szCs w:val="24"/>
        </w:rPr>
        <w:t>- 68 -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"_Toc25792" </w:instrText>
      </w:r>
      <w:r>
        <w:rPr>
          <w:color w:val="auto"/>
        </w:rPr>
        <w:fldChar w:fldCharType="separate"/>
      </w:r>
      <w:r>
        <w:rPr>
          <w:color w:val="auto"/>
          <w:sz w:val="24"/>
          <w:szCs w:val="24"/>
        </w:rPr>
        <w:t>8.9应急联动机制</w:t>
      </w:r>
      <w:r>
        <w:rPr>
          <w:color w:val="auto"/>
          <w:sz w:val="24"/>
          <w:szCs w:val="24"/>
        </w:rPr>
        <w:tab/>
      </w:r>
      <w:r>
        <w:rPr>
          <w:color w:val="auto"/>
          <w:sz w:val="24"/>
          <w:szCs w:val="24"/>
        </w:rPr>
        <w:fldChar w:fldCharType="begin"/>
      </w:r>
      <w:r>
        <w:rPr>
          <w:color w:val="auto"/>
          <w:sz w:val="24"/>
          <w:szCs w:val="24"/>
        </w:rPr>
        <w:instrText xml:space="preserve"> PAGEREF _Toc25792 </w:instrText>
      </w:r>
      <w:r>
        <w:rPr>
          <w:color w:val="auto"/>
          <w:sz w:val="24"/>
          <w:szCs w:val="24"/>
        </w:rPr>
        <w:fldChar w:fldCharType="separate"/>
      </w:r>
      <w:r>
        <w:rPr>
          <w:color w:val="auto"/>
          <w:sz w:val="24"/>
          <w:szCs w:val="24"/>
        </w:rPr>
        <w:t>- 69 -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"_Toc7197" </w:instrText>
      </w:r>
      <w:r>
        <w:rPr>
          <w:color w:val="auto"/>
        </w:rPr>
        <w:fldChar w:fldCharType="separate"/>
      </w:r>
      <w:r>
        <w:rPr>
          <w:color w:val="auto"/>
          <w:sz w:val="24"/>
          <w:szCs w:val="24"/>
        </w:rPr>
        <w:t>9 监督与管理</w:t>
      </w:r>
      <w:r>
        <w:rPr>
          <w:color w:val="auto"/>
          <w:sz w:val="24"/>
          <w:szCs w:val="24"/>
        </w:rPr>
        <w:tab/>
      </w:r>
      <w:r>
        <w:rPr>
          <w:color w:val="auto"/>
          <w:sz w:val="24"/>
          <w:szCs w:val="24"/>
        </w:rPr>
        <w:fldChar w:fldCharType="begin"/>
      </w:r>
      <w:r>
        <w:rPr>
          <w:color w:val="auto"/>
          <w:sz w:val="24"/>
          <w:szCs w:val="24"/>
        </w:rPr>
        <w:instrText xml:space="preserve"> PAGEREF _Toc7197 </w:instrText>
      </w:r>
      <w:r>
        <w:rPr>
          <w:color w:val="auto"/>
          <w:sz w:val="24"/>
          <w:szCs w:val="24"/>
        </w:rPr>
        <w:fldChar w:fldCharType="separate"/>
      </w:r>
      <w:r>
        <w:rPr>
          <w:color w:val="auto"/>
          <w:sz w:val="24"/>
          <w:szCs w:val="24"/>
        </w:rPr>
        <w:t>- 70 -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"_Toc31401" </w:instrText>
      </w:r>
      <w:r>
        <w:rPr>
          <w:color w:val="auto"/>
        </w:rPr>
        <w:fldChar w:fldCharType="separate"/>
      </w:r>
      <w:r>
        <w:rPr>
          <w:color w:val="auto"/>
          <w:sz w:val="24"/>
          <w:szCs w:val="24"/>
        </w:rPr>
        <w:t>9.1 应急预案演练</w:t>
      </w:r>
      <w:r>
        <w:rPr>
          <w:color w:val="auto"/>
          <w:sz w:val="24"/>
          <w:szCs w:val="24"/>
        </w:rPr>
        <w:tab/>
      </w:r>
      <w:r>
        <w:rPr>
          <w:color w:val="auto"/>
          <w:sz w:val="24"/>
          <w:szCs w:val="24"/>
        </w:rPr>
        <w:fldChar w:fldCharType="begin"/>
      </w:r>
      <w:r>
        <w:rPr>
          <w:color w:val="auto"/>
          <w:sz w:val="24"/>
          <w:szCs w:val="24"/>
        </w:rPr>
        <w:instrText xml:space="preserve"> PAGEREF _Toc31401 </w:instrText>
      </w:r>
      <w:r>
        <w:rPr>
          <w:color w:val="auto"/>
          <w:sz w:val="24"/>
          <w:szCs w:val="24"/>
        </w:rPr>
        <w:fldChar w:fldCharType="separate"/>
      </w:r>
      <w:r>
        <w:rPr>
          <w:color w:val="auto"/>
          <w:sz w:val="24"/>
          <w:szCs w:val="24"/>
        </w:rPr>
        <w:t>- 70 -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"_Toc16141" </w:instrText>
      </w:r>
      <w:r>
        <w:rPr>
          <w:color w:val="auto"/>
        </w:rPr>
        <w:fldChar w:fldCharType="separate"/>
      </w:r>
      <w:r>
        <w:rPr>
          <w:color w:val="auto"/>
          <w:sz w:val="24"/>
          <w:szCs w:val="24"/>
        </w:rPr>
        <w:t>9.1.1演练准备</w:t>
      </w:r>
      <w:r>
        <w:rPr>
          <w:color w:val="auto"/>
          <w:sz w:val="24"/>
          <w:szCs w:val="24"/>
        </w:rPr>
        <w:tab/>
      </w:r>
      <w:r>
        <w:rPr>
          <w:color w:val="auto"/>
          <w:sz w:val="24"/>
          <w:szCs w:val="24"/>
        </w:rPr>
        <w:fldChar w:fldCharType="begin"/>
      </w:r>
      <w:r>
        <w:rPr>
          <w:color w:val="auto"/>
          <w:sz w:val="24"/>
          <w:szCs w:val="24"/>
        </w:rPr>
        <w:instrText xml:space="preserve"> PAGEREF _Toc16141 </w:instrText>
      </w:r>
      <w:r>
        <w:rPr>
          <w:color w:val="auto"/>
          <w:sz w:val="24"/>
          <w:szCs w:val="24"/>
        </w:rPr>
        <w:fldChar w:fldCharType="separate"/>
      </w:r>
      <w:r>
        <w:rPr>
          <w:color w:val="auto"/>
          <w:sz w:val="24"/>
          <w:szCs w:val="24"/>
        </w:rPr>
        <w:t>- 70 -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"_Toc18425" </w:instrText>
      </w:r>
      <w:r>
        <w:rPr>
          <w:color w:val="auto"/>
        </w:rPr>
        <w:fldChar w:fldCharType="separate"/>
      </w:r>
      <w:r>
        <w:rPr>
          <w:color w:val="auto"/>
          <w:sz w:val="24"/>
          <w:szCs w:val="24"/>
        </w:rPr>
        <w:t>9.1.2演练范围与频次</w:t>
      </w:r>
      <w:r>
        <w:rPr>
          <w:color w:val="auto"/>
          <w:sz w:val="24"/>
          <w:szCs w:val="24"/>
        </w:rPr>
        <w:tab/>
      </w:r>
      <w:r>
        <w:rPr>
          <w:color w:val="auto"/>
          <w:sz w:val="24"/>
          <w:szCs w:val="24"/>
        </w:rPr>
        <w:fldChar w:fldCharType="begin"/>
      </w:r>
      <w:r>
        <w:rPr>
          <w:color w:val="auto"/>
          <w:sz w:val="24"/>
          <w:szCs w:val="24"/>
        </w:rPr>
        <w:instrText xml:space="preserve"> PAGEREF _Toc18425 </w:instrText>
      </w:r>
      <w:r>
        <w:rPr>
          <w:color w:val="auto"/>
          <w:sz w:val="24"/>
          <w:szCs w:val="24"/>
        </w:rPr>
        <w:fldChar w:fldCharType="separate"/>
      </w:r>
      <w:r>
        <w:rPr>
          <w:color w:val="auto"/>
          <w:sz w:val="24"/>
          <w:szCs w:val="24"/>
        </w:rPr>
        <w:t>- 70 -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"_Toc2138" </w:instrText>
      </w:r>
      <w:r>
        <w:rPr>
          <w:color w:val="auto"/>
        </w:rPr>
        <w:fldChar w:fldCharType="separate"/>
      </w:r>
      <w:r>
        <w:rPr>
          <w:color w:val="auto"/>
          <w:sz w:val="24"/>
          <w:szCs w:val="24"/>
        </w:rPr>
        <w:t>9.1.4</w:t>
      </w:r>
      <w:r>
        <w:rPr>
          <w:rFonts w:hint="eastAsia"/>
          <w:color w:val="auto"/>
          <w:sz w:val="24"/>
          <w:szCs w:val="24"/>
        </w:rPr>
        <w:t>应急</w:t>
      </w:r>
      <w:r>
        <w:rPr>
          <w:color w:val="auto"/>
          <w:sz w:val="24"/>
          <w:szCs w:val="24"/>
        </w:rPr>
        <w:t>演练</w:t>
      </w:r>
      <w:r>
        <w:rPr>
          <w:rFonts w:hint="eastAsia"/>
          <w:color w:val="auto"/>
          <w:sz w:val="24"/>
          <w:szCs w:val="24"/>
        </w:rPr>
        <w:t>的评价、总结与追踪</w:t>
      </w:r>
      <w:r>
        <w:rPr>
          <w:color w:val="auto"/>
          <w:sz w:val="24"/>
          <w:szCs w:val="24"/>
        </w:rPr>
        <w:tab/>
      </w:r>
      <w:r>
        <w:rPr>
          <w:color w:val="auto"/>
          <w:sz w:val="24"/>
          <w:szCs w:val="24"/>
        </w:rPr>
        <w:fldChar w:fldCharType="begin"/>
      </w:r>
      <w:r>
        <w:rPr>
          <w:color w:val="auto"/>
          <w:sz w:val="24"/>
          <w:szCs w:val="24"/>
        </w:rPr>
        <w:instrText xml:space="preserve"> PAGEREF _Toc2138 </w:instrText>
      </w:r>
      <w:r>
        <w:rPr>
          <w:color w:val="auto"/>
          <w:sz w:val="24"/>
          <w:szCs w:val="24"/>
        </w:rPr>
        <w:fldChar w:fldCharType="separate"/>
      </w:r>
      <w:r>
        <w:rPr>
          <w:color w:val="auto"/>
          <w:sz w:val="24"/>
          <w:szCs w:val="24"/>
        </w:rPr>
        <w:t>- 71 -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"_Toc23925" </w:instrText>
      </w:r>
      <w:r>
        <w:rPr>
          <w:color w:val="auto"/>
        </w:rPr>
        <w:fldChar w:fldCharType="separate"/>
      </w:r>
      <w:r>
        <w:rPr>
          <w:color w:val="auto"/>
          <w:sz w:val="24"/>
          <w:szCs w:val="24"/>
        </w:rPr>
        <w:t>9.2 宣教培训</w:t>
      </w:r>
      <w:r>
        <w:rPr>
          <w:color w:val="auto"/>
          <w:sz w:val="24"/>
          <w:szCs w:val="24"/>
        </w:rPr>
        <w:tab/>
      </w:r>
      <w:r>
        <w:rPr>
          <w:color w:val="auto"/>
          <w:sz w:val="24"/>
          <w:szCs w:val="24"/>
        </w:rPr>
        <w:fldChar w:fldCharType="begin"/>
      </w:r>
      <w:r>
        <w:rPr>
          <w:color w:val="auto"/>
          <w:sz w:val="24"/>
          <w:szCs w:val="24"/>
        </w:rPr>
        <w:instrText xml:space="preserve"> PAGEREF _Toc23925 </w:instrText>
      </w:r>
      <w:r>
        <w:rPr>
          <w:color w:val="auto"/>
          <w:sz w:val="24"/>
          <w:szCs w:val="24"/>
        </w:rPr>
        <w:fldChar w:fldCharType="separate"/>
      </w:r>
      <w:r>
        <w:rPr>
          <w:color w:val="auto"/>
          <w:sz w:val="24"/>
          <w:szCs w:val="24"/>
        </w:rPr>
        <w:t>- 71 -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"_Toc25694" </w:instrText>
      </w:r>
      <w:r>
        <w:rPr>
          <w:color w:val="auto"/>
        </w:rPr>
        <w:fldChar w:fldCharType="separate"/>
      </w:r>
      <w:r>
        <w:rPr>
          <w:color w:val="auto"/>
          <w:sz w:val="24"/>
          <w:szCs w:val="24"/>
        </w:rPr>
        <w:t>9.2.1 应急救援队伍的培训</w:t>
      </w:r>
      <w:r>
        <w:rPr>
          <w:color w:val="auto"/>
          <w:sz w:val="24"/>
          <w:szCs w:val="24"/>
        </w:rPr>
        <w:tab/>
      </w:r>
      <w:r>
        <w:rPr>
          <w:color w:val="auto"/>
          <w:sz w:val="24"/>
          <w:szCs w:val="24"/>
        </w:rPr>
        <w:fldChar w:fldCharType="begin"/>
      </w:r>
      <w:r>
        <w:rPr>
          <w:color w:val="auto"/>
          <w:sz w:val="24"/>
          <w:szCs w:val="24"/>
        </w:rPr>
        <w:instrText xml:space="preserve"> PAGEREF _Toc25694 </w:instrText>
      </w:r>
      <w:r>
        <w:rPr>
          <w:color w:val="auto"/>
          <w:sz w:val="24"/>
          <w:szCs w:val="24"/>
        </w:rPr>
        <w:fldChar w:fldCharType="separate"/>
      </w:r>
      <w:r>
        <w:rPr>
          <w:color w:val="auto"/>
          <w:sz w:val="24"/>
          <w:szCs w:val="24"/>
        </w:rPr>
        <w:t>- 71 -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"_Toc8748" </w:instrText>
      </w:r>
      <w:r>
        <w:rPr>
          <w:color w:val="auto"/>
        </w:rPr>
        <w:fldChar w:fldCharType="separate"/>
      </w:r>
      <w:r>
        <w:rPr>
          <w:color w:val="auto"/>
          <w:sz w:val="24"/>
          <w:szCs w:val="24"/>
        </w:rPr>
        <w:t>9.2.2操作人员的培训</w:t>
      </w:r>
      <w:r>
        <w:rPr>
          <w:color w:val="auto"/>
          <w:sz w:val="24"/>
          <w:szCs w:val="24"/>
        </w:rPr>
        <w:tab/>
      </w:r>
      <w:r>
        <w:rPr>
          <w:color w:val="auto"/>
          <w:sz w:val="24"/>
          <w:szCs w:val="24"/>
        </w:rPr>
        <w:fldChar w:fldCharType="begin"/>
      </w:r>
      <w:r>
        <w:rPr>
          <w:color w:val="auto"/>
          <w:sz w:val="24"/>
          <w:szCs w:val="24"/>
        </w:rPr>
        <w:instrText xml:space="preserve"> PAGEREF _Toc8748 </w:instrText>
      </w:r>
      <w:r>
        <w:rPr>
          <w:color w:val="auto"/>
          <w:sz w:val="24"/>
          <w:szCs w:val="24"/>
        </w:rPr>
        <w:fldChar w:fldCharType="separate"/>
      </w:r>
      <w:r>
        <w:rPr>
          <w:color w:val="auto"/>
          <w:sz w:val="24"/>
          <w:szCs w:val="24"/>
        </w:rPr>
        <w:t>- 72 -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"_Toc405" </w:instrText>
      </w:r>
      <w:r>
        <w:rPr>
          <w:color w:val="auto"/>
        </w:rPr>
        <w:fldChar w:fldCharType="separate"/>
      </w:r>
      <w:r>
        <w:rPr>
          <w:color w:val="auto"/>
          <w:sz w:val="24"/>
          <w:szCs w:val="24"/>
        </w:rPr>
        <w:t>9.3责任与奖励</w:t>
      </w:r>
      <w:r>
        <w:rPr>
          <w:color w:val="auto"/>
          <w:sz w:val="24"/>
          <w:szCs w:val="24"/>
        </w:rPr>
        <w:tab/>
      </w:r>
      <w:r>
        <w:rPr>
          <w:color w:val="auto"/>
          <w:sz w:val="24"/>
          <w:szCs w:val="24"/>
        </w:rPr>
        <w:fldChar w:fldCharType="begin"/>
      </w:r>
      <w:r>
        <w:rPr>
          <w:color w:val="auto"/>
          <w:sz w:val="24"/>
          <w:szCs w:val="24"/>
        </w:rPr>
        <w:instrText xml:space="preserve"> PAGEREF _Toc405 </w:instrText>
      </w:r>
      <w:r>
        <w:rPr>
          <w:color w:val="auto"/>
          <w:sz w:val="24"/>
          <w:szCs w:val="24"/>
        </w:rPr>
        <w:fldChar w:fldCharType="separate"/>
      </w:r>
      <w:r>
        <w:rPr>
          <w:color w:val="auto"/>
          <w:sz w:val="24"/>
          <w:szCs w:val="24"/>
        </w:rPr>
        <w:t>- 73 -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"_Toc10127" </w:instrText>
      </w:r>
      <w:r>
        <w:rPr>
          <w:color w:val="auto"/>
        </w:rPr>
        <w:fldChar w:fldCharType="separate"/>
      </w:r>
      <w:r>
        <w:rPr>
          <w:color w:val="auto"/>
          <w:sz w:val="24"/>
          <w:szCs w:val="24"/>
        </w:rPr>
        <w:t>9.3.1 责任追究</w:t>
      </w:r>
      <w:r>
        <w:rPr>
          <w:color w:val="auto"/>
          <w:sz w:val="24"/>
          <w:szCs w:val="24"/>
        </w:rPr>
        <w:tab/>
      </w:r>
      <w:r>
        <w:rPr>
          <w:color w:val="auto"/>
          <w:sz w:val="24"/>
          <w:szCs w:val="24"/>
        </w:rPr>
        <w:fldChar w:fldCharType="begin"/>
      </w:r>
      <w:r>
        <w:rPr>
          <w:color w:val="auto"/>
          <w:sz w:val="24"/>
          <w:szCs w:val="24"/>
        </w:rPr>
        <w:instrText xml:space="preserve"> PAGEREF _Toc10127 </w:instrText>
      </w:r>
      <w:r>
        <w:rPr>
          <w:color w:val="auto"/>
          <w:sz w:val="24"/>
          <w:szCs w:val="24"/>
        </w:rPr>
        <w:fldChar w:fldCharType="separate"/>
      </w:r>
      <w:r>
        <w:rPr>
          <w:color w:val="auto"/>
          <w:sz w:val="24"/>
          <w:szCs w:val="24"/>
        </w:rPr>
        <w:t>- 73 -</w:t>
      </w:r>
      <w:r>
        <w:rPr>
          <w:color w:val="auto"/>
          <w:sz w:val="24"/>
          <w:szCs w:val="24"/>
        </w:rPr>
        <w:fldChar w:fldCharType="end"/>
      </w:r>
      <w:r>
        <w:rPr>
          <w:color w:val="auto"/>
          <w:sz w:val="24"/>
          <w:szCs w:val="24"/>
        </w:rPr>
        <w:fldChar w:fldCharType="end"/>
      </w:r>
    </w:p>
    <w:p>
      <w:pPr>
        <w:pStyle w:val="18"/>
        <w:tabs>
          <w:tab w:val="right" w:leader="dot" w:pos="9070"/>
        </w:tabs>
        <w:ind w:firstLine="560"/>
        <w:rPr>
          <w:color w:val="auto"/>
          <w:sz w:val="24"/>
          <w:szCs w:val="24"/>
        </w:rPr>
      </w:pPr>
      <w:r>
        <w:rPr>
          <w:color w:val="auto"/>
        </w:rPr>
        <w:fldChar w:fldCharType="begin"/>
      </w:r>
      <w:r>
        <w:rPr>
          <w:color w:val="auto"/>
        </w:rPr>
        <w:instrText xml:space="preserve"> HYPERLINK \l "_Toc31987" </w:instrText>
      </w:r>
      <w:r>
        <w:rPr>
          <w:color w:val="auto"/>
        </w:rPr>
        <w:fldChar w:fldCharType="separate"/>
      </w:r>
      <w:r>
        <w:rPr>
          <w:color w:val="auto"/>
          <w:sz w:val="24"/>
          <w:szCs w:val="24"/>
        </w:rPr>
        <w:t>9.3.2 奖励</w:t>
      </w:r>
      <w:r>
        <w:rPr>
          <w:color w:val="auto"/>
          <w:sz w:val="24"/>
          <w:szCs w:val="24"/>
        </w:rPr>
        <w:tab/>
      </w:r>
      <w:r>
        <w:rPr>
          <w:color w:val="auto"/>
          <w:sz w:val="24"/>
          <w:szCs w:val="24"/>
        </w:rPr>
        <w:fldChar w:fldCharType="begin"/>
      </w:r>
      <w:r>
        <w:rPr>
          <w:color w:val="auto"/>
          <w:sz w:val="24"/>
          <w:szCs w:val="24"/>
        </w:rPr>
        <w:instrText xml:space="preserve"> PAGEREF _Toc31987 </w:instrText>
      </w:r>
      <w:r>
        <w:rPr>
          <w:color w:val="auto"/>
          <w:sz w:val="24"/>
          <w:szCs w:val="24"/>
        </w:rPr>
        <w:fldChar w:fldCharType="separate"/>
      </w:r>
      <w:r>
        <w:rPr>
          <w:color w:val="auto"/>
          <w:sz w:val="24"/>
          <w:szCs w:val="24"/>
        </w:rPr>
        <w:t>- 74 -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"_Toc11004" </w:instrText>
      </w:r>
      <w:r>
        <w:rPr>
          <w:color w:val="auto"/>
        </w:rPr>
        <w:fldChar w:fldCharType="separate"/>
      </w:r>
      <w:r>
        <w:rPr>
          <w:color w:val="auto"/>
          <w:sz w:val="24"/>
          <w:szCs w:val="24"/>
        </w:rPr>
        <w:t>10.1 名词术语</w:t>
      </w:r>
      <w:r>
        <w:rPr>
          <w:color w:val="auto"/>
          <w:sz w:val="24"/>
          <w:szCs w:val="24"/>
        </w:rPr>
        <w:tab/>
      </w:r>
      <w:r>
        <w:rPr>
          <w:color w:val="auto"/>
          <w:sz w:val="24"/>
          <w:szCs w:val="24"/>
        </w:rPr>
        <w:fldChar w:fldCharType="begin"/>
      </w:r>
      <w:r>
        <w:rPr>
          <w:color w:val="auto"/>
          <w:sz w:val="24"/>
          <w:szCs w:val="24"/>
        </w:rPr>
        <w:instrText xml:space="preserve"> PAGEREF _Toc11004 </w:instrText>
      </w:r>
      <w:r>
        <w:rPr>
          <w:color w:val="auto"/>
          <w:sz w:val="24"/>
          <w:szCs w:val="24"/>
        </w:rPr>
        <w:fldChar w:fldCharType="separate"/>
      </w:r>
      <w:r>
        <w:rPr>
          <w:color w:val="auto"/>
          <w:sz w:val="24"/>
          <w:szCs w:val="24"/>
        </w:rPr>
        <w:t>- 75 -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"_Toc18864" </w:instrText>
      </w:r>
      <w:r>
        <w:rPr>
          <w:color w:val="auto"/>
        </w:rPr>
        <w:fldChar w:fldCharType="separate"/>
      </w:r>
      <w:r>
        <w:rPr>
          <w:color w:val="auto"/>
          <w:sz w:val="24"/>
          <w:szCs w:val="24"/>
        </w:rPr>
        <w:t>10.2 预案解释</w:t>
      </w:r>
      <w:r>
        <w:rPr>
          <w:color w:val="auto"/>
          <w:sz w:val="24"/>
          <w:szCs w:val="24"/>
        </w:rPr>
        <w:tab/>
      </w:r>
      <w:r>
        <w:rPr>
          <w:color w:val="auto"/>
          <w:sz w:val="24"/>
          <w:szCs w:val="24"/>
        </w:rPr>
        <w:fldChar w:fldCharType="begin"/>
      </w:r>
      <w:r>
        <w:rPr>
          <w:color w:val="auto"/>
          <w:sz w:val="24"/>
          <w:szCs w:val="24"/>
        </w:rPr>
        <w:instrText xml:space="preserve"> PAGEREF _Toc18864 </w:instrText>
      </w:r>
      <w:r>
        <w:rPr>
          <w:color w:val="auto"/>
          <w:sz w:val="24"/>
          <w:szCs w:val="24"/>
        </w:rPr>
        <w:fldChar w:fldCharType="separate"/>
      </w:r>
      <w:r>
        <w:rPr>
          <w:color w:val="auto"/>
          <w:sz w:val="24"/>
          <w:szCs w:val="24"/>
        </w:rPr>
        <w:t>- 77 -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"_Toc6363" </w:instrText>
      </w:r>
      <w:r>
        <w:rPr>
          <w:color w:val="auto"/>
        </w:rPr>
        <w:fldChar w:fldCharType="separate"/>
      </w:r>
      <w:r>
        <w:rPr>
          <w:color w:val="auto"/>
          <w:sz w:val="24"/>
          <w:szCs w:val="24"/>
        </w:rPr>
        <w:t>10.3 修订情况</w:t>
      </w:r>
      <w:r>
        <w:rPr>
          <w:color w:val="auto"/>
          <w:sz w:val="24"/>
          <w:szCs w:val="24"/>
        </w:rPr>
        <w:tab/>
      </w:r>
      <w:r>
        <w:rPr>
          <w:color w:val="auto"/>
          <w:sz w:val="24"/>
          <w:szCs w:val="24"/>
        </w:rPr>
        <w:fldChar w:fldCharType="begin"/>
      </w:r>
      <w:r>
        <w:rPr>
          <w:color w:val="auto"/>
          <w:sz w:val="24"/>
          <w:szCs w:val="24"/>
        </w:rPr>
        <w:instrText xml:space="preserve"> PAGEREF _Toc6363 </w:instrText>
      </w:r>
      <w:r>
        <w:rPr>
          <w:color w:val="auto"/>
          <w:sz w:val="24"/>
          <w:szCs w:val="24"/>
        </w:rPr>
        <w:fldChar w:fldCharType="separate"/>
      </w:r>
      <w:r>
        <w:rPr>
          <w:color w:val="auto"/>
          <w:sz w:val="24"/>
          <w:szCs w:val="24"/>
        </w:rPr>
        <w:t>- 77 -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"_Toc30836" </w:instrText>
      </w:r>
      <w:r>
        <w:rPr>
          <w:color w:val="auto"/>
        </w:rPr>
        <w:fldChar w:fldCharType="separate"/>
      </w:r>
      <w:r>
        <w:rPr>
          <w:color w:val="auto"/>
          <w:sz w:val="24"/>
          <w:szCs w:val="24"/>
        </w:rPr>
        <w:t>10.4 实施日期</w:t>
      </w:r>
      <w:r>
        <w:rPr>
          <w:color w:val="auto"/>
          <w:sz w:val="24"/>
          <w:szCs w:val="24"/>
        </w:rPr>
        <w:tab/>
      </w:r>
      <w:r>
        <w:rPr>
          <w:color w:val="auto"/>
          <w:sz w:val="24"/>
          <w:szCs w:val="24"/>
        </w:rPr>
        <w:fldChar w:fldCharType="begin"/>
      </w:r>
      <w:r>
        <w:rPr>
          <w:color w:val="auto"/>
          <w:sz w:val="24"/>
          <w:szCs w:val="24"/>
        </w:rPr>
        <w:instrText xml:space="preserve"> PAGEREF _Toc30836 </w:instrText>
      </w:r>
      <w:r>
        <w:rPr>
          <w:color w:val="auto"/>
          <w:sz w:val="24"/>
          <w:szCs w:val="24"/>
        </w:rPr>
        <w:fldChar w:fldCharType="separate"/>
      </w:r>
      <w:r>
        <w:rPr>
          <w:color w:val="auto"/>
          <w:sz w:val="24"/>
          <w:szCs w:val="24"/>
        </w:rPr>
        <w:t>- 77 -</w:t>
      </w:r>
      <w:r>
        <w:rPr>
          <w:color w:val="auto"/>
          <w:sz w:val="24"/>
          <w:szCs w:val="24"/>
        </w:rPr>
        <w:fldChar w:fldCharType="end"/>
      </w:r>
      <w:r>
        <w:rPr>
          <w:color w:val="auto"/>
          <w:sz w:val="24"/>
          <w:szCs w:val="24"/>
        </w:rPr>
        <w:fldChar w:fldCharType="end"/>
      </w:r>
    </w:p>
    <w:p>
      <w:pPr>
        <w:pStyle w:val="25"/>
        <w:tabs>
          <w:tab w:val="right" w:leader="dot" w:pos="9070"/>
        </w:tabs>
        <w:ind w:firstLine="562"/>
        <w:rPr>
          <w:color w:val="auto"/>
          <w:sz w:val="24"/>
          <w:szCs w:val="24"/>
        </w:rPr>
      </w:pPr>
      <w:r>
        <w:rPr>
          <w:color w:val="auto"/>
        </w:rPr>
        <w:fldChar w:fldCharType="begin"/>
      </w:r>
      <w:r>
        <w:rPr>
          <w:color w:val="auto"/>
        </w:rPr>
        <w:instrText xml:space="preserve"> HYPERLINK \l "_Toc17802" </w:instrText>
      </w:r>
      <w:r>
        <w:rPr>
          <w:color w:val="auto"/>
        </w:rPr>
        <w:fldChar w:fldCharType="separate"/>
      </w:r>
      <w:r>
        <w:rPr>
          <w:rFonts w:hint="eastAsia"/>
          <w:color w:val="auto"/>
          <w:sz w:val="24"/>
          <w:szCs w:val="24"/>
        </w:rPr>
        <w:t>11 附件</w:t>
      </w:r>
      <w:r>
        <w:rPr>
          <w:color w:val="auto"/>
          <w:sz w:val="24"/>
          <w:szCs w:val="24"/>
        </w:rPr>
        <w:tab/>
      </w:r>
      <w:r>
        <w:rPr>
          <w:color w:val="auto"/>
          <w:sz w:val="24"/>
          <w:szCs w:val="24"/>
        </w:rPr>
        <w:fldChar w:fldCharType="begin"/>
      </w:r>
      <w:r>
        <w:rPr>
          <w:color w:val="auto"/>
          <w:sz w:val="24"/>
          <w:szCs w:val="24"/>
        </w:rPr>
        <w:instrText xml:space="preserve"> PAGEREF _Toc17802 </w:instrText>
      </w:r>
      <w:r>
        <w:rPr>
          <w:color w:val="auto"/>
          <w:sz w:val="24"/>
          <w:szCs w:val="24"/>
        </w:rPr>
        <w:fldChar w:fldCharType="separate"/>
      </w:r>
      <w:r>
        <w:rPr>
          <w:color w:val="auto"/>
          <w:sz w:val="24"/>
          <w:szCs w:val="24"/>
        </w:rPr>
        <w:t>- 78 -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"_Toc24859" </w:instrText>
      </w:r>
      <w:r>
        <w:rPr>
          <w:color w:val="auto"/>
        </w:rPr>
        <w:fldChar w:fldCharType="separate"/>
      </w:r>
      <w:r>
        <w:rPr>
          <w:rFonts w:hint="eastAsia"/>
          <w:bCs/>
          <w:color w:val="auto"/>
          <w:sz w:val="24"/>
          <w:szCs w:val="24"/>
        </w:rPr>
        <w:t>附件1：应急救援组织机构名单</w:t>
      </w:r>
      <w:r>
        <w:rPr>
          <w:color w:val="auto"/>
          <w:sz w:val="24"/>
          <w:szCs w:val="24"/>
        </w:rPr>
        <w:tab/>
      </w:r>
      <w:r>
        <w:rPr>
          <w:color w:val="auto"/>
          <w:sz w:val="24"/>
          <w:szCs w:val="24"/>
        </w:rPr>
        <w:fldChar w:fldCharType="begin"/>
      </w:r>
      <w:r>
        <w:rPr>
          <w:color w:val="auto"/>
          <w:sz w:val="24"/>
          <w:szCs w:val="24"/>
        </w:rPr>
        <w:instrText xml:space="preserve"> PAGEREF _Toc24859 </w:instrText>
      </w:r>
      <w:r>
        <w:rPr>
          <w:color w:val="auto"/>
          <w:sz w:val="24"/>
          <w:szCs w:val="24"/>
        </w:rPr>
        <w:fldChar w:fldCharType="separate"/>
      </w:r>
      <w:r>
        <w:rPr>
          <w:color w:val="auto"/>
          <w:sz w:val="24"/>
          <w:szCs w:val="24"/>
        </w:rPr>
        <w:t>- 79 -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"_Toc29340" </w:instrText>
      </w:r>
      <w:r>
        <w:rPr>
          <w:color w:val="auto"/>
        </w:rPr>
        <w:fldChar w:fldCharType="separate"/>
      </w:r>
      <w:r>
        <w:rPr>
          <w:rFonts w:hint="eastAsia"/>
          <w:bCs/>
          <w:color w:val="auto"/>
          <w:sz w:val="24"/>
          <w:szCs w:val="24"/>
        </w:rPr>
        <w:t>附件2：外援单位及上级生态环境部门联系方式</w:t>
      </w:r>
      <w:r>
        <w:rPr>
          <w:color w:val="auto"/>
          <w:sz w:val="24"/>
          <w:szCs w:val="24"/>
        </w:rPr>
        <w:tab/>
      </w:r>
      <w:r>
        <w:rPr>
          <w:color w:val="auto"/>
          <w:sz w:val="24"/>
          <w:szCs w:val="24"/>
        </w:rPr>
        <w:fldChar w:fldCharType="begin"/>
      </w:r>
      <w:r>
        <w:rPr>
          <w:color w:val="auto"/>
          <w:sz w:val="24"/>
          <w:szCs w:val="24"/>
        </w:rPr>
        <w:instrText xml:space="preserve"> PAGEREF _Toc29340 </w:instrText>
      </w:r>
      <w:r>
        <w:rPr>
          <w:color w:val="auto"/>
          <w:sz w:val="24"/>
          <w:szCs w:val="24"/>
        </w:rPr>
        <w:fldChar w:fldCharType="separate"/>
      </w:r>
      <w:r>
        <w:rPr>
          <w:color w:val="auto"/>
          <w:sz w:val="24"/>
          <w:szCs w:val="24"/>
        </w:rPr>
        <w:t>- 81 -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"_Toc2921" </w:instrText>
      </w:r>
      <w:r>
        <w:rPr>
          <w:color w:val="auto"/>
        </w:rPr>
        <w:fldChar w:fldCharType="separate"/>
      </w:r>
      <w:r>
        <w:rPr>
          <w:rFonts w:hint="eastAsia"/>
          <w:bCs/>
          <w:color w:val="auto"/>
          <w:sz w:val="24"/>
          <w:szCs w:val="24"/>
        </w:rPr>
        <w:t>附件3：应急响应流程图</w:t>
      </w:r>
      <w:r>
        <w:rPr>
          <w:color w:val="auto"/>
          <w:sz w:val="24"/>
          <w:szCs w:val="24"/>
        </w:rPr>
        <w:tab/>
      </w:r>
      <w:r>
        <w:rPr>
          <w:color w:val="auto"/>
          <w:sz w:val="24"/>
          <w:szCs w:val="24"/>
        </w:rPr>
        <w:fldChar w:fldCharType="begin"/>
      </w:r>
      <w:r>
        <w:rPr>
          <w:color w:val="auto"/>
          <w:sz w:val="24"/>
          <w:szCs w:val="24"/>
        </w:rPr>
        <w:instrText xml:space="preserve"> PAGEREF _Toc2921 </w:instrText>
      </w:r>
      <w:r>
        <w:rPr>
          <w:color w:val="auto"/>
          <w:sz w:val="24"/>
          <w:szCs w:val="24"/>
        </w:rPr>
        <w:fldChar w:fldCharType="separate"/>
      </w:r>
      <w:r>
        <w:rPr>
          <w:color w:val="auto"/>
          <w:sz w:val="24"/>
          <w:szCs w:val="24"/>
        </w:rPr>
        <w:t>- 82 -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"_Toc11077" </w:instrText>
      </w:r>
      <w:r>
        <w:rPr>
          <w:color w:val="auto"/>
        </w:rPr>
        <w:fldChar w:fldCharType="separate"/>
      </w:r>
      <w:r>
        <w:rPr>
          <w:rFonts w:hint="eastAsia"/>
          <w:bCs/>
          <w:color w:val="auto"/>
          <w:sz w:val="24"/>
          <w:szCs w:val="24"/>
        </w:rPr>
        <w:t>附件4：区域地理位置及周边环境敏感点分布图</w:t>
      </w:r>
      <w:r>
        <w:rPr>
          <w:color w:val="auto"/>
          <w:sz w:val="24"/>
          <w:szCs w:val="24"/>
        </w:rPr>
        <w:tab/>
      </w:r>
      <w:r>
        <w:rPr>
          <w:color w:val="auto"/>
          <w:sz w:val="24"/>
          <w:szCs w:val="24"/>
        </w:rPr>
        <w:fldChar w:fldCharType="begin"/>
      </w:r>
      <w:r>
        <w:rPr>
          <w:color w:val="auto"/>
          <w:sz w:val="24"/>
          <w:szCs w:val="24"/>
        </w:rPr>
        <w:instrText xml:space="preserve"> PAGEREF _Toc11077 </w:instrText>
      </w:r>
      <w:r>
        <w:rPr>
          <w:color w:val="auto"/>
          <w:sz w:val="24"/>
          <w:szCs w:val="24"/>
        </w:rPr>
        <w:fldChar w:fldCharType="separate"/>
      </w:r>
      <w:r>
        <w:rPr>
          <w:color w:val="auto"/>
          <w:sz w:val="24"/>
          <w:szCs w:val="24"/>
        </w:rPr>
        <w:t>- 83 -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"_Toc22102" </w:instrText>
      </w:r>
      <w:r>
        <w:rPr>
          <w:color w:val="auto"/>
        </w:rPr>
        <w:fldChar w:fldCharType="separate"/>
      </w:r>
      <w:r>
        <w:rPr>
          <w:rFonts w:hint="eastAsia"/>
          <w:bCs/>
          <w:color w:val="auto"/>
          <w:sz w:val="24"/>
          <w:szCs w:val="24"/>
        </w:rPr>
        <w:t>附件5：风险源分布图</w:t>
      </w:r>
      <w:r>
        <w:rPr>
          <w:color w:val="auto"/>
          <w:sz w:val="24"/>
          <w:szCs w:val="24"/>
        </w:rPr>
        <w:tab/>
      </w:r>
      <w:r>
        <w:rPr>
          <w:color w:val="auto"/>
          <w:sz w:val="24"/>
          <w:szCs w:val="24"/>
        </w:rPr>
        <w:fldChar w:fldCharType="begin"/>
      </w:r>
      <w:r>
        <w:rPr>
          <w:color w:val="auto"/>
          <w:sz w:val="24"/>
          <w:szCs w:val="24"/>
        </w:rPr>
        <w:instrText xml:space="preserve"> PAGEREF _Toc22102 </w:instrText>
      </w:r>
      <w:r>
        <w:rPr>
          <w:color w:val="auto"/>
          <w:sz w:val="24"/>
          <w:szCs w:val="24"/>
        </w:rPr>
        <w:fldChar w:fldCharType="separate"/>
      </w:r>
      <w:r>
        <w:rPr>
          <w:color w:val="auto"/>
          <w:sz w:val="24"/>
          <w:szCs w:val="24"/>
        </w:rPr>
        <w:t>- 85 -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"_Toc6373" </w:instrText>
      </w:r>
      <w:r>
        <w:rPr>
          <w:color w:val="auto"/>
        </w:rPr>
        <w:fldChar w:fldCharType="separate"/>
      </w:r>
      <w:r>
        <w:rPr>
          <w:rFonts w:hint="eastAsia"/>
          <w:bCs/>
          <w:color w:val="auto"/>
          <w:sz w:val="24"/>
          <w:szCs w:val="24"/>
        </w:rPr>
        <w:t>附件6：紧急疏散路线图</w:t>
      </w:r>
      <w:r>
        <w:rPr>
          <w:color w:val="auto"/>
          <w:sz w:val="24"/>
          <w:szCs w:val="24"/>
        </w:rPr>
        <w:tab/>
      </w:r>
      <w:r>
        <w:rPr>
          <w:color w:val="auto"/>
          <w:sz w:val="24"/>
          <w:szCs w:val="24"/>
        </w:rPr>
        <w:fldChar w:fldCharType="begin"/>
      </w:r>
      <w:r>
        <w:rPr>
          <w:color w:val="auto"/>
          <w:sz w:val="24"/>
          <w:szCs w:val="24"/>
        </w:rPr>
        <w:instrText xml:space="preserve"> PAGEREF _Toc6373 </w:instrText>
      </w:r>
      <w:r>
        <w:rPr>
          <w:color w:val="auto"/>
          <w:sz w:val="24"/>
          <w:szCs w:val="24"/>
        </w:rPr>
        <w:fldChar w:fldCharType="separate"/>
      </w:r>
      <w:r>
        <w:rPr>
          <w:color w:val="auto"/>
          <w:sz w:val="24"/>
          <w:szCs w:val="24"/>
        </w:rPr>
        <w:t>- 86 -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"_Toc6887" </w:instrText>
      </w:r>
      <w:r>
        <w:rPr>
          <w:color w:val="auto"/>
        </w:rPr>
        <w:fldChar w:fldCharType="separate"/>
      </w:r>
      <w:r>
        <w:rPr>
          <w:rFonts w:hint="eastAsia"/>
          <w:bCs/>
          <w:color w:val="auto"/>
          <w:sz w:val="24"/>
          <w:szCs w:val="24"/>
        </w:rPr>
        <w:t>附件7：应急物资分布图</w:t>
      </w:r>
      <w:r>
        <w:rPr>
          <w:color w:val="auto"/>
          <w:sz w:val="24"/>
          <w:szCs w:val="24"/>
        </w:rPr>
        <w:tab/>
      </w:r>
      <w:r>
        <w:rPr>
          <w:color w:val="auto"/>
          <w:sz w:val="24"/>
          <w:szCs w:val="24"/>
        </w:rPr>
        <w:fldChar w:fldCharType="begin"/>
      </w:r>
      <w:r>
        <w:rPr>
          <w:color w:val="auto"/>
          <w:sz w:val="24"/>
          <w:szCs w:val="24"/>
        </w:rPr>
        <w:instrText xml:space="preserve"> PAGEREF _Toc6887 </w:instrText>
      </w:r>
      <w:r>
        <w:rPr>
          <w:color w:val="auto"/>
          <w:sz w:val="24"/>
          <w:szCs w:val="24"/>
        </w:rPr>
        <w:fldChar w:fldCharType="separate"/>
      </w:r>
      <w:r>
        <w:rPr>
          <w:color w:val="auto"/>
          <w:sz w:val="24"/>
          <w:szCs w:val="24"/>
        </w:rPr>
        <w:t>- 87 -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"_Toc14596" </w:instrText>
      </w:r>
      <w:r>
        <w:rPr>
          <w:color w:val="auto"/>
        </w:rPr>
        <w:fldChar w:fldCharType="separate"/>
      </w:r>
      <w:r>
        <w:rPr>
          <w:rFonts w:hint="eastAsia"/>
          <w:bCs/>
          <w:color w:val="auto"/>
          <w:sz w:val="24"/>
          <w:szCs w:val="24"/>
        </w:rPr>
        <w:t>附件8：应急物资储备清</w:t>
      </w:r>
      <w:r>
        <w:rPr>
          <w:color w:val="auto"/>
          <w:sz w:val="24"/>
          <w:szCs w:val="24"/>
        </w:rPr>
        <w:tab/>
      </w:r>
      <w:r>
        <w:rPr>
          <w:color w:val="auto"/>
          <w:sz w:val="24"/>
          <w:szCs w:val="24"/>
        </w:rPr>
        <w:fldChar w:fldCharType="begin"/>
      </w:r>
      <w:r>
        <w:rPr>
          <w:color w:val="auto"/>
          <w:sz w:val="24"/>
          <w:szCs w:val="24"/>
        </w:rPr>
        <w:instrText xml:space="preserve"> PAGEREF _Toc14596 </w:instrText>
      </w:r>
      <w:r>
        <w:rPr>
          <w:color w:val="auto"/>
          <w:sz w:val="24"/>
          <w:szCs w:val="24"/>
        </w:rPr>
        <w:fldChar w:fldCharType="separate"/>
      </w:r>
      <w:r>
        <w:rPr>
          <w:color w:val="auto"/>
          <w:sz w:val="24"/>
          <w:szCs w:val="24"/>
        </w:rPr>
        <w:t>- 88 -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"_Toc11953" </w:instrText>
      </w:r>
      <w:r>
        <w:rPr>
          <w:color w:val="auto"/>
        </w:rPr>
        <w:fldChar w:fldCharType="separate"/>
      </w:r>
      <w:r>
        <w:rPr>
          <w:rFonts w:hint="eastAsia"/>
          <w:bCs/>
          <w:color w:val="auto"/>
          <w:sz w:val="24"/>
          <w:szCs w:val="24"/>
        </w:rPr>
        <w:t>附件9：事故应急处置卡</w:t>
      </w:r>
      <w:r>
        <w:rPr>
          <w:color w:val="auto"/>
          <w:sz w:val="24"/>
          <w:szCs w:val="24"/>
        </w:rPr>
        <w:tab/>
      </w:r>
      <w:r>
        <w:rPr>
          <w:color w:val="auto"/>
          <w:sz w:val="24"/>
          <w:szCs w:val="24"/>
        </w:rPr>
        <w:fldChar w:fldCharType="begin"/>
      </w:r>
      <w:r>
        <w:rPr>
          <w:color w:val="auto"/>
          <w:sz w:val="24"/>
          <w:szCs w:val="24"/>
        </w:rPr>
        <w:instrText xml:space="preserve"> PAGEREF _Toc11953 </w:instrText>
      </w:r>
      <w:r>
        <w:rPr>
          <w:color w:val="auto"/>
          <w:sz w:val="24"/>
          <w:szCs w:val="24"/>
        </w:rPr>
        <w:fldChar w:fldCharType="separate"/>
      </w:r>
      <w:r>
        <w:rPr>
          <w:color w:val="auto"/>
          <w:sz w:val="24"/>
          <w:szCs w:val="24"/>
        </w:rPr>
        <w:t>- 91 -</w:t>
      </w:r>
      <w:r>
        <w:rPr>
          <w:color w:val="auto"/>
          <w:sz w:val="24"/>
          <w:szCs w:val="24"/>
        </w:rPr>
        <w:fldChar w:fldCharType="end"/>
      </w:r>
      <w:r>
        <w:rPr>
          <w:color w:val="auto"/>
          <w:sz w:val="24"/>
          <w:szCs w:val="24"/>
        </w:rPr>
        <w:fldChar w:fldCharType="end"/>
      </w:r>
    </w:p>
    <w:p>
      <w:pPr>
        <w:pStyle w:val="33"/>
        <w:tabs>
          <w:tab w:val="right" w:leader="dot" w:pos="9070"/>
        </w:tabs>
        <w:ind w:firstLine="560"/>
        <w:rPr>
          <w:color w:val="auto"/>
          <w:sz w:val="24"/>
          <w:szCs w:val="24"/>
        </w:rPr>
      </w:pPr>
      <w:r>
        <w:rPr>
          <w:color w:val="auto"/>
        </w:rPr>
        <w:fldChar w:fldCharType="begin"/>
      </w:r>
      <w:r>
        <w:rPr>
          <w:color w:val="auto"/>
        </w:rPr>
        <w:instrText xml:space="preserve"> HYPERLINK \l "_Toc26704" </w:instrText>
      </w:r>
      <w:r>
        <w:rPr>
          <w:color w:val="auto"/>
        </w:rPr>
        <w:fldChar w:fldCharType="separate"/>
      </w:r>
      <w:r>
        <w:rPr>
          <w:rFonts w:hint="eastAsia"/>
          <w:bCs/>
          <w:color w:val="auto"/>
          <w:sz w:val="24"/>
          <w:szCs w:val="24"/>
        </w:rPr>
        <w:t>附件1</w:t>
      </w:r>
      <w:r>
        <w:rPr>
          <w:bCs/>
          <w:color w:val="auto"/>
          <w:sz w:val="24"/>
          <w:szCs w:val="24"/>
        </w:rPr>
        <w:t>0</w:t>
      </w:r>
      <w:r>
        <w:rPr>
          <w:rFonts w:hint="eastAsia"/>
          <w:bCs/>
          <w:color w:val="auto"/>
          <w:sz w:val="24"/>
          <w:szCs w:val="24"/>
        </w:rPr>
        <w:t>：标准化格式文本</w:t>
      </w:r>
      <w:r>
        <w:rPr>
          <w:color w:val="auto"/>
          <w:sz w:val="24"/>
          <w:szCs w:val="24"/>
        </w:rPr>
        <w:tab/>
      </w:r>
      <w:r>
        <w:rPr>
          <w:color w:val="auto"/>
          <w:sz w:val="24"/>
          <w:szCs w:val="24"/>
        </w:rPr>
        <w:fldChar w:fldCharType="begin"/>
      </w:r>
      <w:r>
        <w:rPr>
          <w:color w:val="auto"/>
          <w:sz w:val="24"/>
          <w:szCs w:val="24"/>
        </w:rPr>
        <w:instrText xml:space="preserve"> PAGEREF _Toc26704 </w:instrText>
      </w:r>
      <w:r>
        <w:rPr>
          <w:color w:val="auto"/>
          <w:sz w:val="24"/>
          <w:szCs w:val="24"/>
        </w:rPr>
        <w:fldChar w:fldCharType="separate"/>
      </w:r>
      <w:r>
        <w:rPr>
          <w:color w:val="auto"/>
          <w:sz w:val="24"/>
          <w:szCs w:val="24"/>
        </w:rPr>
        <w:t>- 93 -</w:t>
      </w:r>
      <w:r>
        <w:rPr>
          <w:color w:val="auto"/>
          <w:sz w:val="24"/>
          <w:szCs w:val="24"/>
        </w:rPr>
        <w:fldChar w:fldCharType="end"/>
      </w:r>
      <w:r>
        <w:rPr>
          <w:color w:val="auto"/>
          <w:sz w:val="24"/>
          <w:szCs w:val="24"/>
        </w:rPr>
        <w:fldChar w:fldCharType="end"/>
      </w:r>
    </w:p>
    <w:p>
      <w:pPr>
        <w:pStyle w:val="3"/>
        <w:rPr>
          <w:bCs/>
          <w:iCs/>
          <w:color w:val="auto"/>
          <w:kern w:val="2"/>
          <w:sz w:val="24"/>
        </w:rPr>
      </w:pPr>
      <w:r>
        <w:rPr>
          <w:bCs/>
          <w:iCs/>
          <w:color w:val="auto"/>
          <w:kern w:val="2"/>
          <w:sz w:val="24"/>
        </w:rPr>
        <w:fldChar w:fldCharType="end"/>
      </w:r>
    </w:p>
    <w:p>
      <w:pPr>
        <w:ind w:firstLine="480"/>
        <w:rPr>
          <w:bCs/>
          <w:iCs/>
          <w:color w:val="auto"/>
          <w:sz w:val="24"/>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rPr>
      </w:pPr>
    </w:p>
    <w:p>
      <w:pPr>
        <w:pStyle w:val="2"/>
        <w:rPr>
          <w:rFonts w:ascii="Times New Roman" w:eastAsia="仿宋"/>
          <w:bCs/>
          <w:iCs/>
          <w:color w:val="auto"/>
          <w:kern w:val="2"/>
          <w:szCs w:val="28"/>
        </w:rPr>
      </w:pPr>
    </w:p>
    <w:p>
      <w:pPr>
        <w:pStyle w:val="2"/>
        <w:rPr>
          <w:rFonts w:ascii="Times New Roman" w:eastAsia="仿宋"/>
          <w:bCs/>
          <w:iCs/>
          <w:color w:val="auto"/>
          <w:kern w:val="2"/>
          <w:szCs w:val="28"/>
        </w:rPr>
      </w:pPr>
    </w:p>
    <w:p>
      <w:pPr>
        <w:pStyle w:val="2"/>
        <w:rPr>
          <w:rFonts w:ascii="Times New Roman" w:eastAsia="仿宋"/>
          <w:bCs/>
          <w:iCs/>
          <w:color w:val="auto"/>
          <w:kern w:val="2"/>
          <w:szCs w:val="28"/>
        </w:rPr>
        <w:sectPr>
          <w:headerReference r:id="rId10" w:type="default"/>
          <w:footerReference r:id="rId11" w:type="default"/>
          <w:pgSz w:w="11906" w:h="16838"/>
          <w:pgMar w:top="1418" w:right="1418" w:bottom="1418" w:left="1418" w:header="851" w:footer="992" w:gutter="0"/>
          <w:pgNumType w:fmt="upperRoman" w:start="1"/>
          <w:cols w:space="720" w:num="1"/>
          <w:docGrid w:linePitch="312" w:charSpace="0"/>
        </w:sectPr>
      </w:pPr>
    </w:p>
    <w:p>
      <w:pPr>
        <w:pStyle w:val="3"/>
        <w:rPr>
          <w:bCs/>
          <w:color w:val="auto"/>
          <w:sz w:val="32"/>
          <w:szCs w:val="32"/>
        </w:rPr>
      </w:pPr>
      <w:bookmarkStart w:id="4" w:name="_Toc7411"/>
      <w:r>
        <w:rPr>
          <w:bCs/>
          <w:color w:val="auto"/>
          <w:sz w:val="32"/>
          <w:szCs w:val="32"/>
        </w:rPr>
        <w:t>1 总则</w:t>
      </w:r>
      <w:bookmarkEnd w:id="0"/>
      <w:bookmarkEnd w:id="1"/>
      <w:bookmarkEnd w:id="3"/>
      <w:bookmarkEnd w:id="4"/>
    </w:p>
    <w:bookmarkEnd w:id="2"/>
    <w:p>
      <w:pPr>
        <w:pStyle w:val="4"/>
        <w:ind w:firstLine="562" w:firstLineChars="200"/>
        <w:rPr>
          <w:color w:val="auto"/>
          <w:szCs w:val="28"/>
        </w:rPr>
      </w:pPr>
      <w:bookmarkStart w:id="5" w:name="_Toc406094280"/>
      <w:bookmarkStart w:id="6" w:name="_Toc490845141"/>
      <w:bookmarkStart w:id="7" w:name="_Toc30613"/>
      <w:bookmarkStart w:id="8" w:name="_Toc421196178"/>
      <w:bookmarkStart w:id="9" w:name="_Toc393375431"/>
      <w:r>
        <w:rPr>
          <w:color w:val="auto"/>
          <w:szCs w:val="28"/>
        </w:rPr>
        <w:t>1.1 编制目的</w:t>
      </w:r>
      <w:bookmarkEnd w:id="5"/>
      <w:bookmarkEnd w:id="6"/>
      <w:bookmarkEnd w:id="7"/>
      <w:bookmarkEnd w:id="8"/>
      <w:bookmarkEnd w:id="9"/>
    </w:p>
    <w:p>
      <w:pPr>
        <w:ind w:firstLine="560"/>
        <w:rPr>
          <w:rFonts w:ascii="仿宋" w:hAnsi="仿宋"/>
          <w:color w:val="auto"/>
          <w:szCs w:val="28"/>
        </w:rPr>
      </w:pPr>
      <w:bookmarkStart w:id="10" w:name="_Toc490845142"/>
      <w:bookmarkStart w:id="11" w:name="_Toc421196179"/>
      <w:bookmarkStart w:id="12" w:name="_Toc393375432"/>
      <w:bookmarkStart w:id="13" w:name="_Toc406094281"/>
      <w:r>
        <w:rPr>
          <w:rFonts w:hint="eastAsia" w:ascii="仿宋" w:hAnsi="仿宋"/>
          <w:color w:val="auto"/>
          <w:szCs w:val="28"/>
        </w:rPr>
        <w:t>为有效预防、及时控制和消除突发环境事件的危害，明确处置突发环境事件的职责，规范应急处置程序，提高应对突发环境事件的防控和应急反应能力，及时、有序、高效、妥善处理突发环境事件，同时，加强企业与政府应对工作的衔接。将突发环境事件所造成的环境污染和生态破坏损失降低到最小限度，维护社会稳定，保障人民生命健康和财产安全，最大限度的减少突发环境事件造成的人员伤亡、环境破坏和财产损失，从安全运行、保护环境目标出发，组织编制了《陕西渭河发电有限公司突发环境事件应急预案》。一旦有突发环境污染事故发生，可按照本预案提出的应急响应程序、应急污染防治措施和操作方法，对突发环境事件进行处置，最大限度地减少环境污染影响及其他损失，以实现维护社会稳定，保护生态环境的目标。</w:t>
      </w:r>
    </w:p>
    <w:p>
      <w:pPr>
        <w:pStyle w:val="4"/>
        <w:rPr>
          <w:color w:val="auto"/>
          <w:szCs w:val="28"/>
        </w:rPr>
      </w:pPr>
      <w:bookmarkStart w:id="14" w:name="_Toc18589"/>
      <w:r>
        <w:rPr>
          <w:color w:val="auto"/>
          <w:szCs w:val="28"/>
        </w:rPr>
        <w:t>1.2 编制依据</w:t>
      </w:r>
      <w:bookmarkEnd w:id="10"/>
      <w:bookmarkEnd w:id="11"/>
      <w:bookmarkEnd w:id="12"/>
      <w:bookmarkEnd w:id="13"/>
      <w:bookmarkEnd w:id="14"/>
    </w:p>
    <w:p>
      <w:pPr>
        <w:pStyle w:val="5"/>
        <w:ind w:firstLine="0" w:firstLineChars="0"/>
        <w:rPr>
          <w:color w:val="auto"/>
        </w:rPr>
      </w:pPr>
      <w:bookmarkStart w:id="15" w:name="_Toc490845143"/>
      <w:bookmarkStart w:id="16" w:name="_Toc11891"/>
      <w:r>
        <w:rPr>
          <w:color w:val="auto"/>
        </w:rPr>
        <w:t>1.2.1 法律</w:t>
      </w:r>
      <w:bookmarkEnd w:id="15"/>
      <w:r>
        <w:rPr>
          <w:rFonts w:hint="eastAsia"/>
          <w:color w:val="auto"/>
        </w:rPr>
        <w:t>依据</w:t>
      </w:r>
      <w:bookmarkEnd w:id="16"/>
    </w:p>
    <w:p>
      <w:pPr>
        <w:ind w:firstLine="560"/>
        <w:rPr>
          <w:rFonts w:ascii="仿宋" w:hAnsi="仿宋"/>
          <w:color w:val="auto"/>
          <w:szCs w:val="28"/>
        </w:rPr>
      </w:pPr>
      <w:bookmarkStart w:id="17" w:name="_Toc490845145"/>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hint="eastAsia" w:ascii="仿宋" w:hAnsi="仿宋"/>
          <w:color w:val="auto"/>
          <w:szCs w:val="28"/>
        </w:rPr>
        <w:t>《中华人民共和国环境保护法》（修正），2</w:t>
      </w:r>
      <w:r>
        <w:rPr>
          <w:rFonts w:ascii="仿宋" w:hAnsi="仿宋"/>
          <w:color w:val="auto"/>
          <w:szCs w:val="28"/>
        </w:rPr>
        <w:t>015</w:t>
      </w:r>
      <w:r>
        <w:rPr>
          <w:rFonts w:hint="eastAsia" w:ascii="仿宋" w:hAnsi="仿宋"/>
          <w:color w:val="auto"/>
          <w:szCs w:val="28"/>
        </w:rPr>
        <w:t>年1月1日；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⑵</w:t>
      </w:r>
      <w:r>
        <w:rPr>
          <w:rFonts w:ascii="仿宋" w:hAnsi="仿宋"/>
          <w:color w:val="auto"/>
          <w:szCs w:val="28"/>
        </w:rPr>
        <w:fldChar w:fldCharType="end"/>
      </w:r>
      <w:r>
        <w:rPr>
          <w:rFonts w:hint="eastAsia" w:ascii="仿宋" w:hAnsi="仿宋"/>
          <w:color w:val="auto"/>
          <w:szCs w:val="28"/>
        </w:rPr>
        <w:t>《中华人民共和国大气污染防治法》（修正），2018年10月26日；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⑶</w:t>
      </w:r>
      <w:r>
        <w:rPr>
          <w:rFonts w:ascii="仿宋" w:hAnsi="仿宋"/>
          <w:color w:val="auto"/>
          <w:szCs w:val="28"/>
        </w:rPr>
        <w:fldChar w:fldCharType="end"/>
      </w:r>
      <w:r>
        <w:rPr>
          <w:rFonts w:hint="eastAsia" w:ascii="仿宋" w:hAnsi="仿宋"/>
          <w:color w:val="auto"/>
          <w:szCs w:val="28"/>
        </w:rPr>
        <w:t>《中华人民共和国水污染防治法》（修正），2018年1月1日；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⑷</w:t>
      </w:r>
      <w:r>
        <w:rPr>
          <w:rFonts w:ascii="仿宋" w:hAnsi="仿宋"/>
          <w:color w:val="auto"/>
          <w:szCs w:val="28"/>
        </w:rPr>
        <w:fldChar w:fldCharType="end"/>
      </w:r>
      <w:r>
        <w:rPr>
          <w:rFonts w:hint="eastAsia" w:ascii="仿宋" w:hAnsi="仿宋"/>
          <w:color w:val="auto"/>
          <w:szCs w:val="28"/>
        </w:rPr>
        <w:t>《中华人民共和国固体废物污染环境防治法》（修正），2020年9月1日;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⑸</w:t>
      </w:r>
      <w:r>
        <w:rPr>
          <w:rFonts w:ascii="仿宋" w:hAnsi="仿宋"/>
          <w:color w:val="auto"/>
          <w:szCs w:val="28"/>
        </w:rPr>
        <w:fldChar w:fldCharType="end"/>
      </w:r>
      <w:r>
        <w:rPr>
          <w:rFonts w:hint="eastAsia" w:ascii="仿宋" w:hAnsi="仿宋"/>
          <w:color w:val="auto"/>
          <w:szCs w:val="28"/>
        </w:rPr>
        <w:t>《中华人民共和国土壤污染防治法》，2018年8月31日；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6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⑹</w:t>
      </w:r>
      <w:r>
        <w:rPr>
          <w:rFonts w:ascii="仿宋" w:hAnsi="仿宋"/>
          <w:color w:val="auto"/>
          <w:szCs w:val="28"/>
        </w:rPr>
        <w:fldChar w:fldCharType="end"/>
      </w:r>
      <w:r>
        <w:rPr>
          <w:rFonts w:hint="eastAsia" w:ascii="仿宋" w:hAnsi="仿宋"/>
          <w:color w:val="auto"/>
          <w:szCs w:val="28"/>
        </w:rPr>
        <w:t>《中华人民共和国突发事件应对法》，2007年11月1日。</w:t>
      </w:r>
    </w:p>
    <w:p>
      <w:pPr>
        <w:pStyle w:val="5"/>
        <w:ind w:firstLine="0" w:firstLineChars="0"/>
        <w:rPr>
          <w:color w:val="auto"/>
        </w:rPr>
      </w:pPr>
      <w:bookmarkStart w:id="18" w:name="_Toc16149"/>
      <w:r>
        <w:rPr>
          <w:color w:val="auto"/>
        </w:rPr>
        <w:t>1.2.</w:t>
      </w:r>
      <w:r>
        <w:rPr>
          <w:rFonts w:hint="eastAsia"/>
          <w:color w:val="auto"/>
        </w:rPr>
        <w:t>2</w:t>
      </w:r>
      <w:r>
        <w:rPr>
          <w:color w:val="auto"/>
        </w:rPr>
        <w:t xml:space="preserve"> </w:t>
      </w:r>
      <w:bookmarkEnd w:id="17"/>
      <w:r>
        <w:rPr>
          <w:rFonts w:hint="eastAsia"/>
          <w:color w:val="auto"/>
        </w:rPr>
        <w:t>法规依据</w:t>
      </w:r>
      <w:bookmarkEnd w:id="18"/>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hint="eastAsia" w:ascii="仿宋" w:hAnsi="仿宋"/>
          <w:color w:val="auto"/>
          <w:szCs w:val="28"/>
        </w:rPr>
        <w:t>《国家突发环境事件应急预案》（国办函〔2014〕119号，2</w:t>
      </w:r>
      <w:r>
        <w:rPr>
          <w:rFonts w:ascii="仿宋" w:hAnsi="仿宋"/>
          <w:color w:val="auto"/>
          <w:szCs w:val="28"/>
        </w:rPr>
        <w:t>014</w:t>
      </w:r>
      <w:r>
        <w:rPr>
          <w:rFonts w:hint="eastAsia" w:ascii="仿宋" w:hAnsi="仿宋"/>
          <w:color w:val="auto"/>
          <w:szCs w:val="28"/>
        </w:rPr>
        <w:t>年1</w:t>
      </w:r>
      <w:r>
        <w:rPr>
          <w:rFonts w:ascii="仿宋" w:hAnsi="仿宋"/>
          <w:color w:val="auto"/>
          <w:szCs w:val="28"/>
        </w:rPr>
        <w:t>2</w:t>
      </w:r>
      <w:r>
        <w:rPr>
          <w:rFonts w:hint="eastAsia" w:ascii="仿宋" w:hAnsi="仿宋"/>
          <w:color w:val="auto"/>
          <w:szCs w:val="28"/>
        </w:rPr>
        <w:t>月2</w:t>
      </w:r>
      <w:r>
        <w:rPr>
          <w:rFonts w:ascii="仿宋" w:hAnsi="仿宋"/>
          <w:color w:val="auto"/>
          <w:szCs w:val="28"/>
        </w:rPr>
        <w:t>9</w:t>
      </w:r>
      <w:r>
        <w:rPr>
          <w:rFonts w:hint="eastAsia" w:ascii="仿宋" w:hAnsi="仿宋"/>
          <w:color w:val="auto"/>
          <w:szCs w:val="28"/>
        </w:rPr>
        <w:t>日）；</w:t>
      </w:r>
    </w:p>
    <w:p>
      <w:pPr>
        <w:spacing w:line="560" w:lineRule="exact"/>
        <w:ind w:firstLine="560"/>
        <w:rPr>
          <w:rFonts w:ascii="仿宋" w:hAnsi="仿宋"/>
          <w:color w:val="auto"/>
          <w:szCs w:val="28"/>
        </w:rPr>
        <w:sectPr>
          <w:footerReference r:id="rId12" w:type="default"/>
          <w:pgSz w:w="11906" w:h="16838"/>
          <w:pgMar w:top="1418" w:right="1418" w:bottom="1418" w:left="1418" w:header="851" w:footer="992" w:gutter="0"/>
          <w:pgNumType w:fmt="numberInDash" w:start="1"/>
          <w:cols w:space="720" w:num="1"/>
          <w:docGrid w:linePitch="312" w:charSpace="0"/>
        </w:sectPr>
      </w:pPr>
    </w:p>
    <w:p>
      <w:pPr>
        <w:spacing w:line="560" w:lineRule="exact"/>
        <w:ind w:firstLine="560"/>
        <w:rPr>
          <w:rFonts w:ascii="仿宋" w:hAnsi="仿宋" w:cs="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⑵</w:t>
      </w:r>
      <w:r>
        <w:rPr>
          <w:rFonts w:ascii="仿宋" w:hAnsi="仿宋"/>
          <w:color w:val="auto"/>
          <w:szCs w:val="28"/>
        </w:rPr>
        <w:fldChar w:fldCharType="end"/>
      </w:r>
      <w:r>
        <w:rPr>
          <w:rFonts w:hint="eastAsia" w:ascii="仿宋" w:hAnsi="仿宋" w:cs="仿宋"/>
          <w:color w:val="auto"/>
          <w:szCs w:val="28"/>
        </w:rPr>
        <w:t>《突发事件应急预案管理办法》，（国办发</w:t>
      </w:r>
      <w:r>
        <w:rPr>
          <w:rFonts w:hint="eastAsia" w:ascii="仿宋" w:hAnsi="仿宋"/>
          <w:color w:val="auto"/>
          <w:szCs w:val="28"/>
        </w:rPr>
        <w:t>〔</w:t>
      </w:r>
      <w:r>
        <w:rPr>
          <w:rFonts w:hint="eastAsia" w:ascii="仿宋" w:hAnsi="仿宋" w:cs="仿宋"/>
          <w:color w:val="auto"/>
          <w:szCs w:val="28"/>
        </w:rPr>
        <w:t>2013</w:t>
      </w:r>
      <w:r>
        <w:rPr>
          <w:rFonts w:hint="eastAsia" w:ascii="仿宋" w:hAnsi="仿宋"/>
          <w:color w:val="auto"/>
          <w:szCs w:val="28"/>
        </w:rPr>
        <w:t>〕</w:t>
      </w:r>
      <w:r>
        <w:rPr>
          <w:rFonts w:hint="eastAsia" w:ascii="仿宋" w:hAnsi="仿宋" w:cs="仿宋"/>
          <w:color w:val="auto"/>
          <w:szCs w:val="28"/>
        </w:rPr>
        <w:t>101号），2013年10月25日；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⑶</w:t>
      </w:r>
      <w:r>
        <w:rPr>
          <w:rFonts w:ascii="仿宋" w:hAnsi="仿宋"/>
          <w:color w:val="auto"/>
          <w:szCs w:val="28"/>
        </w:rPr>
        <w:fldChar w:fldCharType="end"/>
      </w:r>
      <w:r>
        <w:rPr>
          <w:rFonts w:hint="eastAsia" w:ascii="仿宋" w:hAnsi="仿宋"/>
          <w:color w:val="auto"/>
          <w:szCs w:val="28"/>
        </w:rPr>
        <w:t>《企业事业单位突发环境事件应急预案备案管理办法（试行）》（环发〔2015〕4号）；</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⑷</w:t>
      </w:r>
      <w:r>
        <w:rPr>
          <w:rFonts w:ascii="仿宋" w:hAnsi="仿宋"/>
          <w:color w:val="auto"/>
          <w:szCs w:val="28"/>
        </w:rPr>
        <w:fldChar w:fldCharType="end"/>
      </w:r>
      <w:r>
        <w:rPr>
          <w:rFonts w:hint="eastAsia" w:ascii="仿宋" w:hAnsi="仿宋"/>
          <w:color w:val="auto"/>
          <w:szCs w:val="28"/>
        </w:rPr>
        <w:t>《突发环境事件信息报告办法》（环境保护部令第17号）；</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⑸</w:t>
      </w:r>
      <w:r>
        <w:rPr>
          <w:rFonts w:ascii="仿宋" w:hAnsi="仿宋"/>
          <w:color w:val="auto"/>
          <w:szCs w:val="28"/>
        </w:rPr>
        <w:fldChar w:fldCharType="end"/>
      </w:r>
      <w:r>
        <w:rPr>
          <w:rFonts w:hint="eastAsia" w:ascii="仿宋" w:hAnsi="仿宋"/>
          <w:color w:val="auto"/>
          <w:szCs w:val="28"/>
        </w:rPr>
        <w:t>《企业突发环境事件风险防控监督管理办法（征求意见稿）》（环办函〔2013〕242号）；</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6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⑹</w:t>
      </w:r>
      <w:r>
        <w:rPr>
          <w:rFonts w:ascii="仿宋" w:hAnsi="仿宋"/>
          <w:color w:val="auto"/>
          <w:szCs w:val="28"/>
        </w:rPr>
        <w:fldChar w:fldCharType="end"/>
      </w:r>
      <w:r>
        <w:rPr>
          <w:rFonts w:hint="eastAsia" w:ascii="仿宋" w:hAnsi="仿宋"/>
          <w:color w:val="auto"/>
          <w:szCs w:val="28"/>
        </w:rPr>
        <w:t>《企业突发环境事件风险评估指南（试行）》（环办函〔2014〕34号）；</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7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⑺</w:t>
      </w:r>
      <w:r>
        <w:rPr>
          <w:rFonts w:ascii="仿宋" w:hAnsi="仿宋"/>
          <w:color w:val="auto"/>
          <w:szCs w:val="28"/>
        </w:rPr>
        <w:fldChar w:fldCharType="end"/>
      </w:r>
      <w:r>
        <w:rPr>
          <w:rFonts w:hint="eastAsia" w:ascii="仿宋" w:hAnsi="仿宋"/>
          <w:color w:val="auto"/>
          <w:szCs w:val="28"/>
        </w:rPr>
        <w:t>《危险化学品安全管理条例》（国务院令〔2011〕第591号）；</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8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⑻</w:t>
      </w:r>
      <w:r>
        <w:rPr>
          <w:rFonts w:ascii="仿宋" w:hAnsi="仿宋"/>
          <w:color w:val="auto"/>
          <w:szCs w:val="28"/>
        </w:rPr>
        <w:fldChar w:fldCharType="end"/>
      </w:r>
      <w:r>
        <w:rPr>
          <w:rFonts w:hint="eastAsia" w:ascii="仿宋" w:hAnsi="仿宋"/>
          <w:color w:val="auto"/>
          <w:szCs w:val="28"/>
        </w:rPr>
        <w:t>《陕西省突发环境事件信息报告规定》，陕环发〔2011〕69号，2011年9月1日；</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9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⑼</w:t>
      </w:r>
      <w:r>
        <w:rPr>
          <w:rFonts w:ascii="仿宋" w:hAnsi="仿宋"/>
          <w:color w:val="auto"/>
          <w:szCs w:val="28"/>
        </w:rPr>
        <w:fldChar w:fldCharType="end"/>
      </w:r>
      <w:r>
        <w:rPr>
          <w:rFonts w:hint="eastAsia" w:ascii="仿宋" w:hAnsi="仿宋"/>
          <w:color w:val="auto"/>
          <w:szCs w:val="28"/>
        </w:rPr>
        <w:t>《陕西省突发环境事件应急预案管理暂行办法》，陕环发〔2011〕88号，2011.10.15；</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10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⑽</w:t>
      </w:r>
      <w:r>
        <w:rPr>
          <w:rFonts w:ascii="仿宋" w:hAnsi="仿宋"/>
          <w:color w:val="auto"/>
          <w:szCs w:val="28"/>
        </w:rPr>
        <w:fldChar w:fldCharType="end"/>
      </w:r>
      <w:r>
        <w:rPr>
          <w:rFonts w:hint="eastAsia" w:ascii="仿宋" w:hAnsi="仿宋"/>
          <w:color w:val="auto"/>
          <w:szCs w:val="28"/>
        </w:rPr>
        <w:t>《陕西省环境保护厅办公室关于进一步加强突发环境事件应急预案工作的通知》，陕环办发〔2012〕126号，2012.9.17。</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11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⑾</w:t>
      </w:r>
      <w:r>
        <w:rPr>
          <w:color w:val="auto"/>
          <w:szCs w:val="28"/>
          <w:lang w:bidi="ar"/>
        </w:rPr>
        <w:fldChar w:fldCharType="end"/>
      </w:r>
      <w:r>
        <w:rPr>
          <w:rFonts w:hint="eastAsia"/>
          <w:color w:val="auto"/>
          <w:szCs w:val="28"/>
          <w:lang w:bidi="ar"/>
        </w:rPr>
        <w:t>《突发环境事件调查处理办法》，环境保护部令第</w:t>
      </w:r>
      <w:r>
        <w:rPr>
          <w:color w:val="auto"/>
          <w:szCs w:val="28"/>
          <w:lang w:bidi="ar"/>
        </w:rPr>
        <w:t>34</w:t>
      </w:r>
      <w:r>
        <w:rPr>
          <w:rFonts w:hint="eastAsia"/>
          <w:color w:val="auto"/>
          <w:szCs w:val="28"/>
          <w:lang w:bidi="ar"/>
        </w:rPr>
        <w:t>号，</w:t>
      </w:r>
      <w:r>
        <w:rPr>
          <w:color w:val="auto"/>
          <w:szCs w:val="28"/>
          <w:lang w:bidi="ar"/>
        </w:rPr>
        <w:t>2015</w:t>
      </w:r>
      <w:r>
        <w:rPr>
          <w:rFonts w:hint="eastAsia"/>
          <w:color w:val="auto"/>
          <w:szCs w:val="28"/>
          <w:lang w:bidi="ar"/>
        </w:rPr>
        <w:t>年</w:t>
      </w:r>
      <w:r>
        <w:rPr>
          <w:color w:val="auto"/>
          <w:szCs w:val="28"/>
          <w:lang w:bidi="ar"/>
        </w:rPr>
        <w:t>4</w:t>
      </w:r>
      <w:r>
        <w:rPr>
          <w:rFonts w:hint="eastAsia"/>
          <w:color w:val="auto"/>
          <w:szCs w:val="28"/>
          <w:lang w:bidi="ar"/>
        </w:rPr>
        <w:t>月</w:t>
      </w:r>
      <w:r>
        <w:rPr>
          <w:color w:val="auto"/>
          <w:szCs w:val="28"/>
          <w:lang w:bidi="ar"/>
        </w:rPr>
        <w:t>16</w:t>
      </w:r>
      <w:r>
        <w:rPr>
          <w:rFonts w:hint="eastAsia"/>
          <w:color w:val="auto"/>
          <w:szCs w:val="28"/>
          <w:lang w:bidi="ar"/>
        </w:rPr>
        <w:t>日；</w:t>
      </w:r>
    </w:p>
    <w:p>
      <w:pPr>
        <w:spacing w:line="560" w:lineRule="exact"/>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12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⑿</w:t>
      </w:r>
      <w:r>
        <w:rPr>
          <w:rFonts w:ascii="仿宋" w:hAnsi="仿宋" w:cs="仿宋"/>
          <w:color w:val="auto"/>
          <w:szCs w:val="28"/>
        </w:rPr>
        <w:fldChar w:fldCharType="end"/>
      </w:r>
      <w:r>
        <w:rPr>
          <w:rFonts w:hint="eastAsia" w:ascii="仿宋" w:hAnsi="仿宋" w:cs="仿宋"/>
          <w:color w:val="auto"/>
          <w:szCs w:val="28"/>
        </w:rPr>
        <w:t>《陕西省突发公共事件总体应急预案》，2009年6月10日；</w:t>
      </w:r>
    </w:p>
    <w:p>
      <w:pPr>
        <w:spacing w:line="560" w:lineRule="exact"/>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13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⒀</w:t>
      </w:r>
      <w:r>
        <w:rPr>
          <w:rFonts w:ascii="仿宋" w:hAnsi="仿宋" w:cs="仿宋"/>
          <w:color w:val="auto"/>
          <w:szCs w:val="28"/>
        </w:rPr>
        <w:fldChar w:fldCharType="end"/>
      </w:r>
      <w:r>
        <w:rPr>
          <w:rFonts w:hint="eastAsia" w:ascii="仿宋" w:hAnsi="仿宋" w:cs="仿宋"/>
          <w:color w:val="auto"/>
          <w:szCs w:val="28"/>
        </w:rPr>
        <w:t>《陕西省突发环境事件应急预案》，2017年5月4日；</w:t>
      </w:r>
    </w:p>
    <w:p>
      <w:pPr>
        <w:spacing w:line="560" w:lineRule="exact"/>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14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⒁</w:t>
      </w:r>
      <w:r>
        <w:rPr>
          <w:rFonts w:ascii="仿宋" w:hAnsi="仿宋" w:cs="仿宋"/>
          <w:color w:val="auto"/>
          <w:szCs w:val="28"/>
        </w:rPr>
        <w:fldChar w:fldCharType="end"/>
      </w:r>
      <w:r>
        <w:rPr>
          <w:rFonts w:hint="eastAsia" w:ascii="仿宋" w:hAnsi="仿宋" w:cs="仿宋"/>
          <w:color w:val="auto"/>
          <w:szCs w:val="28"/>
        </w:rPr>
        <w:t>《陕西省环境保护厅办公室关于进一步加强突发环境事件应急预案工作通知》（陕环发〔2016〕45号），2016年10月21日 ；</w:t>
      </w:r>
    </w:p>
    <w:p>
      <w:pPr>
        <w:spacing w:line="560" w:lineRule="exact"/>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15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⒂</w:t>
      </w:r>
      <w:r>
        <w:rPr>
          <w:rFonts w:ascii="仿宋" w:hAnsi="仿宋" w:cs="仿宋"/>
          <w:color w:val="auto"/>
          <w:szCs w:val="28"/>
        </w:rPr>
        <w:fldChar w:fldCharType="end"/>
      </w:r>
      <w:r>
        <w:rPr>
          <w:rFonts w:hint="eastAsia" w:ascii="仿宋" w:hAnsi="仿宋" w:cs="仿宋"/>
          <w:color w:val="auto"/>
          <w:szCs w:val="28"/>
        </w:rPr>
        <w:t>《2014年全省环境应急管理工作要点》，2014年2月26日；</w:t>
      </w:r>
    </w:p>
    <w:p>
      <w:pPr>
        <w:spacing w:line="560" w:lineRule="exact"/>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16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⒃</w:t>
      </w:r>
      <w:r>
        <w:rPr>
          <w:rFonts w:ascii="仿宋" w:hAnsi="仿宋" w:cs="仿宋"/>
          <w:color w:val="auto"/>
          <w:szCs w:val="28"/>
        </w:rPr>
        <w:fldChar w:fldCharType="end"/>
      </w:r>
      <w:r>
        <w:rPr>
          <w:rFonts w:hint="eastAsia" w:ascii="仿宋" w:hAnsi="仿宋" w:cs="仿宋"/>
          <w:color w:val="auto"/>
          <w:szCs w:val="28"/>
        </w:rPr>
        <w:t>《关于防范环境风险加强环境影响评价管理的通知》（环发</w:t>
      </w:r>
      <w:r>
        <w:rPr>
          <w:rFonts w:hint="eastAsia" w:ascii="仿宋" w:hAnsi="仿宋"/>
          <w:color w:val="auto"/>
          <w:szCs w:val="28"/>
        </w:rPr>
        <w:t>〔</w:t>
      </w:r>
      <w:r>
        <w:rPr>
          <w:rFonts w:hint="eastAsia" w:ascii="仿宋" w:hAnsi="仿宋" w:cs="仿宋"/>
          <w:color w:val="auto"/>
          <w:szCs w:val="28"/>
        </w:rPr>
        <w:t>2012</w:t>
      </w:r>
      <w:r>
        <w:rPr>
          <w:rFonts w:hint="eastAsia" w:ascii="仿宋" w:hAnsi="仿宋"/>
          <w:color w:val="auto"/>
          <w:szCs w:val="28"/>
        </w:rPr>
        <w:t>〕</w:t>
      </w:r>
      <w:r>
        <w:rPr>
          <w:rFonts w:hint="eastAsia" w:ascii="仿宋" w:hAnsi="仿宋" w:cs="仿宋"/>
          <w:color w:val="auto"/>
          <w:szCs w:val="28"/>
        </w:rPr>
        <w:t>77号），2012年7月3日；</w:t>
      </w:r>
    </w:p>
    <w:p>
      <w:pPr>
        <w:snapToGrid/>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17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⒄</w:t>
      </w:r>
      <w:r>
        <w:rPr>
          <w:rFonts w:ascii="仿宋" w:hAnsi="仿宋" w:cs="仿宋"/>
          <w:color w:val="auto"/>
          <w:szCs w:val="28"/>
        </w:rPr>
        <w:fldChar w:fldCharType="end"/>
      </w:r>
      <w:r>
        <w:rPr>
          <w:rFonts w:hint="eastAsia" w:ascii="仿宋" w:hAnsi="仿宋" w:cs="仿宋"/>
          <w:color w:val="auto"/>
          <w:szCs w:val="28"/>
        </w:rPr>
        <w:t>《突发环境事件应急监测技术规范》（HJ589-2010），2011年01月01日实施；</w:t>
      </w:r>
    </w:p>
    <w:p>
      <w:pPr>
        <w:snapToGrid/>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18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⒅</w:t>
      </w:r>
      <w:r>
        <w:rPr>
          <w:rFonts w:ascii="仿宋" w:hAnsi="仿宋" w:cs="仿宋"/>
          <w:color w:val="auto"/>
          <w:szCs w:val="28"/>
        </w:rPr>
        <w:fldChar w:fldCharType="end"/>
      </w:r>
      <w:r>
        <w:rPr>
          <w:rFonts w:hint="eastAsia" w:ascii="仿宋" w:hAnsi="仿宋" w:cs="仿宋"/>
          <w:color w:val="auto"/>
          <w:szCs w:val="28"/>
        </w:rPr>
        <w:t>《环境应急物资调查指南（试行）》（环办应急〔2019〕17号）。</w:t>
      </w:r>
    </w:p>
    <w:p>
      <w:pPr>
        <w:pStyle w:val="5"/>
        <w:snapToGrid/>
        <w:ind w:firstLine="0" w:firstLineChars="0"/>
        <w:rPr>
          <w:color w:val="auto"/>
        </w:rPr>
      </w:pPr>
      <w:bookmarkStart w:id="19" w:name="_Toc8178"/>
      <w:r>
        <w:rPr>
          <w:color w:val="auto"/>
        </w:rPr>
        <w:t>1.2.</w:t>
      </w:r>
      <w:r>
        <w:rPr>
          <w:rFonts w:hint="eastAsia"/>
          <w:color w:val="auto"/>
        </w:rPr>
        <w:t>3</w:t>
      </w:r>
      <w:r>
        <w:rPr>
          <w:color w:val="auto"/>
        </w:rPr>
        <w:t xml:space="preserve"> 技术</w:t>
      </w:r>
      <w:r>
        <w:rPr>
          <w:rFonts w:hint="eastAsia"/>
          <w:color w:val="auto"/>
        </w:rPr>
        <w:t>标准</w:t>
      </w:r>
      <w:bookmarkEnd w:id="19"/>
    </w:p>
    <w:p>
      <w:pPr>
        <w:snapToGrid/>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hint="eastAsia" w:ascii="仿宋" w:hAnsi="仿宋"/>
          <w:color w:val="auto"/>
          <w:szCs w:val="28"/>
        </w:rPr>
        <w:t>《环境空气质量标准》（GB 3095-2012）及其2</w:t>
      </w:r>
      <w:r>
        <w:rPr>
          <w:rFonts w:ascii="仿宋" w:hAnsi="仿宋"/>
          <w:color w:val="auto"/>
          <w:szCs w:val="28"/>
        </w:rPr>
        <w:t>018</w:t>
      </w:r>
      <w:r>
        <w:rPr>
          <w:rFonts w:hint="eastAsia" w:ascii="仿宋" w:hAnsi="仿宋"/>
          <w:color w:val="auto"/>
          <w:szCs w:val="28"/>
        </w:rPr>
        <w:t>年修改单；</w:t>
      </w:r>
    </w:p>
    <w:p>
      <w:pPr>
        <w:snapToGrid/>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⑵</w:t>
      </w:r>
      <w:r>
        <w:rPr>
          <w:rFonts w:ascii="仿宋" w:hAnsi="仿宋"/>
          <w:color w:val="auto"/>
          <w:szCs w:val="28"/>
        </w:rPr>
        <w:fldChar w:fldCharType="end"/>
      </w:r>
      <w:r>
        <w:rPr>
          <w:rFonts w:hint="eastAsia" w:ascii="仿宋" w:hAnsi="仿宋"/>
          <w:color w:val="auto"/>
          <w:szCs w:val="28"/>
        </w:rPr>
        <w:t>《地表水环境质量标准》（GB 3838-2002）；</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⑶</w:t>
      </w:r>
      <w:r>
        <w:rPr>
          <w:rFonts w:ascii="仿宋" w:hAnsi="仿宋"/>
          <w:color w:val="auto"/>
          <w:szCs w:val="28"/>
        </w:rPr>
        <w:fldChar w:fldCharType="end"/>
      </w:r>
      <w:r>
        <w:rPr>
          <w:rFonts w:hint="eastAsia" w:ascii="仿宋" w:hAnsi="仿宋"/>
          <w:color w:val="auto"/>
          <w:szCs w:val="28"/>
        </w:rPr>
        <w:t>《地下水质量标准》（GB/T 14848-2017）；</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⑷</w:t>
      </w:r>
      <w:r>
        <w:rPr>
          <w:rFonts w:ascii="仿宋" w:hAnsi="仿宋"/>
          <w:color w:val="auto"/>
          <w:szCs w:val="28"/>
        </w:rPr>
        <w:fldChar w:fldCharType="end"/>
      </w:r>
      <w:r>
        <w:rPr>
          <w:rFonts w:hint="eastAsia" w:ascii="仿宋" w:hAnsi="仿宋"/>
          <w:color w:val="auto"/>
          <w:szCs w:val="28"/>
        </w:rPr>
        <w:t>《锅炉大气污染物排放标准》（DB</w:t>
      </w:r>
      <w:r>
        <w:rPr>
          <w:rFonts w:ascii="仿宋" w:hAnsi="仿宋"/>
          <w:color w:val="auto"/>
          <w:szCs w:val="28"/>
        </w:rPr>
        <w:t>61/1226-2018</w:t>
      </w:r>
      <w:r>
        <w:rPr>
          <w:rFonts w:hint="eastAsia" w:ascii="仿宋" w:hAnsi="仿宋"/>
          <w:color w:val="auto"/>
          <w:szCs w:val="28"/>
        </w:rPr>
        <w:t>）；</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⑸</w:t>
      </w:r>
      <w:r>
        <w:rPr>
          <w:rFonts w:ascii="仿宋" w:hAnsi="仿宋"/>
          <w:color w:val="auto"/>
          <w:szCs w:val="28"/>
        </w:rPr>
        <w:fldChar w:fldCharType="end"/>
      </w:r>
      <w:r>
        <w:rPr>
          <w:rFonts w:hint="eastAsia" w:ascii="仿宋" w:hAnsi="仿宋"/>
          <w:color w:val="auto"/>
          <w:szCs w:val="28"/>
        </w:rPr>
        <w:t>《大气污染物综合排放标准》（GB16297-1996）；</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6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⑹</w:t>
      </w:r>
      <w:r>
        <w:rPr>
          <w:rFonts w:ascii="仿宋" w:hAnsi="仿宋"/>
          <w:color w:val="auto"/>
          <w:szCs w:val="28"/>
        </w:rPr>
        <w:fldChar w:fldCharType="end"/>
      </w:r>
      <w:r>
        <w:rPr>
          <w:rFonts w:hint="eastAsia" w:ascii="仿宋" w:hAnsi="仿宋"/>
          <w:color w:val="auto"/>
          <w:szCs w:val="28"/>
        </w:rPr>
        <w:t>《恶臭污染物排放标准》（GB 14554-1993）；</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7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⑺</w:t>
      </w:r>
      <w:r>
        <w:rPr>
          <w:rFonts w:ascii="仿宋" w:hAnsi="仿宋"/>
          <w:color w:val="auto"/>
          <w:szCs w:val="28"/>
        </w:rPr>
        <w:fldChar w:fldCharType="end"/>
      </w:r>
      <w:r>
        <w:rPr>
          <w:rFonts w:hint="eastAsia" w:ascii="仿宋" w:hAnsi="仿宋"/>
          <w:color w:val="auto"/>
          <w:szCs w:val="28"/>
        </w:rPr>
        <w:t>《污水综合排放标准》（GB 8978-</w:t>
      </w:r>
      <w:r>
        <w:rPr>
          <w:rFonts w:ascii="仿宋" w:hAnsi="仿宋"/>
          <w:color w:val="auto"/>
          <w:szCs w:val="28"/>
        </w:rPr>
        <w:t>1996</w:t>
      </w:r>
      <w:r>
        <w:rPr>
          <w:rFonts w:hint="eastAsia" w:ascii="仿宋" w:hAnsi="仿宋"/>
          <w:color w:val="auto"/>
          <w:szCs w:val="28"/>
        </w:rPr>
        <w:t>）；</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8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⑻</w:t>
      </w:r>
      <w:r>
        <w:rPr>
          <w:rFonts w:ascii="仿宋" w:hAnsi="仿宋"/>
          <w:color w:val="auto"/>
          <w:szCs w:val="28"/>
        </w:rPr>
        <w:fldChar w:fldCharType="end"/>
      </w:r>
      <w:r>
        <w:rPr>
          <w:rFonts w:hint="eastAsia" w:ascii="仿宋" w:hAnsi="仿宋"/>
          <w:color w:val="auto"/>
          <w:szCs w:val="28"/>
        </w:rPr>
        <w:t>《一般工业固体废物贮存、处置场污染控制标准》（GB18599-2001）及国家污染物控制标准修改单；</w:t>
      </w:r>
    </w:p>
    <w:p>
      <w:pPr>
        <w:pStyle w:val="39"/>
        <w:snapToGrid/>
        <w:spacing w:after="0"/>
        <w:ind w:left="0" w:leftChars="0" w:firstLine="560"/>
        <w:rPr>
          <w:rFonts w:ascii="仿宋" w:hAnsi="仿宋"/>
          <w:color w:val="auto"/>
          <w:sz w:val="28"/>
          <w:szCs w:val="28"/>
        </w:rPr>
      </w:pPr>
      <w:r>
        <w:rPr>
          <w:rFonts w:ascii="仿宋" w:hAnsi="仿宋"/>
          <w:color w:val="auto"/>
          <w:sz w:val="28"/>
          <w:szCs w:val="28"/>
        </w:rPr>
        <w:fldChar w:fldCharType="begin"/>
      </w:r>
      <w:r>
        <w:rPr>
          <w:rFonts w:ascii="仿宋" w:hAnsi="仿宋"/>
          <w:color w:val="auto"/>
          <w:sz w:val="28"/>
          <w:szCs w:val="28"/>
        </w:rPr>
        <w:instrText xml:space="preserve"> </w:instrText>
      </w:r>
      <w:r>
        <w:rPr>
          <w:rFonts w:hint="eastAsia" w:ascii="仿宋" w:hAnsi="仿宋"/>
          <w:color w:val="auto"/>
          <w:sz w:val="28"/>
          <w:szCs w:val="28"/>
        </w:rPr>
        <w:instrText xml:space="preserve">= 9 \* GB2</w:instrText>
      </w:r>
      <w:r>
        <w:rPr>
          <w:rFonts w:ascii="仿宋" w:hAnsi="仿宋"/>
          <w:color w:val="auto"/>
          <w:sz w:val="28"/>
          <w:szCs w:val="28"/>
        </w:rPr>
        <w:instrText xml:space="preserve"> </w:instrText>
      </w:r>
      <w:r>
        <w:rPr>
          <w:rFonts w:ascii="仿宋" w:hAnsi="仿宋"/>
          <w:color w:val="auto"/>
          <w:sz w:val="28"/>
          <w:szCs w:val="28"/>
        </w:rPr>
        <w:fldChar w:fldCharType="separate"/>
      </w:r>
      <w:r>
        <w:rPr>
          <w:rFonts w:hint="eastAsia" w:ascii="仿宋" w:hAnsi="仿宋"/>
          <w:color w:val="auto"/>
          <w:sz w:val="28"/>
          <w:szCs w:val="28"/>
        </w:rPr>
        <w:t>⑼</w:t>
      </w:r>
      <w:r>
        <w:rPr>
          <w:rFonts w:ascii="仿宋" w:hAnsi="仿宋"/>
          <w:color w:val="auto"/>
          <w:sz w:val="28"/>
          <w:szCs w:val="28"/>
        </w:rPr>
        <w:fldChar w:fldCharType="end"/>
      </w:r>
      <w:r>
        <w:rPr>
          <w:rFonts w:hint="eastAsia" w:ascii="仿宋" w:hAnsi="仿宋"/>
          <w:color w:val="auto"/>
          <w:sz w:val="28"/>
          <w:szCs w:val="28"/>
        </w:rPr>
        <w:t>《危险废物贮存污染控制标准》（GB18597-2001）及修改单的有关规定要求；</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10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⑽</w:t>
      </w:r>
      <w:r>
        <w:rPr>
          <w:rFonts w:ascii="仿宋" w:hAnsi="仿宋"/>
          <w:color w:val="auto"/>
          <w:szCs w:val="28"/>
        </w:rPr>
        <w:fldChar w:fldCharType="end"/>
      </w:r>
      <w:r>
        <w:rPr>
          <w:rFonts w:hint="eastAsia" w:ascii="仿宋" w:hAnsi="仿宋"/>
          <w:color w:val="auto"/>
          <w:szCs w:val="28"/>
        </w:rPr>
        <w:t>《建设项目环境风险评估技术导则》（HJ/T 169-2018）；</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⑾</w:t>
      </w:r>
      <w:r>
        <w:rPr>
          <w:rFonts w:ascii="仿宋" w:hAnsi="仿宋"/>
          <w:color w:val="auto"/>
          <w:szCs w:val="28"/>
        </w:rPr>
        <w:fldChar w:fldCharType="end"/>
      </w:r>
      <w:r>
        <w:rPr>
          <w:rFonts w:hint="eastAsia" w:ascii="仿宋" w:hAnsi="仿宋"/>
          <w:color w:val="auto"/>
          <w:szCs w:val="28"/>
        </w:rPr>
        <w:t>《建筑设计防火规范》（GB 50016—2014 2018年版）；</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⑿</w:t>
      </w:r>
      <w:r>
        <w:rPr>
          <w:rFonts w:ascii="仿宋" w:hAnsi="仿宋"/>
          <w:color w:val="auto"/>
          <w:szCs w:val="28"/>
        </w:rPr>
        <w:fldChar w:fldCharType="end"/>
      </w:r>
      <w:r>
        <w:rPr>
          <w:rFonts w:hint="eastAsia" w:ascii="仿宋" w:hAnsi="仿宋"/>
          <w:color w:val="auto"/>
          <w:szCs w:val="28"/>
        </w:rPr>
        <w:t>《火力发电厂与变电站设计防火规范》（GB 50229-2019）；</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⒀</w:t>
      </w:r>
      <w:r>
        <w:rPr>
          <w:rFonts w:ascii="仿宋" w:hAnsi="仿宋"/>
          <w:color w:val="auto"/>
          <w:szCs w:val="28"/>
        </w:rPr>
        <w:fldChar w:fldCharType="end"/>
      </w:r>
      <w:r>
        <w:rPr>
          <w:rFonts w:hint="eastAsia" w:ascii="仿宋" w:hAnsi="仿宋"/>
          <w:color w:val="auto"/>
          <w:szCs w:val="28"/>
        </w:rPr>
        <w:t>《储罐区防火堤设计规范》（GB50351-2014 ）；</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⒁</w:t>
      </w:r>
      <w:r>
        <w:rPr>
          <w:rFonts w:ascii="仿宋" w:hAnsi="仿宋"/>
          <w:color w:val="auto"/>
          <w:szCs w:val="28"/>
        </w:rPr>
        <w:fldChar w:fldCharType="end"/>
      </w:r>
      <w:r>
        <w:rPr>
          <w:rFonts w:hint="eastAsia" w:ascii="仿宋" w:hAnsi="仿宋"/>
          <w:color w:val="auto"/>
          <w:szCs w:val="28"/>
        </w:rPr>
        <w:t>《石油化工企业设计防火规范》（GB50160-2008）；</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⒂</w:t>
      </w:r>
      <w:r>
        <w:rPr>
          <w:rFonts w:ascii="仿宋" w:hAnsi="仿宋"/>
          <w:color w:val="auto"/>
          <w:szCs w:val="28"/>
        </w:rPr>
        <w:fldChar w:fldCharType="end"/>
      </w:r>
      <w:r>
        <w:rPr>
          <w:rFonts w:hint="eastAsia" w:ascii="仿宋" w:hAnsi="仿宋"/>
          <w:color w:val="auto"/>
          <w:szCs w:val="28"/>
        </w:rPr>
        <w:t>《事故状态下水体污染的预防与控制技术要求》（Q/SY1190-2013）；</w:t>
      </w:r>
    </w:p>
    <w:p>
      <w:pPr>
        <w:pStyle w:val="39"/>
        <w:snapToGrid/>
        <w:spacing w:after="0"/>
        <w:ind w:left="0" w:leftChars="0" w:firstLine="560"/>
        <w:rPr>
          <w:color w:val="auto"/>
          <w:sz w:val="28"/>
          <w:szCs w:val="28"/>
        </w:rPr>
      </w:pPr>
      <w:r>
        <w:rPr>
          <w:color w:val="auto"/>
          <w:sz w:val="28"/>
          <w:szCs w:val="28"/>
        </w:rPr>
        <w:fldChar w:fldCharType="begin"/>
      </w:r>
      <w:r>
        <w:rPr>
          <w:color w:val="auto"/>
          <w:sz w:val="28"/>
          <w:szCs w:val="28"/>
        </w:rPr>
        <w:instrText xml:space="preserve"> </w:instrText>
      </w:r>
      <w:r>
        <w:rPr>
          <w:rFonts w:hint="eastAsia"/>
          <w:color w:val="auto"/>
          <w:sz w:val="28"/>
          <w:szCs w:val="28"/>
        </w:rPr>
        <w:instrText xml:space="preserve">= 16 \* GB2</w:instrText>
      </w:r>
      <w:r>
        <w:rPr>
          <w:color w:val="auto"/>
          <w:sz w:val="28"/>
          <w:szCs w:val="28"/>
        </w:rPr>
        <w:instrText xml:space="preserve"> </w:instrText>
      </w:r>
      <w:r>
        <w:rPr>
          <w:color w:val="auto"/>
          <w:sz w:val="28"/>
          <w:szCs w:val="28"/>
        </w:rPr>
        <w:fldChar w:fldCharType="separate"/>
      </w:r>
      <w:r>
        <w:rPr>
          <w:rFonts w:hint="eastAsia"/>
          <w:color w:val="auto"/>
          <w:sz w:val="28"/>
          <w:szCs w:val="28"/>
        </w:rPr>
        <w:t>⒃</w:t>
      </w:r>
      <w:r>
        <w:rPr>
          <w:color w:val="auto"/>
          <w:sz w:val="28"/>
          <w:szCs w:val="28"/>
        </w:rPr>
        <w:fldChar w:fldCharType="end"/>
      </w:r>
      <w:r>
        <w:rPr>
          <w:rFonts w:hint="eastAsia"/>
          <w:color w:val="auto"/>
          <w:sz w:val="28"/>
          <w:szCs w:val="28"/>
        </w:rPr>
        <w:t>《火力发电企业生产安全设施配置》（DL/T 1123-2009）；</w:t>
      </w:r>
    </w:p>
    <w:p>
      <w:pPr>
        <w:pStyle w:val="38"/>
        <w:ind w:firstLine="560" w:firstLineChars="200"/>
        <w:rPr>
          <w:rFonts w:hint="default" w:ascii="仿宋" w:hAnsi="仿宋" w:eastAsia="仿宋"/>
          <w:color w:val="auto"/>
          <w:sz w:val="28"/>
          <w:szCs w:val="28"/>
          <w:lang w:eastAsia="zh-CN"/>
        </w:rPr>
      </w:pPr>
      <w:r>
        <w:rPr>
          <w:rFonts w:hint="default" w:ascii="仿宋" w:hAnsi="仿宋" w:eastAsia="仿宋"/>
          <w:color w:val="auto"/>
          <w:sz w:val="28"/>
          <w:szCs w:val="28"/>
          <w:lang w:eastAsia="zh-CN"/>
        </w:rPr>
        <w:fldChar w:fldCharType="begin"/>
      </w:r>
      <w:r>
        <w:rPr>
          <w:rFonts w:hint="default" w:ascii="仿宋" w:hAnsi="仿宋" w:eastAsia="仿宋"/>
          <w:color w:val="auto"/>
          <w:sz w:val="28"/>
          <w:szCs w:val="28"/>
          <w:lang w:eastAsia="zh-CN"/>
        </w:rPr>
        <w:instrText xml:space="preserve"> </w:instrText>
      </w:r>
      <w:r>
        <w:rPr>
          <w:rFonts w:ascii="仿宋" w:hAnsi="仿宋" w:eastAsia="仿宋"/>
          <w:color w:val="auto"/>
          <w:sz w:val="28"/>
          <w:szCs w:val="28"/>
          <w:lang w:eastAsia="zh-CN"/>
        </w:rPr>
        <w:instrText xml:space="preserve">= 17 \* GB2</w:instrText>
      </w:r>
      <w:r>
        <w:rPr>
          <w:rFonts w:hint="default" w:ascii="仿宋" w:hAnsi="仿宋" w:eastAsia="仿宋"/>
          <w:color w:val="auto"/>
          <w:sz w:val="28"/>
          <w:szCs w:val="28"/>
          <w:lang w:eastAsia="zh-CN"/>
        </w:rPr>
        <w:instrText xml:space="preserve"> </w:instrText>
      </w:r>
      <w:r>
        <w:rPr>
          <w:rFonts w:hint="default" w:ascii="仿宋" w:hAnsi="仿宋" w:eastAsia="仿宋"/>
          <w:color w:val="auto"/>
          <w:sz w:val="28"/>
          <w:szCs w:val="28"/>
          <w:lang w:eastAsia="zh-CN"/>
        </w:rPr>
        <w:fldChar w:fldCharType="separate"/>
      </w:r>
      <w:r>
        <w:rPr>
          <w:rFonts w:ascii="仿宋" w:hAnsi="仿宋" w:eastAsia="仿宋"/>
          <w:color w:val="auto"/>
          <w:sz w:val="28"/>
          <w:szCs w:val="28"/>
          <w:lang w:eastAsia="zh-CN"/>
        </w:rPr>
        <w:t>⒄</w:t>
      </w:r>
      <w:r>
        <w:rPr>
          <w:rFonts w:hint="default" w:ascii="仿宋" w:hAnsi="仿宋" w:eastAsia="仿宋"/>
          <w:color w:val="auto"/>
          <w:sz w:val="28"/>
          <w:szCs w:val="28"/>
          <w:lang w:eastAsia="zh-CN"/>
        </w:rPr>
        <w:fldChar w:fldCharType="end"/>
      </w:r>
      <w:r>
        <w:rPr>
          <w:rFonts w:ascii="仿宋" w:hAnsi="仿宋" w:eastAsia="仿宋"/>
          <w:color w:val="auto"/>
          <w:sz w:val="28"/>
          <w:szCs w:val="28"/>
          <w:lang w:eastAsia="zh-CN"/>
        </w:rPr>
        <w:t>《电力企业综合应急预案编制导则（试行）》（电监安全〔2009〕22号）；</w:t>
      </w:r>
    </w:p>
    <w:p>
      <w:pPr>
        <w:pStyle w:val="38"/>
        <w:ind w:firstLine="560" w:firstLineChars="200"/>
        <w:rPr>
          <w:rFonts w:hint="default" w:ascii="仿宋" w:hAnsi="仿宋" w:eastAsia="仿宋"/>
          <w:color w:val="auto"/>
          <w:sz w:val="28"/>
          <w:szCs w:val="28"/>
          <w:lang w:eastAsia="zh-CN"/>
        </w:rPr>
      </w:pPr>
      <w:r>
        <w:rPr>
          <w:rFonts w:hint="default" w:ascii="仿宋" w:hAnsi="仿宋" w:eastAsia="仿宋"/>
          <w:color w:val="auto"/>
          <w:sz w:val="28"/>
          <w:szCs w:val="28"/>
          <w:lang w:eastAsia="zh-CN"/>
        </w:rPr>
        <w:fldChar w:fldCharType="begin"/>
      </w:r>
      <w:r>
        <w:rPr>
          <w:rFonts w:hint="default" w:ascii="仿宋" w:hAnsi="仿宋" w:eastAsia="仿宋"/>
          <w:color w:val="auto"/>
          <w:sz w:val="28"/>
          <w:szCs w:val="28"/>
          <w:lang w:eastAsia="zh-CN"/>
        </w:rPr>
        <w:instrText xml:space="preserve"> </w:instrText>
      </w:r>
      <w:r>
        <w:rPr>
          <w:rFonts w:ascii="仿宋" w:hAnsi="仿宋" w:eastAsia="仿宋"/>
          <w:color w:val="auto"/>
          <w:sz w:val="28"/>
          <w:szCs w:val="28"/>
          <w:lang w:eastAsia="zh-CN"/>
        </w:rPr>
        <w:instrText xml:space="preserve">= 18 \* GB2</w:instrText>
      </w:r>
      <w:r>
        <w:rPr>
          <w:rFonts w:hint="default" w:ascii="仿宋" w:hAnsi="仿宋" w:eastAsia="仿宋"/>
          <w:color w:val="auto"/>
          <w:sz w:val="28"/>
          <w:szCs w:val="28"/>
          <w:lang w:eastAsia="zh-CN"/>
        </w:rPr>
        <w:instrText xml:space="preserve"> </w:instrText>
      </w:r>
      <w:r>
        <w:rPr>
          <w:rFonts w:hint="default" w:ascii="仿宋" w:hAnsi="仿宋" w:eastAsia="仿宋"/>
          <w:color w:val="auto"/>
          <w:sz w:val="28"/>
          <w:szCs w:val="28"/>
          <w:lang w:eastAsia="zh-CN"/>
        </w:rPr>
        <w:fldChar w:fldCharType="separate"/>
      </w:r>
      <w:r>
        <w:rPr>
          <w:rFonts w:ascii="仿宋" w:hAnsi="仿宋" w:eastAsia="仿宋"/>
          <w:color w:val="auto"/>
          <w:sz w:val="28"/>
          <w:szCs w:val="28"/>
          <w:lang w:eastAsia="zh-CN"/>
        </w:rPr>
        <w:t>⒅</w:t>
      </w:r>
      <w:r>
        <w:rPr>
          <w:rFonts w:hint="default" w:ascii="仿宋" w:hAnsi="仿宋" w:eastAsia="仿宋"/>
          <w:color w:val="auto"/>
          <w:sz w:val="28"/>
          <w:szCs w:val="28"/>
          <w:lang w:eastAsia="zh-CN"/>
        </w:rPr>
        <w:fldChar w:fldCharType="end"/>
      </w:r>
      <w:r>
        <w:rPr>
          <w:rFonts w:ascii="仿宋" w:hAnsi="仿宋" w:eastAsia="仿宋"/>
          <w:color w:val="auto"/>
          <w:sz w:val="28"/>
          <w:szCs w:val="28"/>
          <w:lang w:eastAsia="zh-CN"/>
        </w:rPr>
        <w:t>《危险化学品应急救援指南》（ERG 2004）；</w:t>
      </w:r>
    </w:p>
    <w:p>
      <w:pPr>
        <w:pStyle w:val="38"/>
        <w:ind w:firstLine="560" w:firstLineChars="200"/>
        <w:rPr>
          <w:rFonts w:hint="default" w:ascii="仿宋" w:hAnsi="仿宋" w:eastAsia="仿宋"/>
          <w:color w:val="auto"/>
          <w:sz w:val="28"/>
          <w:szCs w:val="28"/>
          <w:lang w:eastAsia="zh-CN"/>
        </w:rPr>
      </w:pPr>
      <w:r>
        <w:rPr>
          <w:rFonts w:hint="default" w:ascii="仿宋" w:hAnsi="仿宋" w:eastAsia="仿宋"/>
          <w:color w:val="auto"/>
          <w:sz w:val="28"/>
          <w:szCs w:val="28"/>
          <w:lang w:eastAsia="zh-CN"/>
        </w:rPr>
        <w:fldChar w:fldCharType="begin"/>
      </w:r>
      <w:r>
        <w:rPr>
          <w:rFonts w:hint="default" w:ascii="仿宋" w:hAnsi="仿宋" w:eastAsia="仿宋"/>
          <w:color w:val="auto"/>
          <w:sz w:val="28"/>
          <w:szCs w:val="28"/>
          <w:lang w:eastAsia="zh-CN"/>
        </w:rPr>
        <w:instrText xml:space="preserve"> </w:instrText>
      </w:r>
      <w:r>
        <w:rPr>
          <w:rFonts w:ascii="仿宋" w:hAnsi="仿宋" w:eastAsia="仿宋"/>
          <w:color w:val="auto"/>
          <w:sz w:val="28"/>
          <w:szCs w:val="28"/>
          <w:lang w:eastAsia="zh-CN"/>
        </w:rPr>
        <w:instrText xml:space="preserve">= 19 \* GB2</w:instrText>
      </w:r>
      <w:r>
        <w:rPr>
          <w:rFonts w:hint="default" w:ascii="仿宋" w:hAnsi="仿宋" w:eastAsia="仿宋"/>
          <w:color w:val="auto"/>
          <w:sz w:val="28"/>
          <w:szCs w:val="28"/>
          <w:lang w:eastAsia="zh-CN"/>
        </w:rPr>
        <w:instrText xml:space="preserve"> </w:instrText>
      </w:r>
      <w:r>
        <w:rPr>
          <w:rFonts w:hint="default" w:ascii="仿宋" w:hAnsi="仿宋" w:eastAsia="仿宋"/>
          <w:color w:val="auto"/>
          <w:sz w:val="28"/>
          <w:szCs w:val="28"/>
          <w:lang w:eastAsia="zh-CN"/>
        </w:rPr>
        <w:fldChar w:fldCharType="separate"/>
      </w:r>
      <w:r>
        <w:rPr>
          <w:rFonts w:ascii="仿宋" w:hAnsi="仿宋" w:eastAsia="仿宋"/>
          <w:color w:val="auto"/>
          <w:sz w:val="28"/>
          <w:szCs w:val="28"/>
          <w:lang w:eastAsia="zh-CN"/>
        </w:rPr>
        <w:t>⒆</w:t>
      </w:r>
      <w:r>
        <w:rPr>
          <w:rFonts w:hint="default" w:ascii="仿宋" w:hAnsi="仿宋" w:eastAsia="仿宋"/>
          <w:color w:val="auto"/>
          <w:sz w:val="28"/>
          <w:szCs w:val="28"/>
          <w:lang w:eastAsia="zh-CN"/>
        </w:rPr>
        <w:fldChar w:fldCharType="end"/>
      </w:r>
      <w:r>
        <w:rPr>
          <w:rFonts w:ascii="仿宋" w:hAnsi="仿宋" w:eastAsia="仿宋"/>
          <w:color w:val="auto"/>
          <w:sz w:val="28"/>
          <w:szCs w:val="28"/>
          <w:lang w:eastAsia="zh-CN"/>
        </w:rPr>
        <w:t>《氢气站设计规范》（GB 50177-2005）；</w:t>
      </w:r>
    </w:p>
    <w:p>
      <w:pPr>
        <w:pStyle w:val="38"/>
        <w:ind w:firstLine="560" w:firstLineChars="200"/>
        <w:rPr>
          <w:rFonts w:hint="default" w:ascii="仿宋" w:hAnsi="仿宋" w:eastAsia="仿宋"/>
          <w:color w:val="auto"/>
          <w:sz w:val="28"/>
          <w:szCs w:val="28"/>
          <w:lang w:eastAsia="zh-CN"/>
        </w:rPr>
      </w:pPr>
      <w:r>
        <w:rPr>
          <w:rFonts w:hint="default" w:ascii="仿宋" w:hAnsi="仿宋" w:eastAsia="仿宋"/>
          <w:color w:val="auto"/>
          <w:sz w:val="28"/>
          <w:szCs w:val="28"/>
          <w:lang w:eastAsia="zh-CN"/>
        </w:rPr>
        <w:fldChar w:fldCharType="begin"/>
      </w:r>
      <w:r>
        <w:rPr>
          <w:rFonts w:hint="default" w:ascii="仿宋" w:hAnsi="仿宋" w:eastAsia="仿宋"/>
          <w:color w:val="auto"/>
          <w:sz w:val="28"/>
          <w:szCs w:val="28"/>
          <w:lang w:eastAsia="zh-CN"/>
        </w:rPr>
        <w:instrText xml:space="preserve"> </w:instrText>
      </w:r>
      <w:r>
        <w:rPr>
          <w:rFonts w:ascii="仿宋" w:hAnsi="仿宋" w:eastAsia="仿宋"/>
          <w:color w:val="auto"/>
          <w:sz w:val="28"/>
          <w:szCs w:val="28"/>
          <w:lang w:eastAsia="zh-CN"/>
        </w:rPr>
        <w:instrText xml:space="preserve">= 20 \* GB2</w:instrText>
      </w:r>
      <w:r>
        <w:rPr>
          <w:rFonts w:hint="default" w:ascii="仿宋" w:hAnsi="仿宋" w:eastAsia="仿宋"/>
          <w:color w:val="auto"/>
          <w:sz w:val="28"/>
          <w:szCs w:val="28"/>
          <w:lang w:eastAsia="zh-CN"/>
        </w:rPr>
        <w:instrText xml:space="preserve"> </w:instrText>
      </w:r>
      <w:r>
        <w:rPr>
          <w:rFonts w:hint="default" w:ascii="仿宋" w:hAnsi="仿宋" w:eastAsia="仿宋"/>
          <w:color w:val="auto"/>
          <w:sz w:val="28"/>
          <w:szCs w:val="28"/>
          <w:lang w:eastAsia="zh-CN"/>
        </w:rPr>
        <w:fldChar w:fldCharType="separate"/>
      </w:r>
      <w:r>
        <w:rPr>
          <w:rFonts w:ascii="仿宋" w:hAnsi="仿宋" w:eastAsia="仿宋"/>
          <w:color w:val="auto"/>
          <w:sz w:val="28"/>
          <w:szCs w:val="28"/>
          <w:lang w:eastAsia="zh-CN"/>
        </w:rPr>
        <w:t>⒇</w:t>
      </w:r>
      <w:r>
        <w:rPr>
          <w:rFonts w:hint="default" w:ascii="仿宋" w:hAnsi="仿宋" w:eastAsia="仿宋"/>
          <w:color w:val="auto"/>
          <w:sz w:val="28"/>
          <w:szCs w:val="28"/>
          <w:lang w:eastAsia="zh-CN"/>
        </w:rPr>
        <w:fldChar w:fldCharType="end"/>
      </w:r>
      <w:r>
        <w:rPr>
          <w:rFonts w:ascii="仿宋" w:hAnsi="仿宋" w:eastAsia="仿宋"/>
          <w:color w:val="auto"/>
          <w:sz w:val="28"/>
          <w:szCs w:val="28"/>
          <w:lang w:eastAsia="zh-CN"/>
        </w:rPr>
        <w:t>《化工建设项目环境保护设计规范》（GB50483-2009）；</w:t>
      </w:r>
    </w:p>
    <w:p>
      <w:pPr>
        <w:ind w:firstLine="480"/>
        <w:rPr>
          <w:rFonts w:ascii="仿宋" w:hAnsi="仿宋"/>
          <w:color w:val="auto"/>
          <w:szCs w:val="28"/>
        </w:rPr>
      </w:pPr>
      <w:r>
        <w:rPr>
          <w:rFonts w:hint="eastAsia" w:ascii="仿宋" w:hAnsi="仿宋"/>
          <w:color w:val="auto"/>
          <w:sz w:val="24"/>
        </w:rPr>
        <w:t>(</w:t>
      </w:r>
      <w:r>
        <w:rPr>
          <w:rFonts w:ascii="仿宋" w:hAnsi="仿宋"/>
          <w:color w:val="auto"/>
          <w:sz w:val="24"/>
        </w:rPr>
        <w:t>21)</w:t>
      </w:r>
      <w:r>
        <w:rPr>
          <w:rFonts w:hint="eastAsia" w:ascii="仿宋" w:hAnsi="仿宋"/>
          <w:color w:val="auto"/>
          <w:szCs w:val="28"/>
        </w:rPr>
        <w:t>《土壤环境质量建设用地土壤污染风险管控标准（试行）》（GB36600-2018）；</w:t>
      </w:r>
    </w:p>
    <w:p>
      <w:pPr>
        <w:ind w:firstLine="480"/>
        <w:rPr>
          <w:rFonts w:ascii="仿宋" w:hAnsi="仿宋"/>
          <w:color w:val="auto"/>
          <w:szCs w:val="28"/>
        </w:rPr>
      </w:pPr>
      <w:r>
        <w:rPr>
          <w:rFonts w:hint="eastAsia" w:ascii="仿宋" w:hAnsi="仿宋"/>
          <w:color w:val="auto"/>
          <w:sz w:val="24"/>
        </w:rPr>
        <w:t>(</w:t>
      </w:r>
      <w:r>
        <w:rPr>
          <w:rFonts w:ascii="仿宋" w:hAnsi="仿宋"/>
          <w:color w:val="auto"/>
          <w:sz w:val="24"/>
        </w:rPr>
        <w:t>22)</w:t>
      </w:r>
      <w:r>
        <w:rPr>
          <w:rFonts w:hint="eastAsia" w:ascii="仿宋" w:hAnsi="仿宋"/>
          <w:color w:val="auto"/>
          <w:szCs w:val="28"/>
        </w:rPr>
        <w:t>《工业企业设计卫生标准》（GBZ1-2010）。</w:t>
      </w:r>
    </w:p>
    <w:p>
      <w:pPr>
        <w:ind w:firstLine="562"/>
        <w:rPr>
          <w:rFonts w:ascii="仿宋" w:hAnsi="仿宋"/>
          <w:b/>
          <w:bCs/>
          <w:color w:val="auto"/>
          <w:szCs w:val="28"/>
        </w:rPr>
      </w:pPr>
      <w:r>
        <w:rPr>
          <w:rFonts w:hint="eastAsia" w:ascii="仿宋" w:hAnsi="仿宋"/>
          <w:b/>
          <w:bCs/>
          <w:color w:val="auto"/>
          <w:szCs w:val="28"/>
        </w:rPr>
        <w:t>1.2.4相关资料</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hint="eastAsia" w:ascii="仿宋" w:hAnsi="仿宋"/>
          <w:color w:val="auto"/>
          <w:szCs w:val="28"/>
        </w:rPr>
        <w:t>《陕西渭河发电有限公司电力生产突发事件（事故）应急预案》，2017年4月；</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⑵</w:t>
      </w:r>
      <w:r>
        <w:rPr>
          <w:rFonts w:ascii="仿宋" w:hAnsi="仿宋"/>
          <w:color w:val="auto"/>
          <w:szCs w:val="28"/>
        </w:rPr>
        <w:fldChar w:fldCharType="end"/>
      </w:r>
      <w:r>
        <w:rPr>
          <w:rFonts w:hint="eastAsia" w:ascii="仿宋" w:hAnsi="仿宋"/>
          <w:color w:val="auto"/>
          <w:szCs w:val="28"/>
        </w:rPr>
        <w:t>《陕西渭河发电有限公司突发环境事件应急预案》，2017年4月；</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⑶</w:t>
      </w:r>
      <w:r>
        <w:rPr>
          <w:rFonts w:ascii="仿宋" w:hAnsi="仿宋"/>
          <w:color w:val="auto"/>
          <w:szCs w:val="28"/>
        </w:rPr>
        <w:fldChar w:fldCharType="end"/>
      </w:r>
      <w:r>
        <w:rPr>
          <w:rFonts w:hint="eastAsia" w:ascii="仿宋" w:hAnsi="仿宋"/>
          <w:color w:val="auto"/>
          <w:szCs w:val="28"/>
        </w:rPr>
        <w:t>《陕西渭河发电有限公司应急预案事故风险评估报告》，2017年4月；</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⑷</w:t>
      </w:r>
      <w:r>
        <w:rPr>
          <w:rFonts w:ascii="仿宋" w:hAnsi="仿宋"/>
          <w:color w:val="auto"/>
          <w:szCs w:val="28"/>
        </w:rPr>
        <w:fldChar w:fldCharType="end"/>
      </w:r>
      <w:r>
        <w:rPr>
          <w:rFonts w:hint="eastAsia" w:ascii="仿宋" w:hAnsi="仿宋"/>
          <w:color w:val="auto"/>
          <w:szCs w:val="28"/>
        </w:rPr>
        <w:t>《陕西渭河发电有限公司突发环境事件应急预案风险评估报告》，20</w:t>
      </w:r>
      <w:r>
        <w:rPr>
          <w:rFonts w:ascii="仿宋" w:hAnsi="仿宋"/>
          <w:color w:val="auto"/>
          <w:szCs w:val="28"/>
        </w:rPr>
        <w:t>20</w:t>
      </w:r>
      <w:r>
        <w:rPr>
          <w:rFonts w:hint="eastAsia" w:ascii="仿宋" w:hAnsi="仿宋"/>
          <w:color w:val="auto"/>
          <w:szCs w:val="28"/>
        </w:rPr>
        <w:t>年</w:t>
      </w:r>
      <w:r>
        <w:rPr>
          <w:rFonts w:ascii="仿宋" w:hAnsi="仿宋"/>
          <w:color w:val="auto"/>
          <w:szCs w:val="28"/>
        </w:rPr>
        <w:t>12</w:t>
      </w:r>
      <w:r>
        <w:rPr>
          <w:rFonts w:hint="eastAsia" w:ascii="仿宋" w:hAnsi="仿宋"/>
          <w:color w:val="auto"/>
          <w:szCs w:val="28"/>
        </w:rPr>
        <w:t>月；</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⑸</w:t>
      </w:r>
      <w:r>
        <w:rPr>
          <w:rFonts w:ascii="仿宋" w:hAnsi="仿宋"/>
          <w:color w:val="auto"/>
          <w:szCs w:val="28"/>
        </w:rPr>
        <w:fldChar w:fldCharType="end"/>
      </w:r>
      <w:r>
        <w:rPr>
          <w:rFonts w:hint="eastAsia" w:ascii="仿宋" w:hAnsi="仿宋"/>
          <w:color w:val="auto"/>
          <w:szCs w:val="28"/>
        </w:rPr>
        <w:t>《陕西渭河发电有限公司突发环境事件应急预案应急资源调查报告》，20</w:t>
      </w:r>
      <w:r>
        <w:rPr>
          <w:rFonts w:ascii="仿宋" w:hAnsi="仿宋"/>
          <w:color w:val="auto"/>
          <w:szCs w:val="28"/>
        </w:rPr>
        <w:t>20</w:t>
      </w:r>
      <w:r>
        <w:rPr>
          <w:rFonts w:hint="eastAsia" w:ascii="仿宋" w:hAnsi="仿宋"/>
          <w:color w:val="auto"/>
          <w:szCs w:val="28"/>
        </w:rPr>
        <w:t>年</w:t>
      </w:r>
      <w:r>
        <w:rPr>
          <w:rFonts w:ascii="仿宋" w:hAnsi="仿宋"/>
          <w:color w:val="auto"/>
          <w:szCs w:val="28"/>
        </w:rPr>
        <w:t>12</w:t>
      </w:r>
      <w:r>
        <w:rPr>
          <w:rFonts w:hint="eastAsia" w:ascii="仿宋" w:hAnsi="仿宋"/>
          <w:color w:val="auto"/>
          <w:szCs w:val="28"/>
        </w:rPr>
        <w:t>月；</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6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⑹</w:t>
      </w:r>
      <w:r>
        <w:rPr>
          <w:rFonts w:ascii="仿宋" w:hAnsi="仿宋"/>
          <w:color w:val="auto"/>
          <w:szCs w:val="28"/>
        </w:rPr>
        <w:fldChar w:fldCharType="end"/>
      </w:r>
      <w:r>
        <w:rPr>
          <w:rFonts w:hint="eastAsia" w:ascii="仿宋" w:hAnsi="仿宋"/>
          <w:color w:val="auto"/>
          <w:szCs w:val="28"/>
        </w:rPr>
        <w:t>陕西渭河发电有限公司其他的相关技术资料。</w:t>
      </w:r>
    </w:p>
    <w:p>
      <w:pPr>
        <w:pStyle w:val="4"/>
        <w:rPr>
          <w:color w:val="auto"/>
          <w:szCs w:val="28"/>
        </w:rPr>
      </w:pPr>
      <w:bookmarkStart w:id="20" w:name="_Toc31107"/>
      <w:bookmarkStart w:id="21" w:name="_Toc490845146"/>
      <w:bookmarkStart w:id="22" w:name="_Toc406094283"/>
      <w:bookmarkStart w:id="23" w:name="_Toc421196181"/>
      <w:bookmarkStart w:id="24" w:name="_Toc393375434"/>
      <w:r>
        <w:rPr>
          <w:color w:val="auto"/>
          <w:szCs w:val="28"/>
        </w:rPr>
        <w:t>1.3 事件分级</w:t>
      </w:r>
      <w:bookmarkEnd w:id="20"/>
      <w:bookmarkEnd w:id="21"/>
    </w:p>
    <w:p>
      <w:pPr>
        <w:pStyle w:val="5"/>
        <w:ind w:firstLine="0" w:firstLineChars="0"/>
        <w:rPr>
          <w:color w:val="auto"/>
        </w:rPr>
      </w:pPr>
      <w:bookmarkStart w:id="25" w:name="_Toc490845147"/>
      <w:bookmarkStart w:id="26" w:name="_Toc6917"/>
      <w:r>
        <w:rPr>
          <w:color w:val="auto"/>
        </w:rPr>
        <w:t>1.3.1标准分级</w:t>
      </w:r>
      <w:bookmarkEnd w:id="25"/>
      <w:bookmarkEnd w:id="26"/>
    </w:p>
    <w:p>
      <w:pPr>
        <w:ind w:firstLine="560"/>
        <w:rPr>
          <w:color w:val="auto"/>
        </w:rPr>
      </w:pPr>
      <w:r>
        <w:rPr>
          <w:color w:val="auto"/>
          <w:szCs w:val="28"/>
        </w:rPr>
        <w:t>按照《国务院办公厅关于印发国家突发环境事件应急预案的通知》国办函〔2014〕119号附件1中对突发环境事件分级，将突发环境事件分为特别重大环境事件（</w:t>
      </w:r>
      <w:r>
        <w:rPr>
          <w:rFonts w:hint="eastAsia"/>
          <w:color w:val="auto"/>
          <w:szCs w:val="28"/>
        </w:rPr>
        <w:t>Ⅰ</w:t>
      </w:r>
      <w:r>
        <w:rPr>
          <w:color w:val="auto"/>
          <w:szCs w:val="28"/>
        </w:rPr>
        <w:t>级）、重大环境事件（</w:t>
      </w:r>
      <w:r>
        <w:rPr>
          <w:rFonts w:hint="eastAsia"/>
          <w:color w:val="auto"/>
          <w:szCs w:val="28"/>
        </w:rPr>
        <w:t>Ⅱ</w:t>
      </w:r>
      <w:r>
        <w:rPr>
          <w:color w:val="auto"/>
          <w:szCs w:val="28"/>
        </w:rPr>
        <w:t>级）、较大环境事件（</w:t>
      </w:r>
      <w:r>
        <w:rPr>
          <w:rFonts w:hint="eastAsia"/>
          <w:color w:val="auto"/>
          <w:szCs w:val="28"/>
        </w:rPr>
        <w:t>Ⅲ</w:t>
      </w:r>
      <w:r>
        <w:rPr>
          <w:color w:val="auto"/>
          <w:szCs w:val="28"/>
        </w:rPr>
        <w:t>级）和一般环境事件（</w:t>
      </w:r>
      <w:r>
        <w:rPr>
          <w:rFonts w:hint="eastAsia"/>
          <w:color w:val="auto"/>
          <w:szCs w:val="28"/>
        </w:rPr>
        <w:t>Ⅳ</w:t>
      </w:r>
      <w:r>
        <w:rPr>
          <w:color w:val="auto"/>
          <w:szCs w:val="28"/>
        </w:rPr>
        <w:t>级）四级，具体内容见表1.3.1-1。</w:t>
      </w:r>
    </w:p>
    <w:p>
      <w:pPr>
        <w:spacing w:line="240" w:lineRule="auto"/>
        <w:ind w:firstLine="0" w:firstLineChars="0"/>
        <w:jc w:val="center"/>
        <w:rPr>
          <w:b/>
          <w:color w:val="auto"/>
          <w:szCs w:val="28"/>
        </w:rPr>
      </w:pPr>
    </w:p>
    <w:p>
      <w:pPr>
        <w:spacing w:line="240" w:lineRule="auto"/>
        <w:ind w:firstLine="0" w:firstLineChars="0"/>
        <w:jc w:val="center"/>
        <w:rPr>
          <w:b/>
          <w:color w:val="auto"/>
          <w:szCs w:val="28"/>
        </w:rPr>
      </w:pPr>
    </w:p>
    <w:p>
      <w:pPr>
        <w:spacing w:line="240" w:lineRule="auto"/>
        <w:ind w:firstLine="0" w:firstLineChars="0"/>
        <w:jc w:val="center"/>
        <w:rPr>
          <w:b/>
          <w:color w:val="auto"/>
          <w:szCs w:val="28"/>
        </w:rPr>
      </w:pPr>
    </w:p>
    <w:p>
      <w:pPr>
        <w:spacing w:line="240" w:lineRule="auto"/>
        <w:ind w:firstLine="0" w:firstLineChars="0"/>
        <w:jc w:val="center"/>
        <w:rPr>
          <w:b/>
          <w:color w:val="auto"/>
          <w:szCs w:val="28"/>
        </w:rPr>
      </w:pPr>
    </w:p>
    <w:p>
      <w:pPr>
        <w:pStyle w:val="2"/>
        <w:rPr>
          <w:color w:val="auto"/>
        </w:rPr>
      </w:pPr>
    </w:p>
    <w:p>
      <w:pPr>
        <w:spacing w:line="240" w:lineRule="auto"/>
        <w:ind w:firstLine="0" w:firstLineChars="0"/>
        <w:jc w:val="center"/>
        <w:rPr>
          <w:b/>
          <w:color w:val="auto"/>
          <w:szCs w:val="28"/>
        </w:rPr>
      </w:pPr>
      <w:r>
        <w:rPr>
          <w:b/>
          <w:color w:val="auto"/>
          <w:szCs w:val="28"/>
        </w:rPr>
        <w:t>表1.3.1-1    突发环境事件分级</w:t>
      </w:r>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734"/>
        <w:gridCol w:w="78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 w:hRule="atLeast"/>
          <w:tblHeader/>
        </w:trPr>
        <w:tc>
          <w:tcPr>
            <w:tcW w:w="677" w:type="dxa"/>
            <w:shd w:val="clear" w:color="auto" w:fill="D9D9D9"/>
            <w:vAlign w:val="center"/>
          </w:tcPr>
          <w:p>
            <w:pPr>
              <w:spacing w:line="240" w:lineRule="auto"/>
              <w:ind w:firstLine="0" w:firstLineChars="0"/>
              <w:jc w:val="center"/>
              <w:rPr>
                <w:b/>
                <w:bCs/>
                <w:color w:val="auto"/>
                <w:spacing w:val="-20"/>
                <w:sz w:val="24"/>
              </w:rPr>
            </w:pPr>
            <w:r>
              <w:rPr>
                <w:b/>
                <w:bCs/>
                <w:color w:val="auto"/>
                <w:spacing w:val="-20"/>
                <w:sz w:val="24"/>
              </w:rPr>
              <w:t>级别</w:t>
            </w:r>
          </w:p>
        </w:tc>
        <w:tc>
          <w:tcPr>
            <w:tcW w:w="734" w:type="dxa"/>
            <w:shd w:val="clear" w:color="auto" w:fill="D9D9D9"/>
            <w:vAlign w:val="center"/>
          </w:tcPr>
          <w:p>
            <w:pPr>
              <w:spacing w:line="240" w:lineRule="auto"/>
              <w:ind w:firstLine="0" w:firstLineChars="0"/>
              <w:jc w:val="center"/>
              <w:rPr>
                <w:b/>
                <w:bCs/>
                <w:color w:val="auto"/>
                <w:spacing w:val="-20"/>
                <w:sz w:val="24"/>
              </w:rPr>
            </w:pPr>
            <w:r>
              <w:rPr>
                <w:b/>
                <w:bCs/>
                <w:color w:val="auto"/>
                <w:spacing w:val="-20"/>
                <w:sz w:val="24"/>
              </w:rPr>
              <w:t>名称</w:t>
            </w:r>
          </w:p>
        </w:tc>
        <w:tc>
          <w:tcPr>
            <w:tcW w:w="7875" w:type="dxa"/>
            <w:shd w:val="clear" w:color="auto" w:fill="D9D9D9"/>
            <w:vAlign w:val="center"/>
          </w:tcPr>
          <w:p>
            <w:pPr>
              <w:spacing w:line="240" w:lineRule="auto"/>
              <w:ind w:firstLine="0" w:firstLineChars="0"/>
              <w:jc w:val="center"/>
              <w:rPr>
                <w:b/>
                <w:bCs/>
                <w:color w:val="auto"/>
                <w:sz w:val="24"/>
              </w:rPr>
            </w:pPr>
            <w:r>
              <w:rPr>
                <w:b/>
                <w:bCs/>
                <w:color w:val="auto"/>
                <w:sz w:val="24"/>
              </w:rPr>
              <w:t>符合条件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 w:hRule="atLeast"/>
        </w:trPr>
        <w:tc>
          <w:tcPr>
            <w:tcW w:w="677" w:type="dxa"/>
            <w:vAlign w:val="center"/>
          </w:tcPr>
          <w:p>
            <w:pPr>
              <w:spacing w:line="240" w:lineRule="auto"/>
              <w:ind w:firstLine="0" w:firstLineChars="0"/>
              <w:jc w:val="center"/>
              <w:rPr>
                <w:color w:val="auto"/>
                <w:sz w:val="24"/>
              </w:rPr>
            </w:pPr>
            <w:r>
              <w:rPr>
                <w:rStyle w:val="43"/>
                <w:rFonts w:hint="eastAsia"/>
                <w:b w:val="0"/>
                <w:color w:val="auto"/>
                <w:sz w:val="24"/>
              </w:rPr>
              <w:t>Ⅰ</w:t>
            </w:r>
            <w:r>
              <w:rPr>
                <w:rStyle w:val="43"/>
                <w:b w:val="0"/>
                <w:color w:val="auto"/>
                <w:sz w:val="24"/>
              </w:rPr>
              <w:t>级</w:t>
            </w:r>
          </w:p>
        </w:tc>
        <w:tc>
          <w:tcPr>
            <w:tcW w:w="734" w:type="dxa"/>
            <w:vAlign w:val="center"/>
          </w:tcPr>
          <w:p>
            <w:pPr>
              <w:spacing w:line="240" w:lineRule="auto"/>
              <w:ind w:firstLine="0" w:firstLineChars="0"/>
              <w:jc w:val="center"/>
              <w:rPr>
                <w:color w:val="auto"/>
                <w:sz w:val="24"/>
              </w:rPr>
            </w:pPr>
            <w:r>
              <w:rPr>
                <w:rStyle w:val="43"/>
                <w:b w:val="0"/>
                <w:color w:val="auto"/>
                <w:sz w:val="24"/>
              </w:rPr>
              <w:t>特别重大环境事件</w:t>
            </w:r>
          </w:p>
        </w:tc>
        <w:tc>
          <w:tcPr>
            <w:tcW w:w="7875" w:type="dxa"/>
          </w:tcPr>
          <w:p>
            <w:pPr>
              <w:spacing w:line="240" w:lineRule="auto"/>
              <w:ind w:firstLine="0" w:firstLineChars="0"/>
              <w:rPr>
                <w:color w:val="auto"/>
                <w:sz w:val="24"/>
              </w:rPr>
            </w:pPr>
            <w:r>
              <w:rPr>
                <w:rFonts w:hint="eastAsia"/>
                <w:color w:val="auto"/>
                <w:sz w:val="24"/>
              </w:rPr>
              <w:t>①</w:t>
            </w:r>
            <w:r>
              <w:rPr>
                <w:color w:val="auto"/>
                <w:sz w:val="24"/>
              </w:rPr>
              <w:t xml:space="preserve"> 因环境污染直接导致30人以上死亡或100人以上中毒或重伤的；</w:t>
            </w:r>
            <w:r>
              <w:rPr>
                <w:color w:val="auto"/>
                <w:sz w:val="24"/>
              </w:rPr>
              <w:br w:type="textWrapping"/>
            </w:r>
            <w:r>
              <w:rPr>
                <w:rFonts w:hint="eastAsia"/>
                <w:color w:val="auto"/>
                <w:sz w:val="24"/>
              </w:rPr>
              <w:t>②</w:t>
            </w:r>
            <w:r>
              <w:rPr>
                <w:color w:val="auto"/>
                <w:sz w:val="24"/>
              </w:rPr>
              <w:t xml:space="preserve"> 因环境污染疏散、转移人员5万人以上的；</w:t>
            </w:r>
          </w:p>
          <w:p>
            <w:pPr>
              <w:spacing w:line="240" w:lineRule="auto"/>
              <w:ind w:firstLine="0" w:firstLineChars="0"/>
              <w:rPr>
                <w:color w:val="auto"/>
                <w:sz w:val="24"/>
              </w:rPr>
            </w:pPr>
            <w:r>
              <w:rPr>
                <w:rFonts w:hint="eastAsia"/>
                <w:color w:val="auto"/>
                <w:sz w:val="24"/>
              </w:rPr>
              <w:t>③</w:t>
            </w:r>
            <w:r>
              <w:rPr>
                <w:color w:val="auto"/>
                <w:sz w:val="24"/>
              </w:rPr>
              <w:t xml:space="preserve"> 因环境污染造成直接经济损失1亿元以上的；</w:t>
            </w:r>
          </w:p>
          <w:p>
            <w:pPr>
              <w:spacing w:line="240" w:lineRule="auto"/>
              <w:ind w:firstLine="0" w:firstLineChars="0"/>
              <w:rPr>
                <w:color w:val="auto"/>
                <w:sz w:val="24"/>
              </w:rPr>
            </w:pPr>
            <w:r>
              <w:rPr>
                <w:rFonts w:hint="eastAsia"/>
                <w:color w:val="auto"/>
                <w:sz w:val="24"/>
              </w:rPr>
              <w:t>④</w:t>
            </w:r>
            <w:r>
              <w:rPr>
                <w:color w:val="auto"/>
                <w:sz w:val="24"/>
              </w:rPr>
              <w:t xml:space="preserve"> 因环境污染造成区域生态功能丧失或该区域国家重点保护物种灭绝的；</w:t>
            </w:r>
          </w:p>
          <w:p>
            <w:pPr>
              <w:spacing w:line="240" w:lineRule="auto"/>
              <w:ind w:firstLine="0" w:firstLineChars="0"/>
              <w:rPr>
                <w:color w:val="auto"/>
                <w:sz w:val="24"/>
              </w:rPr>
            </w:pPr>
            <w:r>
              <w:rPr>
                <w:rFonts w:hint="eastAsia"/>
                <w:color w:val="auto"/>
                <w:sz w:val="24"/>
              </w:rPr>
              <w:t>⑤</w:t>
            </w:r>
            <w:r>
              <w:rPr>
                <w:color w:val="auto"/>
                <w:sz w:val="24"/>
              </w:rPr>
              <w:t xml:space="preserve"> 因环境污染造成设区的市级以上城市集中式饮用水水源地取水中断的</w:t>
            </w:r>
          </w:p>
          <w:p>
            <w:pPr>
              <w:spacing w:line="240" w:lineRule="auto"/>
              <w:ind w:firstLine="0" w:firstLineChars="0"/>
              <w:rPr>
                <w:color w:val="auto"/>
                <w:sz w:val="24"/>
              </w:rPr>
            </w:pPr>
            <w:r>
              <w:rPr>
                <w:rFonts w:hint="eastAsia"/>
                <w:color w:val="auto"/>
                <w:sz w:val="24"/>
              </w:rPr>
              <w:t>⑥Ⅰ</w:t>
            </w:r>
            <w:r>
              <w:rPr>
                <w:color w:val="auto"/>
                <w:sz w:val="24"/>
              </w:rPr>
              <w:t>、</w:t>
            </w:r>
            <w:r>
              <w:rPr>
                <w:rFonts w:hint="eastAsia"/>
                <w:color w:val="auto"/>
                <w:sz w:val="24"/>
              </w:rPr>
              <w:t>Ⅱ</w:t>
            </w:r>
            <w:r>
              <w:rPr>
                <w:color w:val="auto"/>
                <w:sz w:val="24"/>
              </w:rPr>
              <w:t>类放射源丢失、被盗、失控并造成大范围严重辐射污染后果的；放射性同位素和射线装置失控导致3人以上急性死亡的；放射性物质泄漏，造成大范围辐射污染后果的；</w:t>
            </w:r>
          </w:p>
          <w:p>
            <w:pPr>
              <w:spacing w:line="240" w:lineRule="auto"/>
              <w:ind w:firstLine="0" w:firstLineChars="0"/>
              <w:rPr>
                <w:color w:val="auto"/>
                <w:sz w:val="24"/>
              </w:rPr>
            </w:pPr>
            <w:r>
              <w:rPr>
                <w:rFonts w:hint="eastAsia"/>
                <w:color w:val="auto"/>
                <w:sz w:val="24"/>
              </w:rPr>
              <w:t>⑦</w:t>
            </w:r>
            <w:r>
              <w:rPr>
                <w:color w:val="auto"/>
                <w:sz w:val="24"/>
              </w:rPr>
              <w:t xml:space="preserve"> 造成重大跨国境影响的境内突发环境事件。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 w:hRule="atLeast"/>
        </w:trPr>
        <w:tc>
          <w:tcPr>
            <w:tcW w:w="677" w:type="dxa"/>
            <w:vAlign w:val="center"/>
          </w:tcPr>
          <w:p>
            <w:pPr>
              <w:spacing w:line="240" w:lineRule="auto"/>
              <w:ind w:firstLine="0" w:firstLineChars="0"/>
              <w:jc w:val="center"/>
              <w:rPr>
                <w:color w:val="auto"/>
                <w:sz w:val="24"/>
              </w:rPr>
            </w:pPr>
            <w:r>
              <w:rPr>
                <w:rStyle w:val="43"/>
                <w:rFonts w:hint="eastAsia"/>
                <w:b w:val="0"/>
                <w:color w:val="auto"/>
                <w:sz w:val="24"/>
              </w:rPr>
              <w:t>Ⅱ</w:t>
            </w:r>
            <w:r>
              <w:rPr>
                <w:rStyle w:val="43"/>
                <w:b w:val="0"/>
                <w:color w:val="auto"/>
                <w:sz w:val="24"/>
              </w:rPr>
              <w:t>级</w:t>
            </w:r>
          </w:p>
        </w:tc>
        <w:tc>
          <w:tcPr>
            <w:tcW w:w="734" w:type="dxa"/>
            <w:vAlign w:val="center"/>
          </w:tcPr>
          <w:p>
            <w:pPr>
              <w:spacing w:line="240" w:lineRule="auto"/>
              <w:ind w:firstLine="0" w:firstLineChars="0"/>
              <w:jc w:val="center"/>
              <w:rPr>
                <w:color w:val="auto"/>
                <w:sz w:val="24"/>
              </w:rPr>
            </w:pPr>
            <w:r>
              <w:rPr>
                <w:rStyle w:val="43"/>
                <w:b w:val="0"/>
                <w:color w:val="auto"/>
                <w:sz w:val="24"/>
              </w:rPr>
              <w:t>重大环境事件</w:t>
            </w:r>
          </w:p>
        </w:tc>
        <w:tc>
          <w:tcPr>
            <w:tcW w:w="7875" w:type="dxa"/>
          </w:tcPr>
          <w:p>
            <w:pPr>
              <w:spacing w:line="240" w:lineRule="auto"/>
              <w:ind w:firstLine="0" w:firstLineChars="0"/>
              <w:rPr>
                <w:color w:val="auto"/>
                <w:sz w:val="24"/>
              </w:rPr>
            </w:pPr>
            <w:r>
              <w:rPr>
                <w:rFonts w:hint="eastAsia"/>
                <w:color w:val="auto"/>
                <w:sz w:val="24"/>
              </w:rPr>
              <w:t>①</w:t>
            </w:r>
            <w:r>
              <w:rPr>
                <w:color w:val="auto"/>
                <w:sz w:val="24"/>
              </w:rPr>
              <w:t xml:space="preserve"> 因环境污染直接导致10人以上30人以下死亡或50人以上100人以下中毒或重伤的；</w:t>
            </w:r>
          </w:p>
          <w:p>
            <w:pPr>
              <w:spacing w:line="240" w:lineRule="auto"/>
              <w:ind w:firstLine="0" w:firstLineChars="0"/>
              <w:rPr>
                <w:color w:val="auto"/>
                <w:sz w:val="24"/>
              </w:rPr>
            </w:pPr>
            <w:r>
              <w:rPr>
                <w:rFonts w:hint="eastAsia"/>
                <w:color w:val="auto"/>
                <w:sz w:val="24"/>
              </w:rPr>
              <w:t>②</w:t>
            </w:r>
            <w:r>
              <w:rPr>
                <w:color w:val="auto"/>
                <w:sz w:val="24"/>
              </w:rPr>
              <w:t xml:space="preserve"> 因环境污染疏散、转移人员1万人以上5万人以下的；</w:t>
            </w:r>
          </w:p>
          <w:p>
            <w:pPr>
              <w:spacing w:line="240" w:lineRule="auto"/>
              <w:ind w:firstLine="0" w:firstLineChars="0"/>
              <w:rPr>
                <w:color w:val="auto"/>
                <w:sz w:val="24"/>
              </w:rPr>
            </w:pPr>
            <w:r>
              <w:rPr>
                <w:rFonts w:hint="eastAsia"/>
                <w:color w:val="auto"/>
                <w:sz w:val="24"/>
              </w:rPr>
              <w:t>③</w:t>
            </w:r>
            <w:r>
              <w:rPr>
                <w:color w:val="auto"/>
                <w:sz w:val="24"/>
              </w:rPr>
              <w:t xml:space="preserve"> 因环境污染造成直接经济损失2000万元以上1亿元以下的；</w:t>
            </w:r>
          </w:p>
          <w:p>
            <w:pPr>
              <w:spacing w:line="240" w:lineRule="auto"/>
              <w:ind w:firstLine="0" w:firstLineChars="0"/>
              <w:rPr>
                <w:color w:val="auto"/>
                <w:sz w:val="24"/>
              </w:rPr>
            </w:pPr>
            <w:r>
              <w:rPr>
                <w:rFonts w:hint="eastAsia"/>
                <w:color w:val="auto"/>
                <w:sz w:val="24"/>
              </w:rPr>
              <w:t>④</w:t>
            </w:r>
            <w:r>
              <w:rPr>
                <w:color w:val="auto"/>
                <w:sz w:val="24"/>
              </w:rPr>
              <w:t xml:space="preserve"> 因环境污染造成区域生态功能部分丧失或该区域国家重点保护野生动植物种群大批死亡的；</w:t>
            </w:r>
          </w:p>
          <w:p>
            <w:pPr>
              <w:spacing w:line="240" w:lineRule="auto"/>
              <w:ind w:firstLine="0" w:firstLineChars="0"/>
              <w:rPr>
                <w:color w:val="auto"/>
                <w:sz w:val="24"/>
              </w:rPr>
            </w:pPr>
            <w:r>
              <w:rPr>
                <w:rFonts w:hint="eastAsia"/>
                <w:color w:val="auto"/>
                <w:sz w:val="24"/>
              </w:rPr>
              <w:t>⑤</w:t>
            </w:r>
            <w:r>
              <w:rPr>
                <w:color w:val="auto"/>
                <w:sz w:val="24"/>
              </w:rPr>
              <w:t xml:space="preserve"> 因环境污染造成县级城市集中式饮用水水源地取水中断的；</w:t>
            </w:r>
          </w:p>
          <w:p>
            <w:pPr>
              <w:spacing w:line="240" w:lineRule="auto"/>
              <w:ind w:firstLine="0" w:firstLineChars="0"/>
              <w:rPr>
                <w:color w:val="auto"/>
                <w:sz w:val="24"/>
              </w:rPr>
            </w:pPr>
            <w:r>
              <w:rPr>
                <w:rFonts w:hint="eastAsia"/>
                <w:color w:val="auto"/>
                <w:sz w:val="24"/>
              </w:rPr>
              <w:t>⑥Ⅰ</w:t>
            </w:r>
            <w:r>
              <w:rPr>
                <w:color w:val="auto"/>
                <w:sz w:val="24"/>
              </w:rPr>
              <w:t>、</w:t>
            </w:r>
            <w:r>
              <w:rPr>
                <w:rFonts w:hint="eastAsia"/>
                <w:color w:val="auto"/>
                <w:sz w:val="24"/>
              </w:rPr>
              <w:t>Ⅱ</w:t>
            </w:r>
            <w:r>
              <w:rPr>
                <w:color w:val="auto"/>
                <w:sz w:val="24"/>
              </w:rPr>
              <w:t>类放射源丢失、被盗的；放射性同位素和射线装置失控导致3人以下急性死亡或者10人以上急性重度放射病、局部器官残疾的；放射性物质泄漏，造成较大范围辐射污染后果的；</w:t>
            </w:r>
          </w:p>
          <w:p>
            <w:pPr>
              <w:spacing w:line="240" w:lineRule="auto"/>
              <w:ind w:firstLine="0" w:firstLineChars="0"/>
              <w:rPr>
                <w:color w:val="auto"/>
                <w:sz w:val="24"/>
              </w:rPr>
            </w:pPr>
            <w:r>
              <w:rPr>
                <w:rFonts w:hint="eastAsia"/>
                <w:color w:val="auto"/>
                <w:sz w:val="24"/>
              </w:rPr>
              <w:t>⑦</w:t>
            </w:r>
            <w:r>
              <w:rPr>
                <w:color w:val="auto"/>
                <w:sz w:val="24"/>
              </w:rPr>
              <w:t xml:space="preserve"> 造成跨省级行政区域影响的突发环境事件。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trPr>
        <w:tc>
          <w:tcPr>
            <w:tcW w:w="677" w:type="dxa"/>
            <w:vAlign w:val="center"/>
          </w:tcPr>
          <w:p>
            <w:pPr>
              <w:spacing w:line="240" w:lineRule="auto"/>
              <w:ind w:firstLine="0" w:firstLineChars="0"/>
              <w:jc w:val="center"/>
              <w:rPr>
                <w:color w:val="auto"/>
                <w:sz w:val="24"/>
              </w:rPr>
            </w:pPr>
            <w:r>
              <w:rPr>
                <w:rStyle w:val="43"/>
                <w:rFonts w:hint="eastAsia"/>
                <w:b w:val="0"/>
                <w:color w:val="auto"/>
                <w:sz w:val="24"/>
              </w:rPr>
              <w:t>Ⅲ</w:t>
            </w:r>
            <w:r>
              <w:rPr>
                <w:rStyle w:val="43"/>
                <w:b w:val="0"/>
                <w:color w:val="auto"/>
                <w:sz w:val="24"/>
              </w:rPr>
              <w:t>级</w:t>
            </w:r>
          </w:p>
        </w:tc>
        <w:tc>
          <w:tcPr>
            <w:tcW w:w="734" w:type="dxa"/>
            <w:vAlign w:val="center"/>
          </w:tcPr>
          <w:p>
            <w:pPr>
              <w:spacing w:line="240" w:lineRule="auto"/>
              <w:ind w:firstLine="0" w:firstLineChars="0"/>
              <w:jc w:val="center"/>
              <w:rPr>
                <w:color w:val="auto"/>
                <w:sz w:val="24"/>
              </w:rPr>
            </w:pPr>
            <w:r>
              <w:rPr>
                <w:rStyle w:val="43"/>
                <w:b w:val="0"/>
                <w:color w:val="auto"/>
                <w:sz w:val="24"/>
              </w:rPr>
              <w:t>较大环境事件</w:t>
            </w:r>
          </w:p>
        </w:tc>
        <w:tc>
          <w:tcPr>
            <w:tcW w:w="7875" w:type="dxa"/>
          </w:tcPr>
          <w:p>
            <w:pPr>
              <w:spacing w:line="240" w:lineRule="auto"/>
              <w:ind w:firstLine="0" w:firstLineChars="0"/>
              <w:rPr>
                <w:color w:val="auto"/>
                <w:sz w:val="24"/>
              </w:rPr>
            </w:pPr>
            <w:r>
              <w:rPr>
                <w:rFonts w:hint="eastAsia"/>
                <w:color w:val="auto"/>
                <w:sz w:val="24"/>
              </w:rPr>
              <w:t>①</w:t>
            </w:r>
            <w:r>
              <w:rPr>
                <w:color w:val="auto"/>
                <w:sz w:val="24"/>
              </w:rPr>
              <w:t xml:space="preserve"> 因环境污染直接导致3人以上10人以下死亡或10人以上50人以下中毒或重伤的；</w:t>
            </w:r>
          </w:p>
          <w:p>
            <w:pPr>
              <w:spacing w:line="240" w:lineRule="auto"/>
              <w:ind w:firstLine="0" w:firstLineChars="0"/>
              <w:rPr>
                <w:color w:val="auto"/>
                <w:sz w:val="24"/>
              </w:rPr>
            </w:pPr>
            <w:r>
              <w:rPr>
                <w:rFonts w:hint="eastAsia"/>
                <w:color w:val="auto"/>
                <w:sz w:val="24"/>
              </w:rPr>
              <w:t>②</w:t>
            </w:r>
            <w:r>
              <w:rPr>
                <w:color w:val="auto"/>
                <w:sz w:val="24"/>
              </w:rPr>
              <w:t xml:space="preserve"> 因环境污染疏散、转移人员5000人以上1万人以下的；</w:t>
            </w:r>
          </w:p>
          <w:p>
            <w:pPr>
              <w:spacing w:line="240" w:lineRule="auto"/>
              <w:ind w:firstLine="0" w:firstLineChars="0"/>
              <w:rPr>
                <w:color w:val="auto"/>
                <w:sz w:val="24"/>
              </w:rPr>
            </w:pPr>
            <w:r>
              <w:rPr>
                <w:rFonts w:hint="eastAsia"/>
                <w:color w:val="auto"/>
                <w:sz w:val="24"/>
              </w:rPr>
              <w:t>③</w:t>
            </w:r>
            <w:r>
              <w:rPr>
                <w:color w:val="auto"/>
                <w:sz w:val="24"/>
              </w:rPr>
              <w:t xml:space="preserve"> 因环境污染造成直接经济损失500万元以上2000万元以下的；</w:t>
            </w:r>
          </w:p>
          <w:p>
            <w:pPr>
              <w:spacing w:line="240" w:lineRule="auto"/>
              <w:ind w:firstLine="0" w:firstLineChars="0"/>
              <w:rPr>
                <w:color w:val="auto"/>
                <w:sz w:val="24"/>
              </w:rPr>
            </w:pPr>
            <w:r>
              <w:rPr>
                <w:rFonts w:hint="eastAsia"/>
                <w:color w:val="auto"/>
                <w:sz w:val="24"/>
              </w:rPr>
              <w:t>④</w:t>
            </w:r>
            <w:r>
              <w:rPr>
                <w:color w:val="auto"/>
                <w:sz w:val="24"/>
              </w:rPr>
              <w:t xml:space="preserve"> 因环境污染造成国家重点保护的动植物物种受到破坏的；</w:t>
            </w:r>
          </w:p>
          <w:p>
            <w:pPr>
              <w:spacing w:line="240" w:lineRule="auto"/>
              <w:ind w:firstLine="0" w:firstLineChars="0"/>
              <w:rPr>
                <w:color w:val="auto"/>
                <w:sz w:val="24"/>
              </w:rPr>
            </w:pPr>
            <w:r>
              <w:rPr>
                <w:rFonts w:hint="eastAsia"/>
                <w:color w:val="auto"/>
                <w:sz w:val="24"/>
              </w:rPr>
              <w:t>⑤</w:t>
            </w:r>
            <w:r>
              <w:rPr>
                <w:color w:val="auto"/>
                <w:sz w:val="24"/>
              </w:rPr>
              <w:t xml:space="preserve"> 因环境污染造成乡镇集中式饮用水水源地取水中断的；</w:t>
            </w:r>
          </w:p>
          <w:p>
            <w:pPr>
              <w:spacing w:line="240" w:lineRule="auto"/>
              <w:ind w:firstLine="0" w:firstLineChars="0"/>
              <w:rPr>
                <w:color w:val="auto"/>
                <w:sz w:val="24"/>
              </w:rPr>
            </w:pPr>
            <w:r>
              <w:rPr>
                <w:rFonts w:hint="eastAsia"/>
                <w:color w:val="auto"/>
                <w:sz w:val="24"/>
              </w:rPr>
              <w:t>⑥</w:t>
            </w:r>
            <w:r>
              <w:rPr>
                <w:color w:val="auto"/>
                <w:sz w:val="24"/>
              </w:rPr>
              <w:t xml:space="preserve"> </w:t>
            </w:r>
            <w:r>
              <w:rPr>
                <w:rFonts w:hint="eastAsia"/>
                <w:color w:val="auto"/>
                <w:sz w:val="24"/>
              </w:rPr>
              <w:t>Ⅲ</w:t>
            </w:r>
            <w:r>
              <w:rPr>
                <w:color w:val="auto"/>
                <w:sz w:val="24"/>
              </w:rPr>
              <w:t>类放射源丢失、被盗的；放射性同位素和射线装置失控导致10人以下急性重度放射病、局部器官残疾的；放射性物质泄漏，造成小范围辐射污染后果的；</w:t>
            </w:r>
          </w:p>
          <w:p>
            <w:pPr>
              <w:spacing w:line="240" w:lineRule="auto"/>
              <w:ind w:firstLine="0" w:firstLineChars="0"/>
              <w:rPr>
                <w:color w:val="auto"/>
                <w:sz w:val="24"/>
              </w:rPr>
            </w:pPr>
            <w:r>
              <w:rPr>
                <w:rFonts w:hint="eastAsia"/>
                <w:color w:val="auto"/>
                <w:sz w:val="24"/>
              </w:rPr>
              <w:t>⑦</w:t>
            </w:r>
            <w:r>
              <w:rPr>
                <w:color w:val="auto"/>
                <w:sz w:val="24"/>
              </w:rPr>
              <w:t xml:space="preserve"> 造成跨设区的市级行政区域影响的突发环境事件。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0" w:hRule="atLeast"/>
        </w:trPr>
        <w:tc>
          <w:tcPr>
            <w:tcW w:w="677" w:type="dxa"/>
            <w:vAlign w:val="center"/>
          </w:tcPr>
          <w:p>
            <w:pPr>
              <w:spacing w:line="240" w:lineRule="auto"/>
              <w:ind w:firstLine="0" w:firstLineChars="0"/>
              <w:jc w:val="center"/>
              <w:rPr>
                <w:color w:val="auto"/>
                <w:sz w:val="24"/>
              </w:rPr>
            </w:pPr>
            <w:r>
              <w:rPr>
                <w:rStyle w:val="43"/>
                <w:rFonts w:hint="eastAsia"/>
                <w:b w:val="0"/>
                <w:color w:val="auto"/>
                <w:sz w:val="24"/>
              </w:rPr>
              <w:t>Ⅳ</w:t>
            </w:r>
            <w:r>
              <w:rPr>
                <w:rStyle w:val="43"/>
                <w:b w:val="0"/>
                <w:color w:val="auto"/>
                <w:sz w:val="24"/>
              </w:rPr>
              <w:t>级</w:t>
            </w:r>
          </w:p>
        </w:tc>
        <w:tc>
          <w:tcPr>
            <w:tcW w:w="734" w:type="dxa"/>
            <w:vAlign w:val="center"/>
          </w:tcPr>
          <w:p>
            <w:pPr>
              <w:spacing w:line="240" w:lineRule="auto"/>
              <w:ind w:firstLine="0" w:firstLineChars="0"/>
              <w:jc w:val="center"/>
              <w:rPr>
                <w:color w:val="auto"/>
                <w:sz w:val="24"/>
              </w:rPr>
            </w:pPr>
            <w:r>
              <w:rPr>
                <w:rStyle w:val="43"/>
                <w:b w:val="0"/>
                <w:color w:val="auto"/>
                <w:sz w:val="24"/>
              </w:rPr>
              <w:t>一般环境事件</w:t>
            </w:r>
          </w:p>
        </w:tc>
        <w:tc>
          <w:tcPr>
            <w:tcW w:w="7875" w:type="dxa"/>
          </w:tcPr>
          <w:p>
            <w:pPr>
              <w:spacing w:line="240" w:lineRule="auto"/>
              <w:ind w:firstLine="0" w:firstLineChars="0"/>
              <w:rPr>
                <w:color w:val="auto"/>
                <w:sz w:val="24"/>
              </w:rPr>
            </w:pPr>
            <w:r>
              <w:rPr>
                <w:color w:val="auto"/>
                <w:sz w:val="24"/>
              </w:rPr>
              <w:fldChar w:fldCharType="begin"/>
            </w:r>
            <w:r>
              <w:rPr>
                <w:color w:val="auto"/>
                <w:sz w:val="24"/>
              </w:rPr>
              <w:instrText xml:space="preserve"> = 1 \* GB3 </w:instrText>
            </w:r>
            <w:r>
              <w:rPr>
                <w:color w:val="auto"/>
                <w:sz w:val="24"/>
              </w:rPr>
              <w:fldChar w:fldCharType="separate"/>
            </w:r>
            <w:r>
              <w:rPr>
                <w:rFonts w:hint="eastAsia"/>
                <w:color w:val="auto"/>
                <w:sz w:val="24"/>
              </w:rPr>
              <w:t>①</w:t>
            </w:r>
            <w:r>
              <w:rPr>
                <w:color w:val="auto"/>
                <w:sz w:val="24"/>
              </w:rPr>
              <w:fldChar w:fldCharType="end"/>
            </w:r>
            <w:r>
              <w:rPr>
                <w:color w:val="auto"/>
                <w:sz w:val="24"/>
              </w:rPr>
              <w:t>因环境污染直接导致3人以下死亡或10人以下中毒或重伤的；</w:t>
            </w:r>
          </w:p>
          <w:p>
            <w:pPr>
              <w:spacing w:line="240" w:lineRule="auto"/>
              <w:ind w:firstLine="0" w:firstLineChars="0"/>
              <w:rPr>
                <w:color w:val="auto"/>
                <w:sz w:val="24"/>
              </w:rPr>
            </w:pPr>
            <w:r>
              <w:rPr>
                <w:rFonts w:hint="eastAsia"/>
                <w:color w:val="auto"/>
                <w:sz w:val="24"/>
              </w:rPr>
              <w:t>②</w:t>
            </w:r>
            <w:r>
              <w:rPr>
                <w:color w:val="auto"/>
                <w:sz w:val="24"/>
              </w:rPr>
              <w:t xml:space="preserve"> 因环境污染疏散、转移人员5000人以下的；</w:t>
            </w:r>
          </w:p>
          <w:p>
            <w:pPr>
              <w:spacing w:line="240" w:lineRule="auto"/>
              <w:ind w:firstLine="0" w:firstLineChars="0"/>
              <w:rPr>
                <w:color w:val="auto"/>
                <w:sz w:val="24"/>
              </w:rPr>
            </w:pPr>
            <w:r>
              <w:rPr>
                <w:rFonts w:hint="eastAsia"/>
                <w:color w:val="auto"/>
                <w:sz w:val="24"/>
              </w:rPr>
              <w:t>③</w:t>
            </w:r>
            <w:r>
              <w:rPr>
                <w:color w:val="auto"/>
                <w:sz w:val="24"/>
              </w:rPr>
              <w:t xml:space="preserve"> 因环境污染造成直接经济损失500万元以下的；</w:t>
            </w:r>
          </w:p>
          <w:p>
            <w:pPr>
              <w:spacing w:line="240" w:lineRule="auto"/>
              <w:ind w:firstLine="0" w:firstLineChars="0"/>
              <w:rPr>
                <w:color w:val="auto"/>
                <w:sz w:val="24"/>
              </w:rPr>
            </w:pPr>
            <w:r>
              <w:rPr>
                <w:rFonts w:hint="eastAsia"/>
                <w:color w:val="auto"/>
                <w:sz w:val="24"/>
              </w:rPr>
              <w:t>④</w:t>
            </w:r>
            <w:r>
              <w:rPr>
                <w:color w:val="auto"/>
                <w:sz w:val="24"/>
              </w:rPr>
              <w:t xml:space="preserve"> 因环境污染造成跨县级行政区域纠纷，引起一般性群体影响的；</w:t>
            </w:r>
          </w:p>
          <w:p>
            <w:pPr>
              <w:spacing w:line="240" w:lineRule="auto"/>
              <w:ind w:firstLine="0" w:firstLineChars="0"/>
              <w:rPr>
                <w:color w:val="auto"/>
                <w:sz w:val="24"/>
              </w:rPr>
            </w:pPr>
            <w:r>
              <w:rPr>
                <w:rFonts w:hint="eastAsia"/>
                <w:color w:val="auto"/>
                <w:sz w:val="24"/>
              </w:rPr>
              <w:t>⑤</w:t>
            </w:r>
            <w:r>
              <w:rPr>
                <w:color w:val="auto"/>
                <w:sz w:val="24"/>
              </w:rPr>
              <w:t xml:space="preserve"> </w:t>
            </w:r>
            <w:r>
              <w:rPr>
                <w:rFonts w:hint="eastAsia"/>
                <w:color w:val="auto"/>
                <w:sz w:val="24"/>
              </w:rPr>
              <w:t>Ⅳ</w:t>
            </w:r>
            <w:r>
              <w:rPr>
                <w:color w:val="auto"/>
                <w:sz w:val="24"/>
              </w:rPr>
              <w:t>、</w:t>
            </w:r>
            <w:r>
              <w:rPr>
                <w:rFonts w:hint="eastAsia"/>
                <w:color w:val="auto"/>
                <w:sz w:val="24"/>
              </w:rPr>
              <w:t>Ⅴ</w:t>
            </w:r>
            <w:r>
              <w:rPr>
                <w:color w:val="auto"/>
                <w:sz w:val="24"/>
              </w:rPr>
              <w:t>类放射源丢失、被盗的；放射性同位素和射线装置失控导致人员受到超过年剂量限值的照射的；放射性物质泄漏，造成厂区内或设施内局部辐射污染后果的；铀矿冶、伴生矿超标排放，造成环境辐射污染后果的；</w:t>
            </w:r>
          </w:p>
          <w:p>
            <w:pPr>
              <w:spacing w:line="240" w:lineRule="auto"/>
              <w:ind w:firstLine="0" w:firstLineChars="0"/>
              <w:rPr>
                <w:color w:val="auto"/>
                <w:sz w:val="24"/>
              </w:rPr>
            </w:pPr>
            <w:r>
              <w:rPr>
                <w:rFonts w:hint="eastAsia"/>
                <w:color w:val="auto"/>
                <w:sz w:val="24"/>
              </w:rPr>
              <w:t>⑥</w:t>
            </w:r>
            <w:r>
              <w:rPr>
                <w:color w:val="auto"/>
                <w:sz w:val="24"/>
              </w:rPr>
              <w:t xml:space="preserve"> 对环境造成一定影响，尚未达到较大突发环境事件级别的。</w:t>
            </w:r>
          </w:p>
        </w:tc>
      </w:tr>
    </w:tbl>
    <w:p>
      <w:pPr>
        <w:ind w:firstLine="560"/>
        <w:rPr>
          <w:rStyle w:val="43"/>
          <w:b w:val="0"/>
          <w:color w:val="auto"/>
        </w:rPr>
      </w:pPr>
      <w:r>
        <w:rPr>
          <w:color w:val="auto"/>
        </w:rPr>
        <w:t>备注：上</w:t>
      </w:r>
      <w:r>
        <w:rPr>
          <w:color w:val="auto"/>
          <w:spacing w:val="-10"/>
        </w:rPr>
        <w:t>述分级标准有关数量的表述中，“以上”含本数，“以下”不含本数。</w:t>
      </w:r>
    </w:p>
    <w:p>
      <w:pPr>
        <w:pStyle w:val="5"/>
        <w:ind w:firstLine="0" w:firstLineChars="0"/>
        <w:rPr>
          <w:color w:val="auto"/>
        </w:rPr>
      </w:pPr>
      <w:bookmarkStart w:id="27" w:name="_Toc407142217"/>
      <w:bookmarkStart w:id="28" w:name="_Toc976"/>
      <w:bookmarkStart w:id="29" w:name="_Toc490845148"/>
      <w:r>
        <w:rPr>
          <w:color w:val="auto"/>
        </w:rPr>
        <w:t>1.3.2</w:t>
      </w:r>
      <w:bookmarkEnd w:id="27"/>
      <w:r>
        <w:rPr>
          <w:color w:val="auto"/>
        </w:rPr>
        <w:t xml:space="preserve"> 突发环境事件等级确定</w:t>
      </w:r>
      <w:bookmarkEnd w:id="28"/>
      <w:bookmarkEnd w:id="29"/>
    </w:p>
    <w:p>
      <w:pPr>
        <w:ind w:firstLine="560"/>
        <w:rPr>
          <w:color w:val="auto"/>
          <w:szCs w:val="28"/>
        </w:rPr>
      </w:pPr>
      <w:r>
        <w:rPr>
          <w:color w:val="auto"/>
          <w:szCs w:val="28"/>
        </w:rPr>
        <w:t>根据《国务院办公厅关于印发国家突发环境事件应急预案的通知》国办函〔2014〕119号附件1中对突发环境事件分级并结合实际情况</w:t>
      </w:r>
      <w:r>
        <w:rPr>
          <w:rStyle w:val="43"/>
          <w:b w:val="0"/>
          <w:color w:val="auto"/>
          <w:szCs w:val="28"/>
        </w:rPr>
        <w:t>进行分级</w:t>
      </w:r>
      <w:r>
        <w:rPr>
          <w:color w:val="auto"/>
          <w:szCs w:val="28"/>
        </w:rPr>
        <w:t>，本</w:t>
      </w:r>
      <w:r>
        <w:rPr>
          <w:rFonts w:hint="eastAsia"/>
          <w:color w:val="auto"/>
          <w:szCs w:val="28"/>
        </w:rPr>
        <w:t>突发环境事件等级为较大突发</w:t>
      </w:r>
      <w:r>
        <w:rPr>
          <w:color w:val="auto"/>
          <w:szCs w:val="28"/>
        </w:rPr>
        <w:t>环境事件</w:t>
      </w:r>
      <w:r>
        <w:rPr>
          <w:rFonts w:hint="eastAsia"/>
          <w:color w:val="auto"/>
          <w:szCs w:val="28"/>
        </w:rPr>
        <w:t>。根据公司实际情况，按照严重性和紧急程度将公司突发环境事件分为三级，分别为社会级、企业级和车间级。</w:t>
      </w:r>
    </w:p>
    <w:p>
      <w:pPr>
        <w:pStyle w:val="4"/>
        <w:rPr>
          <w:color w:val="auto"/>
          <w:szCs w:val="28"/>
        </w:rPr>
      </w:pPr>
      <w:bookmarkStart w:id="30" w:name="_Toc490845149"/>
      <w:bookmarkStart w:id="31" w:name="_Toc6573"/>
      <w:r>
        <w:rPr>
          <w:color w:val="auto"/>
          <w:szCs w:val="28"/>
        </w:rPr>
        <w:t>1.4 适用范围</w:t>
      </w:r>
      <w:bookmarkEnd w:id="22"/>
      <w:bookmarkEnd w:id="23"/>
      <w:bookmarkEnd w:id="24"/>
      <w:bookmarkEnd w:id="30"/>
      <w:bookmarkEnd w:id="31"/>
    </w:p>
    <w:p>
      <w:pPr>
        <w:ind w:firstLine="560"/>
        <w:rPr>
          <w:color w:val="auto"/>
          <w:szCs w:val="28"/>
        </w:rPr>
      </w:pPr>
      <w:r>
        <w:rPr>
          <w:color w:val="auto"/>
          <w:szCs w:val="28"/>
        </w:rPr>
        <w:t>本预案适用于</w:t>
      </w:r>
      <w:r>
        <w:rPr>
          <w:rFonts w:hint="eastAsia" w:ascii="仿宋" w:hAnsi="仿宋"/>
          <w:color w:val="auto"/>
          <w:szCs w:val="28"/>
        </w:rPr>
        <w:t>陕西渭河发电有限公司</w:t>
      </w:r>
      <w:r>
        <w:rPr>
          <w:color w:val="auto"/>
          <w:szCs w:val="28"/>
        </w:rPr>
        <w:t>内发生的突发性环境污染事故，主要是用于突发环境事件的响应、监测、处置及污染事故处理的人员组织、可能受影响区域人员的通知、疏散等。具体包括：</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因安全生产事故而造成的突发性环境污染事件；</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⑵</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污染防治设施出现故障而造成的突发性环境污染事件；</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⑶</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因排污造成的厂区外部环境污染事件；</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⑷</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因不可抗力造成的突发环境污染事件；</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⑸</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应急救援能力不能满足应急事件需要的；</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6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⑹</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其他突发性环境污染事件。</w:t>
      </w:r>
    </w:p>
    <w:p>
      <w:pPr>
        <w:ind w:firstLine="560"/>
        <w:rPr>
          <w:rFonts w:ascii="仿宋" w:hAnsi="仿宋"/>
          <w:color w:val="auto"/>
          <w:szCs w:val="28"/>
        </w:rPr>
      </w:pPr>
      <w:bookmarkStart w:id="32" w:name="_Toc490845150"/>
      <w:bookmarkStart w:id="33" w:name="_Toc393375435"/>
      <w:bookmarkStart w:id="34" w:name="_Toc421196182"/>
      <w:bookmarkStart w:id="35" w:name="_Toc406094284"/>
      <w:r>
        <w:rPr>
          <w:rFonts w:hint="eastAsia" w:ascii="仿宋" w:hAnsi="仿宋"/>
          <w:color w:val="auto"/>
          <w:szCs w:val="28"/>
        </w:rPr>
        <w:t>根据《突发环境事件应急管理办法》（部令第34号），核设施及有关核活动发生的核与辐射事故造成的辐射污染事件按照核与辐射相关规定执行；根据《企事业单位突发环境事件应急预案备案管理办法（试行）》（环发〔2015〕4号），核与辐射环境应急预案的备案不适用该办法。本应急预案不包括辐射事故。</w:t>
      </w:r>
    </w:p>
    <w:p>
      <w:pPr>
        <w:pStyle w:val="4"/>
        <w:rPr>
          <w:color w:val="auto"/>
          <w:szCs w:val="28"/>
        </w:rPr>
      </w:pPr>
      <w:bookmarkStart w:id="36" w:name="_Toc32457"/>
      <w:r>
        <w:rPr>
          <w:color w:val="auto"/>
          <w:szCs w:val="28"/>
        </w:rPr>
        <w:t>1.5 工作原则</w:t>
      </w:r>
      <w:bookmarkEnd w:id="32"/>
      <w:bookmarkEnd w:id="33"/>
      <w:bookmarkEnd w:id="34"/>
      <w:bookmarkEnd w:id="35"/>
      <w:bookmarkEnd w:id="36"/>
    </w:p>
    <w:p>
      <w:pPr>
        <w:ind w:firstLine="560"/>
        <w:rPr>
          <w:rFonts w:ascii="仿宋" w:hAnsi="仿宋"/>
          <w:color w:val="auto"/>
          <w:szCs w:val="28"/>
        </w:rPr>
      </w:pPr>
      <w:bookmarkStart w:id="37" w:name="_Toc418061936"/>
      <w:bookmarkStart w:id="38" w:name="_Toc418169015"/>
      <w:bookmarkStart w:id="39" w:name="_Toc418168173"/>
      <w:bookmarkStart w:id="40" w:name="_Toc17729258"/>
      <w:bookmarkStart w:id="41" w:name="_Toc418169894"/>
      <w:bookmarkStart w:id="42" w:name="_Toc418168023"/>
      <w:bookmarkStart w:id="43" w:name="_Toc426725517"/>
      <w:bookmarkStart w:id="44" w:name="_Toc437354162"/>
      <w:bookmarkStart w:id="45" w:name="_Toc420506552"/>
      <w:bookmarkStart w:id="46" w:name="_Toc426984021"/>
      <w:bookmarkStart w:id="47" w:name="_Toc529815244"/>
      <w:bookmarkStart w:id="48" w:name="_Toc426968593"/>
      <w:bookmarkStart w:id="49" w:name="_Toc422840324"/>
      <w:bookmarkStart w:id="50" w:name="_Toc440033811"/>
      <w:bookmarkStart w:id="51" w:name="_Toc429469455"/>
      <w:bookmarkStart w:id="52" w:name="_Toc426117627"/>
      <w:bookmarkStart w:id="53" w:name="_Toc437332260"/>
      <w:bookmarkStart w:id="54" w:name="_Toc418492035"/>
      <w:bookmarkStart w:id="55" w:name="_Toc420506430"/>
      <w:bookmarkStart w:id="56" w:name="_Toc437334148"/>
      <w:bookmarkStart w:id="57" w:name="_Toc436225869"/>
      <w:bookmarkStart w:id="58" w:name="_Toc427592484"/>
      <w:bookmarkStart w:id="59" w:name="_Toc426724166"/>
      <w:bookmarkStart w:id="60" w:name="_Toc436916702"/>
      <w:bookmarkStart w:id="61" w:name="_Toc420764380"/>
      <w:bookmarkStart w:id="62" w:name="_Toc437015365"/>
      <w:bookmarkStart w:id="63" w:name="_Toc440284762"/>
      <w:r>
        <w:rPr>
          <w:rFonts w:ascii="仿宋" w:hAnsi="仿宋"/>
          <w:color w:val="auto"/>
          <w:szCs w:val="28"/>
        </w:rPr>
        <w:t>企业在建立突发环境事件应急组织机构及其相应程序时，本着实事求是、贯彻始终、统一指挥、快速反映、协调一致的方针，切实贯彻“</w:t>
      </w:r>
      <w:r>
        <w:rPr>
          <w:rFonts w:hint="eastAsia" w:ascii="仿宋" w:hAnsi="仿宋"/>
          <w:color w:val="auto"/>
          <w:szCs w:val="28"/>
        </w:rPr>
        <w:t>救人第一、环境优先；先期处置、防止危害扩大；快速响应、科学应对；应急工作与岗位相结合等</w:t>
      </w:r>
      <w:r>
        <w:rPr>
          <w:rFonts w:ascii="仿宋" w:hAnsi="仿宋"/>
          <w:color w:val="auto"/>
          <w:szCs w:val="28"/>
        </w:rPr>
        <w:t>”的原则</w:t>
      </w:r>
      <w:r>
        <w:rPr>
          <w:rFonts w:hint="eastAsia" w:ascii="仿宋" w:hAnsi="仿宋"/>
          <w:color w:val="auto"/>
          <w:szCs w:val="28"/>
        </w:rPr>
        <w:t>。具体如下：</w:t>
      </w:r>
    </w:p>
    <w:p>
      <w:pPr>
        <w:snapToGrid/>
        <w:ind w:firstLine="560"/>
        <w:rPr>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⑴</w:t>
      </w:r>
      <w:r>
        <w:rPr>
          <w:rFonts w:ascii="仿宋" w:hAnsi="仿宋" w:cs="仿宋"/>
          <w:color w:val="auto"/>
          <w:szCs w:val="28"/>
        </w:rPr>
        <w:fldChar w:fldCharType="end"/>
      </w:r>
      <w:r>
        <w:rPr>
          <w:rFonts w:ascii="仿宋" w:hAnsi="仿宋" w:cs="仿宋"/>
          <w:color w:val="auto"/>
          <w:szCs w:val="28"/>
        </w:rPr>
        <w:t xml:space="preserve"> </w:t>
      </w:r>
      <w:r>
        <w:rPr>
          <w:rFonts w:hint="eastAsia"/>
          <w:color w:val="auto"/>
          <w:szCs w:val="28"/>
        </w:rPr>
        <w:t>救人第一，环境优先</w:t>
      </w:r>
    </w:p>
    <w:p>
      <w:pPr>
        <w:snapToGrid/>
        <w:ind w:firstLine="560"/>
        <w:rPr>
          <w:rFonts w:ascii="仿宋" w:hAnsi="仿宋" w:cs="仿宋"/>
          <w:color w:val="auto"/>
          <w:szCs w:val="28"/>
          <w:lang w:bidi="ar"/>
        </w:rPr>
      </w:pPr>
      <w:r>
        <w:rPr>
          <w:rFonts w:hint="eastAsia" w:ascii="仿宋" w:hAnsi="仿宋" w:cs="仿宋"/>
          <w:color w:val="auto"/>
          <w:szCs w:val="28"/>
          <w:lang w:bidi="ar"/>
        </w:rPr>
        <w:t>事故应急救援工作要始终把保障人民群众的生命安全和身体健康放在首位，切实加强应急救援人员的安全防护，在处理突发事件过程中，做到以人为本，最大限度地减少事故造成的人员伤亡和危害。</w:t>
      </w:r>
    </w:p>
    <w:p>
      <w:pPr>
        <w:snapToGrid/>
        <w:ind w:firstLine="560"/>
        <w:rPr>
          <w:rFonts w:cs="仿宋"/>
          <w:color w:val="auto"/>
          <w:szCs w:val="28"/>
          <w:lang w:bidi="ar"/>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2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⑵</w:t>
      </w:r>
      <w:r>
        <w:rPr>
          <w:rFonts w:ascii="仿宋" w:hAnsi="仿宋" w:cs="仿宋"/>
          <w:color w:val="auto"/>
          <w:szCs w:val="28"/>
        </w:rPr>
        <w:fldChar w:fldCharType="end"/>
      </w:r>
      <w:r>
        <w:rPr>
          <w:rFonts w:ascii="仿宋" w:hAnsi="仿宋" w:cs="仿宋"/>
          <w:color w:val="auto"/>
          <w:szCs w:val="28"/>
        </w:rPr>
        <w:t xml:space="preserve"> </w:t>
      </w:r>
      <w:r>
        <w:rPr>
          <w:rFonts w:hint="eastAsia" w:cs="仿宋"/>
          <w:color w:val="auto"/>
          <w:szCs w:val="28"/>
          <w:lang w:bidi="ar"/>
        </w:rPr>
        <w:t>先期处置、防止危害扩大</w:t>
      </w:r>
    </w:p>
    <w:p>
      <w:pPr>
        <w:snapToGrid/>
        <w:ind w:firstLine="560"/>
        <w:rPr>
          <w:color w:val="auto"/>
        </w:rPr>
      </w:pPr>
      <w:r>
        <w:rPr>
          <w:rFonts w:hint="eastAsia"/>
          <w:color w:val="auto"/>
        </w:rPr>
        <w:t>接受政府生态环境部门的指导，使企业的突发性环境污染事件应急系统成为区域系统的有机组成部分。加强企业各部门之间协同与合作，提高快速反应能力。针对不同污染源所造成的环境污染的特点，实行分类管理，充分发挥部门专业优势，使采取的措施与突发环境污染事件造成的危害范围和社会影响相适应。加强对环境事件危险源的监测、监控并实施监督管理，建立环境事件风险防范体系。积极预防、及时控制、消除隐患，提高突发环境事件防范和处理能力，尽可能地避免或减少突发环境事件的发生，消除或减轻环境事件造成的中长期影响，最大程度地保障公众健康，保护人民群众生命财产安全。</w:t>
      </w:r>
    </w:p>
    <w:p>
      <w:pPr>
        <w:snapToGrid/>
        <w:ind w:firstLine="560"/>
        <w:rPr>
          <w:rFonts w:cs="仿宋"/>
          <w:color w:val="auto"/>
          <w:szCs w:val="28"/>
          <w:lang w:bidi="ar"/>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3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⑶</w:t>
      </w:r>
      <w:r>
        <w:rPr>
          <w:rFonts w:ascii="仿宋" w:hAnsi="仿宋" w:cs="仿宋"/>
          <w:color w:val="auto"/>
          <w:szCs w:val="28"/>
        </w:rPr>
        <w:fldChar w:fldCharType="end"/>
      </w:r>
      <w:r>
        <w:rPr>
          <w:rFonts w:ascii="仿宋" w:hAnsi="仿宋" w:cs="仿宋"/>
          <w:color w:val="auto"/>
          <w:szCs w:val="28"/>
        </w:rPr>
        <w:t xml:space="preserve"> </w:t>
      </w:r>
      <w:r>
        <w:rPr>
          <w:rFonts w:hint="eastAsia" w:cs="仿宋"/>
          <w:color w:val="auto"/>
          <w:szCs w:val="28"/>
          <w:lang w:bidi="ar"/>
        </w:rPr>
        <w:t>快速响应、科学应对</w:t>
      </w:r>
    </w:p>
    <w:p>
      <w:pPr>
        <w:pStyle w:val="61"/>
        <w:snapToGrid/>
        <w:ind w:firstLine="560"/>
        <w:rPr>
          <w:rFonts w:cs="仿宋"/>
          <w:color w:val="auto"/>
          <w:szCs w:val="28"/>
          <w:lang w:bidi="ar"/>
        </w:rPr>
      </w:pPr>
      <w:r>
        <w:rPr>
          <w:rFonts w:hint="eastAsia" w:cs="仿宋"/>
          <w:color w:val="auto"/>
          <w:szCs w:val="28"/>
          <w:lang w:bidi="ar"/>
        </w:rPr>
        <w:t>采用先进技术，充分发挥专业技术人才作用，实行科学民主决策，采用先进的救援装备和技术，增强应急救援能力，依法规范应急救援工作。确保施救方案的科学性、权威性和可操作性，坚持事故应急救援与事故预防的有机结合。积极开展企业安全建设，提高从业人员的整体素质，增强企业的安全保障能力。</w:t>
      </w:r>
    </w:p>
    <w:p>
      <w:pPr>
        <w:pStyle w:val="61"/>
        <w:snapToGrid/>
        <w:ind w:firstLine="560"/>
        <w:rPr>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4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⑷</w:t>
      </w:r>
      <w:r>
        <w:rPr>
          <w:rFonts w:ascii="仿宋" w:hAnsi="仿宋" w:cs="仿宋"/>
          <w:color w:val="auto"/>
          <w:szCs w:val="28"/>
        </w:rPr>
        <w:fldChar w:fldCharType="end"/>
      </w:r>
      <w:r>
        <w:rPr>
          <w:rFonts w:ascii="仿宋" w:hAnsi="仿宋" w:cs="仿宋"/>
          <w:color w:val="auto"/>
          <w:szCs w:val="28"/>
        </w:rPr>
        <w:t xml:space="preserve"> </w:t>
      </w:r>
      <w:r>
        <w:rPr>
          <w:rFonts w:hint="eastAsia"/>
          <w:color w:val="auto"/>
          <w:szCs w:val="28"/>
        </w:rPr>
        <w:t>应急工作与岗位相结合</w:t>
      </w:r>
    </w:p>
    <w:p>
      <w:pPr>
        <w:pStyle w:val="61"/>
        <w:snapToGrid/>
        <w:ind w:firstLine="560"/>
        <w:rPr>
          <w:color w:val="auto"/>
          <w:szCs w:val="28"/>
        </w:rPr>
      </w:pPr>
      <w:r>
        <w:rPr>
          <w:rFonts w:hint="eastAsia"/>
          <w:color w:val="auto"/>
          <w:szCs w:val="28"/>
        </w:rPr>
        <w:t>积极做好应对突发性环境污染事件的思想准备、物资准备、技术准备、工作准备，加强培训演练，应急系统做到常备不懈，充分利用专业救援队伍力量，引导、鼓励、培育和发挥辅助应急救援力量的作用。</w:t>
      </w:r>
    </w:p>
    <w:p>
      <w:pPr>
        <w:pStyle w:val="4"/>
        <w:rPr>
          <w:color w:val="auto"/>
          <w:sz w:val="30"/>
          <w:szCs w:val="30"/>
        </w:rPr>
      </w:pPr>
      <w:bookmarkStart w:id="64" w:name="_Toc21773"/>
      <w:r>
        <w:rPr>
          <w:color w:val="auto"/>
          <w:sz w:val="30"/>
          <w:szCs w:val="30"/>
        </w:rPr>
        <w:t>1.</w:t>
      </w:r>
      <w:r>
        <w:rPr>
          <w:rFonts w:hint="eastAsia"/>
          <w:color w:val="auto"/>
          <w:sz w:val="30"/>
          <w:szCs w:val="30"/>
        </w:rPr>
        <w:t xml:space="preserve">6 </w:t>
      </w:r>
      <w:r>
        <w:rPr>
          <w:color w:val="auto"/>
          <w:sz w:val="30"/>
          <w:szCs w:val="30"/>
        </w:rPr>
        <w:t>应急预案</w:t>
      </w:r>
      <w:bookmarkEnd w:id="37"/>
      <w:r>
        <w:rPr>
          <w:color w:val="auto"/>
          <w:sz w:val="30"/>
          <w:szCs w:val="30"/>
        </w:rPr>
        <w:t>体系</w:t>
      </w:r>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pPr>
        <w:ind w:firstLine="560"/>
        <w:rPr>
          <w:color w:val="auto"/>
          <w:szCs w:val="28"/>
        </w:rPr>
      </w:pPr>
      <w:r>
        <w:rPr>
          <w:color w:val="auto"/>
          <w:szCs w:val="28"/>
        </w:rPr>
        <w:t>本应急预案针对可能发生的事故和所存在的环境风险源制定综合应急预案和现场处置方案，并明确事前、事发、事中、事后的各个过程中相关部门和有关人员的职责。根据</w:t>
      </w:r>
      <w:r>
        <w:rPr>
          <w:rFonts w:hint="eastAsia"/>
          <w:color w:val="auto"/>
          <w:szCs w:val="28"/>
        </w:rPr>
        <w:t>项目</w:t>
      </w:r>
      <w:r>
        <w:rPr>
          <w:color w:val="auto"/>
          <w:szCs w:val="28"/>
        </w:rPr>
        <w:t>生产规模、危险因素等实际情况制订。应急预案体系包含突发环境事件应急预案、环境风险评估报告、环境应急资源调查报告。</w:t>
      </w:r>
      <w:r>
        <w:rPr>
          <w:rFonts w:hint="eastAsia"/>
          <w:color w:val="auto"/>
          <w:szCs w:val="28"/>
        </w:rPr>
        <w:t>项目</w:t>
      </w:r>
      <w:r>
        <w:rPr>
          <w:color w:val="auto"/>
          <w:szCs w:val="28"/>
        </w:rPr>
        <w:t>经过环境风险评估，确定为一般环境风险。本预案为公司级突发环境事故应急的综合预案，包含现场处置方案。</w:t>
      </w:r>
    </w:p>
    <w:p>
      <w:pPr>
        <w:ind w:firstLine="560"/>
        <w:rPr>
          <w:color w:val="auto"/>
          <w:szCs w:val="28"/>
        </w:rPr>
      </w:pPr>
      <w:r>
        <w:rPr>
          <w:color w:val="auto"/>
          <w:szCs w:val="28"/>
        </w:rPr>
        <w:t>本预案是根据有关法律、法规、规章和各级人民政府及其有关部门制定应急预案的编制要求而制定，并与上级政府和主管部门的预案相对应、相衔接，形成完整的突发环境事件应急预案体系。</w:t>
      </w:r>
    </w:p>
    <w:p>
      <w:pPr>
        <w:ind w:firstLine="560"/>
        <w:rPr>
          <w:rFonts w:ascii="仿宋" w:hAnsi="仿宋"/>
          <w:color w:val="auto"/>
          <w:szCs w:val="28"/>
        </w:rPr>
      </w:pPr>
      <w:r>
        <w:rPr>
          <w:rFonts w:ascii="仿宋" w:hAnsi="仿宋"/>
          <w:color w:val="auto"/>
          <w:szCs w:val="28"/>
        </w:rPr>
        <w:t>本预案是针对</w:t>
      </w:r>
      <w:r>
        <w:rPr>
          <w:rFonts w:hint="eastAsia" w:ascii="仿宋" w:hAnsi="仿宋"/>
          <w:color w:val="auto"/>
          <w:szCs w:val="28"/>
        </w:rPr>
        <w:t>陕西渭河发电有限公司</w:t>
      </w:r>
      <w:r>
        <w:rPr>
          <w:rFonts w:ascii="仿宋" w:hAnsi="仿宋"/>
          <w:color w:val="auto"/>
          <w:szCs w:val="28"/>
        </w:rPr>
        <w:t>的具体情况制定的突发环境事件应急预案，与突发安全事件应急预案、消防应急预案相互衔接，互相协调，共同组成应对突发环境事件的完整体系。</w:t>
      </w:r>
    </w:p>
    <w:p>
      <w:pPr>
        <w:ind w:firstLine="560"/>
        <w:rPr>
          <w:color w:val="auto"/>
          <w:szCs w:val="28"/>
        </w:rPr>
      </w:pPr>
      <w:r>
        <w:rPr>
          <w:color w:val="auto"/>
          <w:szCs w:val="28"/>
        </w:rPr>
        <w:t>超出本级应急处置能力时，及时请求上一级应急指挥机构启动上一级应急预案。应急预案体系见图1.</w:t>
      </w:r>
      <w:r>
        <w:rPr>
          <w:rFonts w:hint="eastAsia"/>
          <w:color w:val="auto"/>
          <w:szCs w:val="28"/>
        </w:rPr>
        <w:t>6</w:t>
      </w:r>
      <w:r>
        <w:rPr>
          <w:color w:val="auto"/>
          <w:szCs w:val="28"/>
        </w:rPr>
        <w:t>-1。</w:t>
      </w:r>
    </w:p>
    <w:p>
      <w:pPr>
        <w:tabs>
          <w:tab w:val="left" w:pos="3642"/>
        </w:tabs>
        <w:ind w:firstLine="0" w:firstLineChars="0"/>
        <w:jc w:val="center"/>
        <w:rPr>
          <w:b/>
          <w:color w:val="auto"/>
          <w:szCs w:val="28"/>
        </w:rPr>
      </w:pPr>
      <w:r>
        <w:rPr>
          <w:b/>
          <w:color w:val="auto"/>
          <w:szCs w:val="28"/>
        </w:rPr>
        <w:drawing>
          <wp:inline distT="0" distB="0" distL="114300" distR="114300">
            <wp:extent cx="4795520" cy="1444625"/>
            <wp:effectExtent l="0" t="0" r="5080" b="3175"/>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31"/>
                    <a:stretch>
                      <a:fillRect/>
                    </a:stretch>
                  </pic:blipFill>
                  <pic:spPr>
                    <a:xfrm>
                      <a:off x="0" y="0"/>
                      <a:ext cx="4795520" cy="1444625"/>
                    </a:xfrm>
                    <a:prstGeom prst="rect">
                      <a:avLst/>
                    </a:prstGeom>
                    <a:noFill/>
                    <a:ln>
                      <a:noFill/>
                    </a:ln>
                  </pic:spPr>
                </pic:pic>
              </a:graphicData>
            </a:graphic>
          </wp:inline>
        </w:drawing>
      </w:r>
    </w:p>
    <w:p>
      <w:pPr>
        <w:tabs>
          <w:tab w:val="left" w:pos="3642"/>
        </w:tabs>
        <w:ind w:firstLine="0" w:firstLineChars="0"/>
        <w:jc w:val="center"/>
        <w:rPr>
          <w:color w:val="auto"/>
          <w:szCs w:val="28"/>
        </w:rPr>
      </w:pPr>
      <w:r>
        <w:rPr>
          <w:b/>
          <w:color w:val="auto"/>
          <w:szCs w:val="28"/>
        </w:rPr>
        <w:t>图1.</w:t>
      </w:r>
      <w:r>
        <w:rPr>
          <w:rFonts w:hint="eastAsia"/>
          <w:b/>
          <w:color w:val="auto"/>
          <w:szCs w:val="28"/>
        </w:rPr>
        <w:t>6</w:t>
      </w:r>
      <w:r>
        <w:rPr>
          <w:b/>
          <w:color w:val="auto"/>
          <w:szCs w:val="28"/>
        </w:rPr>
        <w:t xml:space="preserve">-1    </w:t>
      </w:r>
      <w:r>
        <w:rPr>
          <w:rFonts w:hint="eastAsia"/>
          <w:b/>
          <w:color w:val="auto"/>
          <w:szCs w:val="28"/>
        </w:rPr>
        <w:t>企业内部</w:t>
      </w:r>
      <w:r>
        <w:rPr>
          <w:b/>
          <w:color w:val="auto"/>
          <w:szCs w:val="28"/>
        </w:rPr>
        <w:t>应急预案体系图</w:t>
      </w:r>
    </w:p>
    <w:p>
      <w:pPr>
        <w:pStyle w:val="61"/>
        <w:snapToGrid/>
        <w:ind w:firstLine="560"/>
        <w:rPr>
          <w:rFonts w:ascii="仿宋" w:hAnsi="仿宋"/>
          <w:color w:val="auto"/>
          <w:szCs w:val="28"/>
          <w:lang w:bidi="ar"/>
        </w:rPr>
      </w:pPr>
      <w:r>
        <w:rPr>
          <w:rFonts w:hint="eastAsia" w:ascii="仿宋" w:hAnsi="仿宋"/>
          <w:color w:val="auto"/>
          <w:szCs w:val="28"/>
          <w:lang w:bidi="ar"/>
        </w:rPr>
        <w:t>企业应急预案体系及其与外部预案关系图如下：</w:t>
      </w:r>
    </w:p>
    <w:p>
      <w:pPr>
        <w:pStyle w:val="61"/>
        <w:ind w:firstLine="0" w:firstLineChars="0"/>
        <w:jc w:val="center"/>
        <w:rPr>
          <w:color w:val="auto"/>
          <w:szCs w:val="28"/>
          <w:lang w:bidi="ar"/>
        </w:rPr>
      </w:pPr>
      <w:r>
        <w:rPr>
          <w:rFonts w:hint="eastAsia"/>
          <w:color w:val="auto"/>
          <w:szCs w:val="28"/>
          <w:lang w:bidi="ar"/>
        </w:rPr>
        <w:drawing>
          <wp:inline distT="0" distB="0" distL="114300" distR="114300">
            <wp:extent cx="5751830" cy="3835400"/>
            <wp:effectExtent l="0" t="0" r="1270" b="12700"/>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32"/>
                    <a:stretch>
                      <a:fillRect/>
                    </a:stretch>
                  </pic:blipFill>
                  <pic:spPr>
                    <a:xfrm>
                      <a:off x="0" y="0"/>
                      <a:ext cx="5751830" cy="3835400"/>
                    </a:xfrm>
                    <a:prstGeom prst="rect">
                      <a:avLst/>
                    </a:prstGeom>
                    <a:noFill/>
                    <a:ln>
                      <a:noFill/>
                    </a:ln>
                  </pic:spPr>
                </pic:pic>
              </a:graphicData>
            </a:graphic>
          </wp:inline>
        </w:drawing>
      </w:r>
    </w:p>
    <w:p>
      <w:pPr>
        <w:pStyle w:val="61"/>
        <w:snapToGrid/>
        <w:ind w:firstLineChars="71"/>
        <w:jc w:val="center"/>
        <w:rPr>
          <w:b/>
          <w:color w:val="auto"/>
          <w:szCs w:val="28"/>
        </w:rPr>
      </w:pPr>
      <w:r>
        <w:rPr>
          <w:rFonts w:hint="eastAsia"/>
          <w:b/>
          <w:color w:val="auto"/>
          <w:szCs w:val="28"/>
        </w:rPr>
        <w:t>1.7</w:t>
      </w:r>
      <w:r>
        <w:rPr>
          <w:b/>
          <w:color w:val="auto"/>
          <w:szCs w:val="28"/>
        </w:rPr>
        <w:t xml:space="preserve">-1    </w:t>
      </w:r>
      <w:r>
        <w:rPr>
          <w:rFonts w:hint="eastAsia"/>
          <w:b/>
          <w:color w:val="auto"/>
          <w:szCs w:val="28"/>
        </w:rPr>
        <w:t>企业外部应急预案体系图</w:t>
      </w:r>
    </w:p>
    <w:p>
      <w:pPr>
        <w:pStyle w:val="4"/>
        <w:rPr>
          <w:color w:val="auto"/>
          <w:sz w:val="30"/>
          <w:szCs w:val="30"/>
        </w:rPr>
      </w:pPr>
      <w:bookmarkStart w:id="65" w:name="_Toc5226"/>
      <w:r>
        <w:rPr>
          <w:rFonts w:hint="eastAsia"/>
          <w:color w:val="auto"/>
          <w:sz w:val="30"/>
          <w:szCs w:val="30"/>
        </w:rPr>
        <w:t>1.7预案体系说明</w:t>
      </w:r>
      <w:bookmarkEnd w:id="65"/>
    </w:p>
    <w:p>
      <w:pPr>
        <w:pStyle w:val="61"/>
        <w:snapToGrid/>
        <w:ind w:firstLine="560"/>
        <w:rPr>
          <w:rFonts w:ascii="仿宋" w:hAnsi="仿宋"/>
          <w:color w:val="auto"/>
          <w:szCs w:val="28"/>
          <w:lang w:bidi="ar"/>
        </w:rPr>
      </w:pPr>
      <w:r>
        <w:rPr>
          <w:rFonts w:hint="eastAsia" w:ascii="仿宋" w:hAnsi="仿宋"/>
          <w:color w:val="auto"/>
          <w:szCs w:val="28"/>
        </w:rPr>
        <w:t>陕西渭河发电有限公司</w:t>
      </w:r>
      <w:r>
        <w:rPr>
          <w:rFonts w:hint="eastAsia" w:ascii="仿宋" w:hAnsi="仿宋"/>
          <w:color w:val="auto"/>
        </w:rPr>
        <w:t>应急预案体系主要为突发环境事件应急预案和安全生产事故预案。突发环境事件应急预案包括泄漏、火灾爆炸的次生环境事件等情景的现场处置措施。</w:t>
      </w:r>
      <w:r>
        <w:rPr>
          <w:rFonts w:hint="eastAsia" w:ascii="仿宋" w:hAnsi="仿宋"/>
          <w:color w:val="auto"/>
          <w:szCs w:val="28"/>
          <w:lang w:bidi="ar"/>
        </w:rPr>
        <w:t>应对可能发生的各类情景提出的预防、处置措施。安全生产事故预案与本预案相互协作、相互联动。</w:t>
      </w:r>
    </w:p>
    <w:p>
      <w:pPr>
        <w:ind w:firstLine="560"/>
        <w:rPr>
          <w:rFonts w:ascii="仿宋" w:hAnsi="仿宋"/>
          <w:color w:val="auto"/>
          <w:szCs w:val="28"/>
        </w:rPr>
      </w:pPr>
      <w:r>
        <w:rPr>
          <w:rFonts w:ascii="仿宋" w:hAnsi="仿宋"/>
          <w:color w:val="auto"/>
          <w:szCs w:val="28"/>
        </w:rPr>
        <w:t>本预案与</w:t>
      </w:r>
      <w:r>
        <w:rPr>
          <w:rFonts w:hint="eastAsia" w:ascii="仿宋" w:hAnsi="仿宋"/>
          <w:color w:val="auto"/>
          <w:szCs w:val="28"/>
        </w:rPr>
        <w:t>西咸新区</w:t>
      </w:r>
      <w:r>
        <w:rPr>
          <w:rFonts w:hint="eastAsia" w:ascii="仿宋" w:hAnsi="仿宋"/>
          <w:color w:val="auto"/>
          <w:szCs w:val="28"/>
          <w:lang w:eastAsia="zh-CN"/>
        </w:rPr>
        <w:t>、秦汉新城</w:t>
      </w:r>
      <w:r>
        <w:rPr>
          <w:rFonts w:ascii="仿宋" w:hAnsi="仿宋"/>
          <w:color w:val="auto"/>
          <w:szCs w:val="28"/>
        </w:rPr>
        <w:t>突发环境事件应急预案具有衔接、联动的关系</w:t>
      </w:r>
      <w:r>
        <w:rPr>
          <w:rFonts w:hint="eastAsia" w:ascii="仿宋" w:hAnsi="仿宋"/>
          <w:color w:val="auto"/>
          <w:szCs w:val="28"/>
          <w:lang w:eastAsia="zh-CN"/>
        </w:rPr>
        <w:t>。秦汉新城应急管理局</w:t>
      </w:r>
      <w:r>
        <w:rPr>
          <w:rFonts w:ascii="仿宋" w:hAnsi="仿宋"/>
          <w:color w:val="auto"/>
          <w:szCs w:val="28"/>
        </w:rPr>
        <w:t>为本公司在突发环境事件发生时提供应急处理、处置的辅助决策。</w:t>
      </w:r>
    </w:p>
    <w:p>
      <w:pPr>
        <w:pStyle w:val="61"/>
        <w:ind w:firstLine="0" w:firstLineChars="0"/>
        <w:jc w:val="center"/>
        <w:rPr>
          <w:color w:val="auto"/>
        </w:rPr>
        <w:sectPr>
          <w:footerReference r:id="rId13" w:type="default"/>
          <w:pgSz w:w="11906" w:h="16838"/>
          <w:pgMar w:top="1418" w:right="1418" w:bottom="1418" w:left="1418" w:header="851" w:footer="992" w:gutter="0"/>
          <w:pgNumType w:fmt="numberInDash"/>
          <w:cols w:space="720" w:num="1"/>
          <w:docGrid w:linePitch="312" w:charSpace="0"/>
        </w:sectPr>
      </w:pPr>
    </w:p>
    <w:p>
      <w:pPr>
        <w:pStyle w:val="3"/>
        <w:rPr>
          <w:bCs/>
          <w:color w:val="auto"/>
          <w:sz w:val="28"/>
          <w:szCs w:val="28"/>
        </w:rPr>
      </w:pPr>
      <w:bookmarkStart w:id="66" w:name="_Toc22281"/>
      <w:r>
        <w:rPr>
          <w:bCs/>
          <w:color w:val="auto"/>
          <w:sz w:val="28"/>
          <w:szCs w:val="28"/>
        </w:rPr>
        <w:t xml:space="preserve">2 </w:t>
      </w:r>
      <w:r>
        <w:rPr>
          <w:rFonts w:hint="eastAsia"/>
          <w:bCs/>
          <w:color w:val="auto"/>
          <w:sz w:val="28"/>
          <w:szCs w:val="28"/>
        </w:rPr>
        <w:t>企业概况</w:t>
      </w:r>
      <w:bookmarkEnd w:id="66"/>
    </w:p>
    <w:p>
      <w:pPr>
        <w:pStyle w:val="4"/>
        <w:rPr>
          <w:color w:val="auto"/>
          <w:szCs w:val="28"/>
        </w:rPr>
      </w:pPr>
      <w:bookmarkStart w:id="67" w:name="_Toc30581"/>
      <w:r>
        <w:rPr>
          <w:color w:val="auto"/>
          <w:szCs w:val="28"/>
        </w:rPr>
        <w:t xml:space="preserve">2.1 </w:t>
      </w:r>
      <w:r>
        <w:rPr>
          <w:rFonts w:hint="eastAsia"/>
          <w:color w:val="auto"/>
          <w:szCs w:val="28"/>
        </w:rPr>
        <w:t>企业基本情况</w:t>
      </w:r>
      <w:bookmarkEnd w:id="67"/>
    </w:p>
    <w:p>
      <w:pPr>
        <w:ind w:firstLine="0" w:firstLineChars="0"/>
        <w:outlineLvl w:val="2"/>
        <w:rPr>
          <w:rFonts w:ascii="仿宋" w:hAnsi="仿宋"/>
          <w:b/>
          <w:bCs/>
          <w:color w:val="auto"/>
          <w:szCs w:val="28"/>
        </w:rPr>
      </w:pPr>
      <w:r>
        <w:rPr>
          <w:rFonts w:hint="eastAsia" w:ascii="仿宋" w:hAnsi="仿宋"/>
          <w:b/>
          <w:bCs/>
          <w:color w:val="auto"/>
          <w:szCs w:val="28"/>
        </w:rPr>
        <w:t>2</w:t>
      </w:r>
      <w:r>
        <w:rPr>
          <w:rFonts w:ascii="仿宋" w:hAnsi="仿宋"/>
          <w:b/>
          <w:bCs/>
          <w:color w:val="auto"/>
          <w:szCs w:val="28"/>
        </w:rPr>
        <w:t xml:space="preserve">.1.1 </w:t>
      </w:r>
      <w:r>
        <w:rPr>
          <w:rFonts w:hint="eastAsia" w:ascii="仿宋" w:hAnsi="仿宋"/>
          <w:b/>
          <w:bCs/>
          <w:color w:val="auto"/>
          <w:szCs w:val="28"/>
        </w:rPr>
        <w:t>企业基本信息</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ascii="仿宋" w:hAnsi="仿宋"/>
          <w:color w:val="auto"/>
          <w:szCs w:val="28"/>
        </w:rPr>
        <w:t xml:space="preserve"> 单位名称：</w:t>
      </w:r>
      <w:r>
        <w:rPr>
          <w:rFonts w:hint="eastAsia" w:ascii="仿宋" w:hAnsi="仿宋"/>
          <w:color w:val="auto"/>
          <w:szCs w:val="28"/>
        </w:rPr>
        <w:t>陕西渭河发电有限公司</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2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⑵</w:t>
      </w:r>
      <w:r>
        <w:rPr>
          <w:rFonts w:ascii="仿宋" w:hAnsi="仿宋"/>
          <w:color w:val="auto"/>
          <w:szCs w:val="28"/>
        </w:rPr>
        <w:fldChar w:fldCharType="end"/>
      </w:r>
      <w:r>
        <w:rPr>
          <w:rFonts w:ascii="仿宋" w:hAnsi="仿宋"/>
          <w:color w:val="auto"/>
          <w:szCs w:val="28"/>
        </w:rPr>
        <w:t xml:space="preserve"> 法定代表人：</w:t>
      </w:r>
      <w:r>
        <w:rPr>
          <w:rFonts w:hint="eastAsia" w:ascii="仿宋" w:hAnsi="仿宋"/>
          <w:color w:val="auto"/>
          <w:szCs w:val="28"/>
        </w:rPr>
        <w:t>王亮</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3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⑶</w:t>
      </w:r>
      <w:r>
        <w:rPr>
          <w:rFonts w:ascii="仿宋" w:hAnsi="仿宋"/>
          <w:color w:val="auto"/>
          <w:szCs w:val="28"/>
        </w:rPr>
        <w:fldChar w:fldCharType="end"/>
      </w:r>
      <w:r>
        <w:rPr>
          <w:rFonts w:ascii="仿宋" w:hAnsi="仿宋"/>
          <w:color w:val="auto"/>
          <w:szCs w:val="28"/>
        </w:rPr>
        <w:t xml:space="preserve"> 地理位置：</w:t>
      </w:r>
      <w:r>
        <w:rPr>
          <w:rFonts w:hint="eastAsia" w:ascii="仿宋" w:hAnsi="仿宋"/>
          <w:color w:val="auto"/>
          <w:szCs w:val="28"/>
        </w:rPr>
        <w:t>陕西省西咸新区秦汉新城正阳街办肖家村，厂址中心坐标：东经108.915710°，北纬34.427479°</w:t>
      </w:r>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4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⑷</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行业类别：</w:t>
      </w:r>
      <w:bookmarkStart w:id="68" w:name="_Hlk58230478"/>
      <w:r>
        <w:rPr>
          <w:rFonts w:hint="eastAsia" w:ascii="仿宋" w:hAnsi="仿宋"/>
          <w:color w:val="auto"/>
          <w:szCs w:val="28"/>
        </w:rPr>
        <w:t>D</w:t>
      </w:r>
      <w:r>
        <w:rPr>
          <w:rFonts w:ascii="仿宋" w:hAnsi="仿宋"/>
          <w:color w:val="auto"/>
          <w:szCs w:val="28"/>
        </w:rPr>
        <w:t xml:space="preserve">4411 </w:t>
      </w:r>
      <w:r>
        <w:rPr>
          <w:rFonts w:hint="eastAsia" w:ascii="仿宋" w:hAnsi="仿宋"/>
          <w:color w:val="auto"/>
          <w:szCs w:val="28"/>
        </w:rPr>
        <w:t>火力发电</w:t>
      </w:r>
      <w:bookmarkEnd w:id="68"/>
    </w:p>
    <w:p>
      <w:pPr>
        <w:ind w:firstLine="560"/>
        <w:rPr>
          <w:rFonts w:ascii="仿宋" w:hAnsi="仿宋"/>
          <w:color w:val="auto"/>
          <w:szCs w:val="28"/>
        </w:rPr>
      </w:pPr>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5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⑸</w:t>
      </w:r>
      <w:r>
        <w:rPr>
          <w:rFonts w:ascii="仿宋" w:hAnsi="仿宋"/>
          <w:color w:val="auto"/>
          <w:szCs w:val="28"/>
        </w:rPr>
        <w:fldChar w:fldCharType="end"/>
      </w:r>
      <w:r>
        <w:rPr>
          <w:rFonts w:ascii="仿宋" w:hAnsi="仿宋"/>
          <w:color w:val="auto"/>
          <w:szCs w:val="28"/>
        </w:rPr>
        <w:t xml:space="preserve"> 劳动定员及工作制度：劳动定员1040人，3</w:t>
      </w:r>
      <w:r>
        <w:rPr>
          <w:rFonts w:hint="eastAsia" w:ascii="仿宋" w:hAnsi="仿宋"/>
          <w:color w:val="auto"/>
          <w:szCs w:val="28"/>
        </w:rPr>
        <w:t>65天</w:t>
      </w:r>
      <w:r>
        <w:rPr>
          <w:rFonts w:ascii="仿宋" w:hAnsi="仿宋"/>
          <w:color w:val="auto"/>
          <w:szCs w:val="28"/>
        </w:rPr>
        <w:t>/</w:t>
      </w:r>
      <w:r>
        <w:rPr>
          <w:rFonts w:hint="eastAsia" w:ascii="仿宋" w:hAnsi="仿宋"/>
          <w:color w:val="auto"/>
          <w:szCs w:val="28"/>
        </w:rPr>
        <w:t>年</w:t>
      </w:r>
    </w:p>
    <w:p>
      <w:pPr>
        <w:ind w:firstLine="560"/>
        <w:rPr>
          <w:rFonts w:ascii="仿宋" w:hAnsi="仿宋"/>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6 \* GB2</w:instrText>
      </w:r>
      <w:r>
        <w:rPr>
          <w:color w:val="auto"/>
          <w:szCs w:val="28"/>
        </w:rPr>
        <w:instrText xml:space="preserve"> </w:instrText>
      </w:r>
      <w:r>
        <w:rPr>
          <w:color w:val="auto"/>
          <w:szCs w:val="28"/>
        </w:rPr>
        <w:fldChar w:fldCharType="separate"/>
      </w:r>
      <w:r>
        <w:rPr>
          <w:rFonts w:hint="eastAsia"/>
          <w:color w:val="auto"/>
          <w:szCs w:val="28"/>
        </w:rPr>
        <w:t>⑹</w:t>
      </w:r>
      <w:r>
        <w:rPr>
          <w:color w:val="auto"/>
          <w:szCs w:val="28"/>
        </w:rPr>
        <w:fldChar w:fldCharType="end"/>
      </w:r>
      <w:r>
        <w:rPr>
          <w:color w:val="auto"/>
          <w:szCs w:val="28"/>
        </w:rPr>
        <w:t xml:space="preserve"> </w:t>
      </w:r>
      <w:r>
        <w:rPr>
          <w:rFonts w:hint="eastAsia"/>
          <w:color w:val="auto"/>
          <w:szCs w:val="28"/>
        </w:rPr>
        <w:t>生产规模：</w:t>
      </w:r>
      <w:r>
        <w:rPr>
          <w:rFonts w:hint="eastAsia" w:ascii="仿宋" w:hAnsi="仿宋"/>
          <w:color w:val="auto"/>
          <w:szCs w:val="28"/>
        </w:rPr>
        <w:t>渭河电厂现有</w:t>
      </w:r>
      <w:r>
        <w:rPr>
          <w:rFonts w:ascii="仿宋" w:hAnsi="仿宋"/>
          <w:color w:val="auto"/>
          <w:szCs w:val="28"/>
        </w:rPr>
        <w:t>发电机组共有</w:t>
      </w:r>
      <w:r>
        <w:rPr>
          <w:rFonts w:hint="eastAsia" w:ascii="仿宋" w:hAnsi="仿宋"/>
          <w:color w:val="auto"/>
          <w:szCs w:val="28"/>
        </w:rPr>
        <w:t>二</w:t>
      </w:r>
      <w:r>
        <w:rPr>
          <w:rFonts w:ascii="仿宋" w:hAnsi="仿宋"/>
          <w:color w:val="auto"/>
          <w:szCs w:val="28"/>
        </w:rPr>
        <w:t>期，即</w:t>
      </w:r>
      <w:r>
        <w:rPr>
          <w:rFonts w:hint="eastAsia" w:ascii="仿宋" w:hAnsi="仿宋"/>
          <w:color w:val="auto"/>
          <w:szCs w:val="28"/>
        </w:rPr>
        <w:t>：</w:t>
      </w:r>
      <w:r>
        <w:rPr>
          <w:rFonts w:ascii="仿宋" w:hAnsi="仿宋"/>
          <w:color w:val="auto"/>
          <w:szCs w:val="28"/>
        </w:rPr>
        <w:t>二期工程#3</w:t>
      </w:r>
      <w:r>
        <w:rPr>
          <w:rFonts w:hint="eastAsia" w:ascii="仿宋" w:hAnsi="仿宋"/>
          <w:color w:val="auto"/>
          <w:szCs w:val="28"/>
        </w:rPr>
        <w:t>和</w:t>
      </w:r>
      <w:r>
        <w:rPr>
          <w:rFonts w:ascii="仿宋" w:hAnsi="仿宋"/>
          <w:color w:val="auto"/>
          <w:szCs w:val="28"/>
        </w:rPr>
        <w:t>#4</w:t>
      </w:r>
      <w:r>
        <w:rPr>
          <w:rFonts w:hint="eastAsia" w:ascii="仿宋" w:hAnsi="仿宋"/>
          <w:color w:val="auto"/>
          <w:szCs w:val="28"/>
        </w:rPr>
        <w:t>机组</w:t>
      </w:r>
      <w:r>
        <w:rPr>
          <w:rFonts w:ascii="仿宋" w:hAnsi="仿宋"/>
          <w:color w:val="auto"/>
          <w:szCs w:val="28"/>
        </w:rPr>
        <w:t>（</w:t>
      </w:r>
      <w:r>
        <w:rPr>
          <w:rFonts w:hint="eastAsia" w:ascii="仿宋" w:hAnsi="仿宋"/>
          <w:color w:val="auto"/>
          <w:szCs w:val="28"/>
        </w:rPr>
        <w:t>2×300MW</w:t>
      </w:r>
      <w:r>
        <w:rPr>
          <w:rFonts w:ascii="仿宋" w:hAnsi="仿宋"/>
          <w:color w:val="auto"/>
          <w:szCs w:val="28"/>
        </w:rPr>
        <w:t>）</w:t>
      </w:r>
      <w:r>
        <w:rPr>
          <w:rFonts w:hint="eastAsia" w:ascii="仿宋" w:hAnsi="仿宋"/>
          <w:color w:val="auto"/>
          <w:szCs w:val="28"/>
        </w:rPr>
        <w:t>、三</w:t>
      </w:r>
      <w:r>
        <w:rPr>
          <w:rFonts w:ascii="仿宋" w:hAnsi="仿宋"/>
          <w:color w:val="auto"/>
          <w:szCs w:val="28"/>
        </w:rPr>
        <w:t>期工程#5</w:t>
      </w:r>
      <w:r>
        <w:rPr>
          <w:rFonts w:hint="eastAsia" w:ascii="仿宋" w:hAnsi="仿宋"/>
          <w:color w:val="auto"/>
          <w:szCs w:val="28"/>
        </w:rPr>
        <w:t>和</w:t>
      </w:r>
      <w:r>
        <w:rPr>
          <w:rFonts w:ascii="仿宋" w:hAnsi="仿宋"/>
          <w:color w:val="auto"/>
          <w:szCs w:val="28"/>
        </w:rPr>
        <w:t>#6</w:t>
      </w:r>
      <w:r>
        <w:rPr>
          <w:rFonts w:hint="eastAsia" w:ascii="仿宋" w:hAnsi="仿宋"/>
          <w:color w:val="auto"/>
          <w:szCs w:val="28"/>
        </w:rPr>
        <w:t>机组</w:t>
      </w:r>
      <w:r>
        <w:rPr>
          <w:rFonts w:ascii="仿宋" w:hAnsi="仿宋"/>
          <w:color w:val="auto"/>
          <w:szCs w:val="28"/>
        </w:rPr>
        <w:t>（</w:t>
      </w:r>
      <w:r>
        <w:rPr>
          <w:rFonts w:hint="eastAsia" w:ascii="仿宋" w:hAnsi="仿宋"/>
          <w:color w:val="auto"/>
          <w:szCs w:val="28"/>
        </w:rPr>
        <w:t>2×300MW</w:t>
      </w:r>
      <w:r>
        <w:rPr>
          <w:rFonts w:ascii="仿宋" w:hAnsi="仿宋"/>
          <w:color w:val="auto"/>
          <w:szCs w:val="28"/>
        </w:rPr>
        <w:t>）</w:t>
      </w:r>
      <w:r>
        <w:rPr>
          <w:rFonts w:hint="eastAsia" w:ascii="仿宋" w:hAnsi="仿宋"/>
          <w:color w:val="auto"/>
          <w:szCs w:val="28"/>
        </w:rPr>
        <w:t>。共设4台1025t/h的亚临界自然循环煤粉锅炉</w:t>
      </w:r>
    </w:p>
    <w:p>
      <w:pPr>
        <w:pStyle w:val="39"/>
        <w:snapToGrid/>
        <w:spacing w:after="0"/>
        <w:ind w:left="0" w:leftChars="0" w:firstLine="560"/>
        <w:rPr>
          <w:color w:val="auto"/>
          <w:sz w:val="28"/>
          <w:szCs w:val="28"/>
        </w:rPr>
      </w:pPr>
      <w:r>
        <w:rPr>
          <w:color w:val="auto"/>
          <w:sz w:val="28"/>
          <w:szCs w:val="28"/>
        </w:rPr>
        <w:fldChar w:fldCharType="begin"/>
      </w:r>
      <w:r>
        <w:rPr>
          <w:color w:val="auto"/>
          <w:sz w:val="28"/>
          <w:szCs w:val="28"/>
        </w:rPr>
        <w:instrText xml:space="preserve"> </w:instrText>
      </w:r>
      <w:r>
        <w:rPr>
          <w:rFonts w:hint="eastAsia"/>
          <w:color w:val="auto"/>
          <w:sz w:val="28"/>
          <w:szCs w:val="28"/>
        </w:rPr>
        <w:instrText xml:space="preserve">= 7 \* GB2</w:instrText>
      </w:r>
      <w:r>
        <w:rPr>
          <w:color w:val="auto"/>
          <w:sz w:val="28"/>
          <w:szCs w:val="28"/>
        </w:rPr>
        <w:instrText xml:space="preserve"> </w:instrText>
      </w:r>
      <w:r>
        <w:rPr>
          <w:color w:val="auto"/>
          <w:sz w:val="28"/>
          <w:szCs w:val="28"/>
        </w:rPr>
        <w:fldChar w:fldCharType="separate"/>
      </w:r>
      <w:r>
        <w:rPr>
          <w:rFonts w:hint="eastAsia"/>
          <w:color w:val="auto"/>
          <w:sz w:val="28"/>
          <w:szCs w:val="28"/>
        </w:rPr>
        <w:t>⑺</w:t>
      </w:r>
      <w:r>
        <w:rPr>
          <w:color w:val="auto"/>
          <w:sz w:val="28"/>
          <w:szCs w:val="28"/>
        </w:rPr>
        <w:fldChar w:fldCharType="end"/>
      </w:r>
      <w:r>
        <w:rPr>
          <w:color w:val="auto"/>
          <w:sz w:val="28"/>
          <w:szCs w:val="28"/>
        </w:rPr>
        <w:t xml:space="preserve"> </w:t>
      </w:r>
      <w:r>
        <w:rPr>
          <w:rFonts w:hint="eastAsia"/>
          <w:color w:val="auto"/>
          <w:sz w:val="28"/>
          <w:szCs w:val="28"/>
        </w:rPr>
        <w:t>占地面积：9</w:t>
      </w:r>
      <w:r>
        <w:rPr>
          <w:color w:val="auto"/>
          <w:sz w:val="28"/>
          <w:szCs w:val="28"/>
        </w:rPr>
        <w:t>30</w:t>
      </w:r>
      <w:r>
        <w:rPr>
          <w:rFonts w:hint="eastAsia"/>
          <w:color w:val="auto"/>
          <w:sz w:val="28"/>
          <w:szCs w:val="28"/>
        </w:rPr>
        <w:t>亩</w:t>
      </w:r>
    </w:p>
    <w:p>
      <w:pPr>
        <w:pStyle w:val="39"/>
        <w:adjustRightInd/>
        <w:snapToGrid/>
        <w:spacing w:after="0"/>
        <w:ind w:left="0" w:leftChars="0" w:firstLine="560"/>
        <w:rPr>
          <w:color w:val="auto"/>
          <w:sz w:val="28"/>
          <w:szCs w:val="28"/>
        </w:rPr>
      </w:pPr>
      <w:r>
        <w:rPr>
          <w:color w:val="auto"/>
          <w:sz w:val="28"/>
          <w:szCs w:val="28"/>
        </w:rPr>
        <w:fldChar w:fldCharType="begin"/>
      </w:r>
      <w:r>
        <w:rPr>
          <w:color w:val="auto"/>
          <w:sz w:val="28"/>
          <w:szCs w:val="28"/>
        </w:rPr>
        <w:instrText xml:space="preserve"> </w:instrText>
      </w:r>
      <w:r>
        <w:rPr>
          <w:rFonts w:hint="eastAsia"/>
          <w:color w:val="auto"/>
          <w:sz w:val="28"/>
          <w:szCs w:val="28"/>
        </w:rPr>
        <w:instrText xml:space="preserve">= 8 \* GB2</w:instrText>
      </w:r>
      <w:r>
        <w:rPr>
          <w:color w:val="auto"/>
          <w:sz w:val="28"/>
          <w:szCs w:val="28"/>
        </w:rPr>
        <w:instrText xml:space="preserve"> </w:instrText>
      </w:r>
      <w:r>
        <w:rPr>
          <w:color w:val="auto"/>
          <w:sz w:val="28"/>
          <w:szCs w:val="28"/>
        </w:rPr>
        <w:fldChar w:fldCharType="separate"/>
      </w:r>
      <w:r>
        <w:rPr>
          <w:rFonts w:hint="eastAsia"/>
          <w:color w:val="auto"/>
          <w:sz w:val="28"/>
          <w:szCs w:val="28"/>
        </w:rPr>
        <w:t>⑻</w:t>
      </w:r>
      <w:r>
        <w:rPr>
          <w:color w:val="auto"/>
          <w:sz w:val="28"/>
          <w:szCs w:val="28"/>
        </w:rPr>
        <w:fldChar w:fldCharType="end"/>
      </w:r>
      <w:r>
        <w:rPr>
          <w:color w:val="auto"/>
          <w:sz w:val="28"/>
          <w:szCs w:val="28"/>
        </w:rPr>
        <w:t xml:space="preserve"> </w:t>
      </w:r>
      <w:r>
        <w:rPr>
          <w:rFonts w:hint="eastAsia"/>
          <w:color w:val="auto"/>
          <w:sz w:val="28"/>
          <w:szCs w:val="28"/>
        </w:rPr>
        <w:t>环保手续履行情况</w:t>
      </w: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482"/>
        <w:jc w:val="center"/>
        <w:rPr>
          <w:b/>
          <w:color w:val="auto"/>
          <w:sz w:val="24"/>
        </w:rPr>
      </w:pPr>
    </w:p>
    <w:p>
      <w:pPr>
        <w:ind w:firstLine="0" w:firstLineChars="0"/>
        <w:rPr>
          <w:b/>
          <w:color w:val="auto"/>
          <w:sz w:val="24"/>
        </w:rPr>
      </w:pPr>
    </w:p>
    <w:p>
      <w:pPr>
        <w:ind w:firstLine="482"/>
        <w:jc w:val="center"/>
        <w:rPr>
          <w:b/>
          <w:color w:val="auto"/>
          <w:sz w:val="24"/>
        </w:rPr>
      </w:pPr>
    </w:p>
    <w:p>
      <w:pPr>
        <w:ind w:firstLine="482"/>
        <w:jc w:val="center"/>
        <w:rPr>
          <w:b/>
          <w:color w:val="auto"/>
          <w:sz w:val="24"/>
        </w:rPr>
        <w:sectPr>
          <w:pgSz w:w="11906" w:h="16838"/>
          <w:pgMar w:top="1418" w:right="1418" w:bottom="1418" w:left="1418" w:header="851" w:footer="992" w:gutter="0"/>
          <w:pgNumType w:fmt="numberInDash"/>
          <w:cols w:space="720" w:num="1"/>
          <w:docGrid w:linePitch="312" w:charSpace="0"/>
        </w:sectPr>
      </w:pPr>
    </w:p>
    <w:p>
      <w:pPr>
        <w:ind w:firstLine="482"/>
        <w:jc w:val="center"/>
        <w:rPr>
          <w:b/>
          <w:color w:val="auto"/>
          <w:sz w:val="24"/>
        </w:rPr>
      </w:pPr>
      <w:r>
        <w:rPr>
          <w:rFonts w:hint="eastAsia"/>
          <w:b/>
          <w:color w:val="auto"/>
          <w:sz w:val="24"/>
        </w:rPr>
        <w:t>表</w:t>
      </w:r>
      <w:r>
        <w:rPr>
          <w:b/>
          <w:color w:val="auto"/>
          <w:sz w:val="24"/>
        </w:rPr>
        <w:t>2-1</w:t>
      </w:r>
      <w:r>
        <w:rPr>
          <w:rFonts w:hint="eastAsia"/>
          <w:b/>
          <w:color w:val="auto"/>
          <w:sz w:val="24"/>
        </w:rPr>
        <w:t xml:space="preserve">    渭河电厂</w:t>
      </w:r>
      <w:r>
        <w:rPr>
          <w:b/>
          <w:color w:val="auto"/>
          <w:sz w:val="24"/>
        </w:rPr>
        <w:t>环境影响评价和</w:t>
      </w:r>
      <w:r>
        <w:rPr>
          <w:rFonts w:ascii="宋体" w:hAnsi="宋体"/>
          <w:b/>
          <w:color w:val="auto"/>
          <w:sz w:val="24"/>
        </w:rPr>
        <w:t>“</w:t>
      </w:r>
      <w:r>
        <w:rPr>
          <w:rFonts w:hint="eastAsia" w:ascii="宋体" w:hAnsi="宋体"/>
          <w:b/>
          <w:color w:val="auto"/>
          <w:sz w:val="24"/>
        </w:rPr>
        <w:t>三同时</w:t>
      </w:r>
      <w:r>
        <w:rPr>
          <w:rFonts w:ascii="宋体" w:hAnsi="宋体"/>
          <w:b/>
          <w:color w:val="auto"/>
          <w:sz w:val="24"/>
        </w:rPr>
        <w:t>”</w:t>
      </w:r>
      <w:r>
        <w:rPr>
          <w:rFonts w:hint="eastAsia" w:ascii="宋体" w:hAnsi="宋体"/>
          <w:b/>
          <w:color w:val="auto"/>
          <w:sz w:val="24"/>
        </w:rPr>
        <w:t>制度</w:t>
      </w:r>
      <w:r>
        <w:rPr>
          <w:rFonts w:ascii="宋体" w:hAnsi="宋体"/>
          <w:b/>
          <w:color w:val="auto"/>
          <w:sz w:val="24"/>
        </w:rPr>
        <w:t>执行情况</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4"/>
        <w:gridCol w:w="1248"/>
        <w:gridCol w:w="1302"/>
        <w:gridCol w:w="1041"/>
        <w:gridCol w:w="1618"/>
        <w:gridCol w:w="1777"/>
        <w:gridCol w:w="1135"/>
        <w:gridCol w:w="1027"/>
        <w:gridCol w:w="1618"/>
        <w:gridCol w:w="1729"/>
        <w:gridCol w:w="10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230" w:type="pct"/>
            <w:vMerge w:val="restar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序号</w:t>
            </w:r>
          </w:p>
        </w:tc>
        <w:tc>
          <w:tcPr>
            <w:tcW w:w="439" w:type="pct"/>
            <w:vMerge w:val="restar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生产线名称</w:t>
            </w:r>
          </w:p>
        </w:tc>
        <w:tc>
          <w:tcPr>
            <w:tcW w:w="458" w:type="pct"/>
            <w:vMerge w:val="restar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项目</w:t>
            </w:r>
            <w:r>
              <w:rPr>
                <w:rFonts w:ascii="仿宋" w:hAnsi="仿宋"/>
                <w:b/>
                <w:bCs/>
                <w:color w:val="auto"/>
                <w:sz w:val="21"/>
                <w:szCs w:val="21"/>
              </w:rPr>
              <w:t>名称</w:t>
            </w:r>
          </w:p>
        </w:tc>
        <w:tc>
          <w:tcPr>
            <w:tcW w:w="1959" w:type="pct"/>
            <w:gridSpan w:val="4"/>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环境影响评价</w:t>
            </w:r>
          </w:p>
        </w:tc>
        <w:tc>
          <w:tcPr>
            <w:tcW w:w="1538" w:type="pct"/>
            <w:gridSpan w:val="3"/>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竣工</w:t>
            </w:r>
            <w:r>
              <w:rPr>
                <w:rFonts w:ascii="仿宋" w:hAnsi="仿宋"/>
                <w:b/>
                <w:bCs/>
                <w:color w:val="auto"/>
                <w:sz w:val="21"/>
                <w:szCs w:val="21"/>
              </w:rPr>
              <w:t>环境保护验收</w:t>
            </w:r>
          </w:p>
        </w:tc>
        <w:tc>
          <w:tcPr>
            <w:tcW w:w="376" w:type="pct"/>
            <w:vMerge w:val="restar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230" w:type="pct"/>
            <w:vMerge w:val="continue"/>
            <w:shd w:val="clear" w:color="auto" w:fill="auto"/>
            <w:vAlign w:val="center"/>
          </w:tcPr>
          <w:p>
            <w:pPr>
              <w:snapToGrid/>
              <w:spacing w:line="240" w:lineRule="auto"/>
              <w:ind w:firstLine="0" w:firstLineChars="0"/>
              <w:jc w:val="center"/>
              <w:rPr>
                <w:rFonts w:ascii="仿宋" w:hAnsi="仿宋"/>
                <w:color w:val="auto"/>
                <w:sz w:val="21"/>
                <w:szCs w:val="21"/>
              </w:rPr>
            </w:pPr>
          </w:p>
        </w:tc>
        <w:tc>
          <w:tcPr>
            <w:tcW w:w="439" w:type="pct"/>
            <w:vMerge w:val="continue"/>
            <w:shd w:val="clear" w:color="auto" w:fill="auto"/>
            <w:vAlign w:val="center"/>
          </w:tcPr>
          <w:p>
            <w:pPr>
              <w:snapToGrid/>
              <w:spacing w:line="240" w:lineRule="auto"/>
              <w:ind w:firstLine="0" w:firstLineChars="0"/>
              <w:jc w:val="center"/>
              <w:rPr>
                <w:rFonts w:ascii="仿宋" w:hAnsi="仿宋"/>
                <w:color w:val="auto"/>
                <w:sz w:val="21"/>
                <w:szCs w:val="21"/>
              </w:rPr>
            </w:pPr>
          </w:p>
        </w:tc>
        <w:tc>
          <w:tcPr>
            <w:tcW w:w="458" w:type="pct"/>
            <w:vMerge w:val="continue"/>
            <w:shd w:val="clear" w:color="auto" w:fill="auto"/>
            <w:vAlign w:val="center"/>
          </w:tcPr>
          <w:p>
            <w:pPr>
              <w:snapToGrid/>
              <w:spacing w:line="240" w:lineRule="auto"/>
              <w:ind w:firstLine="0" w:firstLineChars="0"/>
              <w:jc w:val="center"/>
              <w:rPr>
                <w:rFonts w:ascii="仿宋" w:hAnsi="仿宋"/>
                <w:color w:val="auto"/>
                <w:sz w:val="21"/>
                <w:szCs w:val="21"/>
              </w:rPr>
            </w:pPr>
          </w:p>
        </w:tc>
        <w:tc>
          <w:tcPr>
            <w:tcW w:w="366"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审批</w:t>
            </w:r>
            <w:r>
              <w:rPr>
                <w:rFonts w:ascii="仿宋" w:hAnsi="仿宋"/>
                <w:b/>
                <w:bCs/>
                <w:color w:val="auto"/>
                <w:sz w:val="21"/>
                <w:szCs w:val="21"/>
              </w:rPr>
              <w:t>部门</w:t>
            </w:r>
          </w:p>
        </w:tc>
        <w:tc>
          <w:tcPr>
            <w:tcW w:w="569"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审批文号</w:t>
            </w:r>
          </w:p>
        </w:tc>
        <w:tc>
          <w:tcPr>
            <w:tcW w:w="625"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审批</w:t>
            </w:r>
            <w:r>
              <w:rPr>
                <w:rFonts w:ascii="仿宋" w:hAnsi="仿宋"/>
                <w:b/>
                <w:bCs/>
                <w:color w:val="auto"/>
                <w:sz w:val="21"/>
                <w:szCs w:val="21"/>
              </w:rPr>
              <w:t>时间</w:t>
            </w:r>
          </w:p>
        </w:tc>
        <w:tc>
          <w:tcPr>
            <w:tcW w:w="399"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规模</w:t>
            </w:r>
          </w:p>
        </w:tc>
        <w:tc>
          <w:tcPr>
            <w:tcW w:w="361"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审批</w:t>
            </w:r>
            <w:r>
              <w:rPr>
                <w:rFonts w:ascii="仿宋" w:hAnsi="仿宋"/>
                <w:b/>
                <w:bCs/>
                <w:color w:val="auto"/>
                <w:sz w:val="21"/>
                <w:szCs w:val="21"/>
              </w:rPr>
              <w:t>部门</w:t>
            </w:r>
          </w:p>
        </w:tc>
        <w:tc>
          <w:tcPr>
            <w:tcW w:w="569"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审批文号</w:t>
            </w:r>
          </w:p>
        </w:tc>
        <w:tc>
          <w:tcPr>
            <w:tcW w:w="608" w:type="pct"/>
            <w:shd w:val="clear" w:color="auto" w:fill="D9D9D9"/>
            <w:vAlign w:val="center"/>
          </w:tcPr>
          <w:p>
            <w:pPr>
              <w:snapToGrid/>
              <w:spacing w:line="240" w:lineRule="auto"/>
              <w:ind w:firstLine="0" w:firstLineChars="0"/>
              <w:jc w:val="center"/>
              <w:rPr>
                <w:rFonts w:ascii="仿宋" w:hAnsi="仿宋"/>
                <w:b/>
                <w:bCs/>
                <w:color w:val="auto"/>
                <w:sz w:val="21"/>
                <w:szCs w:val="21"/>
              </w:rPr>
            </w:pPr>
            <w:r>
              <w:rPr>
                <w:rFonts w:hint="eastAsia" w:ascii="仿宋" w:hAnsi="仿宋"/>
                <w:b/>
                <w:bCs/>
                <w:color w:val="auto"/>
                <w:sz w:val="21"/>
                <w:szCs w:val="21"/>
              </w:rPr>
              <w:t>审批</w:t>
            </w:r>
            <w:r>
              <w:rPr>
                <w:rFonts w:ascii="仿宋" w:hAnsi="仿宋"/>
                <w:b/>
                <w:bCs/>
                <w:color w:val="auto"/>
                <w:sz w:val="21"/>
                <w:szCs w:val="21"/>
              </w:rPr>
              <w:t>时间</w:t>
            </w:r>
          </w:p>
        </w:tc>
        <w:tc>
          <w:tcPr>
            <w:tcW w:w="376" w:type="pct"/>
            <w:vMerge w:val="continue"/>
            <w:vAlign w:val="center"/>
          </w:tcPr>
          <w:p>
            <w:pPr>
              <w:snapToGrid/>
              <w:spacing w:line="240" w:lineRule="auto"/>
              <w:ind w:firstLine="0" w:firstLineChars="0"/>
              <w:jc w:val="center"/>
              <w:rPr>
                <w:rFonts w:ascii="仿宋" w:hAnsi="仿宋"/>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1</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渭河电厂二、</w:t>
            </w:r>
            <w:r>
              <w:rPr>
                <w:rFonts w:ascii="仿宋" w:hAnsi="仿宋"/>
                <w:color w:val="auto"/>
                <w:sz w:val="21"/>
                <w:szCs w:val="21"/>
              </w:rPr>
              <w:t>三期扩建工程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原陕西省</w:t>
            </w:r>
            <w:r>
              <w:rPr>
                <w:rFonts w:ascii="仿宋" w:hAnsi="仿宋"/>
                <w:color w:val="auto"/>
                <w:sz w:val="21"/>
                <w:szCs w:val="21"/>
              </w:rPr>
              <w:t>城乡建设环保厅</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陕城环发〔1985〕358号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1985.9.16</w:t>
            </w:r>
          </w:p>
        </w:tc>
        <w:tc>
          <w:tcPr>
            <w:tcW w:w="399" w:type="pct"/>
            <w:vAlign w:val="center"/>
          </w:tcPr>
          <w:p>
            <w:pPr>
              <w:snapToGrid/>
              <w:spacing w:line="240" w:lineRule="auto"/>
              <w:ind w:firstLine="0" w:firstLineChars="0"/>
              <w:jc w:val="center"/>
              <w:rPr>
                <w:rFonts w:ascii="仿宋" w:hAnsi="仿宋"/>
                <w:color w:val="auto"/>
                <w:sz w:val="21"/>
                <w:szCs w:val="21"/>
              </w:rPr>
            </w:pPr>
            <w:r>
              <w:rPr>
                <w:rFonts w:ascii="仿宋" w:hAnsi="仿宋"/>
                <w:color w:val="auto"/>
                <w:sz w:val="21"/>
                <w:szCs w:val="21"/>
              </w:rPr>
              <w:t>4</w:t>
            </w:r>
            <w:r>
              <w:rPr>
                <w:rFonts w:hint="eastAsia" w:ascii="仿宋" w:hAnsi="仿宋"/>
                <w:color w:val="auto"/>
                <w:sz w:val="21"/>
                <w:szCs w:val="21"/>
              </w:rPr>
              <w:t>×</w:t>
            </w:r>
            <w:r>
              <w:rPr>
                <w:rFonts w:ascii="仿宋" w:hAnsi="仿宋"/>
                <w:color w:val="auto"/>
                <w:sz w:val="21"/>
                <w:szCs w:val="21"/>
              </w:rPr>
              <w:t>30</w:t>
            </w:r>
            <w:r>
              <w:rPr>
                <w:rFonts w:hint="eastAsia" w:ascii="仿宋" w:hAnsi="仿宋"/>
                <w:color w:val="auto"/>
                <w:sz w:val="21"/>
                <w:szCs w:val="21"/>
              </w:rPr>
              <w:t>0MW</w:t>
            </w:r>
          </w:p>
        </w:tc>
        <w:tc>
          <w:tcPr>
            <w:tcW w:w="361"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原</w:t>
            </w:r>
            <w:r>
              <w:rPr>
                <w:rFonts w:ascii="仿宋" w:hAnsi="仿宋"/>
                <w:color w:val="auto"/>
                <w:sz w:val="21"/>
                <w:szCs w:val="21"/>
              </w:rPr>
              <w:t>陕西省环境保护局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w:t>
            </w:r>
            <w:r>
              <w:rPr>
                <w:rFonts w:ascii="仿宋" w:hAnsi="仿宋"/>
                <w:color w:val="auto"/>
                <w:sz w:val="21"/>
                <w:szCs w:val="21"/>
              </w:rPr>
              <w:t>环监验</w:t>
            </w:r>
            <w:r>
              <w:rPr>
                <w:rFonts w:hint="eastAsia" w:ascii="仿宋" w:hAnsi="仿宋"/>
                <w:color w:val="auto"/>
                <w:sz w:val="21"/>
                <w:szCs w:val="21"/>
              </w:rPr>
              <w:t>〔</w:t>
            </w:r>
            <w:r>
              <w:rPr>
                <w:rFonts w:ascii="仿宋" w:hAnsi="仿宋"/>
                <w:color w:val="auto"/>
                <w:sz w:val="21"/>
                <w:szCs w:val="21"/>
              </w:rPr>
              <w:t>2001</w:t>
            </w:r>
            <w:r>
              <w:rPr>
                <w:rFonts w:hint="eastAsia" w:ascii="仿宋" w:hAnsi="仿宋"/>
                <w:color w:val="auto"/>
                <w:sz w:val="21"/>
                <w:szCs w:val="21"/>
              </w:rPr>
              <w:t>〕</w:t>
            </w:r>
            <w:r>
              <w:rPr>
                <w:rFonts w:ascii="仿宋" w:hAnsi="仿宋"/>
                <w:color w:val="auto"/>
                <w:sz w:val="21"/>
                <w:szCs w:val="21"/>
              </w:rPr>
              <w:t>011</w:t>
            </w:r>
            <w:r>
              <w:rPr>
                <w:rFonts w:hint="eastAsia" w:ascii="仿宋" w:hAnsi="仿宋"/>
                <w:color w:val="auto"/>
                <w:sz w:val="21"/>
                <w:szCs w:val="21"/>
              </w:rPr>
              <w:t>号</w:t>
            </w:r>
          </w:p>
        </w:tc>
        <w:tc>
          <w:tcPr>
            <w:tcW w:w="60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2011.11.19</w:t>
            </w: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4×300MW机组脱硝工程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原陕西省环境保护厅</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陕环批复〔2012〕35号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2012.2.3</w:t>
            </w:r>
          </w:p>
        </w:tc>
        <w:tc>
          <w:tcPr>
            <w:tcW w:w="399" w:type="pct"/>
            <w:vMerge w:val="restart"/>
            <w:vAlign w:val="center"/>
          </w:tcPr>
          <w:p>
            <w:pPr>
              <w:snapToGrid/>
              <w:spacing w:line="240" w:lineRule="auto"/>
              <w:ind w:firstLine="0" w:firstLineChars="0"/>
              <w:jc w:val="center"/>
              <w:rPr>
                <w:rFonts w:ascii="仿宋" w:hAnsi="仿宋"/>
                <w:color w:val="auto"/>
                <w:sz w:val="21"/>
                <w:szCs w:val="21"/>
              </w:rPr>
            </w:pPr>
            <w:r>
              <w:rPr>
                <w:rFonts w:ascii="仿宋" w:hAnsi="仿宋"/>
                <w:color w:val="auto"/>
                <w:sz w:val="21"/>
                <w:szCs w:val="21"/>
              </w:rPr>
              <w:t>4</w:t>
            </w:r>
            <w:r>
              <w:rPr>
                <w:rFonts w:hint="eastAsia" w:ascii="仿宋" w:hAnsi="仿宋"/>
                <w:color w:val="auto"/>
                <w:sz w:val="21"/>
                <w:szCs w:val="21"/>
              </w:rPr>
              <w:t>×</w:t>
            </w:r>
            <w:r>
              <w:rPr>
                <w:rFonts w:ascii="仿宋" w:hAnsi="仿宋"/>
                <w:color w:val="auto"/>
                <w:sz w:val="21"/>
                <w:szCs w:val="21"/>
              </w:rPr>
              <w:t>30</w:t>
            </w:r>
            <w:r>
              <w:rPr>
                <w:rFonts w:hint="eastAsia" w:ascii="仿宋" w:hAnsi="仿宋"/>
                <w:color w:val="auto"/>
                <w:sz w:val="21"/>
                <w:szCs w:val="21"/>
              </w:rPr>
              <w:t>0MW</w:t>
            </w:r>
          </w:p>
        </w:tc>
        <w:tc>
          <w:tcPr>
            <w:tcW w:w="361" w:type="pct"/>
            <w:vMerge w:val="restar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原陕西省环境</w:t>
            </w:r>
            <w:r>
              <w:rPr>
                <w:rFonts w:ascii="仿宋" w:hAnsi="仿宋"/>
                <w:color w:val="auto"/>
                <w:sz w:val="21"/>
                <w:szCs w:val="21"/>
              </w:rPr>
              <w:t>保护厅</w:t>
            </w:r>
          </w:p>
        </w:tc>
        <w:tc>
          <w:tcPr>
            <w:tcW w:w="569" w:type="pct"/>
            <w:vMerge w:val="restar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陕环</w:t>
            </w:r>
            <w:r>
              <w:rPr>
                <w:rFonts w:ascii="仿宋" w:hAnsi="仿宋"/>
                <w:color w:val="auto"/>
                <w:sz w:val="21"/>
                <w:szCs w:val="21"/>
              </w:rPr>
              <w:t>批复</w:t>
            </w:r>
            <w:r>
              <w:rPr>
                <w:rFonts w:hint="eastAsia" w:ascii="仿宋" w:hAnsi="仿宋"/>
                <w:color w:val="auto"/>
                <w:sz w:val="21"/>
                <w:szCs w:val="21"/>
              </w:rPr>
              <w:t>〔</w:t>
            </w:r>
            <w:r>
              <w:rPr>
                <w:rFonts w:ascii="仿宋" w:hAnsi="仿宋"/>
                <w:color w:val="auto"/>
                <w:sz w:val="21"/>
                <w:szCs w:val="21"/>
              </w:rPr>
              <w:t>2016</w:t>
            </w:r>
            <w:r>
              <w:rPr>
                <w:rFonts w:hint="eastAsia" w:ascii="仿宋" w:hAnsi="仿宋"/>
                <w:color w:val="auto"/>
                <w:sz w:val="21"/>
                <w:szCs w:val="21"/>
              </w:rPr>
              <w:t>〕</w:t>
            </w:r>
            <w:r>
              <w:rPr>
                <w:rFonts w:ascii="仿宋" w:hAnsi="仿宋"/>
                <w:color w:val="auto"/>
                <w:sz w:val="21"/>
                <w:szCs w:val="21"/>
              </w:rPr>
              <w:t>105</w:t>
            </w:r>
            <w:r>
              <w:rPr>
                <w:rFonts w:hint="eastAsia" w:ascii="仿宋" w:hAnsi="仿宋"/>
                <w:color w:val="auto"/>
                <w:sz w:val="21"/>
                <w:szCs w:val="21"/>
              </w:rPr>
              <w:t>号</w:t>
            </w:r>
          </w:p>
        </w:tc>
        <w:tc>
          <w:tcPr>
            <w:tcW w:w="608" w:type="pct"/>
            <w:vMerge w:val="restar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2016.2.29</w:t>
            </w: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3</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4×300MW机组脱硫增容改造工程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咸阳市</w:t>
            </w:r>
            <w:r>
              <w:rPr>
                <w:rFonts w:ascii="仿宋" w:hAnsi="仿宋"/>
                <w:color w:val="auto"/>
                <w:sz w:val="21"/>
                <w:szCs w:val="21"/>
              </w:rPr>
              <w:t>环境保护局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咸环批复〔2014〕166号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2014.9.9</w:t>
            </w:r>
          </w:p>
        </w:tc>
        <w:tc>
          <w:tcPr>
            <w:tcW w:w="399" w:type="pct"/>
            <w:vMerge w:val="continue"/>
            <w:vAlign w:val="center"/>
          </w:tcPr>
          <w:p>
            <w:pPr>
              <w:snapToGrid/>
              <w:spacing w:line="240" w:lineRule="auto"/>
              <w:ind w:firstLine="0" w:firstLineChars="0"/>
              <w:jc w:val="center"/>
              <w:rPr>
                <w:rFonts w:ascii="仿宋" w:hAnsi="仿宋"/>
                <w:color w:val="auto"/>
                <w:sz w:val="21"/>
                <w:szCs w:val="21"/>
              </w:rPr>
            </w:pPr>
          </w:p>
        </w:tc>
        <w:tc>
          <w:tcPr>
            <w:tcW w:w="361" w:type="pct"/>
            <w:vMerge w:val="continue"/>
            <w:vAlign w:val="center"/>
          </w:tcPr>
          <w:p>
            <w:pPr>
              <w:snapToGrid/>
              <w:spacing w:line="240" w:lineRule="auto"/>
              <w:ind w:firstLine="0" w:firstLineChars="0"/>
              <w:jc w:val="center"/>
              <w:rPr>
                <w:rFonts w:ascii="仿宋" w:hAnsi="仿宋"/>
                <w:color w:val="auto"/>
                <w:sz w:val="21"/>
                <w:szCs w:val="21"/>
              </w:rPr>
            </w:pPr>
          </w:p>
        </w:tc>
        <w:tc>
          <w:tcPr>
            <w:tcW w:w="569" w:type="pct"/>
            <w:vMerge w:val="continue"/>
            <w:vAlign w:val="center"/>
          </w:tcPr>
          <w:p>
            <w:pPr>
              <w:snapToGrid/>
              <w:spacing w:line="240" w:lineRule="auto"/>
              <w:ind w:firstLine="0" w:firstLineChars="0"/>
              <w:jc w:val="center"/>
              <w:rPr>
                <w:rFonts w:ascii="仿宋" w:hAnsi="仿宋"/>
                <w:color w:val="auto"/>
                <w:sz w:val="21"/>
                <w:szCs w:val="21"/>
              </w:rPr>
            </w:pPr>
          </w:p>
        </w:tc>
        <w:tc>
          <w:tcPr>
            <w:tcW w:w="608" w:type="pct"/>
            <w:vMerge w:val="continue"/>
            <w:vAlign w:val="center"/>
          </w:tcPr>
          <w:p>
            <w:pPr>
              <w:snapToGrid/>
              <w:spacing w:line="240" w:lineRule="auto"/>
              <w:ind w:firstLine="0" w:firstLineChars="0"/>
              <w:jc w:val="center"/>
              <w:rPr>
                <w:rFonts w:ascii="仿宋" w:hAnsi="仿宋"/>
                <w:color w:val="auto"/>
                <w:sz w:val="21"/>
                <w:szCs w:val="21"/>
              </w:rPr>
            </w:pP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4</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4×300MW机组烟尘达标排放改造工程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咸阳市</w:t>
            </w:r>
            <w:r>
              <w:rPr>
                <w:rFonts w:ascii="仿宋" w:hAnsi="仿宋"/>
                <w:color w:val="auto"/>
                <w:sz w:val="21"/>
                <w:szCs w:val="21"/>
              </w:rPr>
              <w:t>环境保护局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咸环批复〔2014〕167号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2014.9.9</w:t>
            </w:r>
          </w:p>
        </w:tc>
        <w:tc>
          <w:tcPr>
            <w:tcW w:w="399" w:type="pct"/>
            <w:vMerge w:val="continue"/>
            <w:vAlign w:val="center"/>
          </w:tcPr>
          <w:p>
            <w:pPr>
              <w:snapToGrid/>
              <w:spacing w:line="240" w:lineRule="auto"/>
              <w:ind w:firstLine="0" w:firstLineChars="0"/>
              <w:jc w:val="center"/>
              <w:rPr>
                <w:rFonts w:ascii="仿宋" w:hAnsi="仿宋"/>
                <w:color w:val="auto"/>
                <w:sz w:val="21"/>
                <w:szCs w:val="21"/>
              </w:rPr>
            </w:pPr>
          </w:p>
        </w:tc>
        <w:tc>
          <w:tcPr>
            <w:tcW w:w="361" w:type="pct"/>
            <w:vMerge w:val="continue"/>
            <w:vAlign w:val="center"/>
          </w:tcPr>
          <w:p>
            <w:pPr>
              <w:snapToGrid/>
              <w:spacing w:line="240" w:lineRule="auto"/>
              <w:ind w:firstLine="0" w:firstLineChars="0"/>
              <w:jc w:val="center"/>
              <w:rPr>
                <w:rFonts w:ascii="仿宋" w:hAnsi="仿宋"/>
                <w:color w:val="auto"/>
                <w:sz w:val="21"/>
                <w:szCs w:val="21"/>
              </w:rPr>
            </w:pPr>
          </w:p>
        </w:tc>
        <w:tc>
          <w:tcPr>
            <w:tcW w:w="569" w:type="pct"/>
            <w:vMerge w:val="continue"/>
            <w:vAlign w:val="center"/>
          </w:tcPr>
          <w:p>
            <w:pPr>
              <w:snapToGrid/>
              <w:spacing w:line="240" w:lineRule="auto"/>
              <w:ind w:firstLine="0" w:firstLineChars="0"/>
              <w:jc w:val="center"/>
              <w:rPr>
                <w:rFonts w:ascii="仿宋" w:hAnsi="仿宋"/>
                <w:color w:val="auto"/>
                <w:sz w:val="21"/>
                <w:szCs w:val="21"/>
              </w:rPr>
            </w:pPr>
          </w:p>
        </w:tc>
        <w:tc>
          <w:tcPr>
            <w:tcW w:w="608" w:type="pct"/>
            <w:vMerge w:val="continue"/>
            <w:vAlign w:val="center"/>
          </w:tcPr>
          <w:p>
            <w:pPr>
              <w:snapToGrid/>
              <w:spacing w:line="240" w:lineRule="auto"/>
              <w:ind w:firstLine="0" w:firstLineChars="0"/>
              <w:jc w:val="center"/>
              <w:rPr>
                <w:rFonts w:ascii="仿宋" w:hAnsi="仿宋"/>
                <w:color w:val="auto"/>
                <w:sz w:val="21"/>
                <w:szCs w:val="21"/>
              </w:rPr>
            </w:pP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4</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陕西渭河发电有限公司储煤场封闭工程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陕西省西咸新区秦汉新城行政审批与服务局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秦汉审服准〔201</w:t>
            </w:r>
            <w:r>
              <w:rPr>
                <w:rFonts w:ascii="仿宋" w:hAnsi="仿宋"/>
                <w:color w:val="auto"/>
                <w:sz w:val="21"/>
                <w:szCs w:val="21"/>
              </w:rPr>
              <w:t>9</w:t>
            </w:r>
            <w:r>
              <w:rPr>
                <w:rFonts w:hint="eastAsia" w:ascii="仿宋" w:hAnsi="仿宋"/>
                <w:color w:val="auto"/>
                <w:sz w:val="21"/>
                <w:szCs w:val="21"/>
              </w:rPr>
              <w:t>〕</w:t>
            </w:r>
            <w:r>
              <w:rPr>
                <w:rFonts w:ascii="仿宋" w:hAnsi="仿宋"/>
                <w:color w:val="auto"/>
                <w:sz w:val="21"/>
                <w:szCs w:val="21"/>
              </w:rPr>
              <w:t>56</w:t>
            </w:r>
            <w:r>
              <w:rPr>
                <w:rFonts w:hint="eastAsia" w:ascii="仿宋" w:hAnsi="仿宋"/>
                <w:color w:val="auto"/>
                <w:sz w:val="21"/>
                <w:szCs w:val="21"/>
              </w:rPr>
              <w:t>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w:t>
            </w:r>
            <w:r>
              <w:rPr>
                <w:rFonts w:ascii="仿宋" w:hAnsi="仿宋"/>
                <w:color w:val="auto"/>
                <w:sz w:val="21"/>
                <w:szCs w:val="21"/>
              </w:rPr>
              <w:t>019.3.25</w:t>
            </w:r>
          </w:p>
        </w:tc>
        <w:tc>
          <w:tcPr>
            <w:tcW w:w="39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1538" w:type="pct"/>
            <w:gridSpan w:val="3"/>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已于2</w:t>
            </w:r>
            <w:r>
              <w:rPr>
                <w:rFonts w:ascii="仿宋" w:hAnsi="仿宋"/>
                <w:color w:val="auto"/>
                <w:sz w:val="21"/>
                <w:szCs w:val="21"/>
              </w:rPr>
              <w:t>020</w:t>
            </w:r>
            <w:r>
              <w:rPr>
                <w:rFonts w:hint="eastAsia" w:ascii="仿宋" w:hAnsi="仿宋"/>
                <w:color w:val="auto"/>
                <w:sz w:val="21"/>
                <w:szCs w:val="21"/>
              </w:rPr>
              <w:t>年1</w:t>
            </w:r>
            <w:r>
              <w:rPr>
                <w:rFonts w:ascii="仿宋" w:hAnsi="仿宋"/>
                <w:color w:val="auto"/>
                <w:sz w:val="21"/>
                <w:szCs w:val="21"/>
              </w:rPr>
              <w:t>0</w:t>
            </w:r>
            <w:r>
              <w:rPr>
                <w:rFonts w:hint="eastAsia" w:ascii="仿宋" w:hAnsi="仿宋"/>
                <w:color w:val="auto"/>
                <w:sz w:val="21"/>
                <w:szCs w:val="21"/>
              </w:rPr>
              <w:t>月自主验收完成</w:t>
            </w: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5</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陕西渭河发电有限公司石灰石储存棚和#5、6炉干渣改造工程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陕西省西咸新区秦汉新城行政审批与服务局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秦汉审服准〔201</w:t>
            </w:r>
            <w:r>
              <w:rPr>
                <w:rFonts w:ascii="仿宋" w:hAnsi="仿宋"/>
                <w:color w:val="auto"/>
                <w:sz w:val="21"/>
                <w:szCs w:val="21"/>
              </w:rPr>
              <w:t>9</w:t>
            </w:r>
            <w:r>
              <w:rPr>
                <w:rFonts w:hint="eastAsia" w:ascii="仿宋" w:hAnsi="仿宋"/>
                <w:color w:val="auto"/>
                <w:sz w:val="21"/>
                <w:szCs w:val="21"/>
              </w:rPr>
              <w:t>〕</w:t>
            </w:r>
            <w:r>
              <w:rPr>
                <w:rFonts w:ascii="仿宋" w:hAnsi="仿宋"/>
                <w:color w:val="auto"/>
                <w:sz w:val="21"/>
                <w:szCs w:val="21"/>
              </w:rPr>
              <w:t>73</w:t>
            </w:r>
            <w:r>
              <w:rPr>
                <w:rFonts w:hint="eastAsia" w:ascii="仿宋" w:hAnsi="仿宋"/>
                <w:color w:val="auto"/>
                <w:sz w:val="21"/>
                <w:szCs w:val="21"/>
              </w:rPr>
              <w:t>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w:t>
            </w:r>
            <w:r>
              <w:rPr>
                <w:rFonts w:ascii="仿宋" w:hAnsi="仿宋"/>
                <w:color w:val="auto"/>
                <w:sz w:val="21"/>
                <w:szCs w:val="21"/>
              </w:rPr>
              <w:t>019.4.23</w:t>
            </w:r>
          </w:p>
        </w:tc>
        <w:tc>
          <w:tcPr>
            <w:tcW w:w="39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1538" w:type="pct"/>
            <w:gridSpan w:val="3"/>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已于2</w:t>
            </w:r>
            <w:r>
              <w:rPr>
                <w:rFonts w:ascii="仿宋" w:hAnsi="仿宋"/>
                <w:color w:val="auto"/>
                <w:sz w:val="21"/>
                <w:szCs w:val="21"/>
              </w:rPr>
              <w:t>020</w:t>
            </w:r>
            <w:r>
              <w:rPr>
                <w:rFonts w:hint="eastAsia" w:ascii="仿宋" w:hAnsi="仿宋"/>
                <w:color w:val="auto"/>
                <w:sz w:val="21"/>
                <w:szCs w:val="21"/>
              </w:rPr>
              <w:t>年1</w:t>
            </w:r>
            <w:r>
              <w:rPr>
                <w:rFonts w:ascii="仿宋" w:hAnsi="仿宋"/>
                <w:color w:val="auto"/>
                <w:sz w:val="21"/>
                <w:szCs w:val="21"/>
              </w:rPr>
              <w:t>0</w:t>
            </w:r>
            <w:r>
              <w:rPr>
                <w:rFonts w:hint="eastAsia" w:ascii="仿宋" w:hAnsi="仿宋"/>
                <w:color w:val="auto"/>
                <w:sz w:val="21"/>
                <w:szCs w:val="21"/>
              </w:rPr>
              <w:t>月自主验收完成</w:t>
            </w: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6</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陕西渭河发电有限公司#5、6机组通流和供热增容（高背压）改造工程</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陕西省西咸新区秦汉新城行政审批与服务局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秦汉审服准〔201</w:t>
            </w:r>
            <w:r>
              <w:rPr>
                <w:rFonts w:ascii="仿宋" w:hAnsi="仿宋"/>
                <w:color w:val="auto"/>
                <w:sz w:val="21"/>
                <w:szCs w:val="21"/>
              </w:rPr>
              <w:t>9</w:t>
            </w:r>
            <w:r>
              <w:rPr>
                <w:rFonts w:hint="eastAsia" w:ascii="仿宋" w:hAnsi="仿宋"/>
                <w:color w:val="auto"/>
                <w:sz w:val="21"/>
                <w:szCs w:val="21"/>
              </w:rPr>
              <w:t>〕</w:t>
            </w:r>
            <w:r>
              <w:rPr>
                <w:rFonts w:ascii="仿宋" w:hAnsi="仿宋"/>
                <w:color w:val="auto"/>
                <w:sz w:val="21"/>
                <w:szCs w:val="21"/>
              </w:rPr>
              <w:t>74</w:t>
            </w:r>
            <w:r>
              <w:rPr>
                <w:rFonts w:hint="eastAsia" w:ascii="仿宋" w:hAnsi="仿宋"/>
                <w:color w:val="auto"/>
                <w:sz w:val="21"/>
                <w:szCs w:val="21"/>
              </w:rPr>
              <w:t>号</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w:t>
            </w:r>
            <w:r>
              <w:rPr>
                <w:rFonts w:ascii="仿宋" w:hAnsi="仿宋"/>
                <w:color w:val="auto"/>
                <w:sz w:val="21"/>
                <w:szCs w:val="21"/>
              </w:rPr>
              <w:t>019.4.23</w:t>
            </w:r>
          </w:p>
        </w:tc>
        <w:tc>
          <w:tcPr>
            <w:tcW w:w="39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1538" w:type="pct"/>
            <w:gridSpan w:val="3"/>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已于2</w:t>
            </w:r>
            <w:r>
              <w:rPr>
                <w:rFonts w:ascii="仿宋" w:hAnsi="仿宋"/>
                <w:color w:val="auto"/>
                <w:sz w:val="21"/>
                <w:szCs w:val="21"/>
              </w:rPr>
              <w:t>020</w:t>
            </w:r>
            <w:r>
              <w:rPr>
                <w:rFonts w:hint="eastAsia" w:ascii="仿宋" w:hAnsi="仿宋"/>
                <w:color w:val="auto"/>
                <w:sz w:val="21"/>
                <w:szCs w:val="21"/>
              </w:rPr>
              <w:t>年1</w:t>
            </w:r>
            <w:r>
              <w:rPr>
                <w:rFonts w:ascii="仿宋" w:hAnsi="仿宋"/>
                <w:color w:val="auto"/>
                <w:sz w:val="21"/>
                <w:szCs w:val="21"/>
              </w:rPr>
              <w:t>0</w:t>
            </w:r>
            <w:r>
              <w:rPr>
                <w:rFonts w:hint="eastAsia" w:ascii="仿宋" w:hAnsi="仿宋"/>
                <w:color w:val="auto"/>
                <w:sz w:val="21"/>
                <w:szCs w:val="21"/>
              </w:rPr>
              <w:t>月自主验收完成</w:t>
            </w: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0"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7</w:t>
            </w:r>
          </w:p>
        </w:tc>
        <w:tc>
          <w:tcPr>
            <w:tcW w:w="43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二期、</w:t>
            </w:r>
            <w:r>
              <w:rPr>
                <w:rFonts w:ascii="仿宋" w:hAnsi="仿宋"/>
                <w:color w:val="auto"/>
                <w:sz w:val="21"/>
                <w:szCs w:val="21"/>
              </w:rPr>
              <w:t>三期</w:t>
            </w:r>
            <w:r>
              <w:rPr>
                <w:rFonts w:hint="eastAsia" w:ascii="仿宋" w:hAnsi="仿宋"/>
                <w:color w:val="auto"/>
                <w:sz w:val="21"/>
                <w:szCs w:val="21"/>
              </w:rPr>
              <w:t>工程</w:t>
            </w:r>
          </w:p>
        </w:tc>
        <w:tc>
          <w:tcPr>
            <w:tcW w:w="45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陕西渭河发电有限公司危险废物暂存间改造工程环境影响自查评估报告</w:t>
            </w:r>
          </w:p>
        </w:tc>
        <w:tc>
          <w:tcPr>
            <w:tcW w:w="36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原陕西省西咸新区秦汉新城环境保护局</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625"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2</w:t>
            </w:r>
            <w:r>
              <w:rPr>
                <w:rFonts w:ascii="仿宋" w:hAnsi="仿宋"/>
                <w:color w:val="auto"/>
                <w:sz w:val="21"/>
                <w:szCs w:val="21"/>
              </w:rPr>
              <w:t>019.4.9</w:t>
            </w:r>
          </w:p>
        </w:tc>
        <w:tc>
          <w:tcPr>
            <w:tcW w:w="39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361"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569"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608"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w:t>
            </w:r>
          </w:p>
        </w:tc>
        <w:tc>
          <w:tcPr>
            <w:tcW w:w="376" w:type="pct"/>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正常运行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000" w:type="pct"/>
            <w:gridSpan w:val="11"/>
            <w:vAlign w:val="center"/>
          </w:tcPr>
          <w:p>
            <w:pPr>
              <w:snapToGrid/>
              <w:spacing w:line="240" w:lineRule="auto"/>
              <w:ind w:firstLine="0" w:firstLineChars="0"/>
              <w:jc w:val="center"/>
              <w:rPr>
                <w:rFonts w:ascii="仿宋" w:hAnsi="仿宋"/>
                <w:color w:val="auto"/>
                <w:sz w:val="21"/>
                <w:szCs w:val="21"/>
              </w:rPr>
            </w:pPr>
            <w:r>
              <w:rPr>
                <w:rFonts w:hint="eastAsia" w:ascii="仿宋" w:hAnsi="仿宋"/>
                <w:color w:val="auto"/>
                <w:sz w:val="21"/>
                <w:szCs w:val="21"/>
              </w:rPr>
              <w:t>排污许可证情况：证书编号：916100006237477685001P；证书有效期限：自2020年6月28日至2025年6月27日止。</w:t>
            </w:r>
          </w:p>
        </w:tc>
      </w:tr>
    </w:tbl>
    <w:p>
      <w:pPr>
        <w:pStyle w:val="38"/>
        <w:ind w:firstLine="0" w:firstLineChars="0"/>
        <w:rPr>
          <w:rFonts w:hint="default"/>
          <w:color w:val="auto"/>
          <w:lang w:eastAsia="zh-CN"/>
        </w:rPr>
      </w:pPr>
    </w:p>
    <w:p>
      <w:pPr>
        <w:pStyle w:val="38"/>
        <w:ind w:firstLine="240"/>
        <w:rPr>
          <w:rFonts w:hint="default"/>
          <w:color w:val="auto"/>
          <w:lang w:eastAsia="zh-CN"/>
        </w:rPr>
        <w:sectPr>
          <w:pgSz w:w="16838" w:h="11906" w:orient="landscape"/>
          <w:pgMar w:top="1418" w:right="1418" w:bottom="1418" w:left="1418" w:header="851" w:footer="992" w:gutter="0"/>
          <w:pgNumType w:fmt="numberInDash"/>
          <w:cols w:space="720" w:num="1"/>
          <w:docGrid w:linePitch="381" w:charSpace="0"/>
        </w:sectPr>
      </w:pPr>
    </w:p>
    <w:p>
      <w:pPr>
        <w:ind w:firstLine="0" w:firstLineChars="0"/>
        <w:outlineLvl w:val="2"/>
        <w:rPr>
          <w:rFonts w:ascii="仿宋" w:hAnsi="仿宋"/>
          <w:b/>
          <w:bCs/>
          <w:color w:val="auto"/>
          <w:szCs w:val="28"/>
        </w:rPr>
      </w:pPr>
      <w:bookmarkStart w:id="69" w:name="_Toc4285"/>
      <w:bookmarkStart w:id="70" w:name="_Toc24071"/>
      <w:r>
        <w:rPr>
          <w:rFonts w:hint="eastAsia" w:ascii="仿宋" w:hAnsi="仿宋"/>
          <w:b/>
          <w:bCs/>
          <w:color w:val="auto"/>
          <w:szCs w:val="28"/>
        </w:rPr>
        <w:t>2.</w:t>
      </w:r>
      <w:r>
        <w:rPr>
          <w:rFonts w:ascii="仿宋" w:hAnsi="仿宋"/>
          <w:b/>
          <w:bCs/>
          <w:color w:val="auto"/>
          <w:szCs w:val="28"/>
        </w:rPr>
        <w:t xml:space="preserve">1.2 </w:t>
      </w:r>
      <w:r>
        <w:rPr>
          <w:rFonts w:hint="eastAsia" w:ascii="仿宋" w:hAnsi="仿宋"/>
          <w:b/>
          <w:bCs/>
          <w:color w:val="auto"/>
          <w:szCs w:val="28"/>
        </w:rPr>
        <w:t>主要原辅材料表</w:t>
      </w:r>
      <w:bookmarkEnd w:id="69"/>
    </w:p>
    <w:p>
      <w:pPr>
        <w:ind w:firstLine="560"/>
        <w:rPr>
          <w:rFonts w:ascii="仿宋" w:hAnsi="仿宋"/>
          <w:color w:val="auto"/>
        </w:rPr>
      </w:pPr>
      <w:r>
        <w:rPr>
          <w:rFonts w:hint="eastAsia" w:ascii="仿宋" w:hAnsi="仿宋"/>
          <w:color w:val="auto"/>
        </w:rPr>
        <w:t>本公司主要原辅材料情况见表2</w:t>
      </w:r>
      <w:r>
        <w:rPr>
          <w:rFonts w:ascii="仿宋" w:hAnsi="仿宋"/>
          <w:color w:val="auto"/>
        </w:rPr>
        <w:t>-2</w:t>
      </w:r>
      <w:r>
        <w:rPr>
          <w:rFonts w:hint="eastAsia" w:ascii="仿宋" w:hAnsi="仿宋"/>
          <w:color w:val="auto"/>
        </w:rPr>
        <w:t>。</w:t>
      </w:r>
    </w:p>
    <w:p>
      <w:pPr>
        <w:pStyle w:val="82"/>
        <w:ind w:firstLine="482"/>
        <w:jc w:val="center"/>
        <w:rPr>
          <w:rFonts w:ascii="仿宋" w:hAnsi="仿宋"/>
          <w:b/>
          <w:bCs/>
          <w:color w:val="auto"/>
          <w:sz w:val="24"/>
          <w:szCs w:val="24"/>
        </w:rPr>
      </w:pPr>
      <w:r>
        <w:rPr>
          <w:rFonts w:ascii="仿宋" w:hAnsi="仿宋"/>
          <w:b/>
          <w:bCs/>
          <w:color w:val="auto"/>
          <w:sz w:val="24"/>
          <w:szCs w:val="24"/>
        </w:rPr>
        <w:t>表</w:t>
      </w:r>
      <w:r>
        <w:rPr>
          <w:rFonts w:hint="eastAsia" w:ascii="仿宋" w:hAnsi="仿宋"/>
          <w:b/>
          <w:bCs/>
          <w:color w:val="auto"/>
          <w:sz w:val="24"/>
          <w:szCs w:val="24"/>
        </w:rPr>
        <w:t>2</w:t>
      </w:r>
      <w:r>
        <w:rPr>
          <w:rFonts w:ascii="仿宋" w:hAnsi="仿宋"/>
          <w:b/>
          <w:bCs/>
          <w:color w:val="auto"/>
          <w:sz w:val="24"/>
          <w:szCs w:val="24"/>
        </w:rPr>
        <w:t xml:space="preserve">-2    </w:t>
      </w:r>
      <w:r>
        <w:rPr>
          <w:rFonts w:hint="eastAsia" w:ascii="仿宋" w:hAnsi="仿宋"/>
          <w:b/>
          <w:bCs/>
          <w:color w:val="auto"/>
          <w:sz w:val="24"/>
          <w:szCs w:val="24"/>
        </w:rPr>
        <w:t>主要原辅材料表</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2"/>
        <w:gridCol w:w="722"/>
        <w:gridCol w:w="1207"/>
        <w:gridCol w:w="1610"/>
        <w:gridCol w:w="995"/>
        <w:gridCol w:w="1569"/>
        <w:gridCol w:w="1381"/>
        <w:gridCol w:w="1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378" w:type="pct"/>
            <w:shd w:val="clear" w:color="auto" w:fill="D9D9D9"/>
            <w:vAlign w:val="center"/>
          </w:tcPr>
          <w:p>
            <w:pPr>
              <w:pStyle w:val="39"/>
              <w:spacing w:after="0"/>
              <w:ind w:left="0" w:leftChars="0" w:firstLine="0" w:firstLineChars="0"/>
              <w:jc w:val="center"/>
              <w:rPr>
                <w:rFonts w:ascii="仿宋" w:hAnsi="仿宋"/>
                <w:b/>
                <w:bCs/>
                <w:color w:val="auto"/>
                <w:szCs w:val="21"/>
              </w:rPr>
            </w:pPr>
            <w:bookmarkStart w:id="71" w:name="_Hlk60305656"/>
            <w:r>
              <w:rPr>
                <w:rFonts w:hint="eastAsia" w:ascii="仿宋" w:hAnsi="仿宋"/>
                <w:b/>
                <w:bCs/>
                <w:color w:val="auto"/>
                <w:szCs w:val="21"/>
              </w:rPr>
              <w:t>序号</w:t>
            </w:r>
          </w:p>
        </w:tc>
        <w:tc>
          <w:tcPr>
            <w:tcW w:w="389"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种类</w:t>
            </w:r>
          </w:p>
        </w:tc>
        <w:tc>
          <w:tcPr>
            <w:tcW w:w="650"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名称</w:t>
            </w:r>
          </w:p>
        </w:tc>
        <w:tc>
          <w:tcPr>
            <w:tcW w:w="867"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年最大使用量</w:t>
            </w:r>
          </w:p>
        </w:tc>
        <w:tc>
          <w:tcPr>
            <w:tcW w:w="536"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最大储存量</w:t>
            </w:r>
          </w:p>
        </w:tc>
        <w:tc>
          <w:tcPr>
            <w:tcW w:w="845"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储存方式</w:t>
            </w:r>
          </w:p>
        </w:tc>
        <w:tc>
          <w:tcPr>
            <w:tcW w:w="743"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储存位置</w:t>
            </w:r>
          </w:p>
        </w:tc>
        <w:tc>
          <w:tcPr>
            <w:tcW w:w="593" w:type="pct"/>
            <w:shd w:val="clear" w:color="auto" w:fill="D9D9D9"/>
            <w:vAlign w:val="center"/>
          </w:tcPr>
          <w:p>
            <w:pPr>
              <w:pStyle w:val="39"/>
              <w:spacing w:after="0"/>
              <w:ind w:left="0" w:leftChars="0" w:firstLine="0" w:firstLineChars="0"/>
              <w:jc w:val="center"/>
              <w:rPr>
                <w:rFonts w:ascii="仿宋" w:hAnsi="仿宋"/>
                <w:b/>
                <w:bCs/>
                <w:color w:val="auto"/>
                <w:szCs w:val="21"/>
              </w:rPr>
            </w:pPr>
            <w:r>
              <w:rPr>
                <w:rFonts w:hint="eastAsia" w:ascii="仿宋" w:hAnsi="仿宋"/>
                <w:b/>
                <w:bCs/>
                <w:color w:val="auto"/>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1</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絮凝剂</w:t>
            </w:r>
          </w:p>
        </w:tc>
        <w:tc>
          <w:tcPr>
            <w:tcW w:w="867"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1</w:t>
            </w:r>
            <w:r>
              <w:rPr>
                <w:rFonts w:ascii="仿宋" w:hAnsi="仿宋"/>
                <w:color w:val="auto"/>
                <w:szCs w:val="21"/>
              </w:rPr>
              <w:t>20</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3</w:t>
            </w:r>
            <w:r>
              <w:rPr>
                <w:rFonts w:ascii="仿宋" w:hAnsi="仿宋"/>
                <w:color w:val="auto"/>
                <w:szCs w:val="21"/>
              </w:rPr>
              <w:t>0</w:t>
            </w:r>
            <w:r>
              <w:rPr>
                <w:rFonts w:hint="eastAsia" w:ascii="仿宋" w:hAnsi="仿宋"/>
                <w:color w:val="auto"/>
                <w:szCs w:val="21"/>
              </w:rPr>
              <w:t>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袋装</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废水处理站</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2</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尿素</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6586</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2</w:t>
            </w:r>
            <w:r>
              <w:rPr>
                <w:rFonts w:ascii="仿宋" w:hAnsi="仿宋"/>
                <w:color w:val="auto"/>
                <w:szCs w:val="21"/>
              </w:rPr>
              <w:t>00</w:t>
            </w:r>
            <w:r>
              <w:rPr>
                <w:rFonts w:hint="eastAsia" w:ascii="仿宋" w:hAnsi="仿宋"/>
                <w:color w:val="auto"/>
                <w:szCs w:val="21"/>
              </w:rPr>
              <w:t>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储罐</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尿素车间</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3</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烧碱（3</w:t>
            </w:r>
            <w:r>
              <w:rPr>
                <w:rFonts w:ascii="仿宋" w:hAnsi="仿宋"/>
                <w:color w:val="auto"/>
                <w:szCs w:val="21"/>
              </w:rPr>
              <w:t>0</w:t>
            </w:r>
            <w:r>
              <w:rPr>
                <w:rFonts w:hint="eastAsia" w:ascii="仿宋" w:hAnsi="仿宋"/>
                <w:color w:val="auto"/>
                <w:szCs w:val="21"/>
              </w:rPr>
              <w:t>%）</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522.23</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8</w:t>
            </w:r>
            <w:r>
              <w:rPr>
                <w:rFonts w:ascii="仿宋" w:hAnsi="仿宋"/>
                <w:color w:val="auto"/>
                <w:szCs w:val="21"/>
              </w:rPr>
              <w:t>6</w:t>
            </w:r>
            <w:r>
              <w:rPr>
                <w:rFonts w:hint="eastAsia" w:ascii="仿宋" w:hAnsi="仿宋"/>
                <w:color w:val="auto"/>
                <w:szCs w:val="21"/>
              </w:rPr>
              <w:t>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2×25m</w:t>
            </w:r>
            <w:r>
              <w:rPr>
                <w:rFonts w:hint="eastAsia" w:ascii="仿宋" w:hAnsi="仿宋"/>
                <w:color w:val="auto"/>
                <w:szCs w:val="21"/>
                <w:vertAlign w:val="superscript"/>
              </w:rPr>
              <w:t>3</w:t>
            </w:r>
            <w:r>
              <w:rPr>
                <w:rFonts w:hint="eastAsia" w:ascii="仿宋" w:hAnsi="仿宋"/>
                <w:color w:val="auto"/>
                <w:szCs w:val="21"/>
              </w:rPr>
              <w:t>储罐</w:t>
            </w:r>
          </w:p>
          <w:p>
            <w:pPr>
              <w:pStyle w:val="39"/>
              <w:spacing w:after="0"/>
              <w:ind w:left="0" w:leftChars="0" w:firstLine="0" w:firstLineChars="0"/>
              <w:jc w:val="center"/>
              <w:rPr>
                <w:rFonts w:ascii="仿宋" w:hAnsi="仿宋"/>
                <w:color w:val="auto"/>
                <w:szCs w:val="21"/>
              </w:rPr>
            </w:pPr>
            <w:r>
              <w:rPr>
                <w:rFonts w:hint="eastAsia" w:ascii="仿宋" w:hAnsi="仿宋"/>
                <w:color w:val="auto"/>
                <w:szCs w:val="21"/>
              </w:rPr>
              <w:t>3×8m</w:t>
            </w:r>
            <w:r>
              <w:rPr>
                <w:rFonts w:hint="eastAsia" w:ascii="仿宋" w:hAnsi="仿宋"/>
                <w:color w:val="auto"/>
                <w:szCs w:val="21"/>
                <w:vertAlign w:val="superscript"/>
              </w:rPr>
              <w:t>3</w:t>
            </w:r>
            <w:r>
              <w:rPr>
                <w:rFonts w:hint="eastAsia" w:ascii="仿宋" w:hAnsi="仿宋"/>
                <w:color w:val="auto"/>
                <w:szCs w:val="21"/>
              </w:rPr>
              <w:t>储罐</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酸碱库</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库房内布置，无围堰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4</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石灰石</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138000</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堆放</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石灰石储棚</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5</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盐酸（3</w:t>
            </w:r>
            <w:r>
              <w:rPr>
                <w:rFonts w:ascii="仿宋" w:hAnsi="仿宋"/>
                <w:color w:val="auto"/>
                <w:szCs w:val="21"/>
              </w:rPr>
              <w:t>0</w:t>
            </w:r>
            <w:r>
              <w:rPr>
                <w:rFonts w:hint="eastAsia" w:ascii="仿宋" w:hAnsi="仿宋"/>
                <w:color w:val="auto"/>
                <w:szCs w:val="21"/>
              </w:rPr>
              <w:t>%）</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200</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72.28</w:t>
            </w:r>
            <w:r>
              <w:rPr>
                <w:rFonts w:hint="eastAsia" w:ascii="仿宋" w:hAnsi="仿宋"/>
                <w:color w:val="auto"/>
                <w:szCs w:val="21"/>
              </w:rPr>
              <w:t>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2×25m</w:t>
            </w:r>
            <w:r>
              <w:rPr>
                <w:rFonts w:hint="eastAsia" w:ascii="仿宋" w:hAnsi="仿宋"/>
                <w:color w:val="auto"/>
                <w:szCs w:val="21"/>
                <w:vertAlign w:val="superscript"/>
              </w:rPr>
              <w:t>3</w:t>
            </w:r>
            <w:r>
              <w:rPr>
                <w:rFonts w:hint="eastAsia" w:ascii="仿宋" w:hAnsi="仿宋"/>
                <w:color w:val="auto"/>
                <w:szCs w:val="21"/>
              </w:rPr>
              <w:t>储罐</w:t>
            </w:r>
          </w:p>
          <w:p>
            <w:pPr>
              <w:pStyle w:val="39"/>
              <w:spacing w:after="0"/>
              <w:ind w:left="0" w:leftChars="0" w:firstLine="0" w:firstLineChars="0"/>
              <w:jc w:val="center"/>
              <w:rPr>
                <w:rFonts w:ascii="Calibri" w:hAnsi="Calibri"/>
                <w:color w:val="auto"/>
                <w:szCs w:val="21"/>
              </w:rPr>
            </w:pPr>
            <w:r>
              <w:rPr>
                <w:rFonts w:hint="eastAsia" w:ascii="仿宋" w:hAnsi="仿宋"/>
                <w:color w:val="auto"/>
                <w:szCs w:val="21"/>
              </w:rPr>
              <w:t>3×8m</w:t>
            </w:r>
            <w:r>
              <w:rPr>
                <w:rFonts w:hint="eastAsia" w:ascii="仿宋" w:hAnsi="仿宋"/>
                <w:color w:val="auto"/>
                <w:szCs w:val="21"/>
                <w:vertAlign w:val="superscript"/>
              </w:rPr>
              <w:t>3</w:t>
            </w:r>
            <w:r>
              <w:rPr>
                <w:rFonts w:hint="eastAsia" w:ascii="仿宋" w:hAnsi="仿宋"/>
                <w:color w:val="auto"/>
                <w:szCs w:val="21"/>
              </w:rPr>
              <w:t>储罐</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酸碱库</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库房内布置，无围堰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6</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助凝剂</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3</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2t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袋装</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废水处理站</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7</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原料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柴油</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383</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200</w:t>
            </w:r>
            <w:r>
              <w:rPr>
                <w:rFonts w:hint="eastAsia" w:ascii="仿宋" w:hAnsi="仿宋"/>
                <w:color w:val="auto"/>
                <w:szCs w:val="21"/>
              </w:rPr>
              <w:t>t</w:t>
            </w:r>
          </w:p>
        </w:tc>
        <w:tc>
          <w:tcPr>
            <w:tcW w:w="845"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1</w:t>
            </w:r>
            <w:r>
              <w:rPr>
                <w:rFonts w:hint="eastAsia" w:ascii="仿宋" w:hAnsi="仿宋"/>
                <w:color w:val="auto"/>
                <w:szCs w:val="21"/>
              </w:rPr>
              <w:t>个1</w:t>
            </w:r>
            <w:r>
              <w:rPr>
                <w:rFonts w:ascii="仿宋" w:hAnsi="仿宋"/>
                <w:color w:val="auto"/>
                <w:szCs w:val="21"/>
              </w:rPr>
              <w:t>000</w:t>
            </w:r>
            <w:r>
              <w:rPr>
                <w:rFonts w:hint="eastAsia" w:ascii="仿宋" w:hAnsi="仿宋"/>
                <w:color w:val="auto"/>
                <w:szCs w:val="21"/>
              </w:rPr>
              <w:t>m</w:t>
            </w:r>
            <w:r>
              <w:rPr>
                <w:rFonts w:hint="eastAsia" w:ascii="仿宋" w:hAnsi="仿宋"/>
                <w:color w:val="auto"/>
                <w:szCs w:val="21"/>
                <w:vertAlign w:val="superscript"/>
              </w:rPr>
              <w:t>3</w:t>
            </w:r>
            <w:r>
              <w:rPr>
                <w:rFonts w:hint="eastAsia" w:ascii="仿宋" w:hAnsi="仿宋"/>
                <w:color w:val="auto"/>
                <w:szCs w:val="21"/>
              </w:rPr>
              <w:t>储罐</w:t>
            </w:r>
          </w:p>
          <w:p>
            <w:pPr>
              <w:pStyle w:val="38"/>
              <w:spacing w:after="0"/>
              <w:ind w:firstLine="0" w:firstLineChars="0"/>
              <w:jc w:val="center"/>
              <w:rPr>
                <w:rFonts w:hint="default" w:ascii="仿宋" w:hAnsi="仿宋" w:eastAsia="仿宋"/>
                <w:color w:val="auto"/>
                <w:szCs w:val="21"/>
              </w:rPr>
            </w:pPr>
            <w:r>
              <w:rPr>
                <w:rFonts w:ascii="仿宋" w:hAnsi="仿宋" w:eastAsia="仿宋"/>
                <w:color w:val="auto"/>
                <w:szCs w:val="21"/>
              </w:rPr>
              <w:t>1个400m</w:t>
            </w:r>
            <w:r>
              <w:rPr>
                <w:rFonts w:ascii="仿宋" w:hAnsi="仿宋" w:eastAsia="仿宋"/>
                <w:color w:val="auto"/>
                <w:szCs w:val="21"/>
                <w:vertAlign w:val="superscript"/>
              </w:rPr>
              <w:t>3</w:t>
            </w:r>
            <w:r>
              <w:rPr>
                <w:rFonts w:ascii="仿宋" w:hAnsi="仿宋" w:eastAsia="仿宋"/>
                <w:color w:val="auto"/>
                <w:szCs w:val="21"/>
              </w:rPr>
              <w:t>储罐</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柴油储罐区</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1</w:t>
            </w:r>
            <w:r>
              <w:rPr>
                <w:rFonts w:ascii="仿宋" w:hAnsi="仿宋"/>
                <w:color w:val="auto"/>
                <w:szCs w:val="21"/>
              </w:rPr>
              <w:t>000</w:t>
            </w:r>
            <w:r>
              <w:rPr>
                <w:rFonts w:hint="eastAsia" w:ascii="仿宋" w:hAnsi="仿宋"/>
                <w:color w:val="auto"/>
                <w:szCs w:val="21"/>
              </w:rPr>
              <w:t>m</w:t>
            </w:r>
            <w:r>
              <w:rPr>
                <w:rFonts w:hint="eastAsia" w:ascii="仿宋" w:hAnsi="仿宋"/>
                <w:color w:val="auto"/>
                <w:szCs w:val="21"/>
                <w:vertAlign w:val="superscript"/>
              </w:rPr>
              <w:t>3</w:t>
            </w:r>
            <w:r>
              <w:rPr>
                <w:rFonts w:hint="eastAsia" w:ascii="仿宋" w:hAnsi="仿宋"/>
                <w:color w:val="auto"/>
                <w:szCs w:val="21"/>
              </w:rPr>
              <w:t>储罐现储存量为0，每个储罐均设置有围堰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8</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原料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烟煤</w:t>
            </w:r>
          </w:p>
        </w:tc>
        <w:tc>
          <w:tcPr>
            <w:tcW w:w="867"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3241394</w:t>
            </w:r>
            <w:r>
              <w:rPr>
                <w:rFonts w:hint="eastAsia" w:ascii="仿宋" w:hAnsi="仿宋"/>
                <w:color w:val="auto"/>
                <w:szCs w:val="21"/>
              </w:rPr>
              <w:t>t/a</w:t>
            </w:r>
          </w:p>
        </w:tc>
        <w:tc>
          <w:tcPr>
            <w:tcW w:w="536"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300000t</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堆放</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堆煤场</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9</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浓硫酸（9</w:t>
            </w:r>
            <w:r>
              <w:rPr>
                <w:rFonts w:ascii="仿宋" w:hAnsi="仿宋"/>
                <w:color w:val="auto"/>
                <w:szCs w:val="21"/>
              </w:rPr>
              <w:t>8</w:t>
            </w:r>
            <w:r>
              <w:rPr>
                <w:rFonts w:hint="eastAsia" w:ascii="仿宋" w:hAnsi="仿宋"/>
                <w:color w:val="auto"/>
                <w:szCs w:val="21"/>
              </w:rPr>
              <w:t>%）</w:t>
            </w:r>
          </w:p>
        </w:tc>
        <w:tc>
          <w:tcPr>
            <w:tcW w:w="867"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4</w:t>
            </w:r>
            <w:r>
              <w:rPr>
                <w:rFonts w:ascii="仿宋" w:hAnsi="仿宋"/>
                <w:color w:val="auto"/>
                <w:szCs w:val="21"/>
              </w:rPr>
              <w:t>9.13</w:t>
            </w:r>
          </w:p>
        </w:tc>
        <w:tc>
          <w:tcPr>
            <w:tcW w:w="845" w:type="pct"/>
            <w:vAlign w:val="center"/>
          </w:tcPr>
          <w:p>
            <w:pPr>
              <w:pStyle w:val="39"/>
              <w:spacing w:after="0"/>
              <w:ind w:left="0" w:leftChars="0" w:firstLine="0" w:firstLineChars="0"/>
              <w:jc w:val="center"/>
              <w:rPr>
                <w:rFonts w:ascii="仿宋" w:hAnsi="仿宋"/>
                <w:color w:val="auto"/>
                <w:szCs w:val="21"/>
              </w:rPr>
            </w:pPr>
            <w:r>
              <w:rPr>
                <w:rFonts w:ascii="仿宋" w:hAnsi="仿宋"/>
                <w:color w:val="auto"/>
                <w:szCs w:val="21"/>
              </w:rPr>
              <w:t>1</w:t>
            </w:r>
            <w:r>
              <w:rPr>
                <w:rFonts w:hint="eastAsia" w:ascii="仿宋" w:hAnsi="仿宋"/>
                <w:color w:val="auto"/>
                <w:szCs w:val="21"/>
              </w:rPr>
              <w:t>个4</w:t>
            </w:r>
            <w:r>
              <w:rPr>
                <w:rFonts w:ascii="仿宋" w:hAnsi="仿宋"/>
                <w:color w:val="auto"/>
                <w:szCs w:val="21"/>
              </w:rPr>
              <w:t>.5m</w:t>
            </w:r>
            <w:r>
              <w:rPr>
                <w:rFonts w:ascii="仿宋" w:hAnsi="仿宋"/>
                <w:color w:val="auto"/>
                <w:szCs w:val="21"/>
                <w:vertAlign w:val="superscript"/>
              </w:rPr>
              <w:t>3</w:t>
            </w:r>
            <w:r>
              <w:rPr>
                <w:rFonts w:hint="eastAsia" w:ascii="仿宋" w:hAnsi="仿宋"/>
                <w:color w:val="auto"/>
                <w:szCs w:val="21"/>
              </w:rPr>
              <w:t>储罐</w:t>
            </w:r>
          </w:p>
          <w:p>
            <w:pPr>
              <w:pStyle w:val="39"/>
              <w:spacing w:after="0"/>
              <w:ind w:left="0" w:leftChars="0" w:firstLine="0" w:firstLineChars="0"/>
              <w:jc w:val="center"/>
              <w:rPr>
                <w:rFonts w:ascii="仿宋" w:hAnsi="仿宋"/>
                <w:color w:val="auto"/>
                <w:szCs w:val="21"/>
              </w:rPr>
            </w:pPr>
            <w:r>
              <w:rPr>
                <w:rFonts w:ascii="仿宋" w:hAnsi="仿宋"/>
                <w:color w:val="auto"/>
                <w:szCs w:val="21"/>
              </w:rPr>
              <w:t>1</w:t>
            </w:r>
            <w:r>
              <w:rPr>
                <w:rFonts w:hint="eastAsia" w:ascii="仿宋" w:hAnsi="仿宋"/>
                <w:color w:val="auto"/>
                <w:szCs w:val="21"/>
              </w:rPr>
              <w:t>个</w:t>
            </w:r>
            <w:r>
              <w:rPr>
                <w:rFonts w:ascii="仿宋" w:hAnsi="仿宋"/>
                <w:color w:val="auto"/>
                <w:szCs w:val="21"/>
              </w:rPr>
              <w:t>8m</w:t>
            </w:r>
            <w:r>
              <w:rPr>
                <w:rFonts w:ascii="仿宋" w:hAnsi="仿宋"/>
                <w:color w:val="auto"/>
                <w:szCs w:val="21"/>
                <w:vertAlign w:val="superscript"/>
              </w:rPr>
              <w:t>3</w:t>
            </w:r>
            <w:r>
              <w:rPr>
                <w:rFonts w:hint="eastAsia" w:ascii="仿宋" w:hAnsi="仿宋"/>
                <w:color w:val="auto"/>
                <w:szCs w:val="21"/>
              </w:rPr>
              <w:t>储罐</w:t>
            </w:r>
          </w:p>
          <w:p>
            <w:pPr>
              <w:pStyle w:val="39"/>
              <w:spacing w:after="0"/>
              <w:ind w:left="0" w:leftChars="0" w:firstLine="0" w:firstLineChars="0"/>
              <w:jc w:val="center"/>
              <w:rPr>
                <w:rFonts w:ascii="仿宋" w:hAnsi="仿宋"/>
                <w:color w:val="auto"/>
                <w:szCs w:val="21"/>
              </w:rPr>
            </w:pPr>
            <w:r>
              <w:rPr>
                <w:rFonts w:ascii="仿宋" w:hAnsi="仿宋"/>
                <w:color w:val="auto"/>
                <w:szCs w:val="21"/>
              </w:rPr>
              <w:t>1</w:t>
            </w:r>
            <w:r>
              <w:rPr>
                <w:rFonts w:hint="eastAsia" w:ascii="仿宋" w:hAnsi="仿宋"/>
                <w:color w:val="auto"/>
                <w:szCs w:val="21"/>
              </w:rPr>
              <w:t>个</w:t>
            </w:r>
            <w:r>
              <w:rPr>
                <w:rFonts w:ascii="仿宋" w:hAnsi="仿宋"/>
                <w:color w:val="auto"/>
                <w:szCs w:val="21"/>
              </w:rPr>
              <w:t>8.5m</w:t>
            </w:r>
            <w:r>
              <w:rPr>
                <w:rFonts w:ascii="仿宋" w:hAnsi="仿宋"/>
                <w:color w:val="auto"/>
                <w:szCs w:val="21"/>
                <w:vertAlign w:val="superscript"/>
              </w:rPr>
              <w:t>3</w:t>
            </w:r>
            <w:r>
              <w:rPr>
                <w:rFonts w:hint="eastAsia" w:ascii="仿宋" w:hAnsi="仿宋"/>
                <w:color w:val="auto"/>
                <w:szCs w:val="21"/>
              </w:rPr>
              <w:t>储罐</w:t>
            </w:r>
          </w:p>
          <w:p>
            <w:pPr>
              <w:pStyle w:val="39"/>
              <w:spacing w:after="0"/>
              <w:ind w:left="0" w:leftChars="0" w:firstLine="0" w:firstLineChars="0"/>
              <w:jc w:val="center"/>
              <w:rPr>
                <w:rFonts w:ascii="仿宋" w:hAnsi="仿宋"/>
                <w:color w:val="auto"/>
                <w:szCs w:val="21"/>
              </w:rPr>
            </w:pPr>
            <w:r>
              <w:rPr>
                <w:rFonts w:ascii="仿宋" w:hAnsi="仿宋"/>
                <w:color w:val="auto"/>
                <w:szCs w:val="21"/>
              </w:rPr>
              <w:t>1</w:t>
            </w:r>
            <w:r>
              <w:rPr>
                <w:rFonts w:hint="eastAsia" w:ascii="仿宋" w:hAnsi="仿宋"/>
                <w:color w:val="auto"/>
                <w:szCs w:val="21"/>
              </w:rPr>
              <w:t>个5</w:t>
            </w:r>
            <w:r>
              <w:rPr>
                <w:rFonts w:ascii="仿宋" w:hAnsi="仿宋"/>
                <w:color w:val="auto"/>
                <w:szCs w:val="21"/>
              </w:rPr>
              <w:t>.7m</w:t>
            </w:r>
            <w:r>
              <w:rPr>
                <w:rFonts w:ascii="仿宋" w:hAnsi="仿宋"/>
                <w:color w:val="auto"/>
                <w:szCs w:val="21"/>
                <w:vertAlign w:val="superscript"/>
              </w:rPr>
              <w:t>3</w:t>
            </w:r>
            <w:r>
              <w:rPr>
                <w:rFonts w:hint="eastAsia" w:ascii="仿宋" w:hAnsi="仿宋"/>
                <w:color w:val="auto"/>
                <w:szCs w:val="21"/>
              </w:rPr>
              <w:t>储罐</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冷却塔区</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每个储罐均设置有围堰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78"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1</w:t>
            </w:r>
            <w:r>
              <w:rPr>
                <w:rFonts w:ascii="仿宋" w:hAnsi="仿宋"/>
                <w:color w:val="auto"/>
                <w:szCs w:val="21"/>
              </w:rPr>
              <w:t>0</w:t>
            </w:r>
          </w:p>
        </w:tc>
        <w:tc>
          <w:tcPr>
            <w:tcW w:w="389"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辅料</w:t>
            </w:r>
          </w:p>
        </w:tc>
        <w:tc>
          <w:tcPr>
            <w:tcW w:w="650"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氢气</w:t>
            </w:r>
          </w:p>
        </w:tc>
        <w:tc>
          <w:tcPr>
            <w:tcW w:w="867"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c>
          <w:tcPr>
            <w:tcW w:w="536"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0</w:t>
            </w:r>
            <w:r>
              <w:rPr>
                <w:rFonts w:ascii="仿宋" w:hAnsi="仿宋"/>
                <w:color w:val="auto"/>
                <w:szCs w:val="21"/>
              </w:rPr>
              <w:t>.04</w:t>
            </w:r>
          </w:p>
        </w:tc>
        <w:tc>
          <w:tcPr>
            <w:tcW w:w="845"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2×</w:t>
            </w:r>
            <w:r>
              <w:rPr>
                <w:rFonts w:ascii="仿宋" w:hAnsi="仿宋"/>
                <w:color w:val="auto"/>
                <w:szCs w:val="21"/>
              </w:rPr>
              <w:t>139</w:t>
            </w:r>
            <w:r>
              <w:rPr>
                <w:rFonts w:hint="eastAsia" w:ascii="仿宋" w:hAnsi="仿宋"/>
                <w:color w:val="auto"/>
                <w:szCs w:val="21"/>
              </w:rPr>
              <w:t>m</w:t>
            </w:r>
            <w:r>
              <w:rPr>
                <w:rFonts w:hint="eastAsia" w:ascii="仿宋" w:hAnsi="仿宋"/>
                <w:color w:val="auto"/>
                <w:szCs w:val="21"/>
                <w:vertAlign w:val="superscript"/>
              </w:rPr>
              <w:t>3</w:t>
            </w:r>
            <w:r>
              <w:rPr>
                <w:rFonts w:hint="eastAsia" w:ascii="仿宋" w:hAnsi="仿宋"/>
                <w:color w:val="auto"/>
                <w:szCs w:val="21"/>
              </w:rPr>
              <w:t>储罐</w:t>
            </w:r>
          </w:p>
          <w:p>
            <w:pPr>
              <w:pStyle w:val="39"/>
              <w:spacing w:after="0"/>
              <w:ind w:left="0" w:leftChars="0" w:firstLine="0" w:firstLineChars="0"/>
              <w:jc w:val="center"/>
              <w:rPr>
                <w:rFonts w:ascii="仿宋" w:hAnsi="仿宋"/>
                <w:color w:val="auto"/>
                <w:szCs w:val="21"/>
              </w:rPr>
            </w:pPr>
            <w:r>
              <w:rPr>
                <w:rFonts w:ascii="仿宋" w:hAnsi="仿宋"/>
                <w:color w:val="auto"/>
                <w:szCs w:val="21"/>
              </w:rPr>
              <w:t>2</w:t>
            </w:r>
            <w:r>
              <w:rPr>
                <w:rFonts w:hint="eastAsia" w:ascii="仿宋" w:hAnsi="仿宋"/>
                <w:color w:val="auto"/>
                <w:szCs w:val="21"/>
              </w:rPr>
              <w:t>×</w:t>
            </w:r>
            <w:r>
              <w:rPr>
                <w:rFonts w:ascii="仿宋" w:hAnsi="仿宋"/>
                <w:color w:val="auto"/>
                <w:szCs w:val="21"/>
              </w:rPr>
              <w:t>123</w:t>
            </w:r>
            <w:r>
              <w:rPr>
                <w:rFonts w:hint="eastAsia" w:ascii="仿宋" w:hAnsi="仿宋"/>
                <w:color w:val="auto"/>
                <w:szCs w:val="21"/>
              </w:rPr>
              <w:t>m</w:t>
            </w:r>
            <w:r>
              <w:rPr>
                <w:rFonts w:hint="eastAsia" w:ascii="仿宋" w:hAnsi="仿宋"/>
                <w:color w:val="auto"/>
                <w:szCs w:val="21"/>
                <w:vertAlign w:val="superscript"/>
              </w:rPr>
              <w:t>3</w:t>
            </w:r>
            <w:r>
              <w:rPr>
                <w:rFonts w:hint="eastAsia" w:ascii="仿宋" w:hAnsi="仿宋"/>
                <w:color w:val="auto"/>
                <w:szCs w:val="21"/>
              </w:rPr>
              <w:t>储罐</w:t>
            </w:r>
          </w:p>
        </w:tc>
        <w:tc>
          <w:tcPr>
            <w:tcW w:w="74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制氢站</w:t>
            </w:r>
          </w:p>
        </w:tc>
        <w:tc>
          <w:tcPr>
            <w:tcW w:w="593" w:type="pct"/>
            <w:vAlign w:val="center"/>
          </w:tcPr>
          <w:p>
            <w:pPr>
              <w:pStyle w:val="39"/>
              <w:spacing w:after="0"/>
              <w:ind w:left="0" w:leftChars="0" w:firstLine="0" w:firstLineChars="0"/>
              <w:jc w:val="center"/>
              <w:rPr>
                <w:rFonts w:ascii="仿宋" w:hAnsi="仿宋"/>
                <w:color w:val="auto"/>
                <w:szCs w:val="21"/>
              </w:rPr>
            </w:pPr>
            <w:r>
              <w:rPr>
                <w:rFonts w:hint="eastAsia" w:ascii="仿宋" w:hAnsi="仿宋"/>
                <w:color w:val="auto"/>
                <w:szCs w:val="21"/>
              </w:rPr>
              <w:t>/</w:t>
            </w:r>
          </w:p>
        </w:tc>
      </w:tr>
      <w:bookmarkEnd w:id="71"/>
    </w:tbl>
    <w:p>
      <w:pPr>
        <w:ind w:firstLine="0" w:firstLineChars="0"/>
        <w:outlineLvl w:val="2"/>
        <w:rPr>
          <w:rFonts w:ascii="仿宋" w:hAnsi="仿宋"/>
          <w:b/>
          <w:bCs/>
          <w:color w:val="auto"/>
          <w:szCs w:val="28"/>
        </w:rPr>
      </w:pPr>
      <w:bookmarkStart w:id="72" w:name="_Toc19338"/>
      <w:r>
        <w:rPr>
          <w:rFonts w:hint="eastAsia" w:ascii="仿宋" w:hAnsi="仿宋"/>
          <w:b/>
          <w:bCs/>
          <w:color w:val="auto"/>
          <w:szCs w:val="28"/>
        </w:rPr>
        <w:t>2</w:t>
      </w:r>
      <w:r>
        <w:rPr>
          <w:rFonts w:ascii="仿宋" w:hAnsi="仿宋"/>
          <w:b/>
          <w:bCs/>
          <w:color w:val="auto"/>
          <w:szCs w:val="28"/>
        </w:rPr>
        <w:t xml:space="preserve">.1.3 </w:t>
      </w:r>
      <w:r>
        <w:rPr>
          <w:rFonts w:hint="eastAsia" w:ascii="仿宋" w:hAnsi="仿宋"/>
          <w:b/>
          <w:bCs/>
          <w:color w:val="auto"/>
          <w:szCs w:val="28"/>
        </w:rPr>
        <w:t>主要设备</w:t>
      </w:r>
      <w:bookmarkEnd w:id="72"/>
    </w:p>
    <w:p>
      <w:pPr>
        <w:ind w:firstLine="560"/>
        <w:rPr>
          <w:rFonts w:ascii="仿宋" w:hAnsi="仿宋"/>
          <w:b/>
          <w:bCs/>
          <w:color w:val="auto"/>
          <w:kern w:val="0"/>
          <w:szCs w:val="28"/>
        </w:rPr>
      </w:pPr>
      <w:r>
        <w:rPr>
          <w:rFonts w:hint="eastAsia" w:ascii="仿宋" w:hAnsi="仿宋"/>
          <w:color w:val="auto"/>
        </w:rPr>
        <w:t>主要设备见表2</w:t>
      </w:r>
      <w:r>
        <w:rPr>
          <w:rFonts w:ascii="仿宋" w:hAnsi="仿宋"/>
          <w:color w:val="auto"/>
        </w:rPr>
        <w:t>-3</w:t>
      </w:r>
      <w:r>
        <w:rPr>
          <w:rFonts w:hint="eastAsia" w:ascii="仿宋" w:hAnsi="仿宋"/>
          <w:color w:val="auto"/>
        </w:rPr>
        <w:t>。</w:t>
      </w:r>
    </w:p>
    <w:p>
      <w:pPr>
        <w:pStyle w:val="82"/>
        <w:ind w:firstLine="482"/>
        <w:jc w:val="center"/>
        <w:rPr>
          <w:rFonts w:ascii="仿宋" w:hAnsi="仿宋"/>
          <w:b/>
          <w:bCs/>
          <w:color w:val="auto"/>
          <w:sz w:val="24"/>
          <w:szCs w:val="24"/>
        </w:rPr>
      </w:pPr>
    </w:p>
    <w:p>
      <w:pPr>
        <w:pStyle w:val="82"/>
        <w:ind w:firstLine="482"/>
        <w:jc w:val="center"/>
        <w:rPr>
          <w:rFonts w:ascii="仿宋" w:hAnsi="仿宋"/>
          <w:b/>
          <w:bCs/>
          <w:color w:val="auto"/>
          <w:sz w:val="24"/>
          <w:szCs w:val="24"/>
        </w:rPr>
      </w:pPr>
    </w:p>
    <w:p>
      <w:pPr>
        <w:pStyle w:val="82"/>
        <w:ind w:firstLine="482"/>
        <w:jc w:val="center"/>
        <w:rPr>
          <w:rFonts w:ascii="仿宋" w:hAnsi="仿宋"/>
          <w:b/>
          <w:bCs/>
          <w:color w:val="auto"/>
          <w:sz w:val="24"/>
          <w:szCs w:val="24"/>
        </w:rPr>
      </w:pPr>
      <w:r>
        <w:rPr>
          <w:rFonts w:ascii="仿宋" w:hAnsi="仿宋"/>
          <w:b/>
          <w:bCs/>
          <w:color w:val="auto"/>
          <w:sz w:val="24"/>
          <w:szCs w:val="24"/>
        </w:rPr>
        <w:t>表</w:t>
      </w:r>
      <w:r>
        <w:rPr>
          <w:rFonts w:hint="eastAsia" w:ascii="仿宋" w:hAnsi="仿宋"/>
          <w:b/>
          <w:bCs/>
          <w:color w:val="auto"/>
          <w:sz w:val="24"/>
          <w:szCs w:val="24"/>
        </w:rPr>
        <w:t>2</w:t>
      </w:r>
      <w:r>
        <w:rPr>
          <w:rFonts w:ascii="仿宋" w:hAnsi="仿宋"/>
          <w:b/>
          <w:bCs/>
          <w:color w:val="auto"/>
          <w:sz w:val="24"/>
          <w:szCs w:val="24"/>
        </w:rPr>
        <w:t>-3    主要设备一览表</w:t>
      </w:r>
    </w:p>
    <w:tbl>
      <w:tblPr>
        <w:tblStyle w:val="4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62"/>
        <w:gridCol w:w="2375"/>
        <w:gridCol w:w="2375"/>
        <w:gridCol w:w="23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1164" w:type="pct"/>
            <w:shd w:val="clear" w:color="auto" w:fill="D9D9D9"/>
            <w:vAlign w:val="center"/>
          </w:tcPr>
          <w:p>
            <w:pPr>
              <w:spacing w:line="240" w:lineRule="auto"/>
              <w:ind w:firstLine="0" w:firstLineChars="0"/>
              <w:jc w:val="center"/>
              <w:rPr>
                <w:rFonts w:ascii="仿宋" w:hAnsi="仿宋"/>
                <w:b/>
                <w:bCs/>
                <w:color w:val="auto"/>
                <w:sz w:val="24"/>
              </w:rPr>
            </w:pPr>
            <w:r>
              <w:rPr>
                <w:rFonts w:ascii="仿宋" w:hAnsi="仿宋"/>
                <w:b/>
                <w:bCs/>
                <w:color w:val="auto"/>
                <w:sz w:val="24"/>
              </w:rPr>
              <w:t>生产设施许可编号</w:t>
            </w:r>
          </w:p>
        </w:tc>
        <w:tc>
          <w:tcPr>
            <w:tcW w:w="1279" w:type="pct"/>
            <w:shd w:val="clear" w:color="auto" w:fill="D9D9D9"/>
            <w:vAlign w:val="center"/>
          </w:tcPr>
          <w:p>
            <w:pPr>
              <w:spacing w:line="240" w:lineRule="auto"/>
              <w:ind w:firstLine="0" w:firstLineChars="0"/>
              <w:jc w:val="center"/>
              <w:rPr>
                <w:rFonts w:ascii="仿宋" w:hAnsi="仿宋"/>
                <w:b/>
                <w:bCs/>
                <w:color w:val="auto"/>
                <w:sz w:val="24"/>
              </w:rPr>
            </w:pPr>
            <w:r>
              <w:rPr>
                <w:rFonts w:ascii="仿宋" w:hAnsi="仿宋"/>
                <w:b/>
                <w:bCs/>
                <w:color w:val="auto"/>
                <w:sz w:val="24"/>
              </w:rPr>
              <w:t>生产设施名称</w:t>
            </w:r>
          </w:p>
        </w:tc>
        <w:tc>
          <w:tcPr>
            <w:tcW w:w="1279" w:type="pct"/>
            <w:shd w:val="clear" w:color="auto" w:fill="D9D9D9"/>
            <w:vAlign w:val="center"/>
          </w:tcPr>
          <w:p>
            <w:pPr>
              <w:spacing w:line="240" w:lineRule="auto"/>
              <w:ind w:firstLine="0" w:firstLineChars="0"/>
              <w:jc w:val="center"/>
              <w:rPr>
                <w:rFonts w:ascii="仿宋" w:hAnsi="仿宋"/>
                <w:b/>
                <w:bCs/>
                <w:color w:val="auto"/>
                <w:sz w:val="24"/>
              </w:rPr>
            </w:pPr>
            <w:r>
              <w:rPr>
                <w:rFonts w:ascii="仿宋" w:hAnsi="仿宋"/>
                <w:b/>
                <w:bCs/>
                <w:color w:val="auto"/>
                <w:sz w:val="24"/>
              </w:rPr>
              <w:t>主要生产单元名称</w:t>
            </w:r>
          </w:p>
        </w:tc>
        <w:tc>
          <w:tcPr>
            <w:tcW w:w="1278" w:type="pct"/>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设施参数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发电机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3#发电机组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煤粉锅炉</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3#发电机组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025t/h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3#发电机组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省煤器</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3#发电机组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3#发电机组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抽凝式汽轮机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3#发电机组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发电机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4#发电机组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煤粉锅炉</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4#发电机组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025t/h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MF0009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4#发电机组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省煤器</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4#发电机组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4#发电机组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抽凝式汽轮机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4#发电机组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发电机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5#发电机组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煤粉锅炉</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5#发电机组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025t/h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5#发电机组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省煤器</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5#发电机组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5#发电机组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抽凝式汽轮机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5#发电机组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MF0019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发电机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6#发电机组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煤粉锅炉</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6#发电机组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025t/h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6#发电机组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省煤器</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6#发电机组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送风机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6#发电机组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69600</w:t>
            </w:r>
            <w:r>
              <w:rPr>
                <w:rFonts w:hint="eastAsia" w:ascii="仿宋" w:hAnsi="仿宋"/>
                <w:color w:val="auto"/>
                <w:sz w:val="24"/>
              </w:rPr>
              <w:t>m</w:t>
            </w:r>
            <w:r>
              <w:rPr>
                <w:rFonts w:hint="eastAsia" w:ascii="仿宋" w:hAnsi="仿宋"/>
                <w:color w:val="auto"/>
                <w:sz w:val="24"/>
                <w:vertAlign w:val="superscript"/>
              </w:rPr>
              <w:t>3</w:t>
            </w:r>
            <w:r>
              <w:rPr>
                <w:rFonts w:hint="eastAsia" w:ascii="仿宋" w:hAnsi="仿宋"/>
                <w:color w:val="auto"/>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抽凝式汽轮机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6#发电机组</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20</w:t>
            </w:r>
            <w:r>
              <w:rPr>
                <w:rFonts w:hint="eastAsia" w:ascii="仿宋" w:hAnsi="仿宋"/>
                <w:color w:val="auto"/>
                <w:sz w:val="24"/>
              </w:rPr>
              <w:t>MW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翻车机房</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000t/h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油罐</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400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25.5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25.5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MF0029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油罐</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1000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425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325.5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297.25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297.25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297.25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煤粉仓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297.25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条形煤场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占地面积</w:t>
            </w:r>
            <w:r>
              <w:rPr>
                <w:rFonts w:ascii="仿宋" w:hAnsi="仿宋"/>
                <w:color w:val="auto"/>
                <w:sz w:val="24"/>
              </w:rPr>
              <w:t>37800</w:t>
            </w:r>
            <w:r>
              <w:rPr>
                <w:rFonts w:hint="eastAsia" w:ascii="仿宋" w:hAnsi="仿宋"/>
                <w:color w:val="auto"/>
                <w:sz w:val="24"/>
              </w:rPr>
              <w:t>m</w:t>
            </w:r>
            <w:r>
              <w:rPr>
                <w:rFonts w:ascii="仿宋" w:hAnsi="仿宋"/>
                <w:color w:val="auto"/>
                <w:sz w:val="24"/>
                <w:vertAlign w:val="superscript"/>
              </w:rPr>
              <w:t>2</w:t>
            </w:r>
            <w:r>
              <w:rPr>
                <w:rFonts w:ascii="仿宋" w:hAnsi="仿宋"/>
                <w:color w:val="auto"/>
                <w:sz w:val="24"/>
              </w:rPr>
              <w:t>,</w:t>
            </w:r>
            <w:r>
              <w:rPr>
                <w:rFonts w:hint="eastAsia" w:ascii="仿宋" w:hAnsi="仿宋"/>
                <w:color w:val="auto"/>
                <w:sz w:val="24"/>
              </w:rPr>
              <w:t>储存量</w:t>
            </w:r>
            <w:r>
              <w:rPr>
                <w:rFonts w:ascii="仿宋" w:hAnsi="仿宋"/>
                <w:color w:val="auto"/>
                <w:sz w:val="24"/>
              </w:rPr>
              <w:t>21000t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MF0039</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斗轮堆取料机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1500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转运站</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1000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转运站</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1000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MF0049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转运站</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1000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输送皮带</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MF0059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30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MF0069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磨煤机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ascii="仿宋" w:hAnsi="仿宋"/>
                <w:color w:val="auto"/>
                <w:sz w:val="24"/>
              </w:rPr>
              <w:t>25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碎煤机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碎煤机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00</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MF0074</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冷却塔</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冷却面积5</w:t>
            </w:r>
            <w:r>
              <w:rPr>
                <w:rFonts w:ascii="仿宋" w:hAnsi="仿宋"/>
                <w:color w:val="auto"/>
                <w:sz w:val="24"/>
              </w:rPr>
              <w:t>000</w:t>
            </w:r>
            <w:r>
              <w:rPr>
                <w:rFonts w:hint="eastAsia" w:ascii="仿宋" w:hAnsi="仿宋"/>
                <w:color w:val="auto"/>
                <w:sz w:val="24"/>
              </w:rPr>
              <w:t>m</w:t>
            </w:r>
            <w:r>
              <w:rPr>
                <w:rFonts w:hint="eastAsia" w:ascii="仿宋" w:hAnsi="仿宋"/>
                <w:color w:val="auto"/>
                <w:sz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MF0075</w:t>
            </w:r>
          </w:p>
        </w:tc>
        <w:tc>
          <w:tcPr>
            <w:tcW w:w="1279" w:type="pct"/>
          </w:tcPr>
          <w:p>
            <w:pPr>
              <w:spacing w:line="240" w:lineRule="auto"/>
              <w:ind w:firstLine="0" w:firstLineChars="0"/>
              <w:jc w:val="center"/>
              <w:rPr>
                <w:rFonts w:ascii="仿宋" w:hAnsi="仿宋"/>
                <w:color w:val="auto"/>
                <w:sz w:val="24"/>
              </w:rPr>
            </w:pPr>
            <w:r>
              <w:rPr>
                <w:rFonts w:hint="eastAsia" w:ascii="仿宋" w:hAnsi="仿宋"/>
                <w:color w:val="auto"/>
                <w:sz w:val="24"/>
              </w:rPr>
              <w:t>冷却塔</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冷却面积5</w:t>
            </w:r>
            <w:r>
              <w:rPr>
                <w:rFonts w:ascii="仿宋" w:hAnsi="仿宋"/>
                <w:color w:val="auto"/>
                <w:sz w:val="24"/>
              </w:rPr>
              <w:t>000</w:t>
            </w:r>
            <w:r>
              <w:rPr>
                <w:rFonts w:hint="eastAsia" w:ascii="仿宋" w:hAnsi="仿宋"/>
                <w:color w:val="auto"/>
                <w:sz w:val="24"/>
              </w:rPr>
              <w:t>m</w:t>
            </w:r>
            <w:r>
              <w:rPr>
                <w:rFonts w:hint="eastAsia" w:ascii="仿宋" w:hAnsi="仿宋"/>
                <w:color w:val="auto"/>
                <w:sz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MF0076</w:t>
            </w:r>
          </w:p>
        </w:tc>
        <w:tc>
          <w:tcPr>
            <w:tcW w:w="1279" w:type="pct"/>
          </w:tcPr>
          <w:p>
            <w:pPr>
              <w:spacing w:line="240" w:lineRule="auto"/>
              <w:ind w:firstLine="0" w:firstLineChars="0"/>
              <w:jc w:val="center"/>
              <w:rPr>
                <w:rFonts w:ascii="仿宋" w:hAnsi="仿宋"/>
                <w:color w:val="auto"/>
                <w:sz w:val="24"/>
              </w:rPr>
            </w:pPr>
            <w:r>
              <w:rPr>
                <w:rFonts w:hint="eastAsia" w:ascii="仿宋" w:hAnsi="仿宋"/>
                <w:color w:val="auto"/>
                <w:sz w:val="24"/>
              </w:rPr>
              <w:t>冷却塔</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冷却面积5</w:t>
            </w:r>
            <w:r>
              <w:rPr>
                <w:rFonts w:ascii="仿宋" w:hAnsi="仿宋"/>
                <w:color w:val="auto"/>
                <w:sz w:val="24"/>
              </w:rPr>
              <w:t>000</w:t>
            </w:r>
            <w:r>
              <w:rPr>
                <w:rFonts w:hint="eastAsia" w:ascii="仿宋" w:hAnsi="仿宋"/>
                <w:color w:val="auto"/>
                <w:sz w:val="24"/>
              </w:rPr>
              <w:t>m</w:t>
            </w:r>
            <w:r>
              <w:rPr>
                <w:rFonts w:hint="eastAsia" w:ascii="仿宋" w:hAnsi="仿宋"/>
                <w:color w:val="auto"/>
                <w:sz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MF0077</w:t>
            </w:r>
          </w:p>
        </w:tc>
        <w:tc>
          <w:tcPr>
            <w:tcW w:w="1279" w:type="pct"/>
          </w:tcPr>
          <w:p>
            <w:pPr>
              <w:spacing w:line="240" w:lineRule="auto"/>
              <w:ind w:firstLine="0" w:firstLineChars="0"/>
              <w:jc w:val="center"/>
              <w:rPr>
                <w:rFonts w:ascii="仿宋" w:hAnsi="仿宋"/>
                <w:color w:val="auto"/>
                <w:sz w:val="24"/>
              </w:rPr>
            </w:pPr>
            <w:r>
              <w:rPr>
                <w:rFonts w:hint="eastAsia" w:ascii="仿宋" w:hAnsi="仿宋"/>
                <w:color w:val="auto"/>
                <w:sz w:val="24"/>
              </w:rPr>
              <w:t>冷却塔</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tcPr>
          <w:p>
            <w:pPr>
              <w:spacing w:line="240" w:lineRule="auto"/>
              <w:ind w:firstLine="0" w:firstLineChars="0"/>
              <w:jc w:val="center"/>
              <w:rPr>
                <w:rFonts w:ascii="仿宋" w:hAnsi="仿宋"/>
                <w:color w:val="auto"/>
                <w:sz w:val="24"/>
              </w:rPr>
            </w:pPr>
            <w:r>
              <w:rPr>
                <w:rFonts w:hint="eastAsia" w:ascii="仿宋" w:hAnsi="仿宋"/>
                <w:color w:val="auto"/>
                <w:sz w:val="24"/>
              </w:rPr>
              <w:t>冷却面积5</w:t>
            </w:r>
            <w:r>
              <w:rPr>
                <w:rFonts w:ascii="仿宋" w:hAnsi="仿宋"/>
                <w:color w:val="auto"/>
                <w:sz w:val="24"/>
              </w:rPr>
              <w:t>000</w:t>
            </w:r>
            <w:r>
              <w:rPr>
                <w:rFonts w:hint="eastAsia" w:ascii="仿宋" w:hAnsi="仿宋"/>
                <w:color w:val="auto"/>
                <w:sz w:val="24"/>
              </w:rPr>
              <w:t>m</w:t>
            </w:r>
            <w:r>
              <w:rPr>
                <w:rFonts w:hint="eastAsia" w:ascii="仿宋" w:hAnsi="仿宋"/>
                <w:color w:val="auto"/>
                <w:sz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石膏</w:t>
            </w:r>
            <w:r>
              <w:rPr>
                <w:rFonts w:hint="eastAsia" w:ascii="仿宋" w:hAnsi="仿宋"/>
                <w:color w:val="auto"/>
                <w:sz w:val="24"/>
              </w:rPr>
              <w:t>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507</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MF0079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石灰石粉仓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1860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MF0080</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1#石灰石浆液箱</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石膏</w:t>
            </w:r>
            <w:r>
              <w:rPr>
                <w:rFonts w:hint="eastAsia" w:ascii="仿宋" w:hAnsi="仿宋"/>
                <w:color w:val="auto"/>
                <w:sz w:val="24"/>
              </w:rPr>
              <w:t>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507</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石灰石粉仓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1860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MF0083</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2</w:t>
            </w:r>
            <w:r>
              <w:rPr>
                <w:rFonts w:hint="eastAsia" w:ascii="仿宋" w:hAnsi="仿宋"/>
                <w:color w:val="auto"/>
                <w:sz w:val="24"/>
              </w:rPr>
              <w:t>#石灰石浆液箱</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MF0084</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灰库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堆灰容积1</w:t>
            </w:r>
            <w:r>
              <w:rPr>
                <w:rFonts w:ascii="仿宋" w:hAnsi="仿宋"/>
                <w:color w:val="auto"/>
                <w:sz w:val="24"/>
              </w:rPr>
              <w:t>770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MF0085</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渣仓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425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MF0086</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灰库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堆灰容积1</w:t>
            </w:r>
            <w:r>
              <w:rPr>
                <w:rFonts w:ascii="仿宋" w:hAnsi="仿宋"/>
                <w:color w:val="auto"/>
                <w:sz w:val="24"/>
              </w:rPr>
              <w:t>770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MF0087</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渣仓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425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MF0088</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灰库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堆灰容积</w:t>
            </w:r>
            <w:r>
              <w:rPr>
                <w:rFonts w:ascii="仿宋" w:hAnsi="仿宋"/>
                <w:color w:val="auto"/>
                <w:sz w:val="24"/>
              </w:rPr>
              <w:t>4065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MF0089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渣仓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425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MF0090</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灰库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堆灰容积</w:t>
            </w:r>
            <w:r>
              <w:rPr>
                <w:rFonts w:ascii="仿宋" w:hAnsi="仿宋"/>
                <w:color w:val="auto"/>
                <w:sz w:val="24"/>
              </w:rPr>
              <w:t>4065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MF0091</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渣仓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425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MF0092</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灰渣场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面积</w:t>
            </w:r>
            <w:r>
              <w:rPr>
                <w:rFonts w:ascii="仿宋" w:hAnsi="仿宋"/>
                <w:color w:val="auto"/>
                <w:sz w:val="24"/>
              </w:rPr>
              <w:t>12811.24</w:t>
            </w:r>
            <w:r>
              <w:rPr>
                <w:rFonts w:hint="eastAsia" w:ascii="仿宋" w:hAnsi="仿宋"/>
                <w:color w:val="auto"/>
                <w:sz w:val="24"/>
              </w:rPr>
              <w:t>m</w:t>
            </w:r>
            <w:r>
              <w:rPr>
                <w:rFonts w:hint="eastAsia" w:ascii="仿宋" w:hAnsi="仿宋"/>
                <w:color w:val="auto"/>
                <w:sz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MF0093</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立式粉磨机2台</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2</w:t>
            </w:r>
            <w:r>
              <w:rPr>
                <w:rFonts w:ascii="仿宋" w:hAnsi="仿宋"/>
                <w:color w:val="auto"/>
                <w:sz w:val="24"/>
              </w:rPr>
              <w:t>8.5</w:t>
            </w:r>
            <w:r>
              <w:rPr>
                <w:rFonts w:hint="eastAsia" w:ascii="仿宋" w:hAnsi="仿宋"/>
                <w:color w:val="auto"/>
                <w:sz w:val="24"/>
              </w:rPr>
              <w:t>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MF0094</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尿素溶解罐</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ascii="仿宋" w:hAnsi="仿宋"/>
                <w:color w:val="auto"/>
                <w:sz w:val="24"/>
              </w:rPr>
              <w:t>35</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MF0095</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尿素溶液储罐</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30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MF0096</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石膏堆场</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0456</w:t>
            </w:r>
            <w:r>
              <w:rPr>
                <w:rFonts w:hint="eastAsia" w:ascii="仿宋" w:hAnsi="仿宋"/>
                <w:color w:val="auto"/>
                <w:sz w:val="24"/>
              </w:rPr>
              <w:t>m</w:t>
            </w:r>
            <w:r>
              <w:rPr>
                <w:rFonts w:hint="eastAsia" w:ascii="仿宋" w:hAnsi="仿宋"/>
                <w:color w:val="auto"/>
                <w:sz w:val="24"/>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MF0097</w:t>
            </w:r>
          </w:p>
        </w:tc>
        <w:tc>
          <w:tcPr>
            <w:tcW w:w="12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石灰石块仓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500</w:t>
            </w:r>
            <w:r>
              <w:rPr>
                <w:rFonts w:hint="eastAsia" w:ascii="仿宋" w:hAnsi="仿宋"/>
                <w:color w:val="auto"/>
                <w:sz w:val="24"/>
              </w:rPr>
              <w:t>m</w:t>
            </w:r>
            <w:r>
              <w:rPr>
                <w:rFonts w:hint="eastAsia" w:ascii="仿宋" w:hAnsi="仿宋"/>
                <w:color w:val="auto"/>
                <w:sz w:val="24"/>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164" w:type="pct"/>
            <w:vAlign w:val="center"/>
          </w:tcPr>
          <w:p>
            <w:pPr>
              <w:spacing w:line="240" w:lineRule="auto"/>
              <w:ind w:firstLine="0" w:firstLineChars="0"/>
              <w:jc w:val="center"/>
              <w:rPr>
                <w:rFonts w:ascii="仿宋" w:hAnsi="仿宋"/>
                <w:color w:val="auto"/>
                <w:sz w:val="24"/>
              </w:rPr>
            </w:pPr>
            <w:r>
              <w:rPr>
                <w:rFonts w:ascii="仿宋" w:hAnsi="仿宋"/>
                <w:color w:val="auto"/>
                <w:sz w:val="24"/>
              </w:rPr>
              <w:t>MF0099</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石灰石原料库</w:t>
            </w:r>
          </w:p>
        </w:tc>
        <w:tc>
          <w:tcPr>
            <w:tcW w:w="1279" w:type="pct"/>
            <w:vAlign w:val="center"/>
          </w:tcPr>
          <w:p>
            <w:pPr>
              <w:spacing w:line="240" w:lineRule="auto"/>
              <w:ind w:firstLine="0" w:firstLineChars="0"/>
              <w:jc w:val="center"/>
              <w:rPr>
                <w:rFonts w:ascii="仿宋" w:hAnsi="仿宋"/>
                <w:color w:val="auto"/>
                <w:sz w:val="24"/>
              </w:rPr>
            </w:pPr>
            <w:r>
              <w:rPr>
                <w:rFonts w:ascii="仿宋" w:hAnsi="仿宋"/>
                <w:color w:val="auto"/>
                <w:sz w:val="24"/>
              </w:rPr>
              <w:t>公用单元</w:t>
            </w:r>
          </w:p>
        </w:tc>
        <w:tc>
          <w:tcPr>
            <w:tcW w:w="127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320m</w:t>
            </w:r>
            <w:r>
              <w:rPr>
                <w:rFonts w:ascii="仿宋" w:hAnsi="仿宋"/>
                <w:color w:val="auto"/>
                <w:sz w:val="24"/>
                <w:vertAlign w:val="superscript"/>
              </w:rPr>
              <w:t>2</w:t>
            </w:r>
          </w:p>
        </w:tc>
      </w:tr>
    </w:tbl>
    <w:p>
      <w:pPr>
        <w:ind w:firstLine="0" w:firstLineChars="0"/>
        <w:outlineLvl w:val="2"/>
        <w:rPr>
          <w:rFonts w:ascii="仿宋" w:hAnsi="仿宋"/>
          <w:b/>
          <w:bCs/>
          <w:color w:val="auto"/>
          <w:szCs w:val="28"/>
        </w:rPr>
      </w:pPr>
      <w:bookmarkStart w:id="73" w:name="_Toc20429"/>
      <w:r>
        <w:rPr>
          <w:rFonts w:hint="eastAsia" w:ascii="仿宋" w:hAnsi="仿宋"/>
          <w:b/>
          <w:bCs/>
          <w:color w:val="auto"/>
          <w:szCs w:val="28"/>
        </w:rPr>
        <w:t>2.</w:t>
      </w:r>
      <w:r>
        <w:rPr>
          <w:rFonts w:ascii="仿宋" w:hAnsi="仿宋"/>
          <w:b/>
          <w:bCs/>
          <w:color w:val="auto"/>
          <w:szCs w:val="28"/>
        </w:rPr>
        <w:t>1.4</w:t>
      </w:r>
      <w:r>
        <w:rPr>
          <w:rFonts w:hint="eastAsia" w:ascii="仿宋" w:hAnsi="仿宋"/>
          <w:b/>
          <w:bCs/>
          <w:color w:val="auto"/>
          <w:szCs w:val="28"/>
        </w:rPr>
        <w:t>主要生产工艺及产污环节</w:t>
      </w:r>
      <w:bookmarkEnd w:id="73"/>
    </w:p>
    <w:p>
      <w:pPr>
        <w:ind w:firstLine="560"/>
        <w:rPr>
          <w:rFonts w:ascii="仿宋" w:hAnsi="仿宋"/>
          <w:color w:val="auto"/>
          <w:szCs w:val="28"/>
        </w:rPr>
      </w:pPr>
      <w:r>
        <w:rPr>
          <w:rFonts w:ascii="仿宋" w:hAnsi="仿宋"/>
          <w:color w:val="auto"/>
          <w:szCs w:val="28"/>
        </w:rPr>
        <w:t>陕西渭河发电有限公司的主要产品是电和供热蒸汽。原煤经铁路和公路运到电厂储煤场，再用皮带输送机送入主厂房原煤煤斗，经制粉系统制成煤粉，然后由热风送入锅炉燃烧，将锅炉给水加热成高温高压的蒸汽送入汽轮机做功，汽轮机带动发电机发电。电能通过升压站送往输电线路，供用户使用。</w:t>
      </w:r>
    </w:p>
    <w:p>
      <w:pPr>
        <w:ind w:firstLine="560"/>
        <w:rPr>
          <w:rFonts w:ascii="仿宋" w:hAnsi="仿宋"/>
          <w:color w:val="auto"/>
          <w:szCs w:val="28"/>
        </w:rPr>
      </w:pPr>
      <w:r>
        <w:rPr>
          <w:rFonts w:ascii="仿宋" w:hAnsi="仿宋"/>
          <w:color w:val="auto"/>
          <w:szCs w:val="28"/>
        </w:rPr>
        <w:t>从汽轮机中抽出一定压力和温度的蒸汽提供采暖用汽。抽汽机组的汽轮机蒸汽进入凝汽器凝结成水后送回锅炉循环使用，升温后的循环冷却水在冷却塔降温后循环使用。</w:t>
      </w:r>
    </w:p>
    <w:p>
      <w:pPr>
        <w:ind w:firstLine="560"/>
        <w:rPr>
          <w:rFonts w:ascii="仿宋" w:hAnsi="仿宋"/>
          <w:color w:val="auto"/>
          <w:szCs w:val="28"/>
        </w:rPr>
      </w:pPr>
      <w:r>
        <w:rPr>
          <w:rFonts w:ascii="仿宋" w:hAnsi="仿宋"/>
          <w:color w:val="auto"/>
          <w:szCs w:val="28"/>
        </w:rPr>
        <w:t>煤粉燃烧后产生的烟气经脱硝、除尘、换热（冷却）、脱硫、换热（加热）后由烟囱排入大气，除尘器收集的干灰贮存于干灰库，可直接向综合利用用户提供，综合利用不均时，多余的干灰调湿后用自卸汽车运至周转灰场。锅炉排渣经刮板捞渣机连续捞出，排至渣场暂存，直接向综合利用用户提供，综合利用不均时，多余的渣用自卸汽车送至周转灰场贮存。生产过程中产生的工业废水和生活污水经过处理后大部分回用，剩余部分排</w:t>
      </w:r>
      <w:r>
        <w:rPr>
          <w:rFonts w:hint="eastAsia" w:ascii="仿宋" w:hAnsi="仿宋"/>
          <w:color w:val="auto"/>
          <w:szCs w:val="28"/>
        </w:rPr>
        <w:t>入</w:t>
      </w:r>
      <w:r>
        <w:rPr>
          <w:rFonts w:ascii="仿宋" w:hAnsi="仿宋"/>
          <w:color w:val="auto"/>
          <w:szCs w:val="28"/>
        </w:rPr>
        <w:t>污水管网，最终进入秦汉新城朝阳污水处理厂处理。</w:t>
      </w:r>
    </w:p>
    <w:p>
      <w:pPr>
        <w:ind w:firstLine="482"/>
        <w:jc w:val="center"/>
        <w:rPr>
          <w:rFonts w:eastAsia="宋体"/>
          <w:b/>
          <w:color w:val="auto"/>
          <w:sz w:val="24"/>
        </w:rPr>
      </w:pPr>
      <w:r>
        <w:rPr>
          <w:rFonts w:eastAsia="宋体"/>
          <w:b/>
          <w:color w:val="auto"/>
          <w:sz w:val="24"/>
        </w:rPr>
        <w:drawing>
          <wp:inline distT="0" distB="0" distL="114300" distR="114300">
            <wp:extent cx="5273040" cy="3296920"/>
            <wp:effectExtent l="0" t="0" r="3810" b="17780"/>
            <wp:docPr id="21" name="图片 2" descr="C:\Users\Administrator\Desktop\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descr="C:\Users\Administrator\Desktop\123.jpg"/>
                    <pic:cNvPicPr>
                      <a:picLocks noChangeAspect="1"/>
                    </pic:cNvPicPr>
                  </pic:nvPicPr>
                  <pic:blipFill>
                    <a:blip r:embed="rId33"/>
                    <a:stretch>
                      <a:fillRect/>
                    </a:stretch>
                  </pic:blipFill>
                  <pic:spPr>
                    <a:xfrm>
                      <a:off x="0" y="0"/>
                      <a:ext cx="5273040" cy="3296920"/>
                    </a:xfrm>
                    <a:prstGeom prst="rect">
                      <a:avLst/>
                    </a:prstGeom>
                    <a:noFill/>
                    <a:ln>
                      <a:noFill/>
                    </a:ln>
                  </pic:spPr>
                </pic:pic>
              </a:graphicData>
            </a:graphic>
          </wp:inline>
        </w:drawing>
      </w:r>
    </w:p>
    <w:p>
      <w:pPr>
        <w:ind w:firstLine="562"/>
        <w:jc w:val="center"/>
        <w:rPr>
          <w:rFonts w:ascii="仿宋" w:hAnsi="仿宋"/>
          <w:b/>
          <w:color w:val="auto"/>
          <w:szCs w:val="28"/>
        </w:rPr>
      </w:pPr>
      <w:r>
        <w:rPr>
          <w:rFonts w:ascii="仿宋" w:hAnsi="仿宋"/>
          <w:b/>
          <w:color w:val="auto"/>
          <w:szCs w:val="28"/>
        </w:rPr>
        <w:t>图2-1    烟气净化工艺流程图</w:t>
      </w:r>
    </w:p>
    <w:p>
      <w:pPr>
        <w:ind w:firstLine="0" w:firstLineChars="0"/>
        <w:rPr>
          <w:color w:val="auto"/>
        </w:rPr>
        <w:sectPr>
          <w:pgSz w:w="11906" w:h="16838"/>
          <w:pgMar w:top="1418" w:right="1418" w:bottom="1418" w:left="1418" w:header="851" w:footer="992" w:gutter="0"/>
          <w:pgNumType w:fmt="numberInDash"/>
          <w:cols w:space="720" w:num="1"/>
          <w:docGrid w:linePitch="312" w:charSpace="0"/>
        </w:sectPr>
      </w:pPr>
    </w:p>
    <w:p>
      <w:pPr>
        <w:ind w:firstLine="0" w:firstLineChars="0"/>
        <w:jc w:val="center"/>
        <w:rPr>
          <w:rFonts w:eastAsia="宋体"/>
          <w:color w:val="auto"/>
          <w:sz w:val="24"/>
        </w:rPr>
      </w:pPr>
    </w:p>
    <w:p>
      <w:pPr>
        <w:ind w:firstLine="0" w:firstLineChars="0"/>
        <w:jc w:val="center"/>
        <w:rPr>
          <w:rFonts w:eastAsia="宋体"/>
          <w:color w:val="auto"/>
          <w:sz w:val="24"/>
        </w:rPr>
      </w:pPr>
      <w:r>
        <w:rPr>
          <w:rFonts w:eastAsia="宋体"/>
          <w:color w:val="auto"/>
          <w:sz w:val="24"/>
        </w:rPr>
        <w:drawing>
          <wp:inline distT="0" distB="0" distL="114300" distR="114300">
            <wp:extent cx="8862695" cy="4183380"/>
            <wp:effectExtent l="0" t="0" r="14605" b="7620"/>
            <wp:docPr id="22" name="图片 3" descr="C:\Users\Administrator\Desktop\全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C:\Users\Administrator\Desktop\全文.jpg"/>
                    <pic:cNvPicPr>
                      <a:picLocks noChangeAspect="1"/>
                    </pic:cNvPicPr>
                  </pic:nvPicPr>
                  <pic:blipFill>
                    <a:blip r:embed="rId34"/>
                    <a:stretch>
                      <a:fillRect/>
                    </a:stretch>
                  </pic:blipFill>
                  <pic:spPr>
                    <a:xfrm>
                      <a:off x="0" y="0"/>
                      <a:ext cx="8862695" cy="4183380"/>
                    </a:xfrm>
                    <a:prstGeom prst="rect">
                      <a:avLst/>
                    </a:prstGeom>
                    <a:noFill/>
                    <a:ln>
                      <a:noFill/>
                    </a:ln>
                  </pic:spPr>
                </pic:pic>
              </a:graphicData>
            </a:graphic>
          </wp:inline>
        </w:drawing>
      </w:r>
    </w:p>
    <w:p>
      <w:pPr>
        <w:pStyle w:val="39"/>
        <w:ind w:left="0" w:leftChars="0" w:firstLine="0" w:firstLineChars="0"/>
        <w:jc w:val="center"/>
        <w:rPr>
          <w:rFonts w:ascii="仿宋" w:hAnsi="仿宋"/>
          <w:b/>
          <w:bCs/>
          <w:color w:val="auto"/>
          <w:sz w:val="28"/>
          <w:szCs w:val="28"/>
        </w:rPr>
      </w:pPr>
      <w:r>
        <w:rPr>
          <w:rFonts w:hint="eastAsia" w:ascii="仿宋" w:hAnsi="仿宋"/>
          <w:b/>
          <w:bCs/>
          <w:color w:val="auto"/>
          <w:sz w:val="28"/>
          <w:szCs w:val="28"/>
        </w:rPr>
        <w:t>图</w:t>
      </w:r>
      <w:r>
        <w:rPr>
          <w:rFonts w:ascii="仿宋" w:hAnsi="仿宋"/>
          <w:b/>
          <w:bCs/>
          <w:color w:val="auto"/>
          <w:sz w:val="28"/>
          <w:szCs w:val="28"/>
        </w:rPr>
        <w:t>2</w:t>
      </w:r>
      <w:r>
        <w:rPr>
          <w:rFonts w:hint="eastAsia" w:ascii="仿宋" w:hAnsi="仿宋"/>
          <w:b/>
          <w:bCs/>
          <w:color w:val="auto"/>
          <w:sz w:val="28"/>
          <w:szCs w:val="28"/>
        </w:rPr>
        <w:t>-2    电厂工艺流程图</w:t>
      </w:r>
    </w:p>
    <w:p>
      <w:pPr>
        <w:pStyle w:val="39"/>
        <w:ind w:left="560"/>
        <w:rPr>
          <w:color w:val="auto"/>
        </w:rPr>
      </w:pPr>
    </w:p>
    <w:p>
      <w:pPr>
        <w:pStyle w:val="38"/>
        <w:ind w:firstLine="240"/>
        <w:rPr>
          <w:rFonts w:hint="default"/>
          <w:color w:val="auto"/>
          <w:lang w:eastAsia="zh-CN"/>
        </w:rPr>
        <w:sectPr>
          <w:pgSz w:w="16838" w:h="11906" w:orient="landscape"/>
          <w:pgMar w:top="1418" w:right="1418" w:bottom="1418" w:left="1418" w:header="851" w:footer="992" w:gutter="0"/>
          <w:pgNumType w:fmt="numberInDash"/>
          <w:cols w:space="720" w:num="1"/>
          <w:docGrid w:linePitch="381" w:charSpace="0"/>
        </w:sectPr>
      </w:pPr>
    </w:p>
    <w:p>
      <w:pPr>
        <w:ind w:firstLine="0" w:firstLineChars="0"/>
        <w:outlineLvl w:val="2"/>
        <w:rPr>
          <w:rFonts w:ascii="仿宋" w:hAnsi="仿宋"/>
          <w:b/>
          <w:bCs/>
          <w:color w:val="auto"/>
          <w:szCs w:val="28"/>
        </w:rPr>
      </w:pPr>
      <w:bookmarkStart w:id="74" w:name="_Toc490845161"/>
      <w:bookmarkStart w:id="75" w:name="_Toc23732"/>
      <w:r>
        <w:rPr>
          <w:rFonts w:ascii="仿宋" w:hAnsi="仿宋"/>
          <w:b/>
          <w:bCs/>
          <w:color w:val="auto"/>
          <w:szCs w:val="28"/>
        </w:rPr>
        <w:t>2.</w:t>
      </w:r>
      <w:bookmarkEnd w:id="74"/>
      <w:r>
        <w:rPr>
          <w:rFonts w:ascii="仿宋" w:hAnsi="仿宋"/>
          <w:b/>
          <w:bCs/>
          <w:color w:val="auto"/>
          <w:szCs w:val="28"/>
        </w:rPr>
        <w:t xml:space="preserve">1.5 </w:t>
      </w:r>
      <w:r>
        <w:rPr>
          <w:rFonts w:hint="eastAsia" w:ascii="仿宋" w:hAnsi="仿宋"/>
          <w:b/>
          <w:bCs/>
          <w:color w:val="auto"/>
          <w:szCs w:val="28"/>
        </w:rPr>
        <w:t>污染物产生情况及环保措施</w:t>
      </w:r>
      <w:bookmarkEnd w:id="75"/>
    </w:p>
    <w:p>
      <w:pPr>
        <w:ind w:firstLine="560"/>
        <w:rPr>
          <w:rFonts w:ascii="仿宋" w:hAnsi="仿宋"/>
          <w:color w:val="auto"/>
          <w:szCs w:val="28"/>
        </w:rPr>
      </w:pPr>
      <w:bookmarkStart w:id="76" w:name="_Toc24163"/>
      <w:bookmarkStart w:id="77" w:name="_Toc22493"/>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GB2</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⑴</w:t>
      </w:r>
      <w:r>
        <w:rPr>
          <w:rFonts w:ascii="仿宋" w:hAnsi="仿宋"/>
          <w:color w:val="auto"/>
          <w:szCs w:val="28"/>
        </w:rPr>
        <w:fldChar w:fldCharType="end"/>
      </w:r>
      <w:r>
        <w:rPr>
          <w:rFonts w:ascii="仿宋" w:hAnsi="仿宋"/>
          <w:color w:val="auto"/>
          <w:szCs w:val="28"/>
        </w:rPr>
        <w:t xml:space="preserve"> </w:t>
      </w:r>
      <w:bookmarkEnd w:id="76"/>
      <w:bookmarkEnd w:id="77"/>
      <w:r>
        <w:rPr>
          <w:rFonts w:hint="eastAsia" w:ascii="仿宋" w:hAnsi="仿宋"/>
          <w:color w:val="auto"/>
          <w:szCs w:val="28"/>
        </w:rPr>
        <w:t>废气</w:t>
      </w:r>
    </w:p>
    <w:p>
      <w:pPr>
        <w:ind w:firstLine="560"/>
        <w:rPr>
          <w:rFonts w:ascii="仿宋" w:hAnsi="仿宋"/>
          <w:color w:val="auto"/>
          <w:szCs w:val="28"/>
        </w:rPr>
      </w:pPr>
      <w:bookmarkStart w:id="78" w:name="_Toc29773"/>
      <w:bookmarkStart w:id="79" w:name="_Toc22009"/>
      <w:r>
        <w:rPr>
          <w:rFonts w:ascii="仿宋" w:hAnsi="仿宋"/>
          <w:color w:val="auto"/>
          <w:szCs w:val="28"/>
        </w:rPr>
        <w:fldChar w:fldCharType="begin"/>
      </w:r>
      <w:r>
        <w:rPr>
          <w:rFonts w:ascii="仿宋" w:hAnsi="仿宋"/>
          <w:color w:val="auto"/>
          <w:szCs w:val="28"/>
        </w:rPr>
        <w:instrText xml:space="preserve"> </w:instrText>
      </w:r>
      <w:r>
        <w:rPr>
          <w:rFonts w:hint="eastAsia" w:ascii="仿宋" w:hAnsi="仿宋"/>
          <w:color w:val="auto"/>
          <w:szCs w:val="28"/>
        </w:rPr>
        <w:instrText xml:space="preserve">= 1 \* GB3</w:instrText>
      </w:r>
      <w:r>
        <w:rPr>
          <w:rFonts w:ascii="仿宋" w:hAnsi="仿宋"/>
          <w:color w:val="auto"/>
          <w:szCs w:val="28"/>
        </w:rPr>
        <w:instrText xml:space="preserve"> </w:instrText>
      </w:r>
      <w:r>
        <w:rPr>
          <w:rFonts w:ascii="仿宋" w:hAnsi="仿宋"/>
          <w:color w:val="auto"/>
          <w:szCs w:val="28"/>
        </w:rPr>
        <w:fldChar w:fldCharType="separate"/>
      </w:r>
      <w:r>
        <w:rPr>
          <w:rFonts w:hint="eastAsia" w:ascii="仿宋" w:hAnsi="仿宋"/>
          <w:color w:val="auto"/>
          <w:szCs w:val="28"/>
        </w:rPr>
        <w:t>①</w:t>
      </w:r>
      <w:r>
        <w:rPr>
          <w:rFonts w:ascii="仿宋" w:hAnsi="仿宋"/>
          <w:color w:val="auto"/>
          <w:szCs w:val="28"/>
        </w:rPr>
        <w:fldChar w:fldCharType="end"/>
      </w:r>
      <w:r>
        <w:rPr>
          <w:rFonts w:ascii="仿宋" w:hAnsi="仿宋"/>
          <w:color w:val="auto"/>
          <w:szCs w:val="28"/>
        </w:rPr>
        <w:t xml:space="preserve"> </w:t>
      </w:r>
      <w:r>
        <w:rPr>
          <w:rFonts w:hint="eastAsia" w:ascii="仿宋" w:hAnsi="仿宋"/>
          <w:color w:val="auto"/>
          <w:szCs w:val="28"/>
        </w:rPr>
        <w:t>废气污染源及污染物治理措施</w:t>
      </w:r>
    </w:p>
    <w:p>
      <w:pPr>
        <w:ind w:firstLine="560"/>
        <w:rPr>
          <w:rFonts w:ascii="仿宋" w:hAnsi="仿宋"/>
          <w:color w:val="auto"/>
          <w:szCs w:val="28"/>
        </w:rPr>
      </w:pPr>
      <w:r>
        <w:rPr>
          <w:rFonts w:hint="eastAsia" w:ascii="仿宋" w:hAnsi="仿宋"/>
          <w:color w:val="auto"/>
          <w:szCs w:val="28"/>
        </w:rPr>
        <w:t>项目废气污染防治设施情况</w:t>
      </w:r>
      <w:r>
        <w:rPr>
          <w:rFonts w:ascii="仿宋" w:hAnsi="仿宋"/>
          <w:color w:val="auto"/>
          <w:szCs w:val="28"/>
        </w:rPr>
        <w:t>见表2-4。</w:t>
      </w:r>
    </w:p>
    <w:p>
      <w:pPr>
        <w:ind w:firstLine="482"/>
        <w:jc w:val="center"/>
        <w:rPr>
          <w:rFonts w:ascii="仿宋" w:hAnsi="仿宋"/>
          <w:b/>
          <w:color w:val="auto"/>
          <w:sz w:val="24"/>
        </w:rPr>
      </w:pPr>
      <w:r>
        <w:rPr>
          <w:rFonts w:ascii="仿宋" w:hAnsi="仿宋"/>
          <w:b/>
          <w:color w:val="auto"/>
          <w:sz w:val="24"/>
        </w:rPr>
        <w:t>表2-4    项目</w:t>
      </w:r>
      <w:r>
        <w:rPr>
          <w:rFonts w:hint="eastAsia" w:ascii="仿宋" w:hAnsi="仿宋"/>
          <w:b/>
          <w:color w:val="auto"/>
          <w:sz w:val="24"/>
        </w:rPr>
        <w:t>废气污染防治设施</w:t>
      </w:r>
      <w:r>
        <w:rPr>
          <w:rFonts w:ascii="仿宋" w:hAnsi="仿宋"/>
          <w:b/>
          <w:color w:val="auto"/>
          <w:sz w:val="24"/>
        </w:rPr>
        <w:t>情况表</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42"/>
        <w:gridCol w:w="1694"/>
        <w:gridCol w:w="2684"/>
        <w:gridCol w:w="2186"/>
        <w:gridCol w:w="2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序号</w:t>
            </w:r>
          </w:p>
        </w:tc>
        <w:tc>
          <w:tcPr>
            <w:tcW w:w="912"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污染源</w:t>
            </w:r>
          </w:p>
        </w:tc>
        <w:tc>
          <w:tcPr>
            <w:tcW w:w="1445"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污染物</w:t>
            </w:r>
          </w:p>
        </w:tc>
        <w:tc>
          <w:tcPr>
            <w:tcW w:w="1177"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排放形式</w:t>
            </w:r>
          </w:p>
        </w:tc>
        <w:tc>
          <w:tcPr>
            <w:tcW w:w="1175"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环保设施/措施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二期</w:t>
            </w:r>
            <w:r>
              <w:rPr>
                <w:rFonts w:ascii="仿宋" w:hAnsi="仿宋"/>
                <w:color w:val="auto"/>
                <w:sz w:val="24"/>
              </w:rPr>
              <w:t>2</w:t>
            </w:r>
            <w:r>
              <w:rPr>
                <w:rFonts w:hint="eastAsia" w:ascii="仿宋" w:hAnsi="仿宋"/>
                <w:color w:val="auto"/>
                <w:sz w:val="24"/>
              </w:rPr>
              <w:t>×</w:t>
            </w:r>
            <w:r>
              <w:rPr>
                <w:rFonts w:ascii="仿宋" w:hAnsi="仿宋"/>
                <w:color w:val="auto"/>
                <w:sz w:val="24"/>
              </w:rPr>
              <w:t>1025t/h</w:t>
            </w:r>
            <w:r>
              <w:rPr>
                <w:rFonts w:hint="eastAsia" w:ascii="仿宋" w:hAnsi="仿宋"/>
                <w:color w:val="auto"/>
                <w:sz w:val="24"/>
              </w:rPr>
              <w:t>锅炉</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颗粒物、二氧化硫、氮氧化物、林格曼黑度、汞及其化合物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有组织（DA</w:t>
            </w:r>
            <w:r>
              <w:rPr>
                <w:rFonts w:ascii="仿宋" w:hAnsi="仿宋"/>
                <w:color w:val="auto"/>
                <w:sz w:val="24"/>
              </w:rPr>
              <w:t>001</w:t>
            </w:r>
            <w:r>
              <w:rPr>
                <w:rFonts w:hint="eastAsia" w:ascii="仿宋" w:hAnsi="仿宋"/>
                <w:color w:val="auto"/>
                <w:sz w:val="24"/>
              </w:rPr>
              <w:t>、DA</w:t>
            </w:r>
            <w:r>
              <w:rPr>
                <w:rFonts w:ascii="仿宋" w:hAnsi="仿宋"/>
                <w:color w:val="auto"/>
                <w:sz w:val="24"/>
              </w:rPr>
              <w:t>002</w:t>
            </w:r>
            <w:r>
              <w:rPr>
                <w:rFonts w:hint="eastAsia" w:ascii="仿宋" w:hAnsi="仿宋"/>
                <w:color w:val="auto"/>
                <w:sz w:val="24"/>
              </w:rPr>
              <w:t>）</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低氮燃烧器+SCR脱硝+静电除尘+石灰石-石膏湿法脱硫+</w:t>
            </w:r>
            <w:r>
              <w:rPr>
                <w:rFonts w:ascii="仿宋" w:hAnsi="仿宋"/>
                <w:color w:val="auto"/>
                <w:sz w:val="24"/>
              </w:rPr>
              <w:t>240</w:t>
            </w:r>
            <w:r>
              <w:rPr>
                <w:rFonts w:hint="eastAsia" w:ascii="仿宋" w:hAnsi="仿宋"/>
                <w:color w:val="auto"/>
                <w:sz w:val="24"/>
              </w:rPr>
              <w:t>m排气筒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三期</w:t>
            </w:r>
            <w:r>
              <w:rPr>
                <w:rFonts w:ascii="仿宋" w:hAnsi="仿宋"/>
                <w:color w:val="auto"/>
                <w:sz w:val="24"/>
              </w:rPr>
              <w:t>2</w:t>
            </w:r>
            <w:r>
              <w:rPr>
                <w:rFonts w:hint="eastAsia" w:ascii="仿宋" w:hAnsi="仿宋"/>
                <w:color w:val="auto"/>
                <w:sz w:val="24"/>
              </w:rPr>
              <w:t>×</w:t>
            </w:r>
            <w:r>
              <w:rPr>
                <w:rFonts w:ascii="仿宋" w:hAnsi="仿宋"/>
                <w:color w:val="auto"/>
                <w:sz w:val="24"/>
              </w:rPr>
              <w:t>1025t/h</w:t>
            </w:r>
            <w:r>
              <w:rPr>
                <w:rFonts w:hint="eastAsia" w:ascii="仿宋" w:hAnsi="仿宋"/>
                <w:color w:val="auto"/>
                <w:sz w:val="24"/>
              </w:rPr>
              <w:t>锅炉</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颗粒物、二氧化硫、氮氧化物、林格曼黑度、汞及其化合物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有组织（DA</w:t>
            </w:r>
            <w:r>
              <w:rPr>
                <w:rFonts w:ascii="仿宋" w:hAnsi="仿宋"/>
                <w:color w:val="auto"/>
                <w:sz w:val="24"/>
              </w:rPr>
              <w:t>003</w:t>
            </w:r>
            <w:r>
              <w:rPr>
                <w:rFonts w:hint="eastAsia" w:ascii="仿宋" w:hAnsi="仿宋"/>
                <w:color w:val="auto"/>
                <w:sz w:val="24"/>
              </w:rPr>
              <w:t>、DA</w:t>
            </w:r>
            <w:r>
              <w:rPr>
                <w:rFonts w:ascii="仿宋" w:hAnsi="仿宋"/>
                <w:color w:val="auto"/>
                <w:sz w:val="24"/>
              </w:rPr>
              <w:t>004</w:t>
            </w:r>
            <w:r>
              <w:rPr>
                <w:rFonts w:hint="eastAsia" w:ascii="仿宋" w:hAnsi="仿宋"/>
                <w:color w:val="auto"/>
                <w:sz w:val="24"/>
              </w:rPr>
              <w:t>）</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低氮燃烧器+SCR脱硝+静电除尘+石灰石-石膏湿法脱硫+</w:t>
            </w:r>
            <w:r>
              <w:rPr>
                <w:rFonts w:ascii="仿宋" w:hAnsi="仿宋"/>
                <w:color w:val="auto"/>
                <w:sz w:val="24"/>
              </w:rPr>
              <w:t>240</w:t>
            </w:r>
            <w:r>
              <w:rPr>
                <w:rFonts w:hint="eastAsia" w:ascii="仿宋" w:hAnsi="仿宋"/>
                <w:color w:val="auto"/>
                <w:sz w:val="24"/>
              </w:rPr>
              <w:t>m排气筒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3</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煤场</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封闭煤场、自动喷淋装置及射雾器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4</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石灰石粉仓</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无组织，密闭循</w:t>
            </w:r>
          </w:p>
          <w:p>
            <w:pPr>
              <w:snapToGrid/>
              <w:spacing w:line="240" w:lineRule="auto"/>
              <w:ind w:firstLine="0" w:firstLineChars="0"/>
              <w:jc w:val="center"/>
              <w:rPr>
                <w:rFonts w:ascii="仿宋" w:hAnsi="仿宋"/>
                <w:color w:val="auto"/>
                <w:sz w:val="24"/>
              </w:rPr>
            </w:pPr>
            <w:r>
              <w:rPr>
                <w:rFonts w:hint="eastAsia" w:ascii="仿宋" w:hAnsi="仿宋"/>
                <w:color w:val="auto"/>
                <w:sz w:val="24"/>
              </w:rPr>
              <w:t>环，无排放口</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转运站</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密闭运输，自动洒水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6</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灰渣场</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防风抑尘网,覆盖,人工洒水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7</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渣仓</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无组织，密闭循</w:t>
            </w:r>
          </w:p>
          <w:p>
            <w:pPr>
              <w:snapToGrid/>
              <w:spacing w:line="240" w:lineRule="auto"/>
              <w:ind w:firstLine="0" w:firstLineChars="0"/>
              <w:jc w:val="center"/>
              <w:rPr>
                <w:rFonts w:ascii="仿宋" w:hAnsi="仿宋"/>
                <w:color w:val="auto"/>
                <w:sz w:val="24"/>
              </w:rPr>
            </w:pPr>
            <w:r>
              <w:rPr>
                <w:rFonts w:hint="eastAsia" w:ascii="仿宋" w:hAnsi="仿宋"/>
                <w:color w:val="auto"/>
                <w:sz w:val="24"/>
              </w:rPr>
              <w:t>环，无排放口</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8</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石灰石原料库</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无组织，密闭循</w:t>
            </w:r>
          </w:p>
          <w:p>
            <w:pPr>
              <w:snapToGrid/>
              <w:spacing w:line="240" w:lineRule="auto"/>
              <w:ind w:firstLine="0" w:firstLineChars="0"/>
              <w:jc w:val="center"/>
              <w:rPr>
                <w:rFonts w:ascii="仿宋" w:hAnsi="仿宋"/>
                <w:color w:val="auto"/>
                <w:sz w:val="24"/>
              </w:rPr>
            </w:pPr>
            <w:r>
              <w:rPr>
                <w:rFonts w:hint="eastAsia" w:ascii="仿宋" w:hAnsi="仿宋"/>
                <w:color w:val="auto"/>
                <w:sz w:val="24"/>
              </w:rPr>
              <w:t>环，无排放口</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9</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灰库</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无组织，密闭循</w:t>
            </w:r>
          </w:p>
          <w:p>
            <w:pPr>
              <w:snapToGrid/>
              <w:spacing w:line="240" w:lineRule="auto"/>
              <w:ind w:firstLine="0" w:firstLineChars="0"/>
              <w:jc w:val="center"/>
              <w:rPr>
                <w:rFonts w:ascii="仿宋" w:hAnsi="仿宋"/>
                <w:color w:val="auto"/>
                <w:sz w:val="24"/>
              </w:rPr>
            </w:pPr>
            <w:r>
              <w:rPr>
                <w:rFonts w:hint="eastAsia" w:ascii="仿宋" w:hAnsi="仿宋"/>
                <w:color w:val="auto"/>
                <w:sz w:val="24"/>
              </w:rPr>
              <w:t>环，无排放口</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磨粉机</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无组织，密闭循</w:t>
            </w:r>
          </w:p>
          <w:p>
            <w:pPr>
              <w:snapToGrid/>
              <w:spacing w:line="240" w:lineRule="auto"/>
              <w:ind w:firstLine="0" w:firstLineChars="0"/>
              <w:jc w:val="center"/>
              <w:rPr>
                <w:rFonts w:ascii="仿宋" w:hAnsi="仿宋"/>
                <w:color w:val="auto"/>
                <w:sz w:val="24"/>
              </w:rPr>
            </w:pPr>
            <w:r>
              <w:rPr>
                <w:rFonts w:hint="eastAsia" w:ascii="仿宋" w:hAnsi="仿宋"/>
                <w:color w:val="auto"/>
                <w:sz w:val="24"/>
              </w:rPr>
              <w:t>环，无排放口</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1</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煤粉仓</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封闭筒仓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翻车机房</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密闭厂房，自动洒水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3</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石灰石筒仓</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密闭循</w:t>
            </w:r>
          </w:p>
          <w:p>
            <w:pPr>
              <w:snapToGrid/>
              <w:spacing w:line="240" w:lineRule="auto"/>
              <w:ind w:firstLine="0" w:firstLineChars="0"/>
              <w:jc w:val="center"/>
              <w:rPr>
                <w:rFonts w:ascii="仿宋" w:hAnsi="仿宋"/>
                <w:color w:val="auto"/>
                <w:sz w:val="24"/>
              </w:rPr>
            </w:pPr>
            <w:r>
              <w:rPr>
                <w:rFonts w:hint="eastAsia" w:ascii="仿宋" w:hAnsi="仿宋"/>
                <w:color w:val="auto"/>
                <w:sz w:val="24"/>
              </w:rPr>
              <w:t>环，无排放口</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4</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油罐</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非甲烷总烃</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无组织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9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15</w:t>
            </w:r>
          </w:p>
        </w:tc>
        <w:tc>
          <w:tcPr>
            <w:tcW w:w="91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干渣系统</w:t>
            </w:r>
          </w:p>
        </w:tc>
        <w:tc>
          <w:tcPr>
            <w:tcW w:w="144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p>
        </w:tc>
        <w:tc>
          <w:tcPr>
            <w:tcW w:w="11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有组织</w:t>
            </w:r>
          </w:p>
        </w:tc>
        <w:tc>
          <w:tcPr>
            <w:tcW w:w="117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布袋除尘器</w:t>
            </w:r>
          </w:p>
        </w:tc>
      </w:tr>
    </w:tbl>
    <w:p>
      <w:pPr>
        <w:ind w:firstLine="482"/>
        <w:jc w:val="center"/>
        <w:rPr>
          <w:rFonts w:ascii="仿宋" w:hAnsi="仿宋"/>
          <w:b/>
          <w:color w:val="auto"/>
          <w:sz w:val="24"/>
        </w:rPr>
      </w:pPr>
    </w:p>
    <w:p>
      <w:pPr>
        <w:pStyle w:val="2"/>
      </w:pPr>
    </w:p>
    <w:p>
      <w:pPr>
        <w:ind w:firstLine="482"/>
        <w:jc w:val="center"/>
        <w:rPr>
          <w:rFonts w:ascii="仿宋" w:hAnsi="仿宋"/>
          <w:b/>
          <w:color w:val="auto"/>
          <w:sz w:val="24"/>
        </w:rPr>
      </w:pPr>
      <w:r>
        <w:rPr>
          <w:rFonts w:ascii="仿宋" w:hAnsi="仿宋"/>
          <w:b/>
          <w:color w:val="auto"/>
          <w:sz w:val="24"/>
        </w:rPr>
        <w:t xml:space="preserve">表2-5    </w:t>
      </w:r>
      <w:r>
        <w:rPr>
          <w:rFonts w:hint="eastAsia" w:ascii="仿宋" w:hAnsi="仿宋"/>
          <w:b/>
          <w:color w:val="auto"/>
          <w:sz w:val="24"/>
        </w:rPr>
        <w:t>废气排口监测结果</w:t>
      </w:r>
    </w:p>
    <w:tbl>
      <w:tblPr>
        <w:tblStyle w:val="4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6"/>
        <w:gridCol w:w="1237"/>
        <w:gridCol w:w="1974"/>
        <w:gridCol w:w="2461"/>
        <w:gridCol w:w="851"/>
        <w:gridCol w:w="994"/>
        <w:gridCol w:w="8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排放口编号</w:t>
            </w:r>
          </w:p>
        </w:tc>
        <w:tc>
          <w:tcPr>
            <w:tcW w:w="666"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监测</w:t>
            </w:r>
          </w:p>
          <w:p>
            <w:pPr>
              <w:snapToGrid/>
              <w:spacing w:line="240" w:lineRule="auto"/>
              <w:ind w:firstLine="0" w:firstLineChars="0"/>
              <w:jc w:val="center"/>
              <w:rPr>
                <w:rFonts w:ascii="仿宋" w:hAnsi="仿宋"/>
                <w:b/>
                <w:color w:val="auto"/>
                <w:sz w:val="24"/>
              </w:rPr>
            </w:pPr>
            <w:r>
              <w:rPr>
                <w:rFonts w:ascii="仿宋" w:hAnsi="仿宋"/>
                <w:b/>
                <w:color w:val="auto"/>
                <w:sz w:val="24"/>
              </w:rPr>
              <w:t>点位</w:t>
            </w:r>
          </w:p>
        </w:tc>
        <w:tc>
          <w:tcPr>
            <w:tcW w:w="1063"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监测项目</w:t>
            </w:r>
          </w:p>
        </w:tc>
        <w:tc>
          <w:tcPr>
            <w:tcW w:w="1325"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监测结果</w:t>
            </w:r>
          </w:p>
        </w:tc>
        <w:tc>
          <w:tcPr>
            <w:tcW w:w="458"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标准限值</w:t>
            </w:r>
          </w:p>
        </w:tc>
        <w:tc>
          <w:tcPr>
            <w:tcW w:w="535"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单位</w:t>
            </w:r>
          </w:p>
        </w:tc>
        <w:tc>
          <w:tcPr>
            <w:tcW w:w="438"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是否达标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bCs/>
                <w:color w:val="auto"/>
                <w:sz w:val="24"/>
              </w:rPr>
            </w:pPr>
            <w:r>
              <w:rPr>
                <w:rFonts w:hint="eastAsia" w:ascii="仿宋" w:hAnsi="仿宋"/>
                <w:bCs/>
                <w:color w:val="auto"/>
                <w:sz w:val="24"/>
              </w:rPr>
              <w:t>DA</w:t>
            </w:r>
            <w:r>
              <w:rPr>
                <w:rFonts w:ascii="仿宋" w:hAnsi="仿宋"/>
                <w:bCs/>
                <w:color w:val="auto"/>
                <w:sz w:val="24"/>
              </w:rPr>
              <w:t>001</w:t>
            </w:r>
          </w:p>
        </w:tc>
        <w:tc>
          <w:tcPr>
            <w:tcW w:w="666" w:type="pct"/>
            <w:vMerge w:val="restart"/>
            <w:vAlign w:val="center"/>
          </w:tcPr>
          <w:p>
            <w:pPr>
              <w:snapToGrid/>
              <w:spacing w:line="240" w:lineRule="auto"/>
              <w:ind w:firstLine="0" w:firstLineChars="0"/>
              <w:jc w:val="center"/>
              <w:rPr>
                <w:rFonts w:ascii="仿宋" w:hAnsi="仿宋"/>
                <w:b/>
                <w:color w:val="auto"/>
                <w:sz w:val="24"/>
              </w:rPr>
            </w:pPr>
            <w:r>
              <w:rPr>
                <w:rFonts w:ascii="仿宋" w:hAnsi="仿宋"/>
                <w:color w:val="auto"/>
                <w:sz w:val="24"/>
              </w:rPr>
              <w:t>3#炉废气总排口</w:t>
            </w:r>
          </w:p>
        </w:tc>
        <w:tc>
          <w:tcPr>
            <w:tcW w:w="1063" w:type="pct"/>
            <w:vAlign w:val="center"/>
          </w:tcPr>
          <w:p>
            <w:pPr>
              <w:snapToGrid/>
              <w:spacing w:line="240" w:lineRule="auto"/>
              <w:ind w:firstLine="0" w:firstLineChars="0"/>
              <w:jc w:val="center"/>
              <w:rPr>
                <w:rFonts w:ascii="仿宋" w:hAnsi="仿宋"/>
                <w:b/>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1.26</w:t>
            </w:r>
          </w:p>
        </w:tc>
        <w:tc>
          <w:tcPr>
            <w:tcW w:w="458" w:type="pct"/>
            <w:vAlign w:val="center"/>
          </w:tcPr>
          <w:p>
            <w:pPr>
              <w:snapToGrid/>
              <w:spacing w:line="240" w:lineRule="auto"/>
              <w:ind w:firstLine="0" w:firstLineChars="0"/>
              <w:jc w:val="center"/>
              <w:rPr>
                <w:rFonts w:ascii="仿宋" w:hAnsi="仿宋"/>
                <w:bCs/>
                <w:color w:val="auto"/>
                <w:sz w:val="24"/>
              </w:rPr>
            </w:pPr>
            <w:r>
              <w:rPr>
                <w:rFonts w:hint="eastAsia" w:ascii="仿宋" w:hAnsi="仿宋"/>
                <w:bCs/>
                <w:color w:val="auto"/>
                <w:sz w:val="24"/>
              </w:rPr>
              <w:t>1</w:t>
            </w:r>
            <w:r>
              <w:rPr>
                <w:rFonts w:ascii="仿宋" w:hAnsi="仿宋"/>
                <w:bCs/>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b/>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bCs/>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SO</w:t>
            </w:r>
            <w:r>
              <w:rPr>
                <w:rFonts w:ascii="仿宋" w:hAnsi="仿宋"/>
                <w:color w:val="auto"/>
                <w:sz w:val="24"/>
                <w:vertAlign w:val="subscript"/>
              </w:rPr>
              <w:t>2</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6.97</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5</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bCs/>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NO</w:t>
            </w:r>
            <w:r>
              <w:rPr>
                <w:rFonts w:ascii="仿宋" w:hAnsi="仿宋"/>
                <w:color w:val="auto"/>
                <w:sz w:val="24"/>
                <w:vertAlign w:val="subscript"/>
              </w:rPr>
              <w:t>X</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23.23</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bCs/>
                <w:color w:val="auto"/>
                <w:sz w:val="24"/>
              </w:rPr>
            </w:pPr>
            <w:r>
              <w:rPr>
                <w:rFonts w:hint="eastAsia" w:ascii="仿宋" w:hAnsi="仿宋"/>
                <w:bCs/>
                <w:color w:val="auto"/>
                <w:sz w:val="24"/>
              </w:rPr>
              <w:t>DA</w:t>
            </w:r>
            <w:r>
              <w:rPr>
                <w:rFonts w:ascii="仿宋" w:hAnsi="仿宋"/>
                <w:bCs/>
                <w:color w:val="auto"/>
                <w:sz w:val="24"/>
              </w:rPr>
              <w:t>002</w:t>
            </w:r>
          </w:p>
        </w:tc>
        <w:tc>
          <w:tcPr>
            <w:tcW w:w="666" w:type="pct"/>
            <w:vMerge w:val="restar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4#炉废气总排口</w:t>
            </w:r>
          </w:p>
        </w:tc>
        <w:tc>
          <w:tcPr>
            <w:tcW w:w="1063" w:type="pct"/>
            <w:vAlign w:val="center"/>
          </w:tcPr>
          <w:p>
            <w:pPr>
              <w:snapToGrid/>
              <w:spacing w:line="240" w:lineRule="auto"/>
              <w:ind w:firstLine="0" w:firstLineChars="0"/>
              <w:jc w:val="center"/>
              <w:rPr>
                <w:rFonts w:ascii="仿宋" w:hAnsi="仿宋"/>
                <w:b/>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.32</w:t>
            </w:r>
          </w:p>
        </w:tc>
        <w:tc>
          <w:tcPr>
            <w:tcW w:w="458" w:type="pct"/>
            <w:vAlign w:val="center"/>
          </w:tcPr>
          <w:p>
            <w:pPr>
              <w:snapToGrid/>
              <w:spacing w:line="240" w:lineRule="auto"/>
              <w:ind w:firstLine="0" w:firstLineChars="0"/>
              <w:jc w:val="center"/>
              <w:rPr>
                <w:rFonts w:ascii="仿宋" w:hAnsi="仿宋"/>
                <w:b/>
                <w:color w:val="auto"/>
                <w:sz w:val="24"/>
              </w:rPr>
            </w:pPr>
            <w:r>
              <w:rPr>
                <w:rFonts w:hint="eastAsia" w:ascii="仿宋" w:hAnsi="仿宋"/>
                <w:bCs/>
                <w:color w:val="auto"/>
                <w:sz w:val="24"/>
              </w:rPr>
              <w:t>1</w:t>
            </w:r>
            <w:r>
              <w:rPr>
                <w:rFonts w:ascii="仿宋" w:hAnsi="仿宋"/>
                <w:bCs/>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b/>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bCs/>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SO</w:t>
            </w:r>
            <w:r>
              <w:rPr>
                <w:rFonts w:ascii="仿宋" w:hAnsi="仿宋"/>
                <w:color w:val="auto"/>
                <w:sz w:val="24"/>
                <w:vertAlign w:val="subscript"/>
              </w:rPr>
              <w:t>2</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7.52</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5</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bCs/>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NO</w:t>
            </w:r>
            <w:r>
              <w:rPr>
                <w:rFonts w:ascii="仿宋" w:hAnsi="仿宋"/>
                <w:color w:val="auto"/>
                <w:sz w:val="24"/>
                <w:vertAlign w:val="subscript"/>
              </w:rPr>
              <w:t>X</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r>
              <w:rPr>
                <w:rFonts w:ascii="仿宋" w:hAnsi="仿宋"/>
                <w:color w:val="auto"/>
                <w:sz w:val="24"/>
              </w:rPr>
              <w:t>5.24</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bCs/>
                <w:color w:val="auto"/>
                <w:sz w:val="24"/>
              </w:rPr>
            </w:pPr>
            <w:r>
              <w:rPr>
                <w:rFonts w:hint="eastAsia" w:ascii="仿宋" w:hAnsi="仿宋"/>
                <w:bCs/>
                <w:color w:val="auto"/>
                <w:sz w:val="24"/>
              </w:rPr>
              <w:t>DA</w:t>
            </w:r>
            <w:r>
              <w:rPr>
                <w:rFonts w:ascii="仿宋" w:hAnsi="仿宋"/>
                <w:bCs/>
                <w:color w:val="auto"/>
                <w:sz w:val="24"/>
              </w:rPr>
              <w:t>003</w:t>
            </w:r>
          </w:p>
        </w:tc>
        <w:tc>
          <w:tcPr>
            <w:tcW w:w="666" w:type="pct"/>
            <w:vMerge w:val="restart"/>
            <w:vAlign w:val="center"/>
          </w:tcPr>
          <w:p>
            <w:pPr>
              <w:snapToGrid/>
              <w:spacing w:line="240" w:lineRule="auto"/>
              <w:ind w:firstLine="0" w:firstLineChars="0"/>
              <w:jc w:val="center"/>
              <w:rPr>
                <w:rFonts w:ascii="仿宋" w:hAnsi="仿宋"/>
                <w:b/>
                <w:color w:val="auto"/>
                <w:sz w:val="24"/>
              </w:rPr>
            </w:pPr>
            <w:r>
              <w:rPr>
                <w:rFonts w:ascii="仿宋" w:hAnsi="仿宋"/>
                <w:color w:val="auto"/>
                <w:sz w:val="24"/>
              </w:rPr>
              <w:t>5#炉废气总排口</w:t>
            </w:r>
          </w:p>
        </w:tc>
        <w:tc>
          <w:tcPr>
            <w:tcW w:w="1063" w:type="pct"/>
            <w:vAlign w:val="center"/>
          </w:tcPr>
          <w:p>
            <w:pPr>
              <w:snapToGrid/>
              <w:spacing w:line="240" w:lineRule="auto"/>
              <w:ind w:firstLine="0" w:firstLineChars="0"/>
              <w:jc w:val="center"/>
              <w:rPr>
                <w:rFonts w:ascii="仿宋" w:hAnsi="仿宋"/>
                <w:b/>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.69</w:t>
            </w:r>
          </w:p>
        </w:tc>
        <w:tc>
          <w:tcPr>
            <w:tcW w:w="458" w:type="pct"/>
            <w:vAlign w:val="center"/>
          </w:tcPr>
          <w:p>
            <w:pPr>
              <w:snapToGrid/>
              <w:spacing w:line="240" w:lineRule="auto"/>
              <w:ind w:firstLine="0" w:firstLineChars="0"/>
              <w:jc w:val="center"/>
              <w:rPr>
                <w:rFonts w:ascii="仿宋" w:hAnsi="仿宋"/>
                <w:b/>
                <w:color w:val="auto"/>
                <w:sz w:val="24"/>
              </w:rPr>
            </w:pPr>
            <w:r>
              <w:rPr>
                <w:rFonts w:hint="eastAsia" w:ascii="仿宋" w:hAnsi="仿宋"/>
                <w:bCs/>
                <w:color w:val="auto"/>
                <w:sz w:val="24"/>
              </w:rPr>
              <w:t>1</w:t>
            </w:r>
            <w:r>
              <w:rPr>
                <w:rFonts w:ascii="仿宋" w:hAnsi="仿宋"/>
                <w:bCs/>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b/>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SO</w:t>
            </w:r>
            <w:r>
              <w:rPr>
                <w:rFonts w:ascii="仿宋" w:hAnsi="仿宋"/>
                <w:color w:val="auto"/>
                <w:sz w:val="24"/>
                <w:vertAlign w:val="subscript"/>
              </w:rPr>
              <w:t>2</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7.41</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5</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NO</w:t>
            </w:r>
            <w:r>
              <w:rPr>
                <w:rFonts w:ascii="仿宋" w:hAnsi="仿宋"/>
                <w:color w:val="auto"/>
                <w:sz w:val="24"/>
                <w:vertAlign w:val="subscript"/>
              </w:rPr>
              <w:t>X</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8.74</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DA</w:t>
            </w:r>
            <w:r>
              <w:rPr>
                <w:rFonts w:ascii="仿宋" w:hAnsi="仿宋"/>
                <w:color w:val="auto"/>
                <w:sz w:val="24"/>
              </w:rPr>
              <w:t>004</w:t>
            </w:r>
          </w:p>
        </w:tc>
        <w:tc>
          <w:tcPr>
            <w:tcW w:w="666" w:type="pct"/>
            <w:vMerge w:val="restar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6#炉废气总排口</w:t>
            </w:r>
          </w:p>
        </w:tc>
        <w:tc>
          <w:tcPr>
            <w:tcW w:w="1063" w:type="pct"/>
            <w:vAlign w:val="center"/>
          </w:tcPr>
          <w:p>
            <w:pPr>
              <w:snapToGrid/>
              <w:spacing w:line="240" w:lineRule="auto"/>
              <w:ind w:firstLine="0" w:firstLineChars="0"/>
              <w:jc w:val="center"/>
              <w:rPr>
                <w:rFonts w:ascii="仿宋" w:hAnsi="仿宋"/>
                <w:b/>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.76</w:t>
            </w:r>
          </w:p>
        </w:tc>
        <w:tc>
          <w:tcPr>
            <w:tcW w:w="458" w:type="pct"/>
            <w:vAlign w:val="center"/>
          </w:tcPr>
          <w:p>
            <w:pPr>
              <w:snapToGrid/>
              <w:spacing w:line="240" w:lineRule="auto"/>
              <w:ind w:firstLine="0" w:firstLineChars="0"/>
              <w:jc w:val="center"/>
              <w:rPr>
                <w:rFonts w:ascii="仿宋" w:hAnsi="仿宋"/>
                <w:b/>
                <w:color w:val="auto"/>
                <w:sz w:val="24"/>
              </w:rPr>
            </w:pPr>
            <w:r>
              <w:rPr>
                <w:rFonts w:hint="eastAsia" w:ascii="仿宋" w:hAnsi="仿宋"/>
                <w:bCs/>
                <w:color w:val="auto"/>
                <w:sz w:val="24"/>
              </w:rPr>
              <w:t>1</w:t>
            </w:r>
            <w:r>
              <w:rPr>
                <w:rFonts w:ascii="仿宋" w:hAnsi="仿宋"/>
                <w:bCs/>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b/>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SO</w:t>
            </w:r>
            <w:r>
              <w:rPr>
                <w:rFonts w:ascii="仿宋" w:hAnsi="仿宋"/>
                <w:color w:val="auto"/>
                <w:sz w:val="24"/>
                <w:vertAlign w:val="subscript"/>
              </w:rPr>
              <w:t>2</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8</w:t>
            </w:r>
            <w:r>
              <w:rPr>
                <w:rFonts w:ascii="仿宋" w:hAnsi="仿宋"/>
                <w:color w:val="auto"/>
                <w:sz w:val="24"/>
              </w:rPr>
              <w:t>.83</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5</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NO</w:t>
            </w:r>
            <w:r>
              <w:rPr>
                <w:rFonts w:ascii="仿宋" w:hAnsi="仿宋"/>
                <w:color w:val="auto"/>
                <w:sz w:val="24"/>
                <w:vertAlign w:val="subscript"/>
              </w:rPr>
              <w:t>X</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r>
              <w:rPr>
                <w:rFonts w:ascii="仿宋" w:hAnsi="仿宋"/>
                <w:color w:val="auto"/>
                <w:sz w:val="24"/>
              </w:rPr>
              <w:t>6.58</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66"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#5干卸排尘布袋除尘器出口</w:t>
            </w: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14.7</w:t>
            </w:r>
            <w:r>
              <w:rPr>
                <w:rFonts w:hint="eastAsia" w:ascii="仿宋" w:hAnsi="仿宋"/>
                <w:color w:val="auto"/>
                <w:sz w:val="24"/>
              </w:rPr>
              <w:t>～</w:t>
            </w:r>
            <w:r>
              <w:rPr>
                <w:rFonts w:ascii="仿宋" w:hAnsi="仿宋"/>
                <w:color w:val="auto"/>
                <w:sz w:val="24"/>
              </w:rPr>
              <w:t>16.6</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w:t>
            </w:r>
            <w:r>
              <w:rPr>
                <w:rFonts w:hint="eastAsia" w:ascii="仿宋" w:hAnsi="仿宋"/>
                <w:color w:val="auto"/>
                <w:sz w:val="24"/>
              </w:rPr>
              <w:t>速率</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0.0159</w:t>
            </w:r>
            <w:r>
              <w:rPr>
                <w:rFonts w:hint="eastAsia" w:ascii="仿宋" w:hAnsi="仿宋"/>
                <w:color w:val="auto"/>
                <w:sz w:val="24"/>
              </w:rPr>
              <w:t>～</w:t>
            </w:r>
            <w:r>
              <w:rPr>
                <w:rFonts w:ascii="仿宋" w:hAnsi="仿宋"/>
                <w:color w:val="auto"/>
                <w:sz w:val="24"/>
              </w:rPr>
              <w:t>0.0190</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.75</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k</w:t>
            </w:r>
            <w:r>
              <w:rPr>
                <w:rFonts w:hint="eastAsia" w:ascii="仿宋" w:hAnsi="仿宋"/>
                <w:color w:val="auto"/>
                <w:sz w:val="24"/>
              </w:rPr>
              <w:t>g/h</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66"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#5干卸吸尘布袋除尘器出口</w:t>
            </w: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10.6</w:t>
            </w:r>
            <w:r>
              <w:rPr>
                <w:rFonts w:hint="eastAsia" w:ascii="仿宋" w:hAnsi="仿宋"/>
                <w:color w:val="auto"/>
                <w:sz w:val="24"/>
              </w:rPr>
              <w:t>～</w:t>
            </w:r>
            <w:r>
              <w:rPr>
                <w:rFonts w:ascii="仿宋" w:hAnsi="仿宋"/>
                <w:color w:val="auto"/>
                <w:sz w:val="24"/>
              </w:rPr>
              <w:t>12.5</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w:t>
            </w:r>
            <w:r>
              <w:rPr>
                <w:rFonts w:hint="eastAsia" w:ascii="仿宋" w:hAnsi="仿宋"/>
                <w:color w:val="auto"/>
                <w:sz w:val="24"/>
              </w:rPr>
              <w:t>速率</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0.0125</w:t>
            </w:r>
            <w:r>
              <w:rPr>
                <w:rFonts w:hint="eastAsia" w:ascii="仿宋" w:hAnsi="仿宋"/>
                <w:color w:val="auto"/>
                <w:sz w:val="24"/>
              </w:rPr>
              <w:t>～</w:t>
            </w:r>
            <w:r>
              <w:rPr>
                <w:rFonts w:ascii="仿宋" w:hAnsi="仿宋"/>
                <w:color w:val="auto"/>
                <w:sz w:val="24"/>
              </w:rPr>
              <w:t>0.0153</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.78</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k</w:t>
            </w:r>
            <w:r>
              <w:rPr>
                <w:rFonts w:hint="eastAsia" w:ascii="仿宋" w:hAnsi="仿宋"/>
                <w:color w:val="auto"/>
                <w:sz w:val="24"/>
              </w:rPr>
              <w:t>g/h</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66"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r>
              <w:rPr>
                <w:rFonts w:ascii="仿宋" w:hAnsi="仿宋"/>
                <w:color w:val="auto"/>
                <w:sz w:val="24"/>
              </w:rPr>
              <w:t>6</w:t>
            </w:r>
            <w:r>
              <w:rPr>
                <w:rFonts w:hint="eastAsia" w:ascii="仿宋" w:hAnsi="仿宋"/>
                <w:color w:val="auto"/>
                <w:sz w:val="24"/>
              </w:rPr>
              <w:t>干卸排尘布袋除尘器出口</w:t>
            </w: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16.8</w:t>
            </w:r>
            <w:r>
              <w:rPr>
                <w:rFonts w:hint="eastAsia" w:ascii="仿宋" w:hAnsi="仿宋"/>
                <w:color w:val="auto"/>
                <w:sz w:val="24"/>
              </w:rPr>
              <w:t>～</w:t>
            </w:r>
            <w:r>
              <w:rPr>
                <w:rFonts w:ascii="仿宋" w:hAnsi="仿宋"/>
                <w:color w:val="auto"/>
                <w:sz w:val="24"/>
              </w:rPr>
              <w:t>18.3</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w:t>
            </w:r>
            <w:r>
              <w:rPr>
                <w:rFonts w:hint="eastAsia" w:ascii="仿宋" w:hAnsi="仿宋"/>
                <w:color w:val="auto"/>
                <w:sz w:val="24"/>
              </w:rPr>
              <w:t>速率</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0.0201</w:t>
            </w:r>
            <w:r>
              <w:rPr>
                <w:rFonts w:hint="eastAsia" w:ascii="仿宋" w:hAnsi="仿宋"/>
                <w:color w:val="auto"/>
                <w:sz w:val="24"/>
              </w:rPr>
              <w:t>～</w:t>
            </w:r>
            <w:r>
              <w:rPr>
                <w:rFonts w:ascii="仿宋" w:hAnsi="仿宋"/>
                <w:color w:val="auto"/>
                <w:sz w:val="24"/>
              </w:rPr>
              <w:t>0.0228</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.75</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k</w:t>
            </w:r>
            <w:r>
              <w:rPr>
                <w:rFonts w:hint="eastAsia" w:ascii="仿宋" w:hAnsi="仿宋"/>
                <w:color w:val="auto"/>
                <w:sz w:val="24"/>
              </w:rPr>
              <w:t>g/h</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66" w:type="pct"/>
            <w:vMerge w:val="restar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r>
              <w:rPr>
                <w:rFonts w:ascii="仿宋" w:hAnsi="仿宋"/>
                <w:color w:val="auto"/>
                <w:sz w:val="24"/>
              </w:rPr>
              <w:t>6</w:t>
            </w:r>
            <w:r>
              <w:rPr>
                <w:rFonts w:hint="eastAsia" w:ascii="仿宋" w:hAnsi="仿宋"/>
                <w:color w:val="auto"/>
                <w:sz w:val="24"/>
              </w:rPr>
              <w:t>干卸吸尘布袋除尘器出口</w:t>
            </w: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排放浓度</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10.6</w:t>
            </w:r>
            <w:r>
              <w:rPr>
                <w:rFonts w:hint="eastAsia" w:ascii="仿宋" w:hAnsi="仿宋"/>
                <w:color w:val="auto"/>
                <w:sz w:val="24"/>
              </w:rPr>
              <w:t>～</w:t>
            </w:r>
            <w:r>
              <w:rPr>
                <w:rFonts w:ascii="仿宋" w:hAnsi="仿宋"/>
                <w:color w:val="auto"/>
                <w:sz w:val="24"/>
              </w:rPr>
              <w:t>12.3</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20</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mg</w:t>
            </w:r>
            <w:r>
              <w:rPr>
                <w:rFonts w:hint="eastAsia" w:ascii="仿宋" w:hAnsi="仿宋"/>
                <w:color w:val="auto"/>
                <w:sz w:val="24"/>
              </w:rPr>
              <w:t>/m</w:t>
            </w:r>
            <w:r>
              <w:rPr>
                <w:rFonts w:hint="eastAsia" w:ascii="仿宋" w:hAnsi="仿宋"/>
                <w:color w:val="auto"/>
                <w:sz w:val="24"/>
                <w:vertAlign w:val="superscript"/>
              </w:rPr>
              <w:t>3</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15" w:type="pct"/>
            <w:vMerge w:val="continue"/>
            <w:vAlign w:val="center"/>
          </w:tcPr>
          <w:p>
            <w:pPr>
              <w:snapToGrid/>
              <w:spacing w:line="240" w:lineRule="auto"/>
              <w:ind w:firstLine="0" w:firstLineChars="0"/>
              <w:jc w:val="center"/>
              <w:rPr>
                <w:rFonts w:ascii="仿宋" w:hAnsi="仿宋"/>
                <w:color w:val="auto"/>
                <w:sz w:val="24"/>
              </w:rPr>
            </w:pPr>
          </w:p>
        </w:tc>
        <w:tc>
          <w:tcPr>
            <w:tcW w:w="666" w:type="pct"/>
            <w:vMerge w:val="continue"/>
            <w:vAlign w:val="center"/>
          </w:tcPr>
          <w:p>
            <w:pPr>
              <w:snapToGrid/>
              <w:spacing w:line="240" w:lineRule="auto"/>
              <w:ind w:firstLine="0" w:firstLineChars="0"/>
              <w:jc w:val="center"/>
              <w:rPr>
                <w:rFonts w:ascii="仿宋" w:hAnsi="仿宋"/>
                <w:color w:val="auto"/>
                <w:sz w:val="24"/>
              </w:rPr>
            </w:pPr>
          </w:p>
        </w:tc>
        <w:tc>
          <w:tcPr>
            <w:tcW w:w="1063"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颗粒物</w:t>
            </w:r>
            <w:r>
              <w:rPr>
                <w:rFonts w:ascii="仿宋" w:hAnsi="仿宋"/>
                <w:color w:val="auto"/>
                <w:sz w:val="24"/>
              </w:rPr>
              <w:t>排放</w:t>
            </w:r>
            <w:r>
              <w:rPr>
                <w:rFonts w:hint="eastAsia" w:ascii="仿宋" w:hAnsi="仿宋"/>
                <w:color w:val="auto"/>
                <w:sz w:val="24"/>
              </w:rPr>
              <w:t>速率</w:t>
            </w:r>
          </w:p>
        </w:tc>
        <w:tc>
          <w:tcPr>
            <w:tcW w:w="132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0.0123</w:t>
            </w:r>
            <w:r>
              <w:rPr>
                <w:rFonts w:hint="eastAsia" w:ascii="仿宋" w:hAnsi="仿宋"/>
                <w:color w:val="auto"/>
                <w:sz w:val="24"/>
              </w:rPr>
              <w:t>～</w:t>
            </w:r>
            <w:r>
              <w:rPr>
                <w:rFonts w:ascii="仿宋" w:hAnsi="仿宋"/>
                <w:color w:val="auto"/>
                <w:sz w:val="24"/>
              </w:rPr>
              <w:t>0.0147</w:t>
            </w:r>
          </w:p>
        </w:tc>
        <w:tc>
          <w:tcPr>
            <w:tcW w:w="458"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.78</w:t>
            </w:r>
          </w:p>
        </w:tc>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k</w:t>
            </w:r>
            <w:r>
              <w:rPr>
                <w:rFonts w:hint="eastAsia" w:ascii="仿宋" w:hAnsi="仿宋"/>
                <w:color w:val="auto"/>
                <w:sz w:val="24"/>
              </w:rPr>
              <w:t>g/h</w:t>
            </w:r>
          </w:p>
        </w:tc>
        <w:tc>
          <w:tcPr>
            <w:tcW w:w="438"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bl>
    <w:p>
      <w:pPr>
        <w:pStyle w:val="81"/>
        <w:ind w:firstLine="482"/>
        <w:jc w:val="center"/>
        <w:rPr>
          <w:rFonts w:ascii="仿宋" w:hAnsi="仿宋" w:eastAsia="仿宋"/>
          <w:b/>
          <w:color w:val="auto"/>
          <w:sz w:val="24"/>
          <w:szCs w:val="24"/>
        </w:rPr>
      </w:pPr>
      <w:r>
        <w:rPr>
          <w:rFonts w:hint="eastAsia" w:ascii="仿宋" w:hAnsi="仿宋" w:eastAsia="仿宋"/>
          <w:b/>
          <w:color w:val="auto"/>
          <w:sz w:val="24"/>
          <w:szCs w:val="24"/>
        </w:rPr>
        <w:t>表</w:t>
      </w:r>
      <w:r>
        <w:rPr>
          <w:rFonts w:ascii="仿宋" w:hAnsi="仿宋" w:eastAsia="仿宋"/>
          <w:b/>
          <w:color w:val="auto"/>
          <w:sz w:val="24"/>
          <w:szCs w:val="24"/>
        </w:rPr>
        <w:t xml:space="preserve">2-6    </w:t>
      </w:r>
      <w:r>
        <w:rPr>
          <w:rFonts w:hint="eastAsia" w:ascii="仿宋" w:hAnsi="仿宋" w:eastAsia="仿宋"/>
          <w:b/>
          <w:color w:val="auto"/>
          <w:sz w:val="24"/>
          <w:szCs w:val="24"/>
        </w:rPr>
        <w:t>无组织废气监测结果    单位：m</w:t>
      </w:r>
      <w:r>
        <w:rPr>
          <w:rFonts w:ascii="仿宋" w:hAnsi="仿宋" w:eastAsia="仿宋"/>
          <w:b/>
          <w:color w:val="auto"/>
          <w:sz w:val="24"/>
          <w:szCs w:val="24"/>
        </w:rPr>
        <w:t>g/m</w:t>
      </w:r>
      <w:r>
        <w:rPr>
          <w:rFonts w:ascii="仿宋" w:hAnsi="仿宋" w:eastAsia="仿宋"/>
          <w:b/>
          <w:color w:val="auto"/>
          <w:sz w:val="24"/>
          <w:szCs w:val="24"/>
          <w:vertAlign w:val="superscript"/>
        </w:rPr>
        <w:t>3</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32"/>
        <w:gridCol w:w="1168"/>
        <w:gridCol w:w="1241"/>
        <w:gridCol w:w="1241"/>
        <w:gridCol w:w="1241"/>
        <w:gridCol w:w="1241"/>
        <w:gridCol w:w="877"/>
        <w:gridCol w:w="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400" w:type="pct"/>
            <w:gridSpan w:val="2"/>
            <w:tcBorders>
              <w:tl2br w:val="single" w:color="auto" w:sz="4" w:space="0"/>
            </w:tcBorders>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hint="eastAsia" w:ascii="仿宋" w:hAnsi="仿宋" w:eastAsia="仿宋"/>
                <w:b/>
                <w:color w:val="auto"/>
                <w:sz w:val="24"/>
                <w:szCs w:val="24"/>
              </w:rPr>
              <w:t xml:space="preserve"> </w:t>
            </w:r>
            <w:r>
              <w:rPr>
                <w:rFonts w:ascii="仿宋" w:hAnsi="仿宋" w:eastAsia="仿宋"/>
                <w:b/>
                <w:color w:val="auto"/>
                <w:sz w:val="24"/>
                <w:szCs w:val="24"/>
              </w:rPr>
              <w:t xml:space="preserve">        监测点位</w:t>
            </w:r>
          </w:p>
          <w:p>
            <w:pPr>
              <w:pStyle w:val="81"/>
              <w:snapToGrid/>
              <w:spacing w:line="240" w:lineRule="auto"/>
              <w:ind w:firstLine="0" w:firstLineChars="0"/>
              <w:rPr>
                <w:rFonts w:ascii="仿宋" w:hAnsi="仿宋" w:eastAsia="仿宋"/>
                <w:b/>
                <w:color w:val="auto"/>
                <w:sz w:val="24"/>
                <w:szCs w:val="24"/>
              </w:rPr>
            </w:pPr>
            <w:r>
              <w:rPr>
                <w:rFonts w:ascii="仿宋" w:hAnsi="仿宋" w:eastAsia="仿宋"/>
                <w:b/>
                <w:color w:val="auto"/>
                <w:sz w:val="24"/>
                <w:szCs w:val="24"/>
              </w:rPr>
              <w:t>监测日期</w:t>
            </w:r>
          </w:p>
        </w:tc>
        <w:tc>
          <w:tcPr>
            <w:tcW w:w="668" w:type="pct"/>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ascii="仿宋" w:hAnsi="仿宋" w:eastAsia="仿宋"/>
                <w:b/>
                <w:color w:val="auto"/>
                <w:sz w:val="24"/>
                <w:szCs w:val="24"/>
              </w:rPr>
              <w:t>上风向1#</w:t>
            </w:r>
          </w:p>
        </w:tc>
        <w:tc>
          <w:tcPr>
            <w:tcW w:w="668" w:type="pct"/>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ascii="仿宋" w:hAnsi="仿宋" w:eastAsia="仿宋"/>
                <w:b/>
                <w:color w:val="auto"/>
                <w:sz w:val="24"/>
                <w:szCs w:val="24"/>
              </w:rPr>
              <w:t>下风向2#</w:t>
            </w:r>
          </w:p>
        </w:tc>
        <w:tc>
          <w:tcPr>
            <w:tcW w:w="668" w:type="pct"/>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ascii="仿宋" w:hAnsi="仿宋" w:eastAsia="仿宋"/>
                <w:b/>
                <w:color w:val="auto"/>
                <w:sz w:val="24"/>
                <w:szCs w:val="24"/>
              </w:rPr>
              <w:t>下风向3#</w:t>
            </w:r>
          </w:p>
        </w:tc>
        <w:tc>
          <w:tcPr>
            <w:tcW w:w="668" w:type="pct"/>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ascii="仿宋" w:hAnsi="仿宋" w:eastAsia="仿宋"/>
                <w:b/>
                <w:color w:val="auto"/>
                <w:sz w:val="24"/>
                <w:szCs w:val="24"/>
              </w:rPr>
              <w:t>下风向4#</w:t>
            </w:r>
          </w:p>
        </w:tc>
        <w:tc>
          <w:tcPr>
            <w:tcW w:w="472" w:type="pct"/>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ascii="仿宋" w:hAnsi="仿宋" w:eastAsia="仿宋"/>
                <w:b/>
                <w:color w:val="auto"/>
                <w:sz w:val="24"/>
                <w:szCs w:val="24"/>
              </w:rPr>
              <w:t>标准限值</w:t>
            </w:r>
          </w:p>
        </w:tc>
        <w:tc>
          <w:tcPr>
            <w:tcW w:w="455" w:type="pct"/>
            <w:shd w:val="clear" w:color="auto" w:fill="D9D9D9"/>
            <w:vAlign w:val="center"/>
          </w:tcPr>
          <w:p>
            <w:pPr>
              <w:pStyle w:val="81"/>
              <w:snapToGrid/>
              <w:spacing w:line="240" w:lineRule="auto"/>
              <w:ind w:firstLine="0" w:firstLineChars="0"/>
              <w:jc w:val="center"/>
              <w:rPr>
                <w:rFonts w:ascii="仿宋" w:hAnsi="仿宋" w:eastAsia="仿宋"/>
                <w:b/>
                <w:color w:val="auto"/>
                <w:sz w:val="24"/>
                <w:szCs w:val="24"/>
              </w:rPr>
            </w:pPr>
            <w:r>
              <w:rPr>
                <w:rFonts w:ascii="仿宋" w:hAnsi="仿宋" w:eastAsia="仿宋"/>
                <w:b/>
                <w:color w:val="auto"/>
                <w:sz w:val="24"/>
                <w:szCs w:val="24"/>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restart"/>
            <w:vAlign w:val="center"/>
          </w:tcPr>
          <w:p>
            <w:pPr>
              <w:pStyle w:val="81"/>
              <w:snapToGrid/>
              <w:spacing w:line="240" w:lineRule="auto"/>
              <w:ind w:firstLine="0" w:firstLineChars="0"/>
              <w:jc w:val="center"/>
              <w:rPr>
                <w:rFonts w:ascii="仿宋" w:hAnsi="仿宋" w:eastAsia="仿宋"/>
                <w:color w:val="auto"/>
                <w:sz w:val="24"/>
                <w:szCs w:val="24"/>
              </w:rPr>
            </w:pPr>
            <w:r>
              <w:rPr>
                <w:rFonts w:hint="eastAsia" w:ascii="仿宋" w:hAnsi="仿宋" w:eastAsia="仿宋"/>
                <w:color w:val="auto"/>
                <w:sz w:val="24"/>
                <w:szCs w:val="24"/>
              </w:rPr>
              <w:t>2020.7.19</w:t>
            </w: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第一次</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0.216</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0.200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0.150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0.167</w:t>
            </w:r>
          </w:p>
        </w:tc>
        <w:tc>
          <w:tcPr>
            <w:tcW w:w="472" w:type="pct"/>
            <w:vMerge w:val="restar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1.0</w:t>
            </w:r>
          </w:p>
        </w:tc>
        <w:tc>
          <w:tcPr>
            <w:tcW w:w="455" w:type="pct"/>
            <w:vMerge w:val="restar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第二次</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0.383</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0.367</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0.350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0.333</w:t>
            </w:r>
          </w:p>
        </w:tc>
        <w:tc>
          <w:tcPr>
            <w:tcW w:w="472"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455"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第三次</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0.367</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0.350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0.367</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0.367</w:t>
            </w:r>
          </w:p>
        </w:tc>
        <w:tc>
          <w:tcPr>
            <w:tcW w:w="472"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455"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hint="eastAsia" w:ascii="仿宋" w:hAnsi="仿宋" w:eastAsia="仿宋"/>
                <w:color w:val="auto"/>
                <w:sz w:val="24"/>
                <w:szCs w:val="24"/>
              </w:rPr>
              <w:t>第四次</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0.350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0.367</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0.383</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0.400</w:t>
            </w:r>
          </w:p>
        </w:tc>
        <w:tc>
          <w:tcPr>
            <w:tcW w:w="472"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455"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restart"/>
            <w:vAlign w:val="center"/>
          </w:tcPr>
          <w:p>
            <w:pPr>
              <w:pStyle w:val="81"/>
              <w:snapToGrid/>
              <w:spacing w:line="240" w:lineRule="auto"/>
              <w:ind w:firstLine="0" w:firstLineChars="0"/>
              <w:jc w:val="center"/>
              <w:rPr>
                <w:rFonts w:ascii="仿宋" w:hAnsi="仿宋" w:eastAsia="仿宋"/>
                <w:color w:val="auto"/>
                <w:sz w:val="24"/>
                <w:szCs w:val="24"/>
              </w:rPr>
            </w:pPr>
            <w:r>
              <w:rPr>
                <w:rFonts w:hint="eastAsia" w:ascii="仿宋" w:hAnsi="仿宋" w:eastAsia="仿宋"/>
                <w:color w:val="auto"/>
                <w:sz w:val="24"/>
                <w:szCs w:val="24"/>
              </w:rPr>
              <w:t>2020.7.20</w:t>
            </w: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第一次</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0.183</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0.200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0.150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0.167</w:t>
            </w:r>
          </w:p>
        </w:tc>
        <w:tc>
          <w:tcPr>
            <w:tcW w:w="472" w:type="pct"/>
            <w:vMerge w:val="restar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1.0</w:t>
            </w:r>
          </w:p>
        </w:tc>
        <w:tc>
          <w:tcPr>
            <w:tcW w:w="455" w:type="pct"/>
            <w:vMerge w:val="restar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第二次</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0.333</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0.367</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0.300</w:t>
            </w:r>
          </w:p>
        </w:tc>
        <w:tc>
          <w:tcPr>
            <w:tcW w:w="668" w:type="pct"/>
            <w:vAlign w:val="center"/>
          </w:tcPr>
          <w:p>
            <w:pPr>
              <w:pStyle w:val="72"/>
              <w:snapToGrid/>
              <w:spacing w:before="0" w:beforeAutospacing="0"/>
              <w:ind w:firstLine="0" w:firstLineChars="0"/>
              <w:jc w:val="center"/>
              <w:rPr>
                <w:rFonts w:ascii="仿宋" w:hAnsi="仿宋"/>
                <w:color w:val="auto"/>
                <w:sz w:val="24"/>
                <w:szCs w:val="24"/>
              </w:rPr>
            </w:pPr>
            <w:r>
              <w:rPr>
                <w:rFonts w:hint="eastAsia" w:ascii="仿宋" w:hAnsi="仿宋"/>
                <w:color w:val="auto"/>
                <w:sz w:val="24"/>
                <w:szCs w:val="24"/>
              </w:rPr>
              <w:t>0.333</w:t>
            </w:r>
          </w:p>
        </w:tc>
        <w:tc>
          <w:tcPr>
            <w:tcW w:w="472"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455"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ascii="仿宋" w:hAnsi="仿宋" w:eastAsia="仿宋"/>
                <w:color w:val="auto"/>
                <w:sz w:val="24"/>
                <w:szCs w:val="24"/>
              </w:rPr>
              <w:t>第三次</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0.317</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0.300</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0.350</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0.317</w:t>
            </w:r>
          </w:p>
        </w:tc>
        <w:tc>
          <w:tcPr>
            <w:tcW w:w="472"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455"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71"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629" w:type="pct"/>
            <w:vAlign w:val="center"/>
          </w:tcPr>
          <w:p>
            <w:pPr>
              <w:pStyle w:val="81"/>
              <w:snapToGrid/>
              <w:spacing w:line="240" w:lineRule="auto"/>
              <w:ind w:firstLine="0" w:firstLineChars="0"/>
              <w:jc w:val="center"/>
              <w:rPr>
                <w:rFonts w:ascii="仿宋" w:hAnsi="仿宋" w:eastAsia="仿宋"/>
                <w:color w:val="auto"/>
                <w:sz w:val="24"/>
                <w:szCs w:val="24"/>
              </w:rPr>
            </w:pPr>
            <w:r>
              <w:rPr>
                <w:rFonts w:hint="eastAsia" w:ascii="仿宋" w:hAnsi="仿宋" w:eastAsia="仿宋"/>
                <w:color w:val="auto"/>
                <w:sz w:val="24"/>
                <w:szCs w:val="24"/>
              </w:rPr>
              <w:t>第四次</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0.350</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0.333</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0.367</w:t>
            </w:r>
          </w:p>
        </w:tc>
        <w:tc>
          <w:tcPr>
            <w:tcW w:w="66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0.350</w:t>
            </w:r>
          </w:p>
        </w:tc>
        <w:tc>
          <w:tcPr>
            <w:tcW w:w="472"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c>
          <w:tcPr>
            <w:tcW w:w="455" w:type="pct"/>
            <w:vMerge w:val="continue"/>
            <w:vAlign w:val="center"/>
          </w:tcPr>
          <w:p>
            <w:pPr>
              <w:pStyle w:val="81"/>
              <w:snapToGrid/>
              <w:spacing w:line="240" w:lineRule="auto"/>
              <w:ind w:firstLine="0" w:firstLineChars="0"/>
              <w:jc w:val="center"/>
              <w:rPr>
                <w:rFonts w:ascii="仿宋" w:hAnsi="仿宋" w:eastAsia="仿宋"/>
                <w:color w:val="auto"/>
                <w:sz w:val="24"/>
                <w:szCs w:val="24"/>
              </w:rPr>
            </w:pPr>
          </w:p>
        </w:tc>
      </w:tr>
    </w:tbl>
    <w:p>
      <w:pPr>
        <w:pStyle w:val="39"/>
        <w:ind w:left="0" w:leftChars="0" w:firstLine="560"/>
        <w:rPr>
          <w:rFonts w:ascii="仿宋" w:hAnsi="仿宋"/>
          <w:bCs/>
          <w:color w:val="auto"/>
          <w:sz w:val="28"/>
          <w:szCs w:val="28"/>
        </w:rPr>
      </w:pPr>
      <w:r>
        <w:rPr>
          <w:rFonts w:ascii="仿宋" w:hAnsi="仿宋"/>
          <w:bCs/>
          <w:color w:val="auto"/>
          <w:sz w:val="28"/>
          <w:szCs w:val="28"/>
        </w:rPr>
        <w:fldChar w:fldCharType="begin"/>
      </w:r>
      <w:r>
        <w:rPr>
          <w:rFonts w:ascii="仿宋" w:hAnsi="仿宋"/>
          <w:bCs/>
          <w:color w:val="auto"/>
          <w:sz w:val="28"/>
          <w:szCs w:val="28"/>
        </w:rPr>
        <w:instrText xml:space="preserve"> </w:instrText>
      </w:r>
      <w:r>
        <w:rPr>
          <w:rFonts w:hint="eastAsia" w:ascii="仿宋" w:hAnsi="仿宋"/>
          <w:bCs/>
          <w:color w:val="auto"/>
          <w:sz w:val="28"/>
          <w:szCs w:val="28"/>
        </w:rPr>
        <w:instrText xml:space="preserve">= 2 \* GB2</w:instrText>
      </w:r>
      <w:r>
        <w:rPr>
          <w:rFonts w:ascii="仿宋" w:hAnsi="仿宋"/>
          <w:bCs/>
          <w:color w:val="auto"/>
          <w:sz w:val="28"/>
          <w:szCs w:val="28"/>
        </w:rPr>
        <w:instrText xml:space="preserve"> </w:instrText>
      </w:r>
      <w:r>
        <w:rPr>
          <w:rFonts w:ascii="仿宋" w:hAnsi="仿宋"/>
          <w:bCs/>
          <w:color w:val="auto"/>
          <w:sz w:val="28"/>
          <w:szCs w:val="28"/>
        </w:rPr>
        <w:fldChar w:fldCharType="separate"/>
      </w:r>
      <w:r>
        <w:rPr>
          <w:rFonts w:hint="eastAsia" w:ascii="仿宋" w:hAnsi="仿宋"/>
          <w:bCs/>
          <w:color w:val="auto"/>
          <w:sz w:val="28"/>
          <w:szCs w:val="28"/>
        </w:rPr>
        <w:t>⑵</w:t>
      </w:r>
      <w:r>
        <w:rPr>
          <w:rFonts w:ascii="仿宋" w:hAnsi="仿宋"/>
          <w:bCs/>
          <w:color w:val="auto"/>
          <w:sz w:val="28"/>
          <w:szCs w:val="28"/>
        </w:rPr>
        <w:fldChar w:fldCharType="end"/>
      </w:r>
      <w:r>
        <w:rPr>
          <w:rFonts w:ascii="仿宋" w:hAnsi="仿宋"/>
          <w:bCs/>
          <w:color w:val="auto"/>
          <w:sz w:val="28"/>
          <w:szCs w:val="28"/>
        </w:rPr>
        <w:t xml:space="preserve"> </w:t>
      </w:r>
      <w:r>
        <w:rPr>
          <w:rFonts w:hint="eastAsia" w:ascii="仿宋" w:hAnsi="仿宋"/>
          <w:bCs/>
          <w:color w:val="auto"/>
          <w:sz w:val="28"/>
          <w:szCs w:val="28"/>
        </w:rPr>
        <w:t>废水</w:t>
      </w:r>
    </w:p>
    <w:p>
      <w:pPr>
        <w:ind w:firstLine="560"/>
        <w:rPr>
          <w:rFonts w:ascii="仿宋" w:hAnsi="仿宋"/>
          <w:color w:val="auto"/>
          <w:szCs w:val="28"/>
        </w:rPr>
      </w:pPr>
      <w:r>
        <w:rPr>
          <w:rFonts w:ascii="仿宋" w:hAnsi="仿宋"/>
          <w:color w:val="auto"/>
          <w:szCs w:val="28"/>
        </w:rPr>
        <w:t>电厂废水污染源、主要污染物见表2-7。</w:t>
      </w:r>
    </w:p>
    <w:p>
      <w:pPr>
        <w:ind w:firstLine="482"/>
        <w:jc w:val="center"/>
        <w:rPr>
          <w:rFonts w:ascii="仿宋" w:hAnsi="仿宋"/>
          <w:b/>
          <w:color w:val="auto"/>
          <w:sz w:val="24"/>
        </w:rPr>
      </w:pPr>
      <w:r>
        <w:rPr>
          <w:rFonts w:ascii="仿宋" w:hAnsi="仿宋"/>
          <w:b/>
          <w:color w:val="auto"/>
          <w:sz w:val="24"/>
        </w:rPr>
        <w:t>表2-7    水污染源及污染物情况一览表</w:t>
      </w:r>
    </w:p>
    <w:tbl>
      <w:tblPr>
        <w:tblStyle w:val="4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1701"/>
        <w:gridCol w:w="2268"/>
        <w:gridCol w:w="45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序号</w:t>
            </w:r>
          </w:p>
        </w:tc>
        <w:tc>
          <w:tcPr>
            <w:tcW w:w="916"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污染源</w:t>
            </w:r>
          </w:p>
        </w:tc>
        <w:tc>
          <w:tcPr>
            <w:tcW w:w="1221"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主要污染物</w:t>
            </w:r>
          </w:p>
        </w:tc>
        <w:tc>
          <w:tcPr>
            <w:tcW w:w="2423"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处理措施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ascii="仿宋" w:hAnsi="仿宋"/>
                <w:color w:val="auto"/>
                <w:sz w:val="24"/>
              </w:rPr>
              <w:t>1</w:t>
            </w:r>
          </w:p>
        </w:tc>
        <w:tc>
          <w:tcPr>
            <w:tcW w:w="916" w:type="pct"/>
            <w:vAlign w:val="center"/>
          </w:tcPr>
          <w:p>
            <w:pPr>
              <w:spacing w:line="240" w:lineRule="auto"/>
              <w:ind w:firstLine="0" w:firstLineChars="0"/>
              <w:jc w:val="center"/>
              <w:rPr>
                <w:rFonts w:ascii="仿宋" w:hAnsi="仿宋"/>
                <w:color w:val="auto"/>
                <w:sz w:val="24"/>
              </w:rPr>
            </w:pPr>
            <w:r>
              <w:rPr>
                <w:rFonts w:ascii="仿宋" w:hAnsi="仿宋"/>
                <w:color w:val="auto"/>
                <w:sz w:val="24"/>
              </w:rPr>
              <w:t>工业废水</w:t>
            </w:r>
          </w:p>
        </w:tc>
        <w:tc>
          <w:tcPr>
            <w:tcW w:w="1221" w:type="pct"/>
            <w:vAlign w:val="center"/>
          </w:tcPr>
          <w:p>
            <w:pPr>
              <w:spacing w:line="240" w:lineRule="auto"/>
              <w:ind w:firstLine="0" w:firstLineChars="0"/>
              <w:jc w:val="center"/>
              <w:rPr>
                <w:rFonts w:ascii="仿宋" w:hAnsi="仿宋"/>
                <w:color w:val="auto"/>
                <w:sz w:val="24"/>
              </w:rPr>
            </w:pPr>
            <w:r>
              <w:rPr>
                <w:rFonts w:ascii="仿宋" w:hAnsi="仿宋"/>
                <w:color w:val="auto"/>
                <w:sz w:val="24"/>
              </w:rPr>
              <w:t>SS、COD、BOD、NH</w:t>
            </w:r>
            <w:r>
              <w:rPr>
                <w:rFonts w:ascii="仿宋" w:hAnsi="仿宋"/>
                <w:color w:val="auto"/>
                <w:sz w:val="24"/>
                <w:vertAlign w:val="subscript"/>
              </w:rPr>
              <w:t>3</w:t>
            </w:r>
            <w:r>
              <w:rPr>
                <w:rFonts w:ascii="仿宋" w:hAnsi="仿宋"/>
                <w:color w:val="auto"/>
                <w:sz w:val="24"/>
              </w:rPr>
              <w:t>-N、石油类-等</w:t>
            </w:r>
          </w:p>
        </w:tc>
        <w:tc>
          <w:tcPr>
            <w:tcW w:w="2423" w:type="pct"/>
            <w:vAlign w:val="center"/>
          </w:tcPr>
          <w:p>
            <w:pPr>
              <w:spacing w:line="240" w:lineRule="auto"/>
              <w:ind w:firstLine="0" w:firstLineChars="0"/>
              <w:jc w:val="center"/>
              <w:rPr>
                <w:rFonts w:ascii="仿宋" w:hAnsi="仿宋"/>
                <w:color w:val="auto"/>
                <w:sz w:val="24"/>
              </w:rPr>
            </w:pPr>
            <w:r>
              <w:rPr>
                <w:rFonts w:ascii="仿宋" w:hAnsi="仿宋"/>
                <w:color w:val="auto"/>
                <w:sz w:val="24"/>
              </w:rPr>
              <w:t>经工业废水处理系统处理后大部分回用，少量排入污水管网最终进入秦汉新城朝阳污水处理厂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ascii="仿宋" w:hAnsi="仿宋"/>
                <w:color w:val="auto"/>
                <w:sz w:val="24"/>
              </w:rPr>
              <w:t>2</w:t>
            </w:r>
          </w:p>
        </w:tc>
        <w:tc>
          <w:tcPr>
            <w:tcW w:w="916" w:type="pct"/>
            <w:vAlign w:val="center"/>
          </w:tcPr>
          <w:p>
            <w:pPr>
              <w:spacing w:line="240" w:lineRule="auto"/>
              <w:ind w:firstLine="0" w:firstLineChars="0"/>
              <w:jc w:val="center"/>
              <w:rPr>
                <w:rFonts w:ascii="仿宋" w:hAnsi="仿宋"/>
                <w:color w:val="auto"/>
                <w:sz w:val="24"/>
              </w:rPr>
            </w:pPr>
            <w:r>
              <w:rPr>
                <w:rFonts w:ascii="仿宋" w:hAnsi="仿宋"/>
                <w:color w:val="auto"/>
                <w:sz w:val="24"/>
              </w:rPr>
              <w:t>脱硫废水</w:t>
            </w:r>
          </w:p>
        </w:tc>
        <w:tc>
          <w:tcPr>
            <w:tcW w:w="1221" w:type="pct"/>
            <w:vAlign w:val="center"/>
          </w:tcPr>
          <w:p>
            <w:pPr>
              <w:spacing w:line="240" w:lineRule="auto"/>
              <w:ind w:firstLine="0" w:firstLineChars="0"/>
              <w:jc w:val="center"/>
              <w:rPr>
                <w:rFonts w:ascii="仿宋" w:hAnsi="仿宋"/>
                <w:color w:val="auto"/>
                <w:sz w:val="24"/>
              </w:rPr>
            </w:pPr>
            <w:r>
              <w:rPr>
                <w:rFonts w:ascii="仿宋" w:hAnsi="仿宋"/>
                <w:color w:val="auto"/>
                <w:sz w:val="24"/>
              </w:rPr>
              <w:t>pH、Hg等</w:t>
            </w:r>
          </w:p>
        </w:tc>
        <w:tc>
          <w:tcPr>
            <w:tcW w:w="2423" w:type="pct"/>
            <w:vAlign w:val="center"/>
          </w:tcPr>
          <w:p>
            <w:pPr>
              <w:spacing w:line="240" w:lineRule="auto"/>
              <w:ind w:firstLine="0" w:firstLineChars="0"/>
              <w:jc w:val="center"/>
              <w:rPr>
                <w:rFonts w:ascii="仿宋" w:hAnsi="仿宋"/>
                <w:color w:val="auto"/>
                <w:sz w:val="24"/>
              </w:rPr>
            </w:pPr>
            <w:r>
              <w:rPr>
                <w:rFonts w:ascii="仿宋" w:hAnsi="仿宋"/>
                <w:color w:val="auto"/>
                <w:sz w:val="24"/>
              </w:rPr>
              <w:t>经脱硫废水处理系统处理后</w:t>
            </w:r>
            <w:r>
              <w:rPr>
                <w:rFonts w:hint="eastAsia" w:ascii="仿宋" w:hAnsi="仿宋"/>
                <w:color w:val="auto"/>
                <w:sz w:val="24"/>
              </w:rPr>
              <w:t>经处理后用于二期锅炉除渣补充水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ascii="仿宋" w:hAnsi="仿宋"/>
                <w:color w:val="auto"/>
                <w:sz w:val="24"/>
              </w:rPr>
              <w:t>3</w:t>
            </w:r>
          </w:p>
        </w:tc>
        <w:tc>
          <w:tcPr>
            <w:tcW w:w="916" w:type="pct"/>
            <w:vAlign w:val="center"/>
          </w:tcPr>
          <w:p>
            <w:pPr>
              <w:spacing w:line="240" w:lineRule="auto"/>
              <w:ind w:firstLine="0" w:firstLineChars="0"/>
              <w:jc w:val="center"/>
              <w:rPr>
                <w:rFonts w:ascii="仿宋" w:hAnsi="仿宋"/>
                <w:color w:val="auto"/>
                <w:sz w:val="24"/>
              </w:rPr>
            </w:pPr>
            <w:r>
              <w:rPr>
                <w:rFonts w:ascii="仿宋" w:hAnsi="仿宋"/>
                <w:color w:val="auto"/>
                <w:sz w:val="24"/>
              </w:rPr>
              <w:t>含煤废水</w:t>
            </w:r>
          </w:p>
        </w:tc>
        <w:tc>
          <w:tcPr>
            <w:tcW w:w="1221" w:type="pct"/>
            <w:vAlign w:val="center"/>
          </w:tcPr>
          <w:p>
            <w:pPr>
              <w:spacing w:line="240" w:lineRule="auto"/>
              <w:ind w:firstLine="0" w:firstLineChars="0"/>
              <w:jc w:val="center"/>
              <w:rPr>
                <w:rFonts w:ascii="仿宋" w:hAnsi="仿宋"/>
                <w:color w:val="auto"/>
                <w:sz w:val="24"/>
              </w:rPr>
            </w:pPr>
            <w:r>
              <w:rPr>
                <w:rFonts w:ascii="仿宋" w:hAnsi="仿宋"/>
                <w:color w:val="auto"/>
                <w:sz w:val="24"/>
              </w:rPr>
              <w:t>SS</w:t>
            </w:r>
          </w:p>
        </w:tc>
        <w:tc>
          <w:tcPr>
            <w:tcW w:w="2423"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经煤水处理设施处理后用于输煤栈桥冲洗、煤场喷洒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ascii="仿宋" w:hAnsi="仿宋"/>
                <w:color w:val="auto"/>
                <w:sz w:val="24"/>
              </w:rPr>
              <w:t>4</w:t>
            </w:r>
          </w:p>
        </w:tc>
        <w:tc>
          <w:tcPr>
            <w:tcW w:w="916" w:type="pct"/>
            <w:vAlign w:val="center"/>
          </w:tcPr>
          <w:p>
            <w:pPr>
              <w:spacing w:line="240" w:lineRule="auto"/>
              <w:ind w:firstLine="0" w:firstLineChars="0"/>
              <w:jc w:val="center"/>
              <w:rPr>
                <w:rFonts w:ascii="仿宋" w:hAnsi="仿宋"/>
                <w:color w:val="auto"/>
                <w:sz w:val="24"/>
              </w:rPr>
            </w:pPr>
            <w:r>
              <w:rPr>
                <w:rFonts w:ascii="仿宋" w:hAnsi="仿宋"/>
                <w:color w:val="auto"/>
                <w:sz w:val="24"/>
              </w:rPr>
              <w:t>酸碱性废水</w:t>
            </w:r>
          </w:p>
        </w:tc>
        <w:tc>
          <w:tcPr>
            <w:tcW w:w="1221" w:type="pct"/>
            <w:vAlign w:val="center"/>
          </w:tcPr>
          <w:p>
            <w:pPr>
              <w:spacing w:line="240" w:lineRule="auto"/>
              <w:ind w:firstLine="0" w:firstLineChars="0"/>
              <w:jc w:val="center"/>
              <w:rPr>
                <w:rFonts w:ascii="仿宋" w:hAnsi="仿宋"/>
                <w:color w:val="auto"/>
                <w:sz w:val="24"/>
              </w:rPr>
            </w:pPr>
            <w:r>
              <w:rPr>
                <w:rFonts w:ascii="仿宋" w:hAnsi="仿宋"/>
                <w:color w:val="auto"/>
                <w:sz w:val="24"/>
              </w:rPr>
              <w:t>pH</w:t>
            </w:r>
          </w:p>
        </w:tc>
        <w:tc>
          <w:tcPr>
            <w:tcW w:w="2423" w:type="pct"/>
            <w:vAlign w:val="center"/>
          </w:tcPr>
          <w:p>
            <w:pPr>
              <w:spacing w:line="240" w:lineRule="auto"/>
              <w:ind w:firstLine="0" w:firstLineChars="0"/>
              <w:jc w:val="center"/>
              <w:rPr>
                <w:rFonts w:ascii="仿宋" w:hAnsi="仿宋"/>
                <w:color w:val="auto"/>
                <w:sz w:val="24"/>
              </w:rPr>
            </w:pPr>
            <w:r>
              <w:rPr>
                <w:rFonts w:ascii="仿宋" w:hAnsi="仿宋"/>
                <w:color w:val="auto"/>
                <w:sz w:val="24"/>
              </w:rPr>
              <w:t>经中和后进入工业废水处理系统处理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ascii="仿宋" w:hAnsi="仿宋"/>
                <w:color w:val="auto"/>
                <w:sz w:val="24"/>
              </w:rPr>
              <w:t>5</w:t>
            </w:r>
          </w:p>
        </w:tc>
        <w:tc>
          <w:tcPr>
            <w:tcW w:w="916" w:type="pct"/>
            <w:vAlign w:val="center"/>
          </w:tcPr>
          <w:p>
            <w:pPr>
              <w:spacing w:line="240" w:lineRule="auto"/>
              <w:ind w:firstLine="0" w:firstLineChars="0"/>
              <w:jc w:val="center"/>
              <w:rPr>
                <w:rFonts w:ascii="仿宋" w:hAnsi="仿宋"/>
                <w:color w:val="auto"/>
                <w:sz w:val="24"/>
              </w:rPr>
            </w:pPr>
            <w:r>
              <w:rPr>
                <w:rFonts w:ascii="仿宋" w:hAnsi="仿宋"/>
                <w:color w:val="auto"/>
                <w:sz w:val="24"/>
              </w:rPr>
              <w:t>锅炉酸洗废水</w:t>
            </w:r>
          </w:p>
        </w:tc>
        <w:tc>
          <w:tcPr>
            <w:tcW w:w="1221" w:type="pct"/>
            <w:vAlign w:val="center"/>
          </w:tcPr>
          <w:p>
            <w:pPr>
              <w:spacing w:line="240" w:lineRule="auto"/>
              <w:ind w:firstLine="0" w:firstLineChars="0"/>
              <w:jc w:val="center"/>
              <w:rPr>
                <w:rFonts w:ascii="仿宋" w:hAnsi="仿宋"/>
                <w:color w:val="auto"/>
                <w:sz w:val="24"/>
              </w:rPr>
            </w:pPr>
            <w:r>
              <w:rPr>
                <w:rFonts w:ascii="仿宋" w:hAnsi="仿宋"/>
                <w:color w:val="auto"/>
                <w:sz w:val="24"/>
              </w:rPr>
              <w:t>pH</w:t>
            </w:r>
          </w:p>
        </w:tc>
        <w:tc>
          <w:tcPr>
            <w:tcW w:w="2423"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经氧化、中和处理后排入工业废水处理系统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6</w:t>
            </w:r>
          </w:p>
        </w:tc>
        <w:tc>
          <w:tcPr>
            <w:tcW w:w="916"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锅炉补给水处理系统再生水及凝结水精处理系统排水</w:t>
            </w:r>
          </w:p>
        </w:tc>
        <w:tc>
          <w:tcPr>
            <w:tcW w:w="1221"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pH，COD，含盐量</w:t>
            </w:r>
          </w:p>
        </w:tc>
        <w:tc>
          <w:tcPr>
            <w:tcW w:w="2423"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中和处理后排入工业废水系统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40" w:type="pct"/>
            <w:vAlign w:val="center"/>
          </w:tcPr>
          <w:p>
            <w:pPr>
              <w:spacing w:line="240" w:lineRule="auto"/>
              <w:ind w:firstLine="0" w:firstLineChars="0"/>
              <w:jc w:val="center"/>
              <w:rPr>
                <w:rFonts w:ascii="仿宋" w:hAnsi="仿宋"/>
                <w:color w:val="auto"/>
                <w:sz w:val="24"/>
              </w:rPr>
            </w:pPr>
            <w:r>
              <w:rPr>
                <w:rFonts w:ascii="仿宋" w:hAnsi="仿宋"/>
                <w:color w:val="auto"/>
                <w:sz w:val="24"/>
              </w:rPr>
              <w:t>7</w:t>
            </w:r>
          </w:p>
        </w:tc>
        <w:tc>
          <w:tcPr>
            <w:tcW w:w="916" w:type="pct"/>
            <w:vAlign w:val="center"/>
          </w:tcPr>
          <w:p>
            <w:pPr>
              <w:spacing w:line="240" w:lineRule="auto"/>
              <w:ind w:firstLine="0" w:firstLineChars="0"/>
              <w:jc w:val="center"/>
              <w:rPr>
                <w:rFonts w:ascii="仿宋" w:hAnsi="仿宋"/>
                <w:color w:val="auto"/>
                <w:sz w:val="24"/>
              </w:rPr>
            </w:pPr>
            <w:r>
              <w:rPr>
                <w:rFonts w:ascii="仿宋" w:hAnsi="仿宋"/>
                <w:color w:val="auto"/>
                <w:sz w:val="24"/>
              </w:rPr>
              <w:t>生活污水</w:t>
            </w:r>
          </w:p>
        </w:tc>
        <w:tc>
          <w:tcPr>
            <w:tcW w:w="1221" w:type="pct"/>
            <w:vAlign w:val="center"/>
          </w:tcPr>
          <w:p>
            <w:pPr>
              <w:spacing w:line="240" w:lineRule="auto"/>
              <w:ind w:firstLine="0" w:firstLineChars="0"/>
              <w:jc w:val="center"/>
              <w:rPr>
                <w:rFonts w:ascii="仿宋" w:hAnsi="仿宋"/>
                <w:color w:val="auto"/>
                <w:sz w:val="24"/>
              </w:rPr>
            </w:pPr>
            <w:r>
              <w:rPr>
                <w:rFonts w:ascii="仿宋" w:hAnsi="仿宋"/>
                <w:color w:val="auto"/>
                <w:sz w:val="24"/>
              </w:rPr>
              <w:t>COD、BOD、NH</w:t>
            </w:r>
            <w:r>
              <w:rPr>
                <w:rFonts w:ascii="仿宋" w:hAnsi="仿宋"/>
                <w:color w:val="auto"/>
                <w:sz w:val="24"/>
                <w:vertAlign w:val="subscript"/>
              </w:rPr>
              <w:t>3</w:t>
            </w:r>
            <w:r>
              <w:rPr>
                <w:rFonts w:ascii="仿宋" w:hAnsi="仿宋"/>
                <w:color w:val="auto"/>
                <w:sz w:val="24"/>
              </w:rPr>
              <w:t>-N</w:t>
            </w:r>
          </w:p>
        </w:tc>
        <w:tc>
          <w:tcPr>
            <w:tcW w:w="2423" w:type="pct"/>
            <w:vAlign w:val="center"/>
          </w:tcPr>
          <w:p>
            <w:pPr>
              <w:spacing w:line="240" w:lineRule="auto"/>
              <w:ind w:firstLine="0" w:firstLineChars="0"/>
              <w:jc w:val="center"/>
              <w:rPr>
                <w:rFonts w:ascii="仿宋" w:hAnsi="仿宋"/>
                <w:color w:val="auto"/>
                <w:sz w:val="24"/>
              </w:rPr>
            </w:pPr>
            <w:r>
              <w:rPr>
                <w:rFonts w:ascii="仿宋" w:hAnsi="仿宋"/>
                <w:color w:val="auto"/>
                <w:sz w:val="24"/>
              </w:rPr>
              <w:t>经生活水处理系统处理后排入污水管网最终进入秦汉新城朝阳污水处理厂</w:t>
            </w:r>
          </w:p>
        </w:tc>
      </w:tr>
    </w:tbl>
    <w:p>
      <w:pPr>
        <w:ind w:firstLine="560"/>
        <w:rPr>
          <w:rFonts w:ascii="仿宋" w:hAnsi="仿宋"/>
          <w:bCs/>
          <w:color w:val="auto"/>
          <w:szCs w:val="28"/>
        </w:rPr>
      </w:pPr>
      <w:r>
        <w:rPr>
          <w:rFonts w:hint="eastAsia" w:ascii="仿宋" w:hAnsi="仿宋"/>
          <w:bCs/>
          <w:color w:val="auto"/>
          <w:szCs w:val="28"/>
        </w:rPr>
        <w:t>根据2</w:t>
      </w:r>
      <w:r>
        <w:rPr>
          <w:rFonts w:ascii="仿宋" w:hAnsi="仿宋"/>
          <w:bCs/>
          <w:color w:val="auto"/>
          <w:szCs w:val="28"/>
        </w:rPr>
        <w:t>020</w:t>
      </w:r>
      <w:r>
        <w:rPr>
          <w:rFonts w:hint="eastAsia" w:ascii="仿宋" w:hAnsi="仿宋"/>
          <w:bCs/>
          <w:color w:val="auto"/>
          <w:szCs w:val="28"/>
        </w:rPr>
        <w:t>年1</w:t>
      </w:r>
      <w:r>
        <w:rPr>
          <w:rFonts w:ascii="仿宋" w:hAnsi="仿宋"/>
          <w:bCs/>
          <w:color w:val="auto"/>
          <w:szCs w:val="28"/>
        </w:rPr>
        <w:t>0</w:t>
      </w:r>
      <w:r>
        <w:rPr>
          <w:rFonts w:hint="eastAsia" w:ascii="仿宋" w:hAnsi="仿宋"/>
          <w:bCs/>
          <w:color w:val="auto"/>
          <w:szCs w:val="28"/>
        </w:rPr>
        <w:t>月1</w:t>
      </w:r>
      <w:r>
        <w:rPr>
          <w:rFonts w:ascii="仿宋" w:hAnsi="仿宋"/>
          <w:bCs/>
          <w:color w:val="auto"/>
          <w:szCs w:val="28"/>
        </w:rPr>
        <w:t>9</w:t>
      </w:r>
      <w:r>
        <w:rPr>
          <w:rFonts w:hint="eastAsia" w:ascii="仿宋" w:hAnsi="仿宋"/>
          <w:bCs/>
          <w:color w:val="auto"/>
          <w:szCs w:val="28"/>
        </w:rPr>
        <w:t>日由陕西中测检测科技股份有限公司监测的《陕西渭河发电有限公司2</w:t>
      </w:r>
      <w:r>
        <w:rPr>
          <w:rFonts w:ascii="仿宋" w:hAnsi="仿宋"/>
          <w:bCs/>
          <w:color w:val="auto"/>
          <w:szCs w:val="28"/>
        </w:rPr>
        <w:t>020</w:t>
      </w:r>
      <w:r>
        <w:rPr>
          <w:rFonts w:hint="eastAsia" w:ascii="仿宋" w:hAnsi="仿宋"/>
          <w:bCs/>
          <w:color w:val="auto"/>
          <w:szCs w:val="28"/>
        </w:rPr>
        <w:t>年1</w:t>
      </w:r>
      <w:r>
        <w:rPr>
          <w:rFonts w:ascii="仿宋" w:hAnsi="仿宋"/>
          <w:bCs/>
          <w:color w:val="auto"/>
          <w:szCs w:val="28"/>
        </w:rPr>
        <w:t>0</w:t>
      </w:r>
      <w:r>
        <w:rPr>
          <w:rFonts w:hint="eastAsia" w:ascii="仿宋" w:hAnsi="仿宋"/>
          <w:bCs/>
          <w:color w:val="auto"/>
          <w:szCs w:val="28"/>
        </w:rPr>
        <w:t>月份水质委托监测报告》，</w:t>
      </w:r>
      <w:r>
        <w:rPr>
          <w:rFonts w:ascii="仿宋" w:hAnsi="仿宋"/>
          <w:bCs/>
          <w:color w:val="auto"/>
          <w:szCs w:val="28"/>
        </w:rPr>
        <w:t>陕西渭河发电有限公司废水总排口监测</w:t>
      </w:r>
      <w:r>
        <w:rPr>
          <w:rFonts w:hint="eastAsia" w:ascii="仿宋" w:hAnsi="仿宋"/>
          <w:bCs/>
          <w:color w:val="auto"/>
          <w:szCs w:val="28"/>
        </w:rPr>
        <w:t>结果见表</w:t>
      </w:r>
      <w:r>
        <w:rPr>
          <w:rFonts w:ascii="仿宋" w:hAnsi="仿宋"/>
          <w:bCs/>
          <w:color w:val="auto"/>
          <w:szCs w:val="28"/>
        </w:rPr>
        <w:t>2-8</w:t>
      </w:r>
      <w:r>
        <w:rPr>
          <w:rFonts w:hint="eastAsia" w:ascii="仿宋" w:hAnsi="仿宋"/>
          <w:bCs/>
          <w:color w:val="auto"/>
          <w:szCs w:val="28"/>
        </w:rPr>
        <w:t>。</w:t>
      </w:r>
    </w:p>
    <w:p>
      <w:pPr>
        <w:ind w:firstLine="482"/>
        <w:jc w:val="center"/>
        <w:rPr>
          <w:rFonts w:ascii="仿宋" w:hAnsi="仿宋"/>
          <w:b/>
          <w:color w:val="auto"/>
          <w:sz w:val="24"/>
        </w:rPr>
      </w:pPr>
      <w:r>
        <w:rPr>
          <w:rFonts w:ascii="仿宋" w:hAnsi="仿宋"/>
          <w:b/>
          <w:color w:val="auto"/>
          <w:sz w:val="24"/>
        </w:rPr>
        <w:t>表2-8    陕西渭河发电有限公司废水总排口监测及评估结果</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3"/>
        <w:gridCol w:w="2342"/>
        <w:gridCol w:w="1959"/>
        <w:gridCol w:w="1995"/>
        <w:gridCol w:w="17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监测</w:t>
            </w:r>
          </w:p>
          <w:p>
            <w:pPr>
              <w:snapToGrid/>
              <w:spacing w:line="240" w:lineRule="auto"/>
              <w:ind w:firstLine="0" w:firstLineChars="0"/>
              <w:jc w:val="center"/>
              <w:rPr>
                <w:rFonts w:ascii="仿宋" w:hAnsi="仿宋"/>
                <w:b/>
                <w:color w:val="auto"/>
                <w:sz w:val="24"/>
              </w:rPr>
            </w:pPr>
            <w:r>
              <w:rPr>
                <w:rFonts w:ascii="仿宋" w:hAnsi="仿宋"/>
                <w:b/>
                <w:color w:val="auto"/>
                <w:sz w:val="24"/>
              </w:rPr>
              <w:t>点位</w:t>
            </w:r>
          </w:p>
        </w:tc>
        <w:tc>
          <w:tcPr>
            <w:tcW w:w="1261"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监测项目</w:t>
            </w:r>
          </w:p>
        </w:tc>
        <w:tc>
          <w:tcPr>
            <w:tcW w:w="1055"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监测结果</w:t>
            </w:r>
          </w:p>
        </w:tc>
        <w:tc>
          <w:tcPr>
            <w:tcW w:w="1074"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标准限值</w:t>
            </w:r>
          </w:p>
        </w:tc>
        <w:tc>
          <w:tcPr>
            <w:tcW w:w="930"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是否达标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restar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废水总排口</w:t>
            </w:r>
          </w:p>
        </w:tc>
        <w:tc>
          <w:tcPr>
            <w:tcW w:w="126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pH</w:t>
            </w:r>
            <w:r>
              <w:rPr>
                <w:rFonts w:hint="eastAsia" w:ascii="仿宋" w:hAnsi="仿宋"/>
                <w:color w:val="auto"/>
                <w:sz w:val="24"/>
              </w:rPr>
              <w:t>（无量纲）</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8.33～8.41</w:t>
            </w:r>
          </w:p>
        </w:tc>
        <w:tc>
          <w:tcPr>
            <w:tcW w:w="1074"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6～9</w:t>
            </w:r>
          </w:p>
        </w:tc>
        <w:tc>
          <w:tcPr>
            <w:tcW w:w="93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氨氮（mg/L）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2.885～2.933</w:t>
            </w:r>
          </w:p>
        </w:tc>
        <w:tc>
          <w:tcPr>
            <w:tcW w:w="1074"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12</w:t>
            </w:r>
          </w:p>
        </w:tc>
        <w:tc>
          <w:tcPr>
            <w:tcW w:w="93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化学需氧量（mg/L）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22～26</w:t>
            </w:r>
          </w:p>
        </w:tc>
        <w:tc>
          <w:tcPr>
            <w:tcW w:w="1074"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300</w:t>
            </w:r>
          </w:p>
        </w:tc>
        <w:tc>
          <w:tcPr>
            <w:tcW w:w="93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总磷（mg/L）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0.58～0.64</w:t>
            </w:r>
          </w:p>
        </w:tc>
        <w:tc>
          <w:tcPr>
            <w:tcW w:w="1074"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5</w:t>
            </w:r>
          </w:p>
        </w:tc>
        <w:tc>
          <w:tcPr>
            <w:tcW w:w="93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悬浮物（mg/L）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24～31</w:t>
            </w:r>
          </w:p>
        </w:tc>
        <w:tc>
          <w:tcPr>
            <w:tcW w:w="1074"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400</w:t>
            </w:r>
          </w:p>
        </w:tc>
        <w:tc>
          <w:tcPr>
            <w:tcW w:w="93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石油类（mg/L）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0.22～0.26</w:t>
            </w:r>
          </w:p>
        </w:tc>
        <w:tc>
          <w:tcPr>
            <w:tcW w:w="1074"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20</w:t>
            </w:r>
          </w:p>
        </w:tc>
        <w:tc>
          <w:tcPr>
            <w:tcW w:w="93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溶解性总固体</w:t>
            </w:r>
            <w:r>
              <w:rPr>
                <w:rFonts w:ascii="仿宋" w:hAnsi="仿宋"/>
                <w:color w:val="auto"/>
                <w:sz w:val="24"/>
              </w:rPr>
              <w:t>（mg/L）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799～812</w:t>
            </w:r>
          </w:p>
        </w:tc>
        <w:tc>
          <w:tcPr>
            <w:tcW w:w="1074"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r>
              <w:rPr>
                <w:rFonts w:ascii="仿宋" w:hAnsi="仿宋"/>
                <w:color w:val="auto"/>
                <w:sz w:val="24"/>
              </w:rPr>
              <w:t>000</w:t>
            </w:r>
          </w:p>
        </w:tc>
        <w:tc>
          <w:tcPr>
            <w:tcW w:w="930" w:type="pct"/>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氟化物</w:t>
            </w:r>
            <w:r>
              <w:rPr>
                <w:rFonts w:ascii="仿宋" w:hAnsi="仿宋"/>
                <w:color w:val="auto"/>
                <w:sz w:val="24"/>
              </w:rPr>
              <w:t>（mg/L）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1.91～2.08</w:t>
            </w:r>
          </w:p>
        </w:tc>
        <w:tc>
          <w:tcPr>
            <w:tcW w:w="1074"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r>
              <w:rPr>
                <w:rFonts w:ascii="仿宋" w:hAnsi="仿宋"/>
                <w:color w:val="auto"/>
                <w:sz w:val="24"/>
              </w:rPr>
              <w:t>0</w:t>
            </w:r>
          </w:p>
        </w:tc>
        <w:tc>
          <w:tcPr>
            <w:tcW w:w="930" w:type="pct"/>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80" w:type="pct"/>
            <w:vMerge w:val="continue"/>
            <w:vAlign w:val="center"/>
          </w:tcPr>
          <w:p>
            <w:pPr>
              <w:snapToGrid/>
              <w:spacing w:line="240" w:lineRule="auto"/>
              <w:ind w:firstLine="0" w:firstLineChars="0"/>
              <w:jc w:val="center"/>
              <w:rPr>
                <w:rFonts w:ascii="仿宋" w:hAnsi="仿宋"/>
                <w:color w:val="auto"/>
                <w:sz w:val="24"/>
              </w:rPr>
            </w:pPr>
          </w:p>
        </w:tc>
        <w:tc>
          <w:tcPr>
            <w:tcW w:w="126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挥发酚</w:t>
            </w:r>
            <w:r>
              <w:rPr>
                <w:rFonts w:ascii="仿宋" w:hAnsi="仿宋"/>
                <w:color w:val="auto"/>
                <w:sz w:val="24"/>
              </w:rPr>
              <w:t>（mg/L）</w:t>
            </w:r>
          </w:p>
        </w:tc>
        <w:tc>
          <w:tcPr>
            <w:tcW w:w="105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0.01～0.02</w:t>
            </w:r>
          </w:p>
        </w:tc>
        <w:tc>
          <w:tcPr>
            <w:tcW w:w="1074"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p>
        </w:tc>
        <w:tc>
          <w:tcPr>
            <w:tcW w:w="930" w:type="pct"/>
          </w:tcPr>
          <w:p>
            <w:pPr>
              <w:snapToGrid/>
              <w:spacing w:line="240" w:lineRule="auto"/>
              <w:ind w:firstLine="0" w:firstLineChars="0"/>
              <w:jc w:val="center"/>
              <w:rPr>
                <w:rFonts w:ascii="仿宋" w:hAnsi="仿宋"/>
                <w:color w:val="auto"/>
                <w:sz w:val="24"/>
              </w:rPr>
            </w:pPr>
            <w:r>
              <w:rPr>
                <w:rFonts w:ascii="仿宋" w:hAnsi="仿宋"/>
                <w:color w:val="auto"/>
                <w:sz w:val="24"/>
              </w:rPr>
              <w:t>达标</w:t>
            </w:r>
          </w:p>
        </w:tc>
      </w:tr>
    </w:tbl>
    <w:p>
      <w:pPr>
        <w:pStyle w:val="38"/>
        <w:ind w:firstLine="560" w:firstLineChars="200"/>
        <w:rPr>
          <w:rFonts w:hint="default" w:ascii="仿宋" w:hAnsi="仿宋" w:eastAsia="仿宋"/>
          <w:bCs/>
          <w:color w:val="auto"/>
          <w:kern w:val="2"/>
          <w:sz w:val="28"/>
          <w:szCs w:val="28"/>
          <w:lang w:eastAsia="zh-CN"/>
        </w:rPr>
      </w:pPr>
      <w:r>
        <w:rPr>
          <w:rFonts w:hint="default" w:ascii="仿宋" w:hAnsi="仿宋" w:eastAsia="仿宋"/>
          <w:bCs/>
          <w:color w:val="auto"/>
          <w:kern w:val="2"/>
          <w:sz w:val="28"/>
          <w:szCs w:val="28"/>
          <w:lang w:eastAsia="zh-CN"/>
        </w:rPr>
        <w:fldChar w:fldCharType="begin"/>
      </w:r>
      <w:r>
        <w:rPr>
          <w:rFonts w:hint="default" w:ascii="仿宋" w:hAnsi="仿宋" w:eastAsia="仿宋"/>
          <w:bCs/>
          <w:color w:val="auto"/>
          <w:kern w:val="2"/>
          <w:sz w:val="28"/>
          <w:szCs w:val="28"/>
          <w:lang w:eastAsia="zh-CN"/>
        </w:rPr>
        <w:instrText xml:space="preserve"> </w:instrText>
      </w:r>
      <w:r>
        <w:rPr>
          <w:rFonts w:ascii="仿宋" w:hAnsi="仿宋" w:eastAsia="仿宋"/>
          <w:bCs/>
          <w:color w:val="auto"/>
          <w:kern w:val="2"/>
          <w:sz w:val="28"/>
          <w:szCs w:val="28"/>
          <w:lang w:eastAsia="zh-CN"/>
        </w:rPr>
        <w:instrText xml:space="preserve">= 3 \* GB2</w:instrText>
      </w:r>
      <w:r>
        <w:rPr>
          <w:rFonts w:hint="default" w:ascii="仿宋" w:hAnsi="仿宋" w:eastAsia="仿宋"/>
          <w:bCs/>
          <w:color w:val="auto"/>
          <w:kern w:val="2"/>
          <w:sz w:val="28"/>
          <w:szCs w:val="28"/>
          <w:lang w:eastAsia="zh-CN"/>
        </w:rPr>
        <w:instrText xml:space="preserve"> </w:instrText>
      </w:r>
      <w:r>
        <w:rPr>
          <w:rFonts w:hint="default" w:ascii="仿宋" w:hAnsi="仿宋" w:eastAsia="仿宋"/>
          <w:bCs/>
          <w:color w:val="auto"/>
          <w:kern w:val="2"/>
          <w:sz w:val="28"/>
          <w:szCs w:val="28"/>
          <w:lang w:eastAsia="zh-CN"/>
        </w:rPr>
        <w:fldChar w:fldCharType="separate"/>
      </w:r>
      <w:r>
        <w:rPr>
          <w:rFonts w:ascii="仿宋" w:hAnsi="仿宋" w:eastAsia="仿宋"/>
          <w:bCs/>
          <w:color w:val="auto"/>
          <w:kern w:val="2"/>
          <w:sz w:val="28"/>
          <w:szCs w:val="28"/>
          <w:lang w:eastAsia="zh-CN"/>
        </w:rPr>
        <w:t>⑶</w:t>
      </w:r>
      <w:r>
        <w:rPr>
          <w:rFonts w:hint="default" w:ascii="仿宋" w:hAnsi="仿宋" w:eastAsia="仿宋"/>
          <w:bCs/>
          <w:color w:val="auto"/>
          <w:kern w:val="2"/>
          <w:sz w:val="28"/>
          <w:szCs w:val="28"/>
          <w:lang w:eastAsia="zh-CN"/>
        </w:rPr>
        <w:fldChar w:fldCharType="end"/>
      </w:r>
      <w:r>
        <w:rPr>
          <w:rFonts w:hint="default" w:ascii="仿宋" w:hAnsi="仿宋" w:eastAsia="仿宋"/>
          <w:bCs/>
          <w:color w:val="auto"/>
          <w:kern w:val="2"/>
          <w:sz w:val="28"/>
          <w:szCs w:val="28"/>
          <w:lang w:eastAsia="zh-CN"/>
        </w:rPr>
        <w:t xml:space="preserve"> </w:t>
      </w:r>
      <w:r>
        <w:rPr>
          <w:rFonts w:ascii="仿宋" w:hAnsi="仿宋" w:eastAsia="仿宋"/>
          <w:bCs/>
          <w:color w:val="auto"/>
          <w:kern w:val="2"/>
          <w:sz w:val="28"/>
          <w:szCs w:val="28"/>
          <w:lang w:eastAsia="zh-CN"/>
        </w:rPr>
        <w:t>固体废物</w:t>
      </w:r>
    </w:p>
    <w:p>
      <w:pPr>
        <w:ind w:firstLine="482"/>
        <w:jc w:val="center"/>
        <w:rPr>
          <w:rFonts w:ascii="仿宋" w:hAnsi="仿宋"/>
          <w:b/>
          <w:color w:val="auto"/>
          <w:sz w:val="24"/>
        </w:rPr>
      </w:pPr>
    </w:p>
    <w:p>
      <w:pPr>
        <w:ind w:firstLine="482"/>
        <w:jc w:val="center"/>
        <w:rPr>
          <w:rFonts w:ascii="仿宋" w:hAnsi="仿宋"/>
          <w:b/>
          <w:color w:val="auto"/>
          <w:sz w:val="24"/>
        </w:rPr>
      </w:pPr>
      <w:r>
        <w:rPr>
          <w:rFonts w:ascii="仿宋" w:hAnsi="仿宋"/>
          <w:b/>
          <w:color w:val="auto"/>
          <w:sz w:val="24"/>
        </w:rPr>
        <w:t>表2-9    固体废物</w:t>
      </w:r>
      <w:r>
        <w:rPr>
          <w:rFonts w:hint="eastAsia" w:ascii="仿宋" w:hAnsi="仿宋"/>
          <w:b/>
          <w:color w:val="auto"/>
          <w:sz w:val="24"/>
        </w:rPr>
        <w:t>产生及排放情况表</w:t>
      </w:r>
    </w:p>
    <w:tbl>
      <w:tblPr>
        <w:tblStyle w:val="4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4"/>
        <w:gridCol w:w="1099"/>
        <w:gridCol w:w="1281"/>
        <w:gridCol w:w="1061"/>
        <w:gridCol w:w="1484"/>
        <w:gridCol w:w="1553"/>
        <w:gridCol w:w="18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535"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固废来源</w:t>
            </w:r>
          </w:p>
        </w:tc>
        <w:tc>
          <w:tcPr>
            <w:tcW w:w="592"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固废名称</w:t>
            </w:r>
          </w:p>
        </w:tc>
        <w:tc>
          <w:tcPr>
            <w:tcW w:w="690"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固体</w:t>
            </w:r>
            <w:r>
              <w:rPr>
                <w:rFonts w:hint="eastAsia" w:ascii="仿宋" w:hAnsi="仿宋"/>
                <w:b/>
                <w:color w:val="auto"/>
                <w:sz w:val="24"/>
              </w:rPr>
              <w:t>类别</w:t>
            </w:r>
          </w:p>
        </w:tc>
        <w:tc>
          <w:tcPr>
            <w:tcW w:w="571"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产生量（t/a）</w:t>
            </w:r>
          </w:p>
        </w:tc>
        <w:tc>
          <w:tcPr>
            <w:tcW w:w="799"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最大贮存量</w:t>
            </w:r>
          </w:p>
          <w:p>
            <w:pPr>
              <w:pStyle w:val="39"/>
              <w:snapToGrid/>
              <w:spacing w:after="0" w:line="240" w:lineRule="auto"/>
              <w:ind w:left="0" w:leftChars="0" w:firstLine="0" w:firstLineChars="0"/>
              <w:jc w:val="center"/>
              <w:rPr>
                <w:rFonts w:ascii="仿宋" w:hAnsi="仿宋"/>
                <w:b/>
                <w:bCs/>
                <w:color w:val="auto"/>
                <w:sz w:val="24"/>
                <w:szCs w:val="24"/>
              </w:rPr>
            </w:pPr>
            <w:r>
              <w:rPr>
                <w:rFonts w:hint="eastAsia" w:ascii="仿宋" w:hAnsi="仿宋"/>
                <w:b/>
                <w:bCs/>
                <w:color w:val="auto"/>
                <w:sz w:val="24"/>
                <w:szCs w:val="24"/>
              </w:rPr>
              <w:t>（t/a）</w:t>
            </w:r>
          </w:p>
        </w:tc>
        <w:tc>
          <w:tcPr>
            <w:tcW w:w="836" w:type="pct"/>
            <w:shd w:val="clear" w:color="auto" w:fill="D9D9D9"/>
            <w:vAlign w:val="center"/>
          </w:tcPr>
          <w:p>
            <w:pPr>
              <w:snapToGrid/>
              <w:spacing w:line="240" w:lineRule="auto"/>
              <w:ind w:firstLine="0" w:firstLineChars="0"/>
              <w:jc w:val="center"/>
              <w:rPr>
                <w:rFonts w:ascii="仿宋" w:hAnsi="仿宋"/>
                <w:b/>
                <w:color w:val="auto"/>
                <w:sz w:val="24"/>
              </w:rPr>
            </w:pPr>
            <w:r>
              <w:rPr>
                <w:rFonts w:hint="eastAsia" w:ascii="仿宋" w:hAnsi="仿宋"/>
                <w:b/>
                <w:color w:val="auto"/>
                <w:sz w:val="24"/>
              </w:rPr>
              <w:t>储存位置</w:t>
            </w:r>
          </w:p>
        </w:tc>
        <w:tc>
          <w:tcPr>
            <w:tcW w:w="977" w:type="pct"/>
            <w:shd w:val="clear" w:color="auto" w:fill="D9D9D9"/>
            <w:vAlign w:val="center"/>
          </w:tcPr>
          <w:p>
            <w:pPr>
              <w:snapToGrid/>
              <w:spacing w:line="240" w:lineRule="auto"/>
              <w:ind w:firstLine="0" w:firstLineChars="0"/>
              <w:jc w:val="center"/>
              <w:rPr>
                <w:rFonts w:ascii="仿宋" w:hAnsi="仿宋"/>
                <w:b/>
                <w:color w:val="auto"/>
                <w:sz w:val="24"/>
              </w:rPr>
            </w:pPr>
            <w:r>
              <w:rPr>
                <w:rFonts w:ascii="仿宋" w:hAnsi="仿宋"/>
                <w:b/>
                <w:color w:val="auto"/>
                <w:sz w:val="24"/>
              </w:rPr>
              <w:t>处置方式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发电</w:t>
            </w:r>
          </w:p>
          <w:p>
            <w:pPr>
              <w:snapToGrid/>
              <w:spacing w:line="240" w:lineRule="auto"/>
              <w:ind w:firstLine="0" w:firstLineChars="0"/>
              <w:jc w:val="center"/>
              <w:rPr>
                <w:rFonts w:ascii="仿宋" w:hAnsi="仿宋"/>
                <w:color w:val="auto"/>
                <w:sz w:val="24"/>
              </w:rPr>
            </w:pPr>
            <w:r>
              <w:rPr>
                <w:rFonts w:hint="eastAsia" w:ascii="仿宋" w:hAnsi="仿宋"/>
                <w:color w:val="auto"/>
                <w:sz w:val="24"/>
              </w:rPr>
              <w:t>机组</w:t>
            </w:r>
          </w:p>
        </w:tc>
        <w:tc>
          <w:tcPr>
            <w:tcW w:w="5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粉煤灰</w:t>
            </w:r>
          </w:p>
        </w:tc>
        <w:tc>
          <w:tcPr>
            <w:tcW w:w="690"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一般工业固废</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13860</w:t>
            </w:r>
          </w:p>
        </w:tc>
        <w:tc>
          <w:tcPr>
            <w:tcW w:w="799" w:type="pct"/>
            <w:vAlign w:val="center"/>
          </w:tcPr>
          <w:p>
            <w:pPr>
              <w:snapToGrid/>
              <w:spacing w:line="240" w:lineRule="auto"/>
              <w:ind w:firstLine="0" w:firstLineChars="0"/>
              <w:jc w:val="center"/>
              <w:rPr>
                <w:rFonts w:ascii="Arial" w:hAnsi="Arial" w:cs="Arial"/>
                <w:color w:val="auto"/>
                <w:sz w:val="24"/>
                <w:shd w:val="clear" w:color="auto" w:fill="FFFFFF"/>
              </w:rPr>
            </w:pPr>
            <w:r>
              <w:rPr>
                <w:rFonts w:hint="eastAsia" w:ascii="Arial" w:hAnsi="Arial" w:cs="Arial"/>
                <w:color w:val="auto"/>
                <w:sz w:val="24"/>
                <w:shd w:val="clear" w:color="auto" w:fill="FFFFFF"/>
              </w:rPr>
              <w:t>/</w:t>
            </w:r>
          </w:p>
        </w:tc>
        <w:tc>
          <w:tcPr>
            <w:tcW w:w="836" w:type="pct"/>
            <w:vAlign w:val="center"/>
          </w:tcPr>
          <w:p>
            <w:pPr>
              <w:snapToGrid/>
              <w:spacing w:line="240" w:lineRule="auto"/>
              <w:ind w:firstLine="0" w:firstLineChars="0"/>
              <w:jc w:val="center"/>
              <w:rPr>
                <w:rFonts w:ascii="Arial" w:hAnsi="Arial" w:cs="Arial"/>
                <w:color w:val="auto"/>
                <w:sz w:val="24"/>
                <w:shd w:val="clear" w:color="auto" w:fill="FFFFFF"/>
              </w:rPr>
            </w:pPr>
            <w:r>
              <w:rPr>
                <w:rFonts w:hint="eastAsia" w:ascii="Arial" w:hAnsi="Arial" w:cs="Arial"/>
                <w:color w:val="auto"/>
                <w:sz w:val="24"/>
                <w:shd w:val="clear" w:color="auto" w:fill="FFFFFF"/>
              </w:rPr>
              <w:t>/</w:t>
            </w:r>
          </w:p>
        </w:tc>
        <w:tc>
          <w:tcPr>
            <w:tcW w:w="977" w:type="pct"/>
            <w:vMerge w:val="restart"/>
            <w:vAlign w:val="center"/>
          </w:tcPr>
          <w:p>
            <w:pPr>
              <w:snapToGrid/>
              <w:spacing w:line="240" w:lineRule="auto"/>
              <w:ind w:firstLine="0" w:firstLineChars="0"/>
              <w:jc w:val="center"/>
              <w:rPr>
                <w:rFonts w:ascii="仿宋" w:hAnsi="仿宋"/>
                <w:color w:val="auto"/>
                <w:sz w:val="24"/>
              </w:rPr>
            </w:pPr>
            <w:r>
              <w:rPr>
                <w:rFonts w:hint="eastAsia" w:ascii="Arial" w:hAnsi="Arial" w:cs="Arial"/>
                <w:color w:val="auto"/>
                <w:sz w:val="24"/>
                <w:shd w:val="clear" w:color="auto" w:fill="FFFFFF"/>
              </w:rPr>
              <w:t>外售给</w:t>
            </w:r>
            <w:r>
              <w:rPr>
                <w:rFonts w:ascii="Arial" w:hAnsi="Arial" w:cs="Arial"/>
                <w:color w:val="auto"/>
                <w:sz w:val="24"/>
                <w:shd w:val="clear" w:color="auto" w:fill="FFFFFF"/>
              </w:rPr>
              <w:t>陕西正元电力实业发展总公司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发电</w:t>
            </w:r>
          </w:p>
          <w:p>
            <w:pPr>
              <w:snapToGrid/>
              <w:spacing w:line="240" w:lineRule="auto"/>
              <w:ind w:firstLine="0" w:firstLineChars="0"/>
              <w:jc w:val="center"/>
              <w:rPr>
                <w:rFonts w:ascii="仿宋" w:hAnsi="仿宋"/>
                <w:color w:val="auto"/>
                <w:sz w:val="24"/>
              </w:rPr>
            </w:pPr>
            <w:r>
              <w:rPr>
                <w:rFonts w:hint="eastAsia" w:ascii="仿宋" w:hAnsi="仿宋"/>
                <w:color w:val="auto"/>
                <w:sz w:val="24"/>
              </w:rPr>
              <w:t>机组</w:t>
            </w:r>
          </w:p>
        </w:tc>
        <w:tc>
          <w:tcPr>
            <w:tcW w:w="5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炉渣</w:t>
            </w:r>
          </w:p>
        </w:tc>
        <w:tc>
          <w:tcPr>
            <w:tcW w:w="690"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一般工业固废</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25789</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977" w:type="pct"/>
            <w:vMerge w:val="continue"/>
            <w:vAlign w:val="center"/>
          </w:tcPr>
          <w:p>
            <w:pPr>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脱硫</w:t>
            </w:r>
          </w:p>
          <w:p>
            <w:pPr>
              <w:snapToGrid/>
              <w:spacing w:line="240" w:lineRule="auto"/>
              <w:ind w:firstLine="0" w:firstLineChars="0"/>
              <w:jc w:val="center"/>
              <w:rPr>
                <w:rFonts w:ascii="仿宋" w:hAnsi="仿宋"/>
                <w:color w:val="auto"/>
                <w:sz w:val="24"/>
              </w:rPr>
            </w:pPr>
            <w:r>
              <w:rPr>
                <w:rFonts w:hint="eastAsia" w:ascii="仿宋" w:hAnsi="仿宋"/>
                <w:color w:val="auto"/>
                <w:sz w:val="24"/>
              </w:rPr>
              <w:t>系统</w:t>
            </w:r>
          </w:p>
        </w:tc>
        <w:tc>
          <w:tcPr>
            <w:tcW w:w="5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脱硫</w:t>
            </w:r>
          </w:p>
          <w:p>
            <w:pPr>
              <w:snapToGrid/>
              <w:spacing w:line="240" w:lineRule="auto"/>
              <w:ind w:firstLine="0" w:firstLineChars="0"/>
              <w:jc w:val="center"/>
              <w:rPr>
                <w:rFonts w:ascii="仿宋" w:hAnsi="仿宋"/>
                <w:color w:val="auto"/>
                <w:sz w:val="24"/>
              </w:rPr>
            </w:pPr>
            <w:r>
              <w:rPr>
                <w:rFonts w:hint="eastAsia" w:ascii="仿宋" w:hAnsi="仿宋"/>
                <w:color w:val="auto"/>
                <w:sz w:val="24"/>
              </w:rPr>
              <w:t>石膏</w:t>
            </w:r>
          </w:p>
        </w:tc>
        <w:tc>
          <w:tcPr>
            <w:tcW w:w="690"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一般工业固废</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38304</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977" w:type="pct"/>
            <w:vMerge w:val="continue"/>
            <w:vAlign w:val="center"/>
          </w:tcPr>
          <w:p>
            <w:pPr>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机械</w:t>
            </w:r>
          </w:p>
          <w:p>
            <w:pPr>
              <w:snapToGrid/>
              <w:spacing w:line="240" w:lineRule="auto"/>
              <w:ind w:firstLine="0" w:firstLineChars="0"/>
              <w:jc w:val="center"/>
              <w:rPr>
                <w:rFonts w:ascii="仿宋" w:hAnsi="仿宋"/>
                <w:color w:val="auto"/>
                <w:sz w:val="24"/>
              </w:rPr>
            </w:pPr>
            <w:r>
              <w:rPr>
                <w:rFonts w:hint="eastAsia" w:ascii="仿宋" w:hAnsi="仿宋"/>
                <w:color w:val="auto"/>
                <w:sz w:val="24"/>
              </w:rPr>
              <w:t>维修</w:t>
            </w:r>
          </w:p>
        </w:tc>
        <w:tc>
          <w:tcPr>
            <w:tcW w:w="5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废矿</w:t>
            </w:r>
          </w:p>
          <w:p>
            <w:pPr>
              <w:snapToGrid/>
              <w:spacing w:line="240" w:lineRule="auto"/>
              <w:ind w:firstLine="0" w:firstLineChars="0"/>
              <w:jc w:val="center"/>
              <w:rPr>
                <w:rFonts w:ascii="仿宋" w:hAnsi="仿宋"/>
                <w:color w:val="auto"/>
                <w:sz w:val="24"/>
              </w:rPr>
            </w:pPr>
            <w:r>
              <w:rPr>
                <w:rFonts w:hint="eastAsia" w:ascii="仿宋" w:hAnsi="仿宋"/>
                <w:color w:val="auto"/>
                <w:sz w:val="24"/>
              </w:rPr>
              <w:t>物油</w:t>
            </w:r>
          </w:p>
        </w:tc>
        <w:tc>
          <w:tcPr>
            <w:tcW w:w="69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危险废物</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3.93</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.5</w:t>
            </w:r>
            <w:r>
              <w:rPr>
                <w:rFonts w:hint="eastAsia" w:ascii="仿宋" w:hAnsi="仿宋"/>
                <w:color w:val="auto"/>
                <w:sz w:val="24"/>
              </w:rPr>
              <w:t>t</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危废暂存间</w:t>
            </w:r>
          </w:p>
        </w:tc>
        <w:tc>
          <w:tcPr>
            <w:tcW w:w="9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交由陕西环能精滤科技有限公司 陕西明瑞资源再生有限公司处置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脱硝</w:t>
            </w:r>
          </w:p>
          <w:p>
            <w:pPr>
              <w:snapToGrid/>
              <w:spacing w:line="240" w:lineRule="auto"/>
              <w:ind w:firstLine="0" w:firstLineChars="0"/>
              <w:jc w:val="center"/>
              <w:rPr>
                <w:rFonts w:ascii="仿宋" w:hAnsi="仿宋"/>
                <w:color w:val="auto"/>
                <w:sz w:val="24"/>
              </w:rPr>
            </w:pPr>
            <w:r>
              <w:rPr>
                <w:rFonts w:hint="eastAsia" w:ascii="仿宋" w:hAnsi="仿宋"/>
                <w:color w:val="auto"/>
                <w:sz w:val="24"/>
              </w:rPr>
              <w:t>系统</w:t>
            </w:r>
          </w:p>
        </w:tc>
        <w:tc>
          <w:tcPr>
            <w:tcW w:w="5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废催</w:t>
            </w:r>
          </w:p>
          <w:p>
            <w:pPr>
              <w:snapToGrid/>
              <w:spacing w:line="240" w:lineRule="auto"/>
              <w:ind w:firstLine="0" w:firstLineChars="0"/>
              <w:jc w:val="center"/>
              <w:rPr>
                <w:rFonts w:ascii="仿宋" w:hAnsi="仿宋"/>
                <w:color w:val="auto"/>
                <w:sz w:val="24"/>
              </w:rPr>
            </w:pPr>
            <w:r>
              <w:rPr>
                <w:rFonts w:hint="eastAsia" w:ascii="仿宋" w:hAnsi="仿宋"/>
                <w:color w:val="auto"/>
                <w:sz w:val="24"/>
              </w:rPr>
              <w:t>化剂</w:t>
            </w:r>
          </w:p>
        </w:tc>
        <w:tc>
          <w:tcPr>
            <w:tcW w:w="69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危险废物</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00.68</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不在厂内贮存，更换后直接带走</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9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交由河南省格林沃特环保科技有限公司处置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保温</w:t>
            </w:r>
          </w:p>
          <w:p>
            <w:pPr>
              <w:snapToGrid/>
              <w:spacing w:line="240" w:lineRule="auto"/>
              <w:ind w:firstLine="0" w:firstLineChars="0"/>
              <w:jc w:val="center"/>
              <w:rPr>
                <w:rFonts w:ascii="仿宋" w:hAnsi="仿宋"/>
                <w:color w:val="auto"/>
                <w:sz w:val="24"/>
              </w:rPr>
            </w:pPr>
            <w:r>
              <w:rPr>
                <w:rFonts w:ascii="仿宋" w:hAnsi="仿宋"/>
                <w:color w:val="auto"/>
                <w:sz w:val="24"/>
              </w:rPr>
              <w:t>材料</w:t>
            </w:r>
          </w:p>
        </w:tc>
        <w:tc>
          <w:tcPr>
            <w:tcW w:w="59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废石棉</w:t>
            </w:r>
          </w:p>
        </w:tc>
        <w:tc>
          <w:tcPr>
            <w:tcW w:w="69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危险废物</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.9</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.05t</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危废暂存间</w:t>
            </w:r>
          </w:p>
        </w:tc>
        <w:tc>
          <w:tcPr>
            <w:tcW w:w="9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交由陕西环能精滤科技有限公司 陕西明瑞资源再生有限公司处置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变电站</w:t>
            </w:r>
          </w:p>
        </w:tc>
        <w:tc>
          <w:tcPr>
            <w:tcW w:w="59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废铅蓄电池</w:t>
            </w:r>
          </w:p>
        </w:tc>
        <w:tc>
          <w:tcPr>
            <w:tcW w:w="69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危险废物</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9</w:t>
            </w:r>
            <w:r>
              <w:rPr>
                <w:rFonts w:ascii="仿宋" w:hAnsi="仿宋"/>
                <w:color w:val="auto"/>
                <w:sz w:val="24"/>
              </w:rPr>
              <w:t>.62</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.5</w:t>
            </w:r>
            <w:r>
              <w:rPr>
                <w:rFonts w:hint="eastAsia" w:ascii="仿宋" w:hAnsi="仿宋"/>
                <w:color w:val="auto"/>
                <w:sz w:val="24"/>
              </w:rPr>
              <w:t>t</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9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交由陕西环能精滤科技有限公司处置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35"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职工</w:t>
            </w:r>
          </w:p>
          <w:p>
            <w:pPr>
              <w:snapToGrid/>
              <w:spacing w:line="240" w:lineRule="auto"/>
              <w:ind w:firstLine="0" w:firstLineChars="0"/>
              <w:jc w:val="center"/>
              <w:rPr>
                <w:rFonts w:ascii="仿宋" w:hAnsi="仿宋"/>
                <w:color w:val="auto"/>
                <w:sz w:val="24"/>
              </w:rPr>
            </w:pPr>
            <w:r>
              <w:rPr>
                <w:rFonts w:hint="eastAsia" w:ascii="仿宋" w:hAnsi="仿宋"/>
                <w:color w:val="auto"/>
                <w:sz w:val="24"/>
              </w:rPr>
              <w:t>生活</w:t>
            </w:r>
          </w:p>
        </w:tc>
        <w:tc>
          <w:tcPr>
            <w:tcW w:w="59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生活</w:t>
            </w:r>
          </w:p>
          <w:p>
            <w:pPr>
              <w:snapToGrid/>
              <w:spacing w:line="240" w:lineRule="auto"/>
              <w:ind w:firstLine="0" w:firstLineChars="0"/>
              <w:jc w:val="center"/>
              <w:rPr>
                <w:rFonts w:ascii="仿宋" w:hAnsi="仿宋"/>
                <w:color w:val="auto"/>
                <w:sz w:val="24"/>
              </w:rPr>
            </w:pPr>
            <w:r>
              <w:rPr>
                <w:rFonts w:ascii="仿宋" w:hAnsi="仿宋"/>
                <w:color w:val="auto"/>
                <w:sz w:val="24"/>
              </w:rPr>
              <w:t>垃圾</w:t>
            </w:r>
          </w:p>
        </w:tc>
        <w:tc>
          <w:tcPr>
            <w:tcW w:w="690"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生活垃圾</w:t>
            </w:r>
          </w:p>
        </w:tc>
        <w:tc>
          <w:tcPr>
            <w:tcW w:w="57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48</w:t>
            </w:r>
          </w:p>
        </w:tc>
        <w:tc>
          <w:tcPr>
            <w:tcW w:w="799"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36"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97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环卫部门定期清理</w:t>
            </w:r>
          </w:p>
        </w:tc>
      </w:tr>
      <w:bookmarkEnd w:id="78"/>
      <w:bookmarkEnd w:id="79"/>
    </w:tbl>
    <w:p>
      <w:pPr>
        <w:pStyle w:val="5"/>
        <w:snapToGrid/>
        <w:ind w:firstLine="0" w:firstLineChars="0"/>
        <w:rPr>
          <w:color w:val="auto"/>
        </w:rPr>
        <w:sectPr>
          <w:pgSz w:w="11906" w:h="16838"/>
          <w:pgMar w:top="1418" w:right="1418" w:bottom="1418" w:left="1418" w:header="851" w:footer="992" w:gutter="0"/>
          <w:pgNumType w:fmt="numberInDash"/>
          <w:cols w:space="720" w:num="1"/>
          <w:docGrid w:linePitch="312" w:charSpace="0"/>
        </w:sectPr>
      </w:pPr>
    </w:p>
    <w:p>
      <w:pPr>
        <w:pStyle w:val="5"/>
        <w:snapToGrid/>
        <w:ind w:firstLine="0" w:firstLineChars="0"/>
        <w:rPr>
          <w:color w:val="auto"/>
        </w:rPr>
      </w:pPr>
      <w:r>
        <w:rPr>
          <w:color w:val="auto"/>
        </w:rPr>
        <w:t>2.2 自然概况</w:t>
      </w:r>
      <w:bookmarkEnd w:id="70"/>
    </w:p>
    <w:p>
      <w:pPr>
        <w:pStyle w:val="61"/>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地理位置</w:t>
      </w:r>
    </w:p>
    <w:p>
      <w:pPr>
        <w:pStyle w:val="61"/>
        <w:ind w:firstLine="560"/>
        <w:rPr>
          <w:color w:val="auto"/>
          <w:szCs w:val="28"/>
        </w:rPr>
      </w:pPr>
      <w:r>
        <w:rPr>
          <w:rFonts w:hint="eastAsia"/>
          <w:color w:val="auto"/>
          <w:szCs w:val="28"/>
        </w:rPr>
        <w:t>西咸新区在西安、咸阳两市建成区之间，位于渭河地断陷地中部，地势西北高，东南低，构成台阶式现代河谷较为平坦开阔的地貌景观。南部属关中平原区，北部属黄土高原沟壑区，城市规划区位于渭河南北两岸二、三级阶地上，阶地上部覆盖黄土和亚粘士、亚砂士，下部为砂层及砾石、卵石层。</w:t>
      </w:r>
    </w:p>
    <w:p>
      <w:pPr>
        <w:pStyle w:val="61"/>
        <w:ind w:firstLine="560"/>
        <w:rPr>
          <w:color w:val="auto"/>
          <w:szCs w:val="28"/>
        </w:rPr>
      </w:pPr>
      <w:r>
        <w:rPr>
          <w:rFonts w:hint="eastAsia"/>
          <w:color w:val="auto"/>
          <w:szCs w:val="28"/>
        </w:rPr>
        <w:t>秦汉新城位于渭河地堑北缘中段，岐山至富平断裂带两侧。地势西北高、东南低。东西长约20km，南北宽约15km。</w:t>
      </w:r>
    </w:p>
    <w:p>
      <w:pPr>
        <w:pStyle w:val="61"/>
        <w:ind w:firstLine="560"/>
        <w:rPr>
          <w:color w:val="auto"/>
          <w:szCs w:val="28"/>
        </w:rPr>
      </w:pPr>
      <w:r>
        <w:rPr>
          <w:rFonts w:hint="eastAsia"/>
          <w:color w:val="auto"/>
          <w:szCs w:val="28"/>
        </w:rPr>
        <w:t>项目位于陕西省西咸新区秦汉新城正阳街办，场址中心地理坐标东经108.916875°，北纬34.424824°，交通方便，地理位置优越。</w:t>
      </w:r>
    </w:p>
    <w:p>
      <w:pPr>
        <w:pStyle w:val="61"/>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地形地貌</w:t>
      </w:r>
    </w:p>
    <w:p>
      <w:pPr>
        <w:pStyle w:val="61"/>
        <w:ind w:firstLine="560"/>
        <w:rPr>
          <w:color w:val="auto"/>
          <w:szCs w:val="28"/>
        </w:rPr>
      </w:pPr>
      <w:r>
        <w:rPr>
          <w:rFonts w:hint="eastAsia"/>
          <w:color w:val="auto"/>
          <w:szCs w:val="28"/>
        </w:rPr>
        <w:t>秦汉新城地貌类型由北向南划分为三类：北部为泾河冲积平原，中部黄土台塬，南部为渭河冲积平原。中部黄土台塬大致以宝鸡峡高千渠以及渭城区与泾阳县分界的台塬为界，根据地形高差又可分为一级台塬地和二级台塬地。区内地势中部高，南北两侧低，由南、北两侧向中部呈阶梯状倾斜。</w:t>
      </w:r>
    </w:p>
    <w:p>
      <w:pPr>
        <w:pStyle w:val="61"/>
        <w:ind w:firstLine="560"/>
        <w:rPr>
          <w:color w:val="auto"/>
          <w:szCs w:val="28"/>
        </w:rPr>
      </w:pPr>
      <w:r>
        <w:rPr>
          <w:rFonts w:hint="eastAsia"/>
          <w:color w:val="auto"/>
          <w:szCs w:val="28"/>
        </w:rPr>
        <w:t>项目区域地质构造上位于陕北台凹缘与渭河断凹相接的地带；在陕西省地层区划中，分属陕甘宁盆地分区和汾渭分区的渭河小区。项目地处渭河新生代断部盆地，活动断裂发育，新构造运动强烈，存在着发生破坏性地震的构造背景。根据《中国地震动参数区划图》（GB18306-2015）划分，该区地震烈度为</w:t>
      </w:r>
      <w:r>
        <w:rPr>
          <w:rFonts w:hint="eastAsia" w:ascii="宋体" w:hAnsi="宋体" w:eastAsia="宋体"/>
          <w:color w:val="auto"/>
          <w:szCs w:val="28"/>
        </w:rPr>
        <w:t>VI</w:t>
      </w:r>
      <w:r>
        <w:rPr>
          <w:rFonts w:hint="eastAsia"/>
          <w:color w:val="auto"/>
          <w:szCs w:val="28"/>
        </w:rPr>
        <w:t>度，地震动峰值加速度为0.15g。</w:t>
      </w:r>
    </w:p>
    <w:p>
      <w:pPr>
        <w:pStyle w:val="61"/>
        <w:ind w:firstLine="560"/>
        <w:rPr>
          <w:color w:val="auto"/>
          <w:szCs w:val="28"/>
        </w:rPr>
      </w:pPr>
      <w:r>
        <w:rPr>
          <w:rFonts w:hint="eastAsia"/>
          <w:color w:val="auto"/>
          <w:szCs w:val="28"/>
        </w:rPr>
        <w:t>经调查，项目区内无滑坡、崩塌、泥石流等不良地质现象。</w:t>
      </w:r>
    </w:p>
    <w:p>
      <w:pPr>
        <w:pStyle w:val="61"/>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w:t>
      </w:r>
      <w:r>
        <w:rPr>
          <w:rFonts w:hint="eastAsia"/>
          <w:color w:val="auto"/>
          <w:szCs w:val="28"/>
        </w:rPr>
        <w:t>气候气象</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气象概况</w:t>
      </w:r>
    </w:p>
    <w:p>
      <w:pPr>
        <w:ind w:firstLine="560"/>
        <w:rPr>
          <w:color w:val="auto"/>
          <w:szCs w:val="28"/>
        </w:rPr>
      </w:pPr>
      <w:r>
        <w:rPr>
          <w:rFonts w:hint="eastAsia"/>
          <w:color w:val="auto"/>
          <w:szCs w:val="28"/>
        </w:rPr>
        <w:t>本次采用的气象资料为泾河气象站（5</w:t>
      </w:r>
      <w:r>
        <w:rPr>
          <w:color w:val="auto"/>
          <w:szCs w:val="28"/>
        </w:rPr>
        <w:t>7131</w:t>
      </w:r>
      <w:r>
        <w:rPr>
          <w:rFonts w:hint="eastAsia"/>
          <w:color w:val="auto"/>
          <w:szCs w:val="28"/>
        </w:rPr>
        <w:t>）资料，该气象站位于陕西省西安市，地理坐标为东经1</w:t>
      </w:r>
      <w:r>
        <w:rPr>
          <w:color w:val="auto"/>
          <w:szCs w:val="28"/>
        </w:rPr>
        <w:t>08.9667</w:t>
      </w:r>
      <w:r>
        <w:rPr>
          <w:rFonts w:hint="eastAsia"/>
          <w:color w:val="auto"/>
          <w:szCs w:val="28"/>
        </w:rPr>
        <w:t>°，北纬</w:t>
      </w:r>
      <w:r>
        <w:rPr>
          <w:color w:val="auto"/>
          <w:szCs w:val="28"/>
        </w:rPr>
        <w:t>34.4333</w:t>
      </w:r>
      <w:r>
        <w:rPr>
          <w:rFonts w:hint="eastAsia"/>
          <w:color w:val="auto"/>
          <w:szCs w:val="28"/>
        </w:rPr>
        <w:t>°，海拔高度</w:t>
      </w:r>
      <w:r>
        <w:rPr>
          <w:color w:val="auto"/>
          <w:szCs w:val="28"/>
        </w:rPr>
        <w:t>410</w:t>
      </w:r>
      <w:r>
        <w:rPr>
          <w:rFonts w:hint="eastAsia"/>
          <w:color w:val="auto"/>
          <w:szCs w:val="28"/>
        </w:rPr>
        <w:t>m。气象站始建于</w:t>
      </w:r>
      <w:r>
        <w:rPr>
          <w:color w:val="auto"/>
          <w:szCs w:val="28"/>
        </w:rPr>
        <w:t>2005</w:t>
      </w:r>
      <w:r>
        <w:rPr>
          <w:rFonts w:hint="eastAsia"/>
          <w:color w:val="auto"/>
          <w:szCs w:val="28"/>
        </w:rPr>
        <w:t>年，</w:t>
      </w:r>
      <w:r>
        <w:rPr>
          <w:color w:val="auto"/>
          <w:szCs w:val="28"/>
        </w:rPr>
        <w:t>2005</w:t>
      </w:r>
      <w:r>
        <w:rPr>
          <w:rFonts w:hint="eastAsia"/>
          <w:color w:val="auto"/>
          <w:szCs w:val="28"/>
        </w:rPr>
        <w:t>年正式进行气象观测。</w:t>
      </w:r>
    </w:p>
    <w:p>
      <w:pPr>
        <w:ind w:firstLine="560"/>
        <w:rPr>
          <w:color w:val="auto"/>
          <w:szCs w:val="28"/>
        </w:rPr>
      </w:pPr>
      <w:r>
        <w:rPr>
          <w:rFonts w:hint="eastAsia"/>
          <w:color w:val="auto"/>
          <w:szCs w:val="28"/>
        </w:rPr>
        <w:t>泾河气象站距项目厂址约5.8km，是距项目最近的国家气象站，拥有长期的气象观测资料，以下资料根据</w:t>
      </w:r>
      <w:r>
        <w:rPr>
          <w:color w:val="auto"/>
          <w:szCs w:val="28"/>
        </w:rPr>
        <w:t>2005</w:t>
      </w:r>
      <w:r>
        <w:rPr>
          <w:rFonts w:hint="eastAsia"/>
          <w:color w:val="auto"/>
          <w:szCs w:val="28"/>
        </w:rPr>
        <w:t>～2017年气象数据统计分析。泾河气象站</w:t>
      </w:r>
      <w:r>
        <w:rPr>
          <w:color w:val="auto"/>
          <w:szCs w:val="28"/>
        </w:rPr>
        <w:t>资料整编表见表2-1</w:t>
      </w:r>
      <w:r>
        <w:rPr>
          <w:rFonts w:hint="eastAsia"/>
          <w:color w:val="auto"/>
          <w:szCs w:val="28"/>
        </w:rPr>
        <w:t>。</w:t>
      </w:r>
    </w:p>
    <w:p>
      <w:pPr>
        <w:ind w:firstLine="482"/>
        <w:jc w:val="center"/>
        <w:rPr>
          <w:rFonts w:ascii="仿宋" w:hAnsi="仿宋"/>
          <w:color w:val="auto"/>
          <w:sz w:val="24"/>
        </w:rPr>
      </w:pPr>
      <w:r>
        <w:rPr>
          <w:rFonts w:ascii="仿宋" w:hAnsi="仿宋"/>
          <w:b/>
          <w:color w:val="auto"/>
          <w:sz w:val="24"/>
        </w:rPr>
        <w:t xml:space="preserve">表2-1   </w:t>
      </w:r>
      <w:r>
        <w:rPr>
          <w:rFonts w:hint="eastAsia" w:ascii="仿宋" w:hAnsi="仿宋"/>
          <w:b/>
          <w:color w:val="auto"/>
          <w:sz w:val="24"/>
        </w:rPr>
        <w:t xml:space="preserve"> 泾河气象站常规</w:t>
      </w:r>
      <w:r>
        <w:rPr>
          <w:rFonts w:ascii="仿宋" w:hAnsi="仿宋"/>
          <w:b/>
          <w:color w:val="auto"/>
          <w:sz w:val="24"/>
        </w:rPr>
        <w:t>气象项目统计（2005</w:t>
      </w:r>
      <w:r>
        <w:rPr>
          <w:rFonts w:hint="eastAsia" w:ascii="仿宋" w:hAnsi="仿宋"/>
          <w:b/>
          <w:color w:val="auto"/>
          <w:sz w:val="24"/>
        </w:rPr>
        <w:t>～2017</w:t>
      </w:r>
      <w:r>
        <w:rPr>
          <w:rFonts w:ascii="仿宋" w:hAnsi="仿宋"/>
          <w:b/>
          <w:color w:val="auto"/>
          <w:sz w:val="24"/>
        </w:rPr>
        <w:t>）</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1"/>
        <w:gridCol w:w="3063"/>
        <w:gridCol w:w="1751"/>
        <w:gridCol w:w="1956"/>
        <w:gridCol w:w="14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统计</w:t>
            </w:r>
            <w:r>
              <w:rPr>
                <w:rFonts w:ascii="仿宋" w:hAnsi="仿宋"/>
                <w:b/>
                <w:bCs/>
                <w:color w:val="auto"/>
                <w:sz w:val="24"/>
              </w:rPr>
              <w:t>项目</w:t>
            </w:r>
          </w:p>
        </w:tc>
        <w:tc>
          <w:tcPr>
            <w:tcW w:w="943" w:type="pct"/>
            <w:tcBorders>
              <w:top w:val="single" w:color="auto" w:sz="4" w:space="0"/>
              <w:left w:val="single" w:color="auto" w:sz="4" w:space="0"/>
              <w:bottom w:val="single" w:color="auto" w:sz="4" w:space="0"/>
              <w:right w:val="single" w:color="auto" w:sz="4" w:space="0"/>
            </w:tcBorders>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统计值</w:t>
            </w:r>
          </w:p>
        </w:tc>
        <w:tc>
          <w:tcPr>
            <w:tcW w:w="1053" w:type="pct"/>
            <w:tcBorders>
              <w:top w:val="single" w:color="auto" w:sz="4" w:space="0"/>
              <w:left w:val="single" w:color="auto" w:sz="4" w:space="0"/>
              <w:bottom w:val="single" w:color="auto" w:sz="4" w:space="0"/>
              <w:right w:val="single" w:color="auto" w:sz="4" w:space="0"/>
            </w:tcBorders>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极</w:t>
            </w:r>
            <w:r>
              <w:rPr>
                <w:rFonts w:ascii="仿宋" w:hAnsi="仿宋"/>
                <w:b/>
                <w:bCs/>
                <w:color w:val="auto"/>
                <w:sz w:val="24"/>
              </w:rPr>
              <w:t>值</w:t>
            </w:r>
            <w:r>
              <w:rPr>
                <w:rFonts w:hint="eastAsia" w:ascii="仿宋" w:hAnsi="仿宋"/>
                <w:b/>
                <w:bCs/>
                <w:color w:val="auto"/>
                <w:sz w:val="24"/>
              </w:rPr>
              <w:t>出现</w:t>
            </w:r>
            <w:r>
              <w:rPr>
                <w:rFonts w:ascii="仿宋" w:hAnsi="仿宋"/>
                <w:b/>
                <w:bCs/>
                <w:color w:val="auto"/>
                <w:sz w:val="24"/>
              </w:rPr>
              <w:t>时间</w:t>
            </w:r>
          </w:p>
        </w:tc>
        <w:tc>
          <w:tcPr>
            <w:tcW w:w="805" w:type="pct"/>
            <w:tcBorders>
              <w:top w:val="single" w:color="auto" w:sz="4" w:space="0"/>
              <w:left w:val="single" w:color="auto" w:sz="4" w:space="0"/>
              <w:bottom w:val="single" w:color="auto" w:sz="4" w:space="0"/>
              <w:right w:val="single" w:color="auto" w:sz="4" w:space="0"/>
            </w:tcBorders>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极</w:t>
            </w:r>
            <w:r>
              <w:rPr>
                <w:rFonts w:ascii="仿宋" w:hAnsi="仿宋"/>
                <w:b/>
                <w:bCs/>
                <w:color w:val="auto"/>
                <w:sz w:val="24"/>
              </w:rPr>
              <w:t>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平均气温（</w:t>
            </w:r>
            <w:r>
              <w:rPr>
                <w:rFonts w:hint="eastAsia" w:ascii="仿宋" w:hAnsi="仿宋"/>
                <w:color w:val="auto"/>
                <w:sz w:val="24"/>
              </w:rPr>
              <w:t>℃</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4.9</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累</w:t>
            </w:r>
            <w:r>
              <w:rPr>
                <w:rFonts w:ascii="仿宋" w:hAnsi="仿宋"/>
                <w:color w:val="auto"/>
                <w:sz w:val="24"/>
              </w:rPr>
              <w:t>年极端最高气温（</w:t>
            </w:r>
            <w:r>
              <w:rPr>
                <w:rFonts w:hint="eastAsia" w:ascii="仿宋" w:hAnsi="仿宋"/>
                <w:color w:val="auto"/>
                <w:sz w:val="24"/>
              </w:rPr>
              <w:t>℃</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3</w:t>
            </w:r>
            <w:r>
              <w:rPr>
                <w:rFonts w:ascii="仿宋" w:hAnsi="仿宋"/>
                <w:color w:val="auto"/>
                <w:sz w:val="24"/>
              </w:rPr>
              <w:t>9.8</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2005-06-2</w:t>
            </w:r>
            <w:r>
              <w:rPr>
                <w:rFonts w:ascii="仿宋" w:hAnsi="仿宋"/>
                <w:color w:val="auto"/>
                <w:sz w:val="24"/>
              </w:rPr>
              <w:t>3</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4</w:t>
            </w:r>
            <w:r>
              <w:rPr>
                <w:rFonts w:ascii="仿宋" w:hAnsi="仿宋"/>
                <w:color w:val="auto"/>
                <w:sz w:val="24"/>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累</w:t>
            </w:r>
            <w:r>
              <w:rPr>
                <w:rFonts w:ascii="仿宋" w:hAnsi="仿宋"/>
                <w:color w:val="auto"/>
                <w:sz w:val="24"/>
              </w:rPr>
              <w:t>年极端最高</w:t>
            </w:r>
            <w:r>
              <w:rPr>
                <w:rFonts w:hint="eastAsia" w:ascii="仿宋" w:hAnsi="仿宋"/>
                <w:color w:val="auto"/>
                <w:sz w:val="24"/>
              </w:rPr>
              <w:t>低</w:t>
            </w:r>
            <w:r>
              <w:rPr>
                <w:rFonts w:ascii="仿宋" w:hAnsi="仿宋"/>
                <w:color w:val="auto"/>
                <w:sz w:val="24"/>
              </w:rPr>
              <w:t>温（</w:t>
            </w:r>
            <w:r>
              <w:rPr>
                <w:rFonts w:hint="eastAsia" w:ascii="仿宋" w:hAnsi="仿宋"/>
                <w:color w:val="auto"/>
                <w:sz w:val="24"/>
              </w:rPr>
              <w:t>℃</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r>
              <w:rPr>
                <w:rFonts w:ascii="仿宋" w:hAnsi="仿宋"/>
                <w:color w:val="auto"/>
                <w:sz w:val="24"/>
              </w:rPr>
              <w:t>8.6</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20</w:t>
            </w:r>
            <w:r>
              <w:rPr>
                <w:rFonts w:ascii="仿宋" w:hAnsi="仿宋"/>
                <w:color w:val="auto"/>
                <w:sz w:val="24"/>
              </w:rPr>
              <w:t>16</w:t>
            </w:r>
            <w:r>
              <w:rPr>
                <w:rFonts w:hint="eastAsia" w:ascii="仿宋" w:hAnsi="仿宋"/>
                <w:color w:val="auto"/>
                <w:sz w:val="24"/>
              </w:rPr>
              <w:t>-</w:t>
            </w:r>
            <w:r>
              <w:rPr>
                <w:rFonts w:ascii="仿宋" w:hAnsi="仿宋"/>
                <w:color w:val="auto"/>
                <w:sz w:val="24"/>
              </w:rPr>
              <w:t>01</w:t>
            </w:r>
            <w:r>
              <w:rPr>
                <w:rFonts w:hint="eastAsia" w:ascii="仿宋" w:hAnsi="仿宋"/>
                <w:color w:val="auto"/>
                <w:sz w:val="24"/>
              </w:rPr>
              <w:t>-2</w:t>
            </w:r>
            <w:r>
              <w:rPr>
                <w:rFonts w:ascii="仿宋" w:hAnsi="仿宋"/>
                <w:color w:val="auto"/>
                <w:sz w:val="24"/>
              </w:rPr>
              <w:t>5</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r>
              <w:rPr>
                <w:rFonts w:ascii="仿宋" w:hAnsi="仿宋"/>
                <w:color w:val="auto"/>
                <w:sz w:val="24"/>
              </w:rPr>
              <w:t>11.5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w:t>
            </w:r>
            <w:r>
              <w:rPr>
                <w:rFonts w:hint="eastAsia" w:ascii="仿宋" w:hAnsi="仿宋"/>
                <w:color w:val="auto"/>
                <w:sz w:val="24"/>
              </w:rPr>
              <w:t>气压</w:t>
            </w:r>
            <w:r>
              <w:rPr>
                <w:rFonts w:ascii="仿宋" w:hAnsi="仿宋"/>
                <w:color w:val="auto"/>
                <w:sz w:val="24"/>
              </w:rPr>
              <w:t>（</w:t>
            </w:r>
            <w:r>
              <w:rPr>
                <w:rFonts w:hint="eastAsia" w:ascii="仿宋" w:hAnsi="仿宋"/>
                <w:color w:val="auto"/>
                <w:sz w:val="24"/>
              </w:rPr>
              <w:t>hPa</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9</w:t>
            </w:r>
            <w:r>
              <w:rPr>
                <w:rFonts w:ascii="仿宋" w:hAnsi="仿宋"/>
                <w:color w:val="auto"/>
                <w:sz w:val="24"/>
              </w:rPr>
              <w:t>68.5</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平均水汽压（</w:t>
            </w:r>
            <w:r>
              <w:rPr>
                <w:rFonts w:hint="eastAsia" w:ascii="仿宋" w:hAnsi="仿宋"/>
                <w:color w:val="auto"/>
                <w:sz w:val="24"/>
              </w:rPr>
              <w:t>hPa</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2.1</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平均相对湿度</w:t>
            </w:r>
            <w:r>
              <w:rPr>
                <w:rFonts w:hint="eastAsia"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6</w:t>
            </w:r>
            <w:r>
              <w:rPr>
                <w:rFonts w:ascii="仿宋" w:hAnsi="仿宋"/>
                <w:color w:val="auto"/>
                <w:sz w:val="24"/>
              </w:rPr>
              <w:t>2.7</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平均降雨量</w:t>
            </w:r>
            <w:r>
              <w:rPr>
                <w:rFonts w:hint="eastAsia" w:ascii="仿宋" w:hAnsi="仿宋"/>
                <w:color w:val="auto"/>
                <w:sz w:val="24"/>
              </w:rPr>
              <w:t>（mm）</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35.9</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20</w:t>
            </w:r>
            <w:r>
              <w:rPr>
                <w:rFonts w:ascii="仿宋" w:hAnsi="仿宋"/>
                <w:color w:val="auto"/>
                <w:sz w:val="24"/>
              </w:rPr>
              <w:t>0</w:t>
            </w:r>
            <w:r>
              <w:rPr>
                <w:rFonts w:hint="eastAsia" w:ascii="仿宋" w:hAnsi="仿宋"/>
                <w:color w:val="auto"/>
                <w:sz w:val="24"/>
              </w:rPr>
              <w:t>7-0</w:t>
            </w:r>
            <w:r>
              <w:rPr>
                <w:rFonts w:ascii="仿宋" w:hAnsi="仿宋"/>
                <w:color w:val="auto"/>
                <w:sz w:val="24"/>
              </w:rPr>
              <w:t>8</w:t>
            </w:r>
            <w:r>
              <w:rPr>
                <w:rFonts w:hint="eastAsia" w:ascii="仿宋" w:hAnsi="仿宋"/>
                <w:color w:val="auto"/>
                <w:sz w:val="24"/>
              </w:rPr>
              <w:t>-</w:t>
            </w:r>
            <w:r>
              <w:rPr>
                <w:rFonts w:ascii="仿宋" w:hAnsi="仿宋"/>
                <w:color w:val="auto"/>
                <w:sz w:val="24"/>
              </w:rPr>
              <w:t>09</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117.3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restart"/>
            <w:tcBorders>
              <w:top w:val="single" w:color="auto" w:sz="4" w:space="0"/>
              <w:left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灾害天气</w:t>
            </w:r>
            <w:r>
              <w:rPr>
                <w:rFonts w:ascii="仿宋" w:hAnsi="仿宋"/>
                <w:color w:val="auto"/>
                <w:sz w:val="24"/>
              </w:rPr>
              <w:t>统计</w:t>
            </w:r>
          </w:p>
        </w:tc>
        <w:tc>
          <w:tcPr>
            <w:tcW w:w="1649"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平均沙暴日数</w:t>
            </w:r>
            <w:r>
              <w:rPr>
                <w:rFonts w:hint="eastAsia" w:ascii="仿宋" w:hAnsi="仿宋"/>
                <w:color w:val="auto"/>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.1</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continue"/>
            <w:tcBorders>
              <w:left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p>
        </w:tc>
        <w:tc>
          <w:tcPr>
            <w:tcW w:w="1649"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平均雷暴日数</w:t>
            </w:r>
            <w:r>
              <w:rPr>
                <w:rFonts w:hint="eastAsia" w:ascii="仿宋" w:hAnsi="仿宋"/>
                <w:color w:val="auto"/>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.5</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continue"/>
            <w:tcBorders>
              <w:left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p>
        </w:tc>
        <w:tc>
          <w:tcPr>
            <w:tcW w:w="1649"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平均冰雹日数</w:t>
            </w:r>
            <w:r>
              <w:rPr>
                <w:rFonts w:hint="eastAsia" w:ascii="仿宋" w:hAnsi="仿宋"/>
                <w:color w:val="auto"/>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.2</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550" w:type="pct"/>
            <w:vMerge w:val="continue"/>
            <w:tcBorders>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p>
        </w:tc>
        <w:tc>
          <w:tcPr>
            <w:tcW w:w="1649"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平均大风日数</w:t>
            </w:r>
            <w:r>
              <w:rPr>
                <w:rFonts w:hint="eastAsia" w:ascii="仿宋" w:hAnsi="仿宋"/>
                <w:color w:val="auto"/>
                <w:sz w:val="24"/>
              </w:rPr>
              <w:t>（d）</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.4</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实测极大风速（</w:t>
            </w:r>
            <w:r>
              <w:rPr>
                <w:rFonts w:hint="eastAsia" w:ascii="仿宋" w:hAnsi="仿宋"/>
                <w:color w:val="auto"/>
                <w:sz w:val="24"/>
              </w:rPr>
              <w:t>m/s</w:t>
            </w:r>
            <w:r>
              <w:rPr>
                <w:rFonts w:ascii="仿宋" w:hAnsi="仿宋"/>
                <w:color w:val="auto"/>
                <w:sz w:val="24"/>
              </w:rPr>
              <w:t>）</w:t>
            </w:r>
            <w:r>
              <w:rPr>
                <w:rFonts w:hint="eastAsia" w:ascii="仿宋" w:hAnsi="仿宋"/>
                <w:color w:val="auto"/>
                <w:sz w:val="24"/>
              </w:rPr>
              <w:t>、</w:t>
            </w:r>
            <w:r>
              <w:rPr>
                <w:rFonts w:ascii="仿宋" w:hAnsi="仿宋"/>
                <w:color w:val="auto"/>
                <w:sz w:val="24"/>
              </w:rPr>
              <w:t>相应风向</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7</w:t>
            </w:r>
            <w:r>
              <w:rPr>
                <w:rFonts w:ascii="仿宋" w:hAnsi="仿宋"/>
                <w:color w:val="auto"/>
                <w:sz w:val="24"/>
              </w:rPr>
              <w:t>.7</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20</w:t>
            </w:r>
            <w:r>
              <w:rPr>
                <w:rFonts w:ascii="仿宋" w:hAnsi="仿宋"/>
                <w:color w:val="auto"/>
                <w:sz w:val="24"/>
              </w:rPr>
              <w:t>08</w:t>
            </w:r>
            <w:r>
              <w:rPr>
                <w:rFonts w:hint="eastAsia" w:ascii="仿宋" w:hAnsi="仿宋"/>
                <w:color w:val="auto"/>
                <w:sz w:val="24"/>
              </w:rPr>
              <w:t>-</w:t>
            </w:r>
            <w:r>
              <w:rPr>
                <w:rFonts w:ascii="仿宋" w:hAnsi="仿宋"/>
                <w:color w:val="auto"/>
                <w:sz w:val="24"/>
              </w:rPr>
              <w:t>07</w:t>
            </w:r>
            <w:r>
              <w:rPr>
                <w:rFonts w:hint="eastAsia" w:ascii="仿宋" w:hAnsi="仿宋"/>
                <w:color w:val="auto"/>
                <w:sz w:val="24"/>
              </w:rPr>
              <w:t>-</w:t>
            </w:r>
            <w:r>
              <w:rPr>
                <w:rFonts w:ascii="仿宋" w:hAnsi="仿宋"/>
                <w:color w:val="auto"/>
                <w:sz w:val="24"/>
              </w:rPr>
              <w:t>20</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25.8N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平均风速（</w:t>
            </w:r>
            <w:r>
              <w:rPr>
                <w:rFonts w:hint="eastAsia" w:ascii="仿宋" w:hAnsi="仿宋"/>
                <w:color w:val="auto"/>
                <w:sz w:val="24"/>
              </w:rPr>
              <w:t>m/s</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2</w:t>
            </w:r>
            <w:r>
              <w:rPr>
                <w:rFonts w:ascii="仿宋" w:hAnsi="仿宋"/>
                <w:color w:val="auto"/>
                <w:sz w:val="24"/>
              </w:rPr>
              <w:t>.5</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主导风向</w:t>
            </w:r>
            <w:r>
              <w:rPr>
                <w:rFonts w:hint="eastAsia" w:ascii="仿宋" w:hAnsi="仿宋"/>
                <w:color w:val="auto"/>
                <w:sz w:val="24"/>
              </w:rPr>
              <w:t>/</w:t>
            </w:r>
            <w:r>
              <w:rPr>
                <w:rFonts w:ascii="仿宋" w:hAnsi="仿宋"/>
                <w:color w:val="auto"/>
                <w:sz w:val="24"/>
              </w:rPr>
              <w:t>风向</w:t>
            </w:r>
            <w:r>
              <w:rPr>
                <w:rFonts w:hint="eastAsia" w:ascii="仿宋" w:hAnsi="仿宋"/>
                <w:color w:val="auto"/>
                <w:sz w:val="24"/>
              </w:rPr>
              <w:t>频率</w:t>
            </w:r>
            <w:r>
              <w:rPr>
                <w:rFonts w:ascii="仿宋" w:hAnsi="仿宋"/>
                <w:color w:val="auto"/>
                <w:sz w:val="24"/>
              </w:rPr>
              <w:t>（</w:t>
            </w:r>
            <w:r>
              <w:rPr>
                <w:rFonts w:hint="eastAsia" w:ascii="仿宋" w:hAnsi="仿宋"/>
                <w:color w:val="auto"/>
                <w:sz w:val="24"/>
              </w:rPr>
              <w:t>%</w:t>
            </w:r>
            <w:r>
              <w:rPr>
                <w:rFonts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N</w:t>
            </w:r>
            <w:r>
              <w:rPr>
                <w:rFonts w:ascii="仿宋" w:hAnsi="仿宋"/>
                <w:color w:val="auto"/>
                <w:sz w:val="24"/>
              </w:rPr>
              <w:t>E16.2</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199" w:type="pct"/>
            <w:gridSpan w:val="2"/>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多年</w:t>
            </w:r>
            <w:r>
              <w:rPr>
                <w:rFonts w:ascii="仿宋" w:hAnsi="仿宋"/>
                <w:color w:val="auto"/>
                <w:sz w:val="24"/>
              </w:rPr>
              <w:t>静风频率（</w:t>
            </w:r>
            <w:r>
              <w:rPr>
                <w:rFonts w:hint="eastAsia" w:ascii="仿宋" w:hAnsi="仿宋"/>
                <w:color w:val="auto"/>
                <w:sz w:val="24"/>
              </w:rPr>
              <w:t>风速</w:t>
            </w:r>
            <w:r>
              <w:rPr>
                <w:rFonts w:ascii="仿宋" w:hAnsi="仿宋"/>
                <w:color w:val="auto"/>
                <w:sz w:val="24"/>
              </w:rPr>
              <w:t>＜</w:t>
            </w:r>
            <w:r>
              <w:rPr>
                <w:rFonts w:hint="eastAsia" w:ascii="仿宋" w:hAnsi="仿宋"/>
                <w:color w:val="auto"/>
                <w:sz w:val="24"/>
              </w:rPr>
              <w:t>0.2</w:t>
            </w:r>
            <w:r>
              <w:rPr>
                <w:rFonts w:ascii="仿宋" w:hAnsi="仿宋"/>
                <w:color w:val="auto"/>
                <w:sz w:val="24"/>
              </w:rPr>
              <w:t>m/s）</w:t>
            </w:r>
            <w:r>
              <w:rPr>
                <w:rFonts w:hint="eastAsia" w:ascii="仿宋" w:hAnsi="仿宋"/>
                <w:color w:val="auto"/>
                <w:sz w:val="24"/>
              </w:rPr>
              <w:t>（%）</w:t>
            </w:r>
          </w:p>
        </w:tc>
        <w:tc>
          <w:tcPr>
            <w:tcW w:w="94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1</w:t>
            </w:r>
            <w:r>
              <w:rPr>
                <w:rFonts w:ascii="仿宋" w:hAnsi="仿宋"/>
                <w:color w:val="auto"/>
                <w:sz w:val="24"/>
              </w:rPr>
              <w:t>.7</w:t>
            </w:r>
          </w:p>
        </w:tc>
        <w:tc>
          <w:tcPr>
            <w:tcW w:w="1053"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805" w:type="pct"/>
            <w:tcBorders>
              <w:top w:val="single" w:color="auto" w:sz="4" w:space="0"/>
              <w:left w:val="single" w:color="auto" w:sz="4" w:space="0"/>
              <w:bottom w:val="single" w:color="auto" w:sz="4" w:space="0"/>
              <w:right w:val="single" w:color="auto" w:sz="4" w:space="0"/>
            </w:tcBorders>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r>
    </w:tbl>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风向特征</w:t>
      </w:r>
    </w:p>
    <w:p>
      <w:pPr>
        <w:ind w:firstLine="560"/>
        <w:rPr>
          <w:color w:val="auto"/>
          <w:szCs w:val="28"/>
        </w:rPr>
      </w:pPr>
      <w:r>
        <w:rPr>
          <w:rFonts w:hint="eastAsia"/>
          <w:color w:val="auto"/>
          <w:szCs w:val="28"/>
        </w:rPr>
        <w:t>泾河气象站</w:t>
      </w:r>
      <w:r>
        <w:rPr>
          <w:color w:val="auto"/>
          <w:szCs w:val="28"/>
        </w:rPr>
        <w:t>主要风向为</w:t>
      </w:r>
      <w:r>
        <w:rPr>
          <w:rFonts w:hint="eastAsia"/>
          <w:color w:val="auto"/>
          <w:szCs w:val="28"/>
        </w:rPr>
        <w:t>N</w:t>
      </w:r>
      <w:r>
        <w:rPr>
          <w:color w:val="auto"/>
          <w:szCs w:val="28"/>
        </w:rPr>
        <w:t>E和NNE、SW、ENE，占</w:t>
      </w:r>
      <w:r>
        <w:rPr>
          <w:rFonts w:hint="eastAsia"/>
          <w:color w:val="auto"/>
          <w:szCs w:val="28"/>
        </w:rPr>
        <w:t>5</w:t>
      </w:r>
      <w:r>
        <w:rPr>
          <w:color w:val="auto"/>
          <w:szCs w:val="28"/>
        </w:rPr>
        <w:t>2.1%，其中以NE</w:t>
      </w:r>
      <w:r>
        <w:rPr>
          <w:rFonts w:hint="eastAsia"/>
          <w:color w:val="auto"/>
          <w:szCs w:val="28"/>
        </w:rPr>
        <w:t>为</w:t>
      </w:r>
      <w:r>
        <w:rPr>
          <w:color w:val="auto"/>
          <w:szCs w:val="28"/>
        </w:rPr>
        <w:t>主</w:t>
      </w:r>
      <w:r>
        <w:rPr>
          <w:rFonts w:hint="eastAsia"/>
          <w:color w:val="auto"/>
          <w:szCs w:val="28"/>
        </w:rPr>
        <w:t>风向</w:t>
      </w:r>
      <w:r>
        <w:rPr>
          <w:color w:val="auto"/>
          <w:szCs w:val="28"/>
        </w:rPr>
        <w:t>，占到全年16.2%左右。</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w:t>
      </w:r>
      <w:r>
        <w:rPr>
          <w:rFonts w:hint="eastAsia"/>
          <w:color w:val="auto"/>
          <w:szCs w:val="28"/>
        </w:rPr>
        <w:t>水文</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地表水</w:t>
      </w:r>
    </w:p>
    <w:p>
      <w:pPr>
        <w:ind w:firstLine="560"/>
        <w:rPr>
          <w:color w:val="auto"/>
          <w:szCs w:val="28"/>
        </w:rPr>
      </w:pPr>
      <w:r>
        <w:rPr>
          <w:rFonts w:hint="eastAsia"/>
          <w:color w:val="auto"/>
          <w:szCs w:val="28"/>
        </w:rPr>
        <w:t>秦汉新城境内有泾河、渭河两条过境河流，均属渭河水系。</w:t>
      </w:r>
    </w:p>
    <w:p>
      <w:pPr>
        <w:ind w:firstLine="560"/>
        <w:rPr>
          <w:color w:val="auto"/>
          <w:szCs w:val="28"/>
        </w:rPr>
      </w:pPr>
      <w:r>
        <w:rPr>
          <w:rFonts w:hint="eastAsia"/>
          <w:color w:val="auto"/>
          <w:szCs w:val="28"/>
        </w:rPr>
        <w:t>渭河为本区最大的地表水系。为黄河的一级支流，发源于甘肃渭源县，经甘肃陇西、天水流入陕西省，穿越宝鸡、咸阳、西安及渭南部分县(市)后在潼关县注入黄河，全长818km，流域面积46827km</w:t>
      </w:r>
      <w:r>
        <w:rPr>
          <w:rFonts w:hint="eastAsia"/>
          <w:color w:val="auto"/>
          <w:szCs w:val="28"/>
          <w:vertAlign w:val="superscript"/>
        </w:rPr>
        <w:t>2</w:t>
      </w:r>
      <w:r>
        <w:rPr>
          <w:rFonts w:hint="eastAsia"/>
          <w:color w:val="auto"/>
          <w:szCs w:val="28"/>
        </w:rPr>
        <w:t>。</w:t>
      </w:r>
    </w:p>
    <w:p>
      <w:pPr>
        <w:ind w:firstLine="560"/>
        <w:rPr>
          <w:color w:val="auto"/>
          <w:szCs w:val="28"/>
        </w:rPr>
      </w:pPr>
      <w:r>
        <w:rPr>
          <w:rFonts w:hint="eastAsia"/>
          <w:color w:val="auto"/>
          <w:szCs w:val="28"/>
        </w:rPr>
        <w:t>渭河自西向东沿秦汉新城南缘流过，境内长度约10km。水量季节性变化大，最大流量6220m</w:t>
      </w:r>
      <w:r>
        <w:rPr>
          <w:rFonts w:hint="eastAsia"/>
          <w:color w:val="auto"/>
          <w:szCs w:val="28"/>
          <w:vertAlign w:val="superscript"/>
        </w:rPr>
        <w:t>3</w:t>
      </w:r>
      <w:r>
        <w:rPr>
          <w:rFonts w:hint="eastAsia"/>
          <w:color w:val="auto"/>
          <w:szCs w:val="28"/>
        </w:rPr>
        <w:t>/s，最小流量3.4m</w:t>
      </w:r>
      <w:r>
        <w:rPr>
          <w:rFonts w:hint="eastAsia"/>
          <w:color w:val="auto"/>
          <w:szCs w:val="28"/>
          <w:vertAlign w:val="superscript"/>
        </w:rPr>
        <w:t>3</w:t>
      </w:r>
      <w:r>
        <w:rPr>
          <w:rFonts w:hint="eastAsia"/>
          <w:color w:val="auto"/>
          <w:szCs w:val="28"/>
        </w:rPr>
        <w:t>/s，平均流量173m</w:t>
      </w:r>
      <w:r>
        <w:rPr>
          <w:rFonts w:hint="eastAsia"/>
          <w:color w:val="auto"/>
          <w:szCs w:val="28"/>
          <w:vertAlign w:val="superscript"/>
        </w:rPr>
        <w:t>3</w:t>
      </w:r>
      <w:r>
        <w:rPr>
          <w:rFonts w:hint="eastAsia"/>
          <w:color w:val="auto"/>
          <w:szCs w:val="28"/>
        </w:rPr>
        <w:t>/s。百年一遇洪水流量9920m</w:t>
      </w:r>
      <w:r>
        <w:rPr>
          <w:rFonts w:hint="eastAsia"/>
          <w:color w:val="auto"/>
          <w:szCs w:val="28"/>
          <w:vertAlign w:val="superscript"/>
        </w:rPr>
        <w:t>3</w:t>
      </w:r>
      <w:r>
        <w:rPr>
          <w:rFonts w:hint="eastAsia"/>
          <w:color w:val="auto"/>
          <w:szCs w:val="28"/>
        </w:rPr>
        <w:t>/s，相应水位386.5m（铁路桥处），河床宽浅，平水期水深3.0m，河床比降约1‰，河流南岸有沣河等支流汇入。</w:t>
      </w:r>
    </w:p>
    <w:p>
      <w:pPr>
        <w:ind w:firstLine="560"/>
        <w:rPr>
          <w:color w:val="auto"/>
          <w:szCs w:val="28"/>
        </w:rPr>
      </w:pPr>
      <w:r>
        <w:rPr>
          <w:rFonts w:hint="eastAsia"/>
          <w:color w:val="auto"/>
          <w:szCs w:val="28"/>
        </w:rPr>
        <w:t>据区域水文地质资料，水位年变幅约1.5m左右。据现场调查访问，区的历史最高地下水位埋深可达10.0m。场地地下水对砼结构无腐蚀性；对钢筋全结构中的钢筋在干湿交替的情况下具有弱腐蚀性。</w:t>
      </w:r>
    </w:p>
    <w:p>
      <w:pPr>
        <w:ind w:firstLine="560"/>
        <w:rPr>
          <w:color w:val="auto"/>
          <w:szCs w:val="28"/>
        </w:rPr>
      </w:pPr>
      <w:r>
        <w:rPr>
          <w:rFonts w:hint="eastAsia"/>
          <w:color w:val="auto"/>
          <w:szCs w:val="28"/>
        </w:rPr>
        <w:t>渭河位于项目南侧，与项目直线距离约1.7km。</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地下水</w:t>
      </w:r>
    </w:p>
    <w:p>
      <w:pPr>
        <w:pStyle w:val="39"/>
        <w:snapToGrid/>
        <w:spacing w:after="0"/>
        <w:ind w:left="0" w:leftChars="0" w:firstLine="560"/>
        <w:rPr>
          <w:rFonts w:ascii="仿宋" w:hAnsi="仿宋"/>
          <w:color w:val="auto"/>
          <w:sz w:val="28"/>
          <w:szCs w:val="28"/>
        </w:rPr>
      </w:pPr>
      <w:r>
        <w:rPr>
          <w:rFonts w:hint="eastAsia" w:ascii="仿宋" w:hAnsi="仿宋"/>
          <w:color w:val="auto"/>
          <w:sz w:val="28"/>
          <w:szCs w:val="28"/>
        </w:rPr>
        <w:t>本地区属于关中冲积、洪积平原，具有以松散岩类孔隙水为主的河谷盆地型水文地质特征，其动态主要受渭河的影响，补给主要依靠大气降水渗入和河流渗漏，含水层沿渭河呈条带状分布，面积广大，水量丰富。渭河平原区为强富水区，潜水总流向南东，埋深4～11m与19～40m之间，开采深度17～50m，单井涌水量10～20m3/h；承压水总流向南东，埋深200～250m。</w:t>
      </w:r>
    </w:p>
    <w:p>
      <w:pPr>
        <w:pStyle w:val="39"/>
        <w:snapToGrid/>
        <w:spacing w:after="0"/>
        <w:ind w:left="0" w:leftChars="0" w:firstLine="560"/>
        <w:rPr>
          <w:rFonts w:ascii="仿宋" w:hAnsi="仿宋"/>
          <w:color w:val="auto"/>
          <w:sz w:val="28"/>
          <w:szCs w:val="28"/>
        </w:rPr>
      </w:pPr>
      <w:r>
        <w:rPr>
          <w:rFonts w:hint="eastAsia" w:ascii="仿宋" w:hAnsi="仿宋"/>
          <w:color w:val="auto"/>
          <w:sz w:val="28"/>
          <w:szCs w:val="28"/>
        </w:rPr>
        <w:t>秦汉新城处于渭河南北两岸阶地区，属于西安凹陷北部。新生代以来堆积了巨厚的松散沉积物，地下300m以内皆为第四纪松散堆积物，含水岩性为砂、砂砾卵石和部分黄土。各含水层在垂直方向与弱透水层成不等厚互层或夹层重叠。尤其是数十米的粗粒相冲积层，蕴藏着丰富的水资源。根据地下水的赋存条件和水力特征，分为潜水和承压水两类。</w:t>
      </w:r>
    </w:p>
    <w:p>
      <w:pPr>
        <w:pStyle w:val="39"/>
        <w:snapToGrid/>
        <w:spacing w:after="0"/>
        <w:ind w:left="0" w:leftChars="0" w:firstLine="560"/>
        <w:rPr>
          <w:rFonts w:ascii="仿宋" w:hAnsi="仿宋"/>
          <w:color w:val="auto"/>
          <w:sz w:val="28"/>
          <w:szCs w:val="28"/>
        </w:rPr>
      </w:pPr>
      <w:r>
        <w:rPr>
          <w:rFonts w:hint="eastAsia" w:ascii="仿宋" w:hAnsi="仿宋"/>
          <w:color w:val="auto"/>
          <w:sz w:val="28"/>
          <w:szCs w:val="28"/>
        </w:rPr>
        <w:t>渭河河漫滩区属强富水区，潜水埋深一般小于10m；渭河一级阶地区为强富水区，潜水埋深一般在10～20m之间；渭河二级阶地区为较强富水区，从阶地前缘向后缘，富水性逐渐变弱，潜水埋深一般为10～20m；渭河三级阶地区为中等富水区，潜水埋深为30～60m；黄土塬区为极弱富水区，潜水埋深大于60m。</w:t>
      </w:r>
    </w:p>
    <w:p>
      <w:pPr>
        <w:pStyle w:val="4"/>
        <w:rPr>
          <w:color w:val="auto"/>
          <w:szCs w:val="28"/>
        </w:rPr>
      </w:pPr>
      <w:bookmarkStart w:id="80" w:name="_Toc10566"/>
      <w:bookmarkStart w:id="81" w:name="_Toc25046"/>
      <w:bookmarkStart w:id="82" w:name="_Toc26462"/>
      <w:bookmarkStart w:id="83" w:name="_Toc474"/>
      <w:r>
        <w:rPr>
          <w:rFonts w:hint="eastAsia"/>
          <w:color w:val="auto"/>
          <w:szCs w:val="28"/>
        </w:rPr>
        <w:t>2.</w:t>
      </w:r>
      <w:r>
        <w:rPr>
          <w:color w:val="auto"/>
          <w:szCs w:val="28"/>
        </w:rPr>
        <w:t>3</w:t>
      </w:r>
      <w:r>
        <w:rPr>
          <w:rFonts w:hint="eastAsia"/>
          <w:color w:val="auto"/>
          <w:szCs w:val="28"/>
        </w:rPr>
        <w:t xml:space="preserve"> </w:t>
      </w:r>
      <w:bookmarkEnd w:id="80"/>
      <w:bookmarkEnd w:id="81"/>
      <w:bookmarkEnd w:id="82"/>
      <w:bookmarkEnd w:id="83"/>
      <w:r>
        <w:rPr>
          <w:rFonts w:hint="eastAsia"/>
          <w:color w:val="auto"/>
          <w:szCs w:val="28"/>
        </w:rPr>
        <w:t>企业周围环境情况</w:t>
      </w:r>
    </w:p>
    <w:p>
      <w:pPr>
        <w:pStyle w:val="36"/>
        <w:widowControl w:val="0"/>
        <w:spacing w:before="0" w:beforeAutospacing="0" w:after="0" w:afterAutospacing="0"/>
        <w:outlineLvl w:val="2"/>
        <w:rPr>
          <w:rFonts w:ascii="Times New Roman" w:hAnsi="Times New Roman" w:eastAsia="仿宋" w:cs="Times New Roman"/>
          <w:b/>
          <w:bCs/>
          <w:color w:val="auto"/>
          <w:spacing w:val="-1"/>
          <w:sz w:val="28"/>
          <w:szCs w:val="28"/>
          <w:lang w:bidi="ar"/>
        </w:rPr>
      </w:pPr>
      <w:r>
        <w:rPr>
          <w:rFonts w:hint="eastAsia" w:ascii="Times New Roman" w:hAnsi="Times New Roman" w:eastAsia="仿宋" w:cs="Times New Roman"/>
          <w:b/>
          <w:bCs/>
          <w:color w:val="auto"/>
          <w:spacing w:val="-1"/>
          <w:sz w:val="28"/>
          <w:szCs w:val="28"/>
          <w:lang w:bidi="ar"/>
        </w:rPr>
        <w:t>2</w:t>
      </w:r>
      <w:r>
        <w:rPr>
          <w:rFonts w:ascii="Times New Roman" w:hAnsi="Times New Roman" w:eastAsia="仿宋" w:cs="Times New Roman"/>
          <w:b/>
          <w:bCs/>
          <w:color w:val="auto"/>
          <w:spacing w:val="-1"/>
          <w:sz w:val="28"/>
          <w:szCs w:val="28"/>
          <w:lang w:bidi="ar"/>
        </w:rPr>
        <w:t xml:space="preserve">.3.1 </w:t>
      </w:r>
      <w:r>
        <w:rPr>
          <w:rFonts w:hint="eastAsia" w:ascii="Times New Roman" w:hAnsi="Times New Roman" w:eastAsia="仿宋" w:cs="Times New Roman"/>
          <w:b/>
          <w:bCs/>
          <w:color w:val="auto"/>
          <w:spacing w:val="-1"/>
          <w:sz w:val="28"/>
          <w:szCs w:val="28"/>
          <w:lang w:bidi="ar"/>
        </w:rPr>
        <w:t>环境功能区划</w:t>
      </w:r>
    </w:p>
    <w:p>
      <w:pPr>
        <w:autoSpaceDE w:val="0"/>
        <w:autoSpaceDN w:val="0"/>
        <w:ind w:firstLine="482"/>
        <w:jc w:val="center"/>
        <w:rPr>
          <w:rFonts w:ascii="仿宋" w:hAnsi="仿宋"/>
          <w:b/>
          <w:color w:val="auto"/>
          <w:kern w:val="0"/>
          <w:sz w:val="24"/>
          <w:lang w:val="zh-CN"/>
        </w:rPr>
      </w:pPr>
      <w:r>
        <w:rPr>
          <w:rFonts w:ascii="仿宋" w:hAnsi="仿宋"/>
          <w:b/>
          <w:color w:val="auto"/>
          <w:kern w:val="0"/>
          <w:sz w:val="24"/>
          <w:lang w:val="zh-CN"/>
        </w:rPr>
        <w:t>表2-3    环境功能区划</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2028"/>
        <w:gridCol w:w="1947"/>
        <w:gridCol w:w="51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环境要素</w:t>
            </w:r>
          </w:p>
        </w:tc>
        <w:tc>
          <w:tcPr>
            <w:tcW w:w="1067" w:type="pct"/>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环境功能区划</w:t>
            </w:r>
          </w:p>
        </w:tc>
        <w:tc>
          <w:tcPr>
            <w:tcW w:w="2822" w:type="pct"/>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执行标准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环境空气</w:t>
            </w:r>
          </w:p>
        </w:tc>
        <w:tc>
          <w:tcPr>
            <w:tcW w:w="1067"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二类区</w:t>
            </w:r>
          </w:p>
        </w:tc>
        <w:tc>
          <w:tcPr>
            <w:tcW w:w="282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《环境空气质量标准》(GB 3095-2012)</w:t>
            </w:r>
            <w:r>
              <w:rPr>
                <w:rFonts w:hint="eastAsia" w:ascii="仿宋" w:hAnsi="仿宋"/>
                <w:color w:val="auto"/>
                <w:sz w:val="24"/>
              </w:rPr>
              <w:t>及其2</w:t>
            </w:r>
            <w:r>
              <w:rPr>
                <w:rFonts w:ascii="仿宋" w:hAnsi="仿宋"/>
                <w:color w:val="auto"/>
                <w:sz w:val="24"/>
              </w:rPr>
              <w:t>018</w:t>
            </w:r>
            <w:r>
              <w:rPr>
                <w:rFonts w:hint="eastAsia" w:ascii="仿宋" w:hAnsi="仿宋"/>
                <w:color w:val="auto"/>
                <w:sz w:val="24"/>
              </w:rPr>
              <w:t>年修改单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地表水</w:t>
            </w:r>
            <w:r>
              <w:rPr>
                <w:rFonts w:hint="eastAsia" w:ascii="仿宋" w:hAnsi="仿宋"/>
                <w:color w:val="auto"/>
                <w:sz w:val="24"/>
              </w:rPr>
              <w:t>环境</w:t>
            </w:r>
          </w:p>
        </w:tc>
        <w:tc>
          <w:tcPr>
            <w:tcW w:w="1067"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4 \* ROMAN</w:instrText>
            </w:r>
            <w:r>
              <w:rPr>
                <w:rFonts w:ascii="仿宋" w:hAnsi="仿宋"/>
                <w:color w:val="auto"/>
                <w:sz w:val="24"/>
              </w:rPr>
              <w:instrText xml:space="preserve"> </w:instrText>
            </w:r>
            <w:r>
              <w:rPr>
                <w:rFonts w:ascii="仿宋" w:hAnsi="仿宋"/>
                <w:color w:val="auto"/>
                <w:sz w:val="24"/>
              </w:rPr>
              <w:fldChar w:fldCharType="separate"/>
            </w:r>
            <w:r>
              <w:rPr>
                <w:rFonts w:ascii="仿宋" w:hAnsi="仿宋"/>
                <w:color w:val="auto"/>
                <w:sz w:val="24"/>
              </w:rPr>
              <w:t>IV</w:t>
            </w:r>
            <w:r>
              <w:rPr>
                <w:rFonts w:ascii="仿宋" w:hAnsi="仿宋"/>
                <w:color w:val="auto"/>
                <w:sz w:val="24"/>
              </w:rPr>
              <w:fldChar w:fldCharType="end"/>
            </w:r>
            <w:r>
              <w:rPr>
                <w:rFonts w:ascii="仿宋" w:hAnsi="仿宋"/>
                <w:color w:val="auto"/>
                <w:sz w:val="24"/>
              </w:rPr>
              <w:t>类水体</w:t>
            </w:r>
          </w:p>
        </w:tc>
        <w:tc>
          <w:tcPr>
            <w:tcW w:w="282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《地表水环境质量标准》(GB 3838-2002)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地下水</w:t>
            </w:r>
            <w:r>
              <w:rPr>
                <w:rFonts w:hint="eastAsia" w:ascii="仿宋" w:hAnsi="仿宋"/>
                <w:color w:val="auto"/>
                <w:sz w:val="24"/>
              </w:rPr>
              <w:t>环境</w:t>
            </w:r>
          </w:p>
        </w:tc>
        <w:tc>
          <w:tcPr>
            <w:tcW w:w="106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Ⅲ</w:t>
            </w:r>
            <w:r>
              <w:rPr>
                <w:rFonts w:ascii="仿宋" w:hAnsi="仿宋"/>
                <w:color w:val="auto"/>
                <w:sz w:val="24"/>
              </w:rPr>
              <w:t>类水体</w:t>
            </w:r>
          </w:p>
        </w:tc>
        <w:tc>
          <w:tcPr>
            <w:tcW w:w="282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《地下水质量标准》(GB/T 14848-2017)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声</w:t>
            </w:r>
            <w:r>
              <w:rPr>
                <w:rFonts w:hint="eastAsia" w:ascii="仿宋" w:hAnsi="仿宋"/>
                <w:color w:val="auto"/>
                <w:sz w:val="24"/>
              </w:rPr>
              <w:t>环境</w:t>
            </w:r>
          </w:p>
        </w:tc>
        <w:tc>
          <w:tcPr>
            <w:tcW w:w="1067"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2</w:t>
            </w:r>
            <w:r>
              <w:rPr>
                <w:rFonts w:hint="eastAsia" w:ascii="仿宋" w:hAnsi="仿宋"/>
                <w:color w:val="auto"/>
                <w:sz w:val="24"/>
              </w:rPr>
              <w:t>类、</w:t>
            </w:r>
            <w:r>
              <w:rPr>
                <w:rFonts w:ascii="仿宋" w:hAnsi="仿宋"/>
                <w:color w:val="auto"/>
                <w:sz w:val="24"/>
              </w:rPr>
              <w:t>3类</w:t>
            </w:r>
          </w:p>
        </w:tc>
        <w:tc>
          <w:tcPr>
            <w:tcW w:w="2822" w:type="pct"/>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《声环境质量标准》(GB 3096-2008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1111"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土壤环境</w:t>
            </w:r>
          </w:p>
        </w:tc>
        <w:tc>
          <w:tcPr>
            <w:tcW w:w="1067"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第二类用地</w:t>
            </w:r>
          </w:p>
        </w:tc>
        <w:tc>
          <w:tcPr>
            <w:tcW w:w="2822" w:type="pct"/>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《土壤环境质量标准 建设用地土壤污染风险管控标准（试行）》（GB36600-2018）</w:t>
            </w:r>
          </w:p>
        </w:tc>
      </w:tr>
    </w:tbl>
    <w:p>
      <w:pPr>
        <w:pStyle w:val="36"/>
        <w:widowControl w:val="0"/>
        <w:spacing w:before="0" w:beforeAutospacing="0" w:after="0" w:afterAutospacing="0"/>
        <w:outlineLvl w:val="2"/>
        <w:rPr>
          <w:rFonts w:ascii="Times New Roman" w:hAnsi="Times New Roman" w:eastAsia="仿宋" w:cs="Times New Roman"/>
          <w:b/>
          <w:bCs/>
          <w:color w:val="auto"/>
          <w:spacing w:val="-1"/>
          <w:sz w:val="28"/>
          <w:szCs w:val="28"/>
          <w:lang w:bidi="ar"/>
        </w:rPr>
      </w:pPr>
      <w:r>
        <w:rPr>
          <w:rFonts w:hint="eastAsia" w:ascii="Times New Roman" w:hAnsi="Times New Roman" w:eastAsia="仿宋" w:cs="Times New Roman"/>
          <w:b/>
          <w:bCs/>
          <w:color w:val="auto"/>
          <w:spacing w:val="-1"/>
          <w:sz w:val="28"/>
          <w:szCs w:val="28"/>
          <w:lang w:bidi="ar"/>
        </w:rPr>
        <w:t>2</w:t>
      </w:r>
      <w:r>
        <w:rPr>
          <w:rFonts w:ascii="Times New Roman" w:hAnsi="Times New Roman" w:eastAsia="仿宋" w:cs="Times New Roman"/>
          <w:b/>
          <w:bCs/>
          <w:color w:val="auto"/>
          <w:spacing w:val="-1"/>
          <w:sz w:val="28"/>
          <w:szCs w:val="28"/>
          <w:lang w:bidi="ar"/>
        </w:rPr>
        <w:t xml:space="preserve">.3.2 </w:t>
      </w:r>
      <w:r>
        <w:rPr>
          <w:rFonts w:hint="eastAsia" w:ascii="Times New Roman" w:hAnsi="Times New Roman" w:eastAsia="仿宋" w:cs="Times New Roman"/>
          <w:b/>
          <w:bCs/>
          <w:color w:val="auto"/>
          <w:spacing w:val="-1"/>
          <w:sz w:val="28"/>
          <w:szCs w:val="28"/>
          <w:lang w:bidi="ar"/>
        </w:rPr>
        <w:t>环境风险受体</w:t>
      </w:r>
    </w:p>
    <w:p>
      <w:pPr>
        <w:pStyle w:val="36"/>
        <w:widowControl w:val="0"/>
        <w:spacing w:before="0" w:beforeAutospacing="0" w:after="0" w:afterAutospacing="0"/>
        <w:ind w:firstLine="556" w:firstLineChars="200"/>
        <w:rPr>
          <w:rFonts w:ascii="仿宋" w:hAnsi="仿宋" w:eastAsia="仿宋" w:cs="Times New Roman"/>
          <w:color w:val="auto"/>
          <w:spacing w:val="-1"/>
          <w:sz w:val="28"/>
          <w:szCs w:val="28"/>
          <w:lang w:bidi="ar"/>
        </w:rPr>
      </w:pPr>
      <w:bookmarkStart w:id="84" w:name="_Hlk59804895"/>
      <w:r>
        <w:rPr>
          <w:rFonts w:ascii="仿宋" w:hAnsi="仿宋" w:eastAsia="仿宋" w:cs="Times New Roman"/>
          <w:color w:val="auto"/>
          <w:spacing w:val="-1"/>
          <w:sz w:val="28"/>
          <w:szCs w:val="28"/>
          <w:lang w:bidi="ar"/>
        </w:rPr>
        <w:fldChar w:fldCharType="begin"/>
      </w:r>
      <w:r>
        <w:rPr>
          <w:rFonts w:ascii="仿宋" w:hAnsi="仿宋" w:eastAsia="仿宋" w:cs="Times New Roman"/>
          <w:color w:val="auto"/>
          <w:spacing w:val="-1"/>
          <w:sz w:val="28"/>
          <w:szCs w:val="28"/>
          <w:lang w:bidi="ar"/>
        </w:rPr>
        <w:instrText xml:space="preserve"> </w:instrText>
      </w:r>
      <w:r>
        <w:rPr>
          <w:rFonts w:hint="eastAsia" w:ascii="仿宋" w:hAnsi="仿宋" w:eastAsia="仿宋" w:cs="Times New Roman"/>
          <w:color w:val="auto"/>
          <w:spacing w:val="-1"/>
          <w:sz w:val="28"/>
          <w:szCs w:val="28"/>
          <w:lang w:bidi="ar"/>
        </w:rPr>
        <w:instrText xml:space="preserve">= 1 \* GB2</w:instrText>
      </w:r>
      <w:r>
        <w:rPr>
          <w:rFonts w:ascii="仿宋" w:hAnsi="仿宋" w:eastAsia="仿宋" w:cs="Times New Roman"/>
          <w:color w:val="auto"/>
          <w:spacing w:val="-1"/>
          <w:sz w:val="28"/>
          <w:szCs w:val="28"/>
          <w:lang w:bidi="ar"/>
        </w:rPr>
        <w:instrText xml:space="preserve"> </w:instrText>
      </w:r>
      <w:r>
        <w:rPr>
          <w:rFonts w:ascii="仿宋" w:hAnsi="仿宋" w:eastAsia="仿宋" w:cs="Times New Roman"/>
          <w:color w:val="auto"/>
          <w:spacing w:val="-1"/>
          <w:sz w:val="28"/>
          <w:szCs w:val="28"/>
          <w:lang w:bidi="ar"/>
        </w:rPr>
        <w:fldChar w:fldCharType="separate"/>
      </w:r>
      <w:r>
        <w:rPr>
          <w:rFonts w:hint="eastAsia" w:ascii="仿宋" w:hAnsi="仿宋" w:eastAsia="仿宋" w:cs="Times New Roman"/>
          <w:color w:val="auto"/>
          <w:spacing w:val="-1"/>
          <w:sz w:val="28"/>
          <w:szCs w:val="28"/>
          <w:lang w:bidi="ar"/>
        </w:rPr>
        <w:t>⑴</w:t>
      </w:r>
      <w:r>
        <w:rPr>
          <w:rFonts w:ascii="仿宋" w:hAnsi="仿宋" w:eastAsia="仿宋" w:cs="Times New Roman"/>
          <w:color w:val="auto"/>
          <w:spacing w:val="-1"/>
          <w:sz w:val="28"/>
          <w:szCs w:val="28"/>
          <w:lang w:bidi="ar"/>
        </w:rPr>
        <w:fldChar w:fldCharType="end"/>
      </w:r>
      <w:r>
        <w:rPr>
          <w:rFonts w:ascii="仿宋" w:hAnsi="仿宋" w:eastAsia="仿宋" w:cs="Times New Roman"/>
          <w:color w:val="auto"/>
          <w:spacing w:val="-1"/>
          <w:sz w:val="28"/>
          <w:szCs w:val="28"/>
          <w:lang w:bidi="ar"/>
        </w:rPr>
        <w:t xml:space="preserve"> </w:t>
      </w:r>
      <w:r>
        <w:rPr>
          <w:rFonts w:hint="eastAsia" w:ascii="仿宋" w:hAnsi="仿宋" w:eastAsia="仿宋" w:cs="Times New Roman"/>
          <w:color w:val="auto"/>
          <w:spacing w:val="-1"/>
          <w:sz w:val="28"/>
          <w:szCs w:val="28"/>
          <w:lang w:bidi="ar"/>
        </w:rPr>
        <w:t>大气环境风险受体</w:t>
      </w:r>
    </w:p>
    <w:p>
      <w:pPr>
        <w:adjustRightInd/>
        <w:snapToGrid/>
        <w:ind w:firstLine="560"/>
        <w:rPr>
          <w:rFonts w:ascii="仿宋" w:hAnsi="仿宋"/>
          <w:b/>
          <w:bCs/>
          <w:color w:val="auto"/>
          <w:szCs w:val="28"/>
        </w:rPr>
      </w:pPr>
      <w:r>
        <w:rPr>
          <w:rFonts w:ascii="仿宋" w:hAnsi="仿宋"/>
          <w:color w:val="auto"/>
          <w:szCs w:val="28"/>
        </w:rPr>
        <w:t>大气环境风险受体调查范围为本企业厂界周边5000m和500m范围。本企业周边5000m和500m内的大气环境风险受体分布情况见表2-6。</w:t>
      </w:r>
    </w:p>
    <w:p>
      <w:pPr>
        <w:ind w:firstLine="482"/>
        <w:jc w:val="center"/>
        <w:rPr>
          <w:b/>
          <w:bCs/>
          <w:color w:val="auto"/>
          <w:sz w:val="24"/>
        </w:rPr>
      </w:pPr>
      <w:r>
        <w:rPr>
          <w:b/>
          <w:bCs/>
          <w:color w:val="auto"/>
          <w:sz w:val="24"/>
        </w:rPr>
        <w:t>表2-6</w:t>
      </w:r>
      <w:r>
        <w:rPr>
          <w:rFonts w:hint="eastAsia"/>
          <w:b/>
          <w:bCs/>
          <w:color w:val="auto"/>
          <w:sz w:val="24"/>
        </w:rPr>
        <w:t xml:space="preserve"> </w:t>
      </w:r>
      <w:r>
        <w:rPr>
          <w:b/>
          <w:bCs/>
          <w:color w:val="auto"/>
          <w:sz w:val="24"/>
        </w:rPr>
        <w:t xml:space="preserve">   </w:t>
      </w:r>
      <w:r>
        <w:rPr>
          <w:rFonts w:hint="eastAsia"/>
          <w:b/>
          <w:bCs/>
          <w:color w:val="auto"/>
          <w:sz w:val="24"/>
        </w:rPr>
        <w:t>大气环境风险受体分布表</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1"/>
        <w:gridCol w:w="2212"/>
        <w:gridCol w:w="1528"/>
        <w:gridCol w:w="1694"/>
        <w:gridCol w:w="1458"/>
        <w:gridCol w:w="14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485" w:type="pct"/>
            <w:shd w:val="clear" w:color="auto" w:fill="D9D9D9"/>
            <w:vAlign w:val="center"/>
          </w:tcPr>
          <w:p>
            <w:pPr>
              <w:pStyle w:val="57"/>
              <w:spacing w:beforeLines="0" w:line="240" w:lineRule="auto"/>
              <w:rPr>
                <w:rFonts w:ascii="仿宋" w:hAnsi="仿宋" w:eastAsia="仿宋"/>
                <w:bCs w:val="0"/>
                <w:color w:val="auto"/>
                <w:sz w:val="24"/>
                <w:szCs w:val="24"/>
              </w:rPr>
            </w:pPr>
            <w:bookmarkStart w:id="85" w:name="_Hlk60314006"/>
            <w:r>
              <w:rPr>
                <w:rFonts w:hint="eastAsia" w:ascii="仿宋" w:hAnsi="仿宋" w:eastAsia="仿宋"/>
                <w:bCs w:val="0"/>
                <w:color w:val="auto"/>
                <w:sz w:val="24"/>
                <w:szCs w:val="24"/>
              </w:rPr>
              <w:t>序号</w:t>
            </w:r>
          </w:p>
        </w:tc>
        <w:tc>
          <w:tcPr>
            <w:tcW w:w="1191" w:type="pct"/>
            <w:shd w:val="clear" w:color="auto" w:fill="D9D9D9"/>
            <w:vAlign w:val="center"/>
          </w:tcPr>
          <w:p>
            <w:pPr>
              <w:pStyle w:val="57"/>
              <w:spacing w:beforeLines="0" w:line="240" w:lineRule="auto"/>
              <w:rPr>
                <w:rFonts w:ascii="仿宋" w:hAnsi="仿宋" w:eastAsia="仿宋"/>
                <w:bCs w:val="0"/>
                <w:color w:val="auto"/>
                <w:sz w:val="24"/>
                <w:szCs w:val="24"/>
              </w:rPr>
            </w:pPr>
            <w:r>
              <w:rPr>
                <w:rFonts w:hint="eastAsia" w:ascii="仿宋" w:hAnsi="仿宋" w:eastAsia="仿宋"/>
                <w:bCs w:val="0"/>
                <w:color w:val="auto"/>
                <w:sz w:val="24"/>
                <w:szCs w:val="24"/>
              </w:rPr>
              <w:t>环境风险受体名称</w:t>
            </w:r>
          </w:p>
        </w:tc>
        <w:tc>
          <w:tcPr>
            <w:tcW w:w="823" w:type="pct"/>
            <w:shd w:val="clear" w:color="auto" w:fill="D9D9D9"/>
            <w:vAlign w:val="center"/>
          </w:tcPr>
          <w:p>
            <w:pPr>
              <w:pStyle w:val="57"/>
              <w:spacing w:beforeLines="0" w:line="240" w:lineRule="auto"/>
              <w:rPr>
                <w:rFonts w:ascii="仿宋" w:hAnsi="仿宋" w:eastAsia="仿宋"/>
                <w:bCs w:val="0"/>
                <w:color w:val="auto"/>
                <w:sz w:val="24"/>
                <w:szCs w:val="24"/>
              </w:rPr>
            </w:pPr>
            <w:r>
              <w:rPr>
                <w:rFonts w:hint="eastAsia" w:ascii="仿宋" w:hAnsi="仿宋" w:eastAsia="仿宋"/>
                <w:bCs w:val="0"/>
                <w:color w:val="auto"/>
                <w:sz w:val="24"/>
                <w:szCs w:val="24"/>
              </w:rPr>
              <w:t>相对</w:t>
            </w:r>
            <w:r>
              <w:rPr>
                <w:rFonts w:ascii="仿宋" w:hAnsi="仿宋" w:eastAsia="仿宋"/>
                <w:bCs w:val="0"/>
                <w:color w:val="auto"/>
                <w:sz w:val="24"/>
                <w:szCs w:val="24"/>
              </w:rPr>
              <w:t>方位</w:t>
            </w:r>
          </w:p>
        </w:tc>
        <w:tc>
          <w:tcPr>
            <w:tcW w:w="912" w:type="pct"/>
            <w:shd w:val="clear" w:color="auto" w:fill="D9D9D9"/>
            <w:vAlign w:val="center"/>
          </w:tcPr>
          <w:p>
            <w:pPr>
              <w:pStyle w:val="57"/>
              <w:spacing w:beforeLines="0" w:line="240" w:lineRule="auto"/>
              <w:rPr>
                <w:rFonts w:ascii="仿宋" w:hAnsi="仿宋" w:eastAsia="仿宋"/>
                <w:bCs w:val="0"/>
                <w:color w:val="auto"/>
                <w:sz w:val="24"/>
                <w:szCs w:val="24"/>
              </w:rPr>
            </w:pPr>
            <w:r>
              <w:rPr>
                <w:rFonts w:hint="eastAsia" w:ascii="仿宋" w:hAnsi="仿宋" w:eastAsia="仿宋"/>
                <w:bCs w:val="0"/>
                <w:color w:val="auto"/>
                <w:sz w:val="24"/>
                <w:szCs w:val="24"/>
              </w:rPr>
              <w:t>距离</w:t>
            </w:r>
            <w:r>
              <w:rPr>
                <w:rFonts w:ascii="仿宋" w:hAnsi="仿宋" w:eastAsia="仿宋"/>
                <w:bCs w:val="0"/>
                <w:color w:val="auto"/>
                <w:sz w:val="24"/>
                <w:szCs w:val="24"/>
              </w:rPr>
              <w:t>（</w:t>
            </w:r>
            <w:r>
              <w:rPr>
                <w:rFonts w:hint="eastAsia" w:ascii="仿宋" w:hAnsi="仿宋" w:eastAsia="仿宋"/>
                <w:bCs w:val="0"/>
                <w:color w:val="auto"/>
                <w:sz w:val="24"/>
                <w:szCs w:val="24"/>
              </w:rPr>
              <w:t>m</w:t>
            </w:r>
            <w:r>
              <w:rPr>
                <w:rFonts w:ascii="仿宋" w:hAnsi="仿宋" w:eastAsia="仿宋"/>
                <w:bCs w:val="0"/>
                <w:color w:val="auto"/>
                <w:sz w:val="24"/>
                <w:szCs w:val="24"/>
              </w:rPr>
              <w:t>）</w:t>
            </w:r>
          </w:p>
        </w:tc>
        <w:tc>
          <w:tcPr>
            <w:tcW w:w="785" w:type="pct"/>
            <w:shd w:val="clear" w:color="auto" w:fill="D9D9D9"/>
            <w:vAlign w:val="center"/>
          </w:tcPr>
          <w:p>
            <w:pPr>
              <w:pStyle w:val="57"/>
              <w:spacing w:beforeLines="0" w:line="240" w:lineRule="auto"/>
              <w:rPr>
                <w:rFonts w:ascii="仿宋" w:hAnsi="仿宋" w:eastAsia="仿宋"/>
                <w:bCs w:val="0"/>
                <w:color w:val="auto"/>
                <w:sz w:val="24"/>
                <w:szCs w:val="24"/>
              </w:rPr>
            </w:pPr>
            <w:r>
              <w:rPr>
                <w:rFonts w:hint="eastAsia" w:ascii="仿宋" w:hAnsi="仿宋" w:eastAsia="仿宋"/>
                <w:bCs w:val="0"/>
                <w:color w:val="auto"/>
                <w:sz w:val="24"/>
                <w:szCs w:val="24"/>
              </w:rPr>
              <w:t>属性</w:t>
            </w:r>
          </w:p>
        </w:tc>
        <w:tc>
          <w:tcPr>
            <w:tcW w:w="804" w:type="pct"/>
            <w:shd w:val="clear" w:color="auto" w:fill="D9D9D9"/>
            <w:vAlign w:val="center"/>
          </w:tcPr>
          <w:p>
            <w:pPr>
              <w:pStyle w:val="57"/>
              <w:spacing w:beforeLines="0" w:line="240" w:lineRule="auto"/>
              <w:rPr>
                <w:rFonts w:ascii="仿宋" w:hAnsi="仿宋" w:eastAsia="仿宋"/>
                <w:bCs w:val="0"/>
                <w:color w:val="auto"/>
                <w:sz w:val="24"/>
                <w:szCs w:val="24"/>
              </w:rPr>
            </w:pPr>
            <w:r>
              <w:rPr>
                <w:rFonts w:hint="eastAsia" w:ascii="仿宋" w:hAnsi="仿宋" w:eastAsia="仿宋"/>
                <w:bCs w:val="0"/>
                <w:color w:val="auto"/>
                <w:sz w:val="24"/>
                <w:szCs w:val="24"/>
              </w:rPr>
              <w:t>人口数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ascii="仿宋" w:hAnsi="仿宋" w:eastAsia="仿宋"/>
                <w:b w:val="0"/>
                <w:bCs w:val="0"/>
                <w:color w:val="auto"/>
                <w:sz w:val="24"/>
                <w:szCs w:val="24"/>
              </w:rPr>
              <w:t>1</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马神庙</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34</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ascii="仿宋" w:hAnsi="仿宋" w:eastAsia="仿宋"/>
                <w:b w:val="0"/>
                <w:bCs w:val="0"/>
                <w:color w:val="auto"/>
                <w:sz w:val="24"/>
                <w:szCs w:val="24"/>
              </w:rPr>
              <w:t>2</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渭电社区</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紧邻</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ascii="仿宋" w:hAnsi="仿宋" w:eastAsia="仿宋"/>
                <w:b w:val="0"/>
                <w:bCs w:val="0"/>
                <w:color w:val="auto"/>
                <w:sz w:val="24"/>
                <w:szCs w:val="24"/>
              </w:rPr>
              <w:t>4</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岩张村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83</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ascii="仿宋" w:hAnsi="仿宋" w:eastAsia="仿宋"/>
                <w:b w:val="0"/>
                <w:bCs w:val="0"/>
                <w:color w:val="auto"/>
                <w:sz w:val="24"/>
                <w:szCs w:val="24"/>
              </w:rPr>
              <w:t>5</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陕西泾渭新能源科技有限公司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20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ascii="仿宋" w:hAnsi="仿宋" w:eastAsia="仿宋"/>
                <w:b w:val="0"/>
                <w:bCs w:val="0"/>
                <w:color w:val="auto"/>
                <w:sz w:val="24"/>
                <w:szCs w:val="24"/>
              </w:rPr>
              <w:t>6</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正元公司铸造厂</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紧邻</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ascii="仿宋" w:hAnsi="仿宋" w:eastAsia="仿宋"/>
                <w:b w:val="0"/>
                <w:bCs w:val="0"/>
                <w:color w:val="auto"/>
                <w:sz w:val="24"/>
                <w:szCs w:val="24"/>
              </w:rPr>
              <w:t>7</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陕西正元粉煤灰综合利用有限公司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紧邻</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21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8</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陕西华兴密封科技有限公司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10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9</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陕西宇澳电器公司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40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0</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秦汉新城第三医院</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75</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医院</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1</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兰池佳苑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12</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2</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兰池学校</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05</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学校</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9</w:t>
            </w:r>
            <w:r>
              <w:rPr>
                <w:rFonts w:ascii="仿宋" w:hAnsi="仿宋" w:eastAsia="仿宋"/>
                <w:b w:val="0"/>
                <w:color w:val="auto"/>
                <w:sz w:val="24"/>
                <w:szCs w:val="24"/>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3</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柏家咀村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300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368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4</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肖家村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7</w:t>
            </w:r>
            <w:r>
              <w:rPr>
                <w:rFonts w:ascii="仿宋" w:hAnsi="仿宋" w:eastAsia="仿宋"/>
                <w:b w:val="0"/>
                <w:color w:val="auto"/>
                <w:sz w:val="24"/>
                <w:szCs w:val="24"/>
              </w:rPr>
              <w:t>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5</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马家湾村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000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6</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张家湾村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200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8</w:t>
            </w:r>
            <w:r>
              <w:rPr>
                <w:rFonts w:ascii="仿宋" w:hAnsi="仿宋" w:eastAsia="仿宋"/>
                <w:b w:val="0"/>
                <w:color w:val="auto"/>
                <w:sz w:val="24"/>
                <w:szCs w:val="24"/>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7</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穆家村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700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8</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九张村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7</w:t>
            </w:r>
            <w:r>
              <w:rPr>
                <w:rFonts w:ascii="仿宋" w:hAnsi="仿宋" w:eastAsia="仿宋"/>
                <w:b w:val="0"/>
                <w:color w:val="auto"/>
                <w:sz w:val="24"/>
                <w:szCs w:val="24"/>
              </w:rPr>
              <w:t>15</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1</w:t>
            </w:r>
            <w:r>
              <w:rPr>
                <w:rFonts w:ascii="仿宋" w:hAnsi="仿宋" w:eastAsia="仿宋"/>
                <w:b w:val="0"/>
                <w:bCs w:val="0"/>
                <w:color w:val="auto"/>
                <w:sz w:val="24"/>
                <w:szCs w:val="24"/>
              </w:rPr>
              <w:t>9</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任家沟村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8</w:t>
            </w:r>
            <w:r>
              <w:rPr>
                <w:rFonts w:ascii="仿宋" w:hAnsi="仿宋" w:eastAsia="仿宋"/>
                <w:b w:val="0"/>
                <w:color w:val="auto"/>
                <w:sz w:val="24"/>
                <w:szCs w:val="24"/>
              </w:rPr>
              <w:t>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510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0</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杨家湾村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80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8</w:t>
            </w:r>
            <w:r>
              <w:rPr>
                <w:rFonts w:ascii="仿宋" w:hAnsi="仿宋" w:eastAsia="仿宋"/>
                <w:b w:val="0"/>
                <w:color w:val="auto"/>
                <w:sz w:val="24"/>
                <w:szCs w:val="24"/>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1</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毛庞村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60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569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2</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排村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37~1322</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8</w:t>
            </w:r>
            <w:r>
              <w:rPr>
                <w:rFonts w:ascii="仿宋" w:hAnsi="仿宋" w:eastAsia="仿宋"/>
                <w:b w:val="0"/>
                <w:color w:val="auto"/>
                <w:sz w:val="24"/>
                <w:szCs w:val="24"/>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3</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东史村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p>
        </w:tc>
        <w:tc>
          <w:tcPr>
            <w:tcW w:w="912"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2100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4</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马家堡</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r>
              <w:rPr>
                <w:rFonts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2800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5</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怡魏村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r>
              <w:rPr>
                <w:rFonts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3600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6</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徐家寨村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250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7</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王家堡村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000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8</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费家崖村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980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2</w:t>
            </w:r>
            <w:r>
              <w:rPr>
                <w:rFonts w:ascii="仿宋" w:hAnsi="仿宋" w:eastAsia="仿宋"/>
                <w:b w:val="0"/>
                <w:bCs w:val="0"/>
                <w:color w:val="auto"/>
                <w:sz w:val="24"/>
                <w:szCs w:val="24"/>
              </w:rPr>
              <w:t>9</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宋家崖</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700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0</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赵家堡</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270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1</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樊家堡</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880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2</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马鼻梁</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700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3</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联家沟</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315</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4</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高庄村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400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5</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毕家窑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830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6</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刘家沟村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126</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7</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三义村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908</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690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8</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三家沟</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455</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3</w:t>
            </w:r>
            <w:r>
              <w:rPr>
                <w:rFonts w:ascii="仿宋" w:hAnsi="仿宋" w:eastAsia="仿宋"/>
                <w:b w:val="0"/>
                <w:bCs w:val="0"/>
                <w:color w:val="auto"/>
                <w:sz w:val="24"/>
                <w:szCs w:val="24"/>
              </w:rPr>
              <w:t>9</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秦汉中学</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r>
              <w:rPr>
                <w:rFonts w:ascii="仿宋" w:hAnsi="仿宋" w:eastAsia="仿宋"/>
                <w:b w:val="0"/>
                <w:color w:val="auto"/>
                <w:sz w:val="24"/>
                <w:szCs w:val="24"/>
              </w:rPr>
              <w:t>W</w:t>
            </w:r>
          </w:p>
        </w:tc>
        <w:tc>
          <w:tcPr>
            <w:tcW w:w="912"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3600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学校</w:t>
            </w:r>
          </w:p>
        </w:tc>
        <w:tc>
          <w:tcPr>
            <w:tcW w:w="804" w:type="pct"/>
            <w:vMerge w:val="restar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0</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秦汉小学</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500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学校</w:t>
            </w:r>
          </w:p>
        </w:tc>
        <w:tc>
          <w:tcPr>
            <w:tcW w:w="804" w:type="pct"/>
            <w:vMerge w:val="continue"/>
            <w:vAlign w:val="center"/>
          </w:tcPr>
          <w:p>
            <w:pPr>
              <w:pStyle w:val="57"/>
              <w:spacing w:beforeLines="0" w:line="240" w:lineRule="auto"/>
              <w:rPr>
                <w:rFonts w:ascii="仿宋" w:hAnsi="仿宋" w:eastAsia="仿宋"/>
                <w:b w:val="0"/>
                <w:color w:val="auto"/>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1</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联家沟</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r>
              <w:rPr>
                <w:rFonts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842</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2</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新庄村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t>
            </w:r>
            <w:r>
              <w:rPr>
                <w:rFonts w:ascii="仿宋" w:hAnsi="仿宋" w:eastAsia="仿宋"/>
                <w:b w:val="0"/>
                <w:color w:val="auto"/>
                <w:sz w:val="24"/>
                <w:szCs w:val="24"/>
              </w:rPr>
              <w:t>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630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居民点</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046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3</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恒大国际城</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3750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2120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4</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中南紫云集（在建）</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160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707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5</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东站小区</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150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040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6</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渭河家苑小区</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160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1470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7</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草滩佳苑</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160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360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8</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经发新北居</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160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8</w:t>
            </w:r>
            <w:r>
              <w:rPr>
                <w:rFonts w:ascii="仿宋" w:hAnsi="仿宋" w:eastAsia="仿宋"/>
                <w:b w:val="0"/>
                <w:color w:val="auto"/>
                <w:sz w:val="24"/>
                <w:szCs w:val="24"/>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4</w:t>
            </w:r>
            <w:r>
              <w:rPr>
                <w:rFonts w:ascii="仿宋" w:hAnsi="仿宋" w:eastAsia="仿宋"/>
                <w:b w:val="0"/>
                <w:bCs w:val="0"/>
                <w:color w:val="auto"/>
                <w:sz w:val="24"/>
                <w:szCs w:val="24"/>
              </w:rPr>
              <w:t>9</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碧桂园文景府（在建）</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160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住宅小区</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0</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西安经开第三小学</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4</w:t>
            </w:r>
            <w:r>
              <w:rPr>
                <w:rFonts w:ascii="仿宋" w:hAnsi="仿宋" w:eastAsia="仿宋"/>
                <w:b w:val="0"/>
                <w:color w:val="auto"/>
                <w:sz w:val="24"/>
                <w:szCs w:val="24"/>
              </w:rPr>
              <w:t>400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学校</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1</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大唐陕西发电有限公司渭河热电厂</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NW</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7</w:t>
            </w:r>
            <w:r>
              <w:rPr>
                <w:rFonts w:ascii="仿宋" w:hAnsi="仿宋" w:eastAsia="仿宋"/>
                <w:b w:val="0"/>
                <w:color w:val="auto"/>
                <w:sz w:val="24"/>
                <w:szCs w:val="24"/>
              </w:rPr>
              <w:t>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647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2</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西安亚泰洗涤有限公司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3</w:t>
            </w:r>
            <w:r>
              <w:rPr>
                <w:rFonts w:ascii="仿宋" w:hAnsi="仿宋" w:eastAsia="仿宋"/>
                <w:b w:val="0"/>
                <w:color w:val="auto"/>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3</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陕西超洁净洗涤科技有限公司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6</w:t>
            </w:r>
            <w:r>
              <w:rPr>
                <w:rFonts w:ascii="仿宋" w:hAnsi="仿宋" w:eastAsia="仿宋"/>
                <w:b w:val="0"/>
                <w:color w:val="auto"/>
                <w:sz w:val="24"/>
                <w:szCs w:val="24"/>
              </w:rPr>
              <w:t>70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4</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西安三航动力科技有限公司</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10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1</w:t>
            </w:r>
            <w:r>
              <w:rPr>
                <w:rFonts w:ascii="仿宋" w:hAnsi="仿宋" w:eastAsia="仿宋"/>
                <w:b w:val="0"/>
                <w:color w:val="auto"/>
                <w:sz w:val="24"/>
                <w:szCs w:val="24"/>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5</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西安市涉外旅游职业学校</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w:t>
            </w:r>
          </w:p>
        </w:tc>
        <w:tc>
          <w:tcPr>
            <w:tcW w:w="912"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t>1420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学校</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631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6</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陕西有色新能源工业园</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9</w:t>
            </w:r>
            <w:r>
              <w:rPr>
                <w:rFonts w:ascii="仿宋" w:hAnsi="仿宋" w:eastAsia="仿宋"/>
                <w:b w:val="0"/>
                <w:color w:val="auto"/>
                <w:sz w:val="24"/>
                <w:szCs w:val="24"/>
              </w:rPr>
              <w:t>70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7</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陕西新能源汽车城</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SE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8</w:t>
            </w:r>
            <w:r>
              <w:rPr>
                <w:rFonts w:ascii="仿宋" w:hAnsi="仿宋" w:eastAsia="仿宋"/>
                <w:b w:val="0"/>
                <w:color w:val="auto"/>
                <w:sz w:val="24"/>
                <w:szCs w:val="24"/>
              </w:rPr>
              <w:t>80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企业</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5</w:t>
            </w:r>
            <w:r>
              <w:rPr>
                <w:rFonts w:ascii="仿宋" w:hAnsi="仿宋" w:eastAsia="仿宋"/>
                <w:b w:val="0"/>
                <w:color w:val="auto"/>
                <w:sz w:val="24"/>
                <w:szCs w:val="24"/>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85" w:type="pct"/>
            <w:vAlign w:val="center"/>
          </w:tcPr>
          <w:p>
            <w:pPr>
              <w:pStyle w:val="57"/>
              <w:spacing w:beforeLines="0" w:line="240" w:lineRule="auto"/>
              <w:rPr>
                <w:rFonts w:ascii="仿宋" w:hAnsi="仿宋" w:eastAsia="仿宋"/>
                <w:b w:val="0"/>
                <w:bCs w:val="0"/>
                <w:color w:val="auto"/>
                <w:sz w:val="24"/>
                <w:szCs w:val="24"/>
              </w:rPr>
            </w:pPr>
            <w:r>
              <w:rPr>
                <w:rFonts w:hint="eastAsia" w:ascii="仿宋" w:hAnsi="仿宋" w:eastAsia="仿宋"/>
                <w:b w:val="0"/>
                <w:bCs w:val="0"/>
                <w:color w:val="auto"/>
                <w:sz w:val="24"/>
                <w:szCs w:val="24"/>
              </w:rPr>
              <w:t>5</w:t>
            </w:r>
            <w:r>
              <w:rPr>
                <w:rFonts w:ascii="仿宋" w:hAnsi="仿宋" w:eastAsia="仿宋"/>
                <w:b w:val="0"/>
                <w:bCs w:val="0"/>
                <w:color w:val="auto"/>
                <w:sz w:val="24"/>
                <w:szCs w:val="24"/>
              </w:rPr>
              <w:t>8</w:t>
            </w:r>
          </w:p>
        </w:tc>
        <w:tc>
          <w:tcPr>
            <w:tcW w:w="1191"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汉景帝阳陵博物院</w:t>
            </w:r>
          </w:p>
        </w:tc>
        <w:tc>
          <w:tcPr>
            <w:tcW w:w="823"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NE</w:t>
            </w:r>
          </w:p>
        </w:tc>
        <w:tc>
          <w:tcPr>
            <w:tcW w:w="912"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700</w:t>
            </w:r>
          </w:p>
        </w:tc>
        <w:tc>
          <w:tcPr>
            <w:tcW w:w="785"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行政机关</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96" w:type="pct"/>
            <w:gridSpan w:val="5"/>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厂址</w:t>
            </w:r>
            <w:r>
              <w:rPr>
                <w:rFonts w:ascii="仿宋" w:hAnsi="仿宋" w:eastAsia="仿宋"/>
                <w:b w:val="0"/>
                <w:color w:val="auto"/>
                <w:sz w:val="24"/>
                <w:szCs w:val="24"/>
              </w:rPr>
              <w:t>周边</w:t>
            </w:r>
            <w:r>
              <w:rPr>
                <w:rFonts w:hint="eastAsia" w:ascii="仿宋" w:hAnsi="仿宋" w:eastAsia="仿宋"/>
                <w:b w:val="0"/>
                <w:color w:val="auto"/>
                <w:sz w:val="24"/>
                <w:szCs w:val="24"/>
              </w:rPr>
              <w:t>500m范围内</w:t>
            </w:r>
            <w:r>
              <w:rPr>
                <w:rFonts w:ascii="仿宋" w:hAnsi="仿宋" w:eastAsia="仿宋"/>
                <w:b w:val="0"/>
                <w:color w:val="auto"/>
                <w:sz w:val="24"/>
                <w:szCs w:val="24"/>
              </w:rPr>
              <w:t>人口数小计</w:t>
            </w:r>
          </w:p>
        </w:tc>
        <w:tc>
          <w:tcPr>
            <w:tcW w:w="804" w:type="pct"/>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2</w:t>
            </w:r>
            <w:r>
              <w:rPr>
                <w:rFonts w:ascii="仿宋" w:hAnsi="仿宋" w:eastAsia="仿宋"/>
                <w:b w:val="0"/>
                <w:color w:val="auto"/>
                <w:sz w:val="24"/>
                <w:szCs w:val="24"/>
              </w:rPr>
              <w:t>583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96" w:type="pct"/>
            <w:gridSpan w:val="5"/>
            <w:vAlign w:val="center"/>
          </w:tcPr>
          <w:p>
            <w:pPr>
              <w:pStyle w:val="57"/>
              <w:spacing w:beforeLines="0" w:line="240" w:lineRule="auto"/>
              <w:rPr>
                <w:rFonts w:ascii="仿宋" w:hAnsi="仿宋" w:eastAsia="仿宋"/>
                <w:b w:val="0"/>
                <w:color w:val="auto"/>
                <w:sz w:val="24"/>
                <w:szCs w:val="24"/>
              </w:rPr>
            </w:pPr>
            <w:r>
              <w:rPr>
                <w:rFonts w:hint="eastAsia" w:ascii="仿宋" w:hAnsi="仿宋" w:eastAsia="仿宋"/>
                <w:b w:val="0"/>
                <w:color w:val="auto"/>
                <w:sz w:val="24"/>
                <w:szCs w:val="24"/>
              </w:rPr>
              <w:t>厂址</w:t>
            </w:r>
            <w:r>
              <w:rPr>
                <w:rFonts w:ascii="仿宋" w:hAnsi="仿宋" w:eastAsia="仿宋"/>
                <w:b w:val="0"/>
                <w:color w:val="auto"/>
                <w:sz w:val="24"/>
                <w:szCs w:val="24"/>
              </w:rPr>
              <w:t>周边</w:t>
            </w:r>
            <w:r>
              <w:rPr>
                <w:rFonts w:hint="eastAsia" w:ascii="仿宋" w:hAnsi="仿宋" w:eastAsia="仿宋"/>
                <w:b w:val="0"/>
                <w:color w:val="auto"/>
                <w:sz w:val="24"/>
                <w:szCs w:val="24"/>
              </w:rPr>
              <w:t>5</w:t>
            </w:r>
            <w:r>
              <w:rPr>
                <w:rFonts w:ascii="仿宋" w:hAnsi="仿宋" w:eastAsia="仿宋"/>
                <w:b w:val="0"/>
                <w:color w:val="auto"/>
                <w:sz w:val="24"/>
                <w:szCs w:val="24"/>
              </w:rPr>
              <w:t>k</w:t>
            </w:r>
            <w:r>
              <w:rPr>
                <w:rFonts w:hint="eastAsia" w:ascii="仿宋" w:hAnsi="仿宋" w:eastAsia="仿宋"/>
                <w:b w:val="0"/>
                <w:color w:val="auto"/>
                <w:sz w:val="24"/>
                <w:szCs w:val="24"/>
              </w:rPr>
              <w:t>m范围内</w:t>
            </w:r>
            <w:r>
              <w:rPr>
                <w:rFonts w:ascii="仿宋" w:hAnsi="仿宋" w:eastAsia="仿宋"/>
                <w:b w:val="0"/>
                <w:color w:val="auto"/>
                <w:sz w:val="24"/>
                <w:szCs w:val="24"/>
              </w:rPr>
              <w:t>人口数小计</w:t>
            </w:r>
          </w:p>
        </w:tc>
        <w:tc>
          <w:tcPr>
            <w:tcW w:w="804" w:type="pct"/>
            <w:vAlign w:val="center"/>
          </w:tcPr>
          <w:p>
            <w:pPr>
              <w:pStyle w:val="57"/>
              <w:spacing w:beforeLines="0" w:line="240" w:lineRule="auto"/>
              <w:rPr>
                <w:rFonts w:ascii="仿宋" w:hAnsi="仿宋" w:eastAsia="仿宋"/>
                <w:b w:val="0"/>
                <w:color w:val="auto"/>
                <w:sz w:val="24"/>
                <w:szCs w:val="24"/>
              </w:rPr>
            </w:pPr>
            <w:r>
              <w:rPr>
                <w:rFonts w:ascii="仿宋" w:hAnsi="仿宋" w:eastAsia="仿宋"/>
                <w:b w:val="0"/>
                <w:color w:val="auto"/>
                <w:sz w:val="24"/>
                <w:szCs w:val="24"/>
              </w:rPr>
              <w:fldChar w:fldCharType="begin"/>
            </w:r>
            <w:r>
              <w:rPr>
                <w:rFonts w:ascii="仿宋" w:hAnsi="仿宋" w:eastAsia="仿宋"/>
                <w:b w:val="0"/>
                <w:color w:val="auto"/>
                <w:sz w:val="24"/>
                <w:szCs w:val="24"/>
              </w:rPr>
              <w:instrText xml:space="preserve"> </w:instrText>
            </w:r>
            <w:r>
              <w:rPr>
                <w:rFonts w:hint="eastAsia" w:ascii="仿宋" w:hAnsi="仿宋" w:eastAsia="仿宋"/>
                <w:b w:val="0"/>
                <w:color w:val="auto"/>
                <w:sz w:val="24"/>
                <w:szCs w:val="24"/>
              </w:rPr>
              <w:instrText xml:space="preserve">=SUM(ABOVE)</w:instrText>
            </w:r>
            <w:r>
              <w:rPr>
                <w:rFonts w:ascii="仿宋" w:hAnsi="仿宋" w:eastAsia="仿宋"/>
                <w:b w:val="0"/>
                <w:color w:val="auto"/>
                <w:sz w:val="24"/>
                <w:szCs w:val="24"/>
              </w:rPr>
              <w:instrText xml:space="preserve"> </w:instrText>
            </w:r>
            <w:r>
              <w:rPr>
                <w:rFonts w:ascii="仿宋" w:hAnsi="仿宋" w:eastAsia="仿宋"/>
                <w:b w:val="0"/>
                <w:color w:val="auto"/>
                <w:sz w:val="24"/>
                <w:szCs w:val="24"/>
              </w:rPr>
              <w:fldChar w:fldCharType="separate"/>
            </w:r>
            <w:r>
              <w:rPr>
                <w:rFonts w:ascii="仿宋" w:hAnsi="仿宋" w:eastAsia="仿宋"/>
                <w:b w:val="0"/>
                <w:color w:val="auto"/>
                <w:sz w:val="24"/>
                <w:szCs w:val="24"/>
              </w:rPr>
              <w:t>65672</w:t>
            </w:r>
            <w:r>
              <w:rPr>
                <w:rFonts w:ascii="仿宋" w:hAnsi="仿宋" w:eastAsia="仿宋"/>
                <w:b w:val="0"/>
                <w:color w:val="auto"/>
                <w:sz w:val="24"/>
                <w:szCs w:val="24"/>
              </w:rPr>
              <w:fldChar w:fldCharType="end"/>
            </w:r>
          </w:p>
        </w:tc>
      </w:tr>
      <w:bookmarkEnd w:id="85"/>
    </w:tbl>
    <w:p>
      <w:pPr>
        <w:pStyle w:val="61"/>
        <w:snapToGrid/>
        <w:ind w:firstLine="560"/>
        <w:jc w:val="left"/>
        <w:rPr>
          <w:color w:val="auto"/>
          <w:kern w:val="0"/>
          <w:szCs w:val="28"/>
          <w:lang w:bidi="ar"/>
        </w:rPr>
      </w:pPr>
      <w:r>
        <w:rPr>
          <w:color w:val="auto"/>
          <w:kern w:val="0"/>
          <w:szCs w:val="28"/>
          <w:lang w:bidi="ar"/>
        </w:rPr>
        <w:fldChar w:fldCharType="begin"/>
      </w:r>
      <w:r>
        <w:rPr>
          <w:color w:val="auto"/>
          <w:kern w:val="0"/>
          <w:szCs w:val="28"/>
          <w:lang w:bidi="ar"/>
        </w:rPr>
        <w:instrText xml:space="preserve"> </w:instrText>
      </w:r>
      <w:r>
        <w:rPr>
          <w:rFonts w:hint="eastAsia"/>
          <w:color w:val="auto"/>
          <w:kern w:val="0"/>
          <w:szCs w:val="28"/>
          <w:lang w:bidi="ar"/>
        </w:rPr>
        <w:instrText xml:space="preserve">= 2 \* GB2</w:instrText>
      </w:r>
      <w:r>
        <w:rPr>
          <w:color w:val="auto"/>
          <w:kern w:val="0"/>
          <w:szCs w:val="28"/>
          <w:lang w:bidi="ar"/>
        </w:rPr>
        <w:instrText xml:space="preserve"> </w:instrText>
      </w:r>
      <w:r>
        <w:rPr>
          <w:color w:val="auto"/>
          <w:kern w:val="0"/>
          <w:szCs w:val="28"/>
          <w:lang w:bidi="ar"/>
        </w:rPr>
        <w:fldChar w:fldCharType="separate"/>
      </w:r>
      <w:r>
        <w:rPr>
          <w:rFonts w:hint="eastAsia"/>
          <w:color w:val="auto"/>
          <w:kern w:val="0"/>
          <w:szCs w:val="28"/>
          <w:lang w:bidi="ar"/>
        </w:rPr>
        <w:t>⑵</w:t>
      </w:r>
      <w:r>
        <w:rPr>
          <w:color w:val="auto"/>
          <w:kern w:val="0"/>
          <w:szCs w:val="28"/>
          <w:lang w:bidi="ar"/>
        </w:rPr>
        <w:fldChar w:fldCharType="end"/>
      </w:r>
      <w:r>
        <w:rPr>
          <w:color w:val="auto"/>
          <w:kern w:val="0"/>
          <w:szCs w:val="28"/>
          <w:lang w:bidi="ar"/>
        </w:rPr>
        <w:t xml:space="preserve"> </w:t>
      </w:r>
      <w:r>
        <w:rPr>
          <w:color w:val="auto"/>
          <w:szCs w:val="28"/>
        </w:rPr>
        <w:t>水环境风险受体</w:t>
      </w:r>
    </w:p>
    <w:p>
      <w:pPr>
        <w:ind w:firstLine="560"/>
        <w:rPr>
          <w:bCs/>
          <w:color w:val="auto"/>
          <w:szCs w:val="28"/>
        </w:rPr>
      </w:pPr>
      <w:r>
        <w:rPr>
          <w:bCs/>
          <w:color w:val="auto"/>
          <w:szCs w:val="28"/>
        </w:rPr>
        <w:t>本企业雨水、生活污水总排口下游10公里范围内水环境风险受体情况见表2-7。</w:t>
      </w:r>
    </w:p>
    <w:p>
      <w:pPr>
        <w:pStyle w:val="39"/>
        <w:spacing w:line="240" w:lineRule="auto"/>
        <w:ind w:left="0" w:leftChars="0" w:firstLine="0" w:firstLineChars="0"/>
        <w:jc w:val="center"/>
        <w:rPr>
          <w:b/>
          <w:color w:val="auto"/>
          <w:sz w:val="24"/>
          <w:szCs w:val="24"/>
        </w:rPr>
      </w:pPr>
      <w:r>
        <w:rPr>
          <w:b/>
          <w:color w:val="auto"/>
          <w:sz w:val="24"/>
          <w:szCs w:val="24"/>
        </w:rPr>
        <w:t>表2-7    本企业</w:t>
      </w:r>
      <w:r>
        <w:rPr>
          <w:rFonts w:hint="eastAsia"/>
          <w:b/>
          <w:color w:val="auto"/>
          <w:sz w:val="24"/>
          <w:szCs w:val="24"/>
        </w:rPr>
        <w:t>废水</w:t>
      </w:r>
      <w:r>
        <w:rPr>
          <w:b/>
          <w:color w:val="auto"/>
          <w:sz w:val="24"/>
          <w:szCs w:val="24"/>
        </w:rPr>
        <w:t>排放口下游10km范围内水环境风险受体分布表</w:t>
      </w:r>
    </w:p>
    <w:tbl>
      <w:tblPr>
        <w:tblStyle w:val="40"/>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384"/>
        <w:gridCol w:w="4187"/>
        <w:gridCol w:w="1735"/>
        <w:gridCol w:w="1980"/>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45" w:type="pct"/>
            <w:shd w:val="clear" w:color="auto" w:fill="D9D9D9"/>
            <w:vAlign w:val="center"/>
          </w:tcPr>
          <w:p>
            <w:pPr>
              <w:pStyle w:val="39"/>
              <w:snapToGrid/>
              <w:spacing w:after="0" w:line="240" w:lineRule="auto"/>
              <w:ind w:left="0" w:leftChars="0" w:firstLine="0" w:firstLineChars="0"/>
              <w:jc w:val="center"/>
              <w:rPr>
                <w:rFonts w:ascii="仿宋" w:hAnsi="仿宋"/>
                <w:b/>
                <w:color w:val="auto"/>
                <w:sz w:val="24"/>
                <w:szCs w:val="24"/>
              </w:rPr>
            </w:pPr>
            <w:r>
              <w:rPr>
                <w:rFonts w:ascii="仿宋" w:hAnsi="仿宋"/>
                <w:b/>
                <w:color w:val="auto"/>
                <w:sz w:val="24"/>
                <w:szCs w:val="24"/>
              </w:rPr>
              <w:t>序号</w:t>
            </w:r>
          </w:p>
        </w:tc>
        <w:tc>
          <w:tcPr>
            <w:tcW w:w="2254" w:type="pct"/>
            <w:shd w:val="clear" w:color="auto" w:fill="D9D9D9"/>
            <w:vAlign w:val="center"/>
          </w:tcPr>
          <w:p>
            <w:pPr>
              <w:pStyle w:val="39"/>
              <w:snapToGrid/>
              <w:spacing w:after="0" w:line="240" w:lineRule="auto"/>
              <w:ind w:left="0" w:leftChars="0" w:firstLine="0" w:firstLineChars="0"/>
              <w:jc w:val="center"/>
              <w:rPr>
                <w:rFonts w:ascii="仿宋" w:hAnsi="仿宋"/>
                <w:b/>
                <w:color w:val="auto"/>
                <w:sz w:val="24"/>
                <w:szCs w:val="24"/>
              </w:rPr>
            </w:pPr>
            <w:r>
              <w:rPr>
                <w:rFonts w:ascii="仿宋" w:hAnsi="仿宋"/>
                <w:b/>
                <w:color w:val="auto"/>
                <w:sz w:val="24"/>
                <w:szCs w:val="24"/>
              </w:rPr>
              <w:t>名称</w:t>
            </w:r>
          </w:p>
        </w:tc>
        <w:tc>
          <w:tcPr>
            <w:tcW w:w="934" w:type="pct"/>
            <w:shd w:val="clear" w:color="auto" w:fill="D9D9D9"/>
            <w:vAlign w:val="center"/>
          </w:tcPr>
          <w:p>
            <w:pPr>
              <w:pStyle w:val="39"/>
              <w:snapToGrid/>
              <w:spacing w:after="0" w:line="240" w:lineRule="auto"/>
              <w:ind w:left="0" w:leftChars="0" w:firstLine="0" w:firstLineChars="0"/>
              <w:jc w:val="center"/>
              <w:rPr>
                <w:rFonts w:ascii="仿宋" w:hAnsi="仿宋"/>
                <w:b/>
                <w:color w:val="auto"/>
                <w:sz w:val="24"/>
                <w:szCs w:val="24"/>
              </w:rPr>
            </w:pPr>
            <w:r>
              <w:rPr>
                <w:rFonts w:ascii="仿宋" w:hAnsi="仿宋"/>
                <w:b/>
                <w:color w:val="auto"/>
                <w:sz w:val="24"/>
                <w:szCs w:val="24"/>
              </w:rPr>
              <w:t>方位</w:t>
            </w:r>
          </w:p>
        </w:tc>
        <w:tc>
          <w:tcPr>
            <w:tcW w:w="1066" w:type="pct"/>
            <w:shd w:val="clear" w:color="auto" w:fill="D9D9D9"/>
            <w:vAlign w:val="center"/>
          </w:tcPr>
          <w:p>
            <w:pPr>
              <w:pStyle w:val="39"/>
              <w:snapToGrid/>
              <w:spacing w:after="0" w:line="240" w:lineRule="auto"/>
              <w:ind w:left="0" w:leftChars="0" w:firstLine="0" w:firstLineChars="0"/>
              <w:jc w:val="center"/>
              <w:rPr>
                <w:rFonts w:ascii="仿宋" w:hAnsi="仿宋"/>
                <w:b/>
                <w:color w:val="auto"/>
                <w:sz w:val="24"/>
                <w:szCs w:val="24"/>
              </w:rPr>
            </w:pPr>
            <w:r>
              <w:rPr>
                <w:rFonts w:ascii="仿宋" w:hAnsi="仿宋"/>
                <w:b/>
                <w:color w:val="auto"/>
                <w:sz w:val="24"/>
                <w:szCs w:val="24"/>
              </w:rPr>
              <w:t>距离（m）</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45"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ascii="仿宋" w:hAnsi="仿宋"/>
                <w:bCs/>
                <w:color w:val="auto"/>
                <w:sz w:val="24"/>
                <w:szCs w:val="24"/>
              </w:rPr>
              <w:t>1</w:t>
            </w:r>
          </w:p>
        </w:tc>
        <w:tc>
          <w:tcPr>
            <w:tcW w:w="2254"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hint="eastAsia" w:ascii="仿宋" w:hAnsi="仿宋"/>
                <w:bCs/>
                <w:color w:val="auto"/>
                <w:sz w:val="24"/>
                <w:szCs w:val="24"/>
              </w:rPr>
              <w:t>渭河</w:t>
            </w:r>
          </w:p>
        </w:tc>
        <w:tc>
          <w:tcPr>
            <w:tcW w:w="934"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ascii="仿宋" w:hAnsi="仿宋"/>
                <w:bCs/>
                <w:color w:val="auto"/>
                <w:sz w:val="24"/>
                <w:szCs w:val="24"/>
              </w:rPr>
              <w:t>S</w:t>
            </w:r>
          </w:p>
        </w:tc>
        <w:tc>
          <w:tcPr>
            <w:tcW w:w="1066"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ascii="仿宋" w:hAnsi="仿宋"/>
                <w:bCs/>
                <w:color w:val="auto"/>
                <w:sz w:val="24"/>
                <w:szCs w:val="24"/>
              </w:rPr>
              <w:t>2000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745"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hint="eastAsia" w:ascii="仿宋" w:hAnsi="仿宋"/>
                <w:bCs/>
                <w:color w:val="auto"/>
                <w:sz w:val="24"/>
                <w:szCs w:val="24"/>
              </w:rPr>
              <w:t>2</w:t>
            </w:r>
          </w:p>
        </w:tc>
        <w:tc>
          <w:tcPr>
            <w:tcW w:w="2254"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hint="eastAsia" w:ascii="仿宋" w:hAnsi="仿宋"/>
                <w:bCs/>
                <w:color w:val="auto"/>
                <w:sz w:val="24"/>
                <w:szCs w:val="24"/>
              </w:rPr>
              <w:t>陕西泾渭湿地省级自然保护区</w:t>
            </w:r>
          </w:p>
        </w:tc>
        <w:tc>
          <w:tcPr>
            <w:tcW w:w="934"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hint="eastAsia" w:ascii="仿宋" w:hAnsi="仿宋"/>
                <w:bCs/>
                <w:color w:val="auto"/>
                <w:sz w:val="24"/>
                <w:szCs w:val="24"/>
              </w:rPr>
              <w:t>E</w:t>
            </w:r>
          </w:p>
        </w:tc>
        <w:tc>
          <w:tcPr>
            <w:tcW w:w="1066" w:type="pct"/>
            <w:vAlign w:val="center"/>
          </w:tcPr>
          <w:p>
            <w:pPr>
              <w:pStyle w:val="39"/>
              <w:snapToGrid/>
              <w:spacing w:after="0" w:line="240" w:lineRule="auto"/>
              <w:ind w:left="0" w:leftChars="0" w:firstLine="0" w:firstLineChars="0"/>
              <w:jc w:val="center"/>
              <w:rPr>
                <w:rFonts w:ascii="仿宋" w:hAnsi="仿宋"/>
                <w:bCs/>
                <w:color w:val="auto"/>
                <w:sz w:val="24"/>
                <w:szCs w:val="24"/>
              </w:rPr>
            </w:pPr>
            <w:r>
              <w:rPr>
                <w:rFonts w:hint="eastAsia" w:ascii="仿宋" w:hAnsi="仿宋"/>
                <w:bCs/>
                <w:color w:val="auto"/>
                <w:sz w:val="24"/>
                <w:szCs w:val="24"/>
              </w:rPr>
              <w:t>8</w:t>
            </w:r>
            <w:r>
              <w:rPr>
                <w:rFonts w:ascii="仿宋" w:hAnsi="仿宋"/>
                <w:bCs/>
                <w:color w:val="auto"/>
                <w:sz w:val="24"/>
                <w:szCs w:val="24"/>
              </w:rPr>
              <w:t>100</w:t>
            </w:r>
          </w:p>
        </w:tc>
      </w:tr>
      <w:bookmarkEnd w:id="84"/>
    </w:tbl>
    <w:p>
      <w:pPr>
        <w:pStyle w:val="61"/>
        <w:ind w:firstLine="0" w:firstLineChars="0"/>
        <w:jc w:val="center"/>
        <w:rPr>
          <w:b/>
          <w:bCs/>
          <w:color w:val="auto"/>
          <w:kern w:val="0"/>
          <w:szCs w:val="28"/>
          <w:lang w:bidi="ar"/>
        </w:rPr>
      </w:pPr>
    </w:p>
    <w:p>
      <w:pPr>
        <w:ind w:firstLine="161"/>
        <w:rPr>
          <w:b/>
          <w:bCs/>
          <w:color w:val="auto"/>
          <w:sz w:val="8"/>
          <w:szCs w:val="8"/>
        </w:rPr>
      </w:pPr>
    </w:p>
    <w:p>
      <w:pPr>
        <w:pStyle w:val="36"/>
        <w:widowControl w:val="0"/>
        <w:spacing w:before="0" w:beforeAutospacing="0" w:after="0" w:afterAutospacing="0"/>
        <w:outlineLvl w:val="1"/>
        <w:rPr>
          <w:rFonts w:ascii="Times New Roman" w:hAnsi="Times New Roman" w:eastAsia="仿宋" w:cs="Times New Roman"/>
          <w:b/>
          <w:color w:val="auto"/>
          <w:spacing w:val="1"/>
          <w:w w:val="83"/>
          <w:sz w:val="28"/>
          <w:szCs w:val="28"/>
          <w:lang w:bidi="ar"/>
        </w:rPr>
        <w:sectPr>
          <w:pgSz w:w="11906" w:h="16838"/>
          <w:pgMar w:top="1418" w:right="1418" w:bottom="1418" w:left="1418" w:header="851" w:footer="992" w:gutter="0"/>
          <w:pgNumType w:fmt="numberInDash"/>
          <w:cols w:space="720" w:num="1"/>
          <w:docGrid w:linePitch="312" w:charSpace="0"/>
        </w:sectPr>
      </w:pPr>
    </w:p>
    <w:p>
      <w:pPr>
        <w:pStyle w:val="3"/>
        <w:rPr>
          <w:b w:val="0"/>
          <w:color w:val="auto"/>
          <w:sz w:val="28"/>
          <w:szCs w:val="28"/>
        </w:rPr>
      </w:pPr>
      <w:bookmarkStart w:id="86" w:name="_Toc9222"/>
      <w:bookmarkStart w:id="87" w:name="_Toc490845163"/>
      <w:r>
        <w:rPr>
          <w:bCs/>
          <w:color w:val="auto"/>
          <w:sz w:val="28"/>
          <w:szCs w:val="28"/>
        </w:rPr>
        <w:t>3 组织指挥体系</w:t>
      </w:r>
      <w:bookmarkEnd w:id="86"/>
      <w:bookmarkEnd w:id="87"/>
    </w:p>
    <w:p>
      <w:pPr>
        <w:pStyle w:val="4"/>
        <w:rPr>
          <w:color w:val="auto"/>
          <w:szCs w:val="28"/>
        </w:rPr>
      </w:pPr>
      <w:bookmarkStart w:id="88" w:name="_Toc490845164"/>
      <w:bookmarkStart w:id="89" w:name="_Toc26905"/>
      <w:r>
        <w:rPr>
          <w:color w:val="auto"/>
          <w:szCs w:val="28"/>
        </w:rPr>
        <w:t>3.1 应急</w:t>
      </w:r>
      <w:bookmarkEnd w:id="88"/>
      <w:r>
        <w:rPr>
          <w:rFonts w:hint="eastAsia"/>
          <w:color w:val="auto"/>
          <w:szCs w:val="28"/>
        </w:rPr>
        <w:t>指挥机构</w:t>
      </w:r>
      <w:bookmarkEnd w:id="89"/>
    </w:p>
    <w:p>
      <w:pPr>
        <w:ind w:left="-15" w:firstLine="560"/>
        <w:rPr>
          <w:rFonts w:ascii="仿宋" w:hAnsi="仿宋" w:cs="等线"/>
          <w:color w:val="auto"/>
          <w:szCs w:val="28"/>
          <w:highlight w:val="cyan"/>
        </w:rPr>
      </w:pPr>
      <w:r>
        <w:rPr>
          <w:rFonts w:hint="eastAsia" w:ascii="仿宋" w:hAnsi="仿宋" w:cs="等线"/>
          <w:color w:val="auto"/>
          <w:szCs w:val="28"/>
        </w:rPr>
        <w:t>公司</w:t>
      </w:r>
      <w:r>
        <w:rPr>
          <w:rFonts w:ascii="仿宋" w:hAnsi="仿宋"/>
          <w:color w:val="auto"/>
          <w:szCs w:val="28"/>
        </w:rPr>
        <w:t>设应急救援指挥部，</w:t>
      </w:r>
      <w:bookmarkStart w:id="90" w:name="_Hlk58339533"/>
      <w:r>
        <w:rPr>
          <w:rFonts w:ascii="仿宋" w:hAnsi="仿宋"/>
          <w:color w:val="auto"/>
          <w:szCs w:val="28"/>
        </w:rPr>
        <w:t>下设应急救援</w:t>
      </w:r>
      <w:r>
        <w:rPr>
          <w:rFonts w:hint="eastAsia" w:ascii="仿宋" w:hAnsi="仿宋"/>
          <w:color w:val="auto"/>
          <w:szCs w:val="28"/>
        </w:rPr>
        <w:t>办公室及应急救援</w:t>
      </w:r>
      <w:r>
        <w:rPr>
          <w:rFonts w:ascii="仿宋" w:hAnsi="仿宋"/>
          <w:color w:val="auto"/>
          <w:szCs w:val="28"/>
        </w:rPr>
        <w:t>专项小组。应急救援专项小组包括</w:t>
      </w:r>
      <w:r>
        <w:rPr>
          <w:rFonts w:hint="eastAsia" w:ascii="仿宋" w:hAnsi="仿宋"/>
          <w:color w:val="auto"/>
          <w:szCs w:val="28"/>
        </w:rPr>
        <w:t>现场处置</w:t>
      </w:r>
      <w:r>
        <w:rPr>
          <w:rFonts w:ascii="仿宋" w:hAnsi="仿宋"/>
          <w:color w:val="auto"/>
          <w:szCs w:val="28"/>
        </w:rPr>
        <w:t>组、</w:t>
      </w:r>
      <w:r>
        <w:rPr>
          <w:rFonts w:hint="eastAsia" w:ascii="仿宋" w:hAnsi="仿宋"/>
          <w:color w:val="auto"/>
          <w:szCs w:val="28"/>
        </w:rPr>
        <w:t>后勤保障组、应急监测组</w:t>
      </w:r>
      <w:bookmarkEnd w:id="90"/>
      <w:r>
        <w:rPr>
          <w:rFonts w:hint="eastAsia" w:ascii="仿宋" w:hAnsi="仿宋"/>
          <w:color w:val="auto"/>
          <w:szCs w:val="28"/>
        </w:rPr>
        <w:t>和</w:t>
      </w:r>
      <w:r>
        <w:rPr>
          <w:rFonts w:ascii="仿宋" w:hAnsi="仿宋"/>
          <w:color w:val="auto"/>
          <w:szCs w:val="28"/>
        </w:rPr>
        <w:t>应急专家组。</w:t>
      </w:r>
    </w:p>
    <w:p>
      <w:pPr>
        <w:ind w:firstLine="520"/>
        <w:rPr>
          <w:color w:val="auto"/>
          <w:spacing w:val="-10"/>
          <w:sz w:val="21"/>
          <w:szCs w:val="21"/>
        </w:rPr>
      </w:pPr>
      <w:r>
        <w:rPr>
          <w:color w:val="auto"/>
          <w:spacing w:val="-10"/>
          <w:kern w:val="0"/>
          <w:szCs w:val="28"/>
        </w:rPr>
        <w:t>应急救援</w:t>
      </w:r>
      <w:r>
        <w:rPr>
          <w:rFonts w:hint="eastAsia"/>
          <w:color w:val="auto"/>
          <w:spacing w:val="-10"/>
          <w:kern w:val="0"/>
          <w:szCs w:val="28"/>
        </w:rPr>
        <w:t>指挥部</w:t>
      </w:r>
      <w:r>
        <w:rPr>
          <w:color w:val="auto"/>
          <w:szCs w:val="28"/>
        </w:rPr>
        <w:t>组织</w:t>
      </w:r>
      <w:r>
        <w:rPr>
          <w:color w:val="auto"/>
          <w:spacing w:val="-10"/>
          <w:kern w:val="0"/>
          <w:szCs w:val="28"/>
        </w:rPr>
        <w:t>机构见图3-1</w:t>
      </w:r>
      <w:r>
        <w:rPr>
          <w:color w:val="auto"/>
          <w:spacing w:val="-10"/>
          <w:szCs w:val="28"/>
        </w:rPr>
        <w:t>。</w:t>
      </w:r>
    </w:p>
    <w:p>
      <w:pPr>
        <w:pStyle w:val="39"/>
        <w:ind w:left="0" w:leftChars="0" w:firstLine="0" w:firstLineChars="0"/>
        <w:jc w:val="center"/>
        <w:rPr>
          <w:color w:val="auto"/>
          <w:szCs w:val="21"/>
        </w:rPr>
      </w:pPr>
      <w:r>
        <w:rPr>
          <w:color w:val="auto"/>
          <w:szCs w:val="21"/>
        </w:rPr>
        <mc:AlternateContent>
          <mc:Choice Requires="wpc">
            <w:drawing>
              <wp:inline distT="0" distB="0" distL="114300" distR="114300">
                <wp:extent cx="5360035" cy="3615690"/>
                <wp:effectExtent l="0" t="0" r="0" b="0"/>
                <wp:docPr id="15" name="画布 33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文本框 339"/>
                        <wps:cNvSpPr txBox="1"/>
                        <wps:spPr>
                          <a:xfrm>
                            <a:off x="1896110" y="134620"/>
                            <a:ext cx="1362075" cy="31242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sz w:val="21"/>
                                  <w:szCs w:val="21"/>
                                </w:rPr>
                              </w:pPr>
                              <w:r>
                                <w:rPr>
                                  <w:rFonts w:hint="eastAsia"/>
                                  <w:b/>
                                  <w:sz w:val="21"/>
                                  <w:szCs w:val="21"/>
                                </w:rPr>
                                <w:t>总指挥</w:t>
                              </w:r>
                            </w:p>
                          </w:txbxContent>
                        </wps:txbx>
                        <wps:bodyPr wrap="square" upright="1"/>
                      </wps:wsp>
                      <wps:wsp>
                        <wps:cNvPr id="2" name="文本框 340"/>
                        <wps:cNvSpPr txBox="1"/>
                        <wps:spPr>
                          <a:xfrm>
                            <a:off x="3843655" y="149860"/>
                            <a:ext cx="1363345" cy="28194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b/>
                                  <w:sz w:val="21"/>
                                  <w:szCs w:val="21"/>
                                </w:rPr>
                              </w:pPr>
                              <w:r>
                                <w:rPr>
                                  <w:rFonts w:hint="eastAsia"/>
                                  <w:b/>
                                  <w:sz w:val="21"/>
                                  <w:szCs w:val="21"/>
                                </w:rPr>
                                <w:t>副总指挥</w:t>
                              </w:r>
                            </w:p>
                          </w:txbxContent>
                        </wps:txbx>
                        <wps:bodyPr wrap="square" upright="1"/>
                      </wps:wsp>
                      <wps:wsp>
                        <wps:cNvPr id="3" name="文本框 341"/>
                        <wps:cNvSpPr txBox="1"/>
                        <wps:spPr>
                          <a:xfrm>
                            <a:off x="1388745" y="1017270"/>
                            <a:ext cx="2421890" cy="55499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b/>
                                  <w:sz w:val="21"/>
                                  <w:szCs w:val="21"/>
                                </w:rPr>
                              </w:pPr>
                              <w:r>
                                <w:rPr>
                                  <w:rFonts w:hint="eastAsia"/>
                                  <w:b/>
                                  <w:sz w:val="21"/>
                                  <w:szCs w:val="21"/>
                                </w:rPr>
                                <w:t>应急办公室</w:t>
                              </w:r>
                            </w:p>
                            <w:p>
                              <w:pPr>
                                <w:ind w:firstLine="0" w:firstLineChars="0"/>
                                <w:jc w:val="center"/>
                                <w:rPr>
                                  <w:b/>
                                  <w:sz w:val="21"/>
                                  <w:szCs w:val="21"/>
                                </w:rPr>
                              </w:pPr>
                              <w:r>
                                <w:rPr>
                                  <w:rFonts w:hint="eastAsia"/>
                                  <w:b/>
                                  <w:sz w:val="21"/>
                                  <w:szCs w:val="21"/>
                                </w:rPr>
                                <w:t>(24小时联络电话：</w:t>
                              </w:r>
                              <w:r>
                                <w:rPr>
                                  <w:b/>
                                  <w:sz w:val="21"/>
                                  <w:szCs w:val="21"/>
                                </w:rPr>
                                <w:t>029</w:t>
                              </w:r>
                              <w:r>
                                <w:rPr>
                                  <w:rFonts w:hint="eastAsia"/>
                                  <w:b/>
                                  <w:sz w:val="21"/>
                                  <w:szCs w:val="21"/>
                                </w:rPr>
                                <w:t>-</w:t>
                              </w:r>
                              <w:r>
                                <w:rPr>
                                  <w:b/>
                                  <w:sz w:val="21"/>
                                  <w:szCs w:val="21"/>
                                </w:rPr>
                                <w:t>33882543</w:t>
                              </w:r>
                              <w:r>
                                <w:rPr>
                                  <w:rFonts w:hint="eastAsia"/>
                                  <w:b/>
                                  <w:sz w:val="21"/>
                                  <w:szCs w:val="21"/>
                                </w:rPr>
                                <w:t>)</w:t>
                              </w:r>
                            </w:p>
                          </w:txbxContent>
                        </wps:txbx>
                        <wps:bodyPr wrap="square" upright="1"/>
                      </wps:wsp>
                      <wps:wsp>
                        <wps:cNvPr id="4" name="文本框 343"/>
                        <wps:cNvSpPr txBox="1"/>
                        <wps:spPr>
                          <a:xfrm>
                            <a:off x="436880" y="2211705"/>
                            <a:ext cx="375920" cy="125730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sz w:val="21"/>
                                  <w:szCs w:val="21"/>
                                </w:rPr>
                              </w:pPr>
                              <w:r>
                                <w:rPr>
                                  <w:rFonts w:hint="eastAsia"/>
                                  <w:b/>
                                  <w:sz w:val="21"/>
                                  <w:szCs w:val="21"/>
                                </w:rPr>
                                <w:t>现场处置组</w:t>
                              </w:r>
                            </w:p>
                          </w:txbxContent>
                        </wps:txbx>
                        <wps:bodyPr vert="eaVert" wrap="square" upright="1"/>
                      </wps:wsp>
                      <wps:wsp>
                        <wps:cNvPr id="5" name="文本框 346"/>
                        <wps:cNvSpPr txBox="1"/>
                        <wps:spPr>
                          <a:xfrm>
                            <a:off x="1931670" y="2221230"/>
                            <a:ext cx="368300" cy="125730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b/>
                                  <w:sz w:val="21"/>
                                  <w:szCs w:val="21"/>
                                </w:rPr>
                              </w:pPr>
                              <w:r>
                                <w:rPr>
                                  <w:rFonts w:hint="eastAsia"/>
                                  <w:b/>
                                  <w:sz w:val="21"/>
                                  <w:szCs w:val="21"/>
                                </w:rPr>
                                <w:t>后勤保障组</w:t>
                              </w:r>
                            </w:p>
                          </w:txbxContent>
                        </wps:txbx>
                        <wps:bodyPr vert="eaVert" wrap="square" upright="1"/>
                      </wps:wsp>
                      <wps:wsp>
                        <wps:cNvPr id="6" name="自选图形 348"/>
                        <wps:cNvCnPr/>
                        <wps:spPr>
                          <a:xfrm>
                            <a:off x="2600960" y="447040"/>
                            <a:ext cx="635" cy="562610"/>
                          </a:xfrm>
                          <a:prstGeom prst="straightConnector1">
                            <a:avLst/>
                          </a:prstGeom>
                          <a:ln w="15875" cap="flat" cmpd="sng">
                            <a:solidFill>
                              <a:srgbClr val="000000"/>
                            </a:solidFill>
                            <a:prstDash val="solid"/>
                            <a:headEnd type="none" w="med" len="med"/>
                            <a:tailEnd type="triangle" w="med" len="med"/>
                          </a:ln>
                        </wps:spPr>
                        <wps:bodyPr/>
                      </wps:wsp>
                      <wps:wsp>
                        <wps:cNvPr id="7" name="文本框 355"/>
                        <wps:cNvSpPr txBox="1"/>
                        <wps:spPr>
                          <a:xfrm>
                            <a:off x="3234055" y="2221230"/>
                            <a:ext cx="368300" cy="125730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b/>
                                  <w:sz w:val="21"/>
                                  <w:szCs w:val="21"/>
                                </w:rPr>
                              </w:pPr>
                              <w:r>
                                <w:rPr>
                                  <w:rFonts w:hint="eastAsia"/>
                                  <w:b/>
                                  <w:sz w:val="21"/>
                                  <w:szCs w:val="21"/>
                                </w:rPr>
                                <w:t>应急监测组</w:t>
                              </w:r>
                            </w:p>
                          </w:txbxContent>
                        </wps:txbx>
                        <wps:bodyPr vert="eaVert" wrap="square" upright="1"/>
                      </wps:wsp>
                      <wps:wsp>
                        <wps:cNvPr id="8" name="文本框 357"/>
                        <wps:cNvSpPr txBox="1"/>
                        <wps:spPr>
                          <a:xfrm>
                            <a:off x="4730115" y="2232025"/>
                            <a:ext cx="368300" cy="1257300"/>
                          </a:xfrm>
                          <a:prstGeom prst="rect">
                            <a:avLst/>
                          </a:prstGeom>
                          <a:gradFill rotWithShape="0">
                            <a:gsLst>
                              <a:gs pos="0">
                                <a:srgbClr val="FFFFFF">
                                  <a:alpha val="0"/>
                                </a:srgbClr>
                              </a:gs>
                              <a:gs pos="100000">
                                <a:srgbClr val="FFFFFF">
                                  <a:gamma/>
                                  <a:tint val="0"/>
                                  <a:invGamma/>
                                  <a:alpha val="0"/>
                                </a:srgbClr>
                              </a:gs>
                            </a:gsLst>
                            <a:lin ang="5400000" scaled="1"/>
                            <a:tileRect/>
                          </a:gradFill>
                          <a:ln w="15875" cap="flat" cmpd="sng">
                            <a:solidFill>
                              <a:srgbClr val="000000"/>
                            </a:solidFill>
                            <a:prstDash val="solid"/>
                            <a:miter/>
                            <a:headEnd type="none" w="med" len="med"/>
                            <a:tailEnd type="none" w="med" len="med"/>
                          </a:ln>
                        </wps:spPr>
                        <wps:txbx>
                          <w:txbxContent>
                            <w:p>
                              <w:pPr>
                                <w:ind w:firstLine="0" w:firstLineChars="0"/>
                                <w:jc w:val="center"/>
                                <w:rPr>
                                  <w:b/>
                                  <w:sz w:val="21"/>
                                  <w:szCs w:val="21"/>
                                </w:rPr>
                              </w:pPr>
                              <w:r>
                                <w:rPr>
                                  <w:rFonts w:hint="eastAsia"/>
                                  <w:b/>
                                  <w:sz w:val="21"/>
                                  <w:szCs w:val="21"/>
                                </w:rPr>
                                <w:t>应急专家组</w:t>
                              </w:r>
                            </w:p>
                          </w:txbxContent>
                        </wps:txbx>
                        <wps:bodyPr vert="eaVert" wrap="square" upright="1"/>
                      </wps:wsp>
                      <wps:wsp>
                        <wps:cNvPr id="9" name="自选图形 359"/>
                        <wps:cNvCnPr/>
                        <wps:spPr>
                          <a:xfrm rot="5400000">
                            <a:off x="1289050" y="911225"/>
                            <a:ext cx="643255" cy="1974850"/>
                          </a:xfrm>
                          <a:prstGeom prst="bentConnector3">
                            <a:avLst>
                              <a:gd name="adj1" fmla="val 49949"/>
                            </a:avLst>
                          </a:prstGeom>
                          <a:ln w="12700" cap="flat" cmpd="sng">
                            <a:solidFill>
                              <a:srgbClr val="000000"/>
                            </a:solidFill>
                            <a:prstDash val="solid"/>
                            <a:miter/>
                            <a:headEnd type="none" w="med" len="med"/>
                            <a:tailEnd type="triangle" w="med" len="med"/>
                          </a:ln>
                        </wps:spPr>
                        <wps:bodyPr/>
                      </wps:wsp>
                      <wps:wsp>
                        <wps:cNvPr id="10" name="自选图形 361"/>
                        <wps:cNvCnPr/>
                        <wps:spPr>
                          <a:xfrm rot="5400000">
                            <a:off x="2041525" y="1654175"/>
                            <a:ext cx="633730" cy="485140"/>
                          </a:xfrm>
                          <a:prstGeom prst="bentConnector3">
                            <a:avLst>
                              <a:gd name="adj1" fmla="val 50000"/>
                            </a:avLst>
                          </a:prstGeom>
                          <a:ln w="12700" cap="flat" cmpd="sng">
                            <a:solidFill>
                              <a:srgbClr val="000000"/>
                            </a:solidFill>
                            <a:prstDash val="solid"/>
                            <a:miter/>
                            <a:headEnd type="none" w="med" len="med"/>
                            <a:tailEnd type="triangle" w="med" len="med"/>
                          </a:ln>
                        </wps:spPr>
                        <wps:bodyPr/>
                      </wps:wsp>
                      <wps:wsp>
                        <wps:cNvPr id="11" name="自选图形 362"/>
                        <wps:cNvCnPr/>
                        <wps:spPr>
                          <a:xfrm rot="-5400000" flipH="1">
                            <a:off x="2676525" y="1502410"/>
                            <a:ext cx="655320" cy="808355"/>
                          </a:xfrm>
                          <a:prstGeom prst="bentConnector3">
                            <a:avLst>
                              <a:gd name="adj1" fmla="val 50000"/>
                            </a:avLst>
                          </a:prstGeom>
                          <a:ln w="12700" cap="flat" cmpd="sng">
                            <a:solidFill>
                              <a:srgbClr val="000000"/>
                            </a:solidFill>
                            <a:prstDash val="solid"/>
                            <a:miter/>
                            <a:headEnd type="none" w="med" len="med"/>
                            <a:tailEnd type="triangle" w="med" len="med"/>
                          </a:ln>
                        </wps:spPr>
                        <wps:bodyPr/>
                      </wps:wsp>
                      <wps:wsp>
                        <wps:cNvPr id="12" name="自选图形 363"/>
                        <wps:cNvCnPr/>
                        <wps:spPr>
                          <a:xfrm rot="-5400000" flipH="1">
                            <a:off x="3429000" y="746125"/>
                            <a:ext cx="657225" cy="2319020"/>
                          </a:xfrm>
                          <a:prstGeom prst="bentConnector3">
                            <a:avLst>
                              <a:gd name="adj1" fmla="val 50000"/>
                            </a:avLst>
                          </a:prstGeom>
                          <a:ln w="12700" cap="flat" cmpd="sng">
                            <a:solidFill>
                              <a:srgbClr val="000000"/>
                            </a:solidFill>
                            <a:prstDash val="solid"/>
                            <a:miter/>
                            <a:headEnd type="none" w="med" len="med"/>
                            <a:tailEnd type="triangle" w="med" len="med"/>
                          </a:ln>
                        </wps:spPr>
                        <wps:bodyPr/>
                      </wps:wsp>
                      <wps:wsp>
                        <wps:cNvPr id="13" name="自选图形 378"/>
                        <wps:cNvCnPr/>
                        <wps:spPr>
                          <a:xfrm>
                            <a:off x="3265805" y="290830"/>
                            <a:ext cx="570230" cy="635"/>
                          </a:xfrm>
                          <a:prstGeom prst="straightConnector1">
                            <a:avLst/>
                          </a:prstGeom>
                          <a:ln w="9525" cap="flat" cmpd="sng">
                            <a:solidFill>
                              <a:srgbClr val="000000"/>
                            </a:solidFill>
                            <a:prstDash val="solid"/>
                            <a:headEnd type="none" w="med" len="med"/>
                            <a:tailEnd type="triangle" w="med" len="med"/>
                          </a:ln>
                        </wps:spPr>
                        <wps:bodyPr/>
                      </wps:wsp>
                      <wps:wsp>
                        <wps:cNvPr id="14" name="自选图形 382"/>
                        <wps:cNvCnPr/>
                        <wps:spPr>
                          <a:xfrm rot="5400000">
                            <a:off x="3276600" y="-239395"/>
                            <a:ext cx="570230" cy="1925955"/>
                          </a:xfrm>
                          <a:prstGeom prst="bentConnector3">
                            <a:avLst>
                              <a:gd name="adj1" fmla="val 50000"/>
                            </a:avLst>
                          </a:prstGeom>
                          <a:ln w="12700" cap="flat" cmpd="sng">
                            <a:solidFill>
                              <a:srgbClr val="000000"/>
                            </a:solidFill>
                            <a:prstDash val="solid"/>
                            <a:miter/>
                            <a:headEnd type="none" w="med" len="med"/>
                            <a:tailEnd type="triangle" w="med" len="med"/>
                          </a:ln>
                        </wps:spPr>
                        <wps:bodyPr/>
                      </wps:wsp>
                    </wpc:wpc>
                  </a:graphicData>
                </a:graphic>
              </wp:inline>
            </w:drawing>
          </mc:Choice>
          <mc:Fallback>
            <w:pict>
              <v:group id="画布 337" o:spid="_x0000_s1026" o:spt="203" style="height:284.7pt;width:422.05pt;" coordsize="5360035,3615690" editas="canvas" o:gfxdata="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">
                <o:lock v:ext="edit" aspectratio="f"/>
                <v:shape id="画布 337" o:spid="_x0000_s1026" style="position:absolute;left:0;top:0;height:3615690;width:5360035;" filled="f" stroked="f" coordsize="21600,21600" o:gfxdata="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">
                  <v:fill on="f" focussize="0,0"/>
                  <v:stroke on="f"/>
                  <v:imagedata o:title=""/>
                  <o:lock v:ext="edit" aspectratio="t"/>
                </v:shape>
                <v:shape id="文本框 339" o:spid="_x0000_s1026" o:spt="202" type="#_x0000_t202" style="position:absolute;left:1896110;top:134620;height:312420;width:1362075;" fillcolor="#FFFFFF" filled="t" stroked="t" coordsize="21600,21600" o:gfxdata="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OXjUnTWAAAABQEAAA8AAAAAAAAAAQAgAAAAIgAA&#10;AGRycy9kb3ducmV2LnhtbFBLAQIUABQAAAAIAIdO4kCHX4hefAIAAEwFAAAOAAAAAAAAAAEAIAAA&#10;ACUBAABkcnMvZTJvRG9jLnhtbFBLBQYAAAAABgAGAFkBAAATBgAAAAA=&#10;">
                  <v:fill type="gradient" on="t" color2="#FFFFFF" opacity="0f" o:opacity2="0f" focus="100%" focussize="0,0"/>
                  <v:stroke weight="1.25pt" color="#000000" joinstyle="miter"/>
                  <v:imagedata o:title=""/>
                  <o:lock v:ext="edit" aspectratio="f"/>
                  <v:textbox>
                    <w:txbxContent>
                      <w:p>
                        <w:pPr>
                          <w:ind w:firstLine="0" w:firstLineChars="0"/>
                          <w:jc w:val="center"/>
                          <w:rPr>
                            <w:sz w:val="21"/>
                            <w:szCs w:val="21"/>
                          </w:rPr>
                        </w:pPr>
                        <w:r>
                          <w:rPr>
                            <w:rFonts w:hint="eastAsia"/>
                            <w:b/>
                            <w:sz w:val="21"/>
                            <w:szCs w:val="21"/>
                          </w:rPr>
                          <w:t>总指挥</w:t>
                        </w:r>
                      </w:p>
                    </w:txbxContent>
                  </v:textbox>
                </v:shape>
                <v:shape id="文本框 340" o:spid="_x0000_s1026" o:spt="202" type="#_x0000_t202" style="position:absolute;left:3843655;top:149860;height:281940;width:1363345;" fillcolor="#FFFFFF" filled="t" stroked="t" coordsize="21600,21600" o:gfxdata="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l41J01gAAAAUBAAAPAAAAAAAAAAEAIAAA&#10;ACIAAABkcnMvZG93bnJldi54bWxQSwECFAAUAAAACACHTuJAOYHUX4ACAABMBQAADgAAAAAAAAAB&#10;ACAAAAAlAQAAZHJzL2Uyb0RvYy54bWxQSwUGAAAAAAYABgBZAQAAFwYAAAAA&#10;">
                  <v:fill type="gradient" on="t" color2="#FFFFFF" opacity="0f" o:opacity2="0f" focus="100%" focussize="0,0"/>
                  <v:stroke weight="1.25pt" color="#000000" joinstyle="miter"/>
                  <v:imagedata o:title=""/>
                  <o:lock v:ext="edit" aspectratio="f"/>
                  <v:textbox>
                    <w:txbxContent>
                      <w:p>
                        <w:pPr>
                          <w:ind w:firstLine="0" w:firstLineChars="0"/>
                          <w:jc w:val="center"/>
                          <w:rPr>
                            <w:b/>
                            <w:sz w:val="21"/>
                            <w:szCs w:val="21"/>
                          </w:rPr>
                        </w:pPr>
                        <w:r>
                          <w:rPr>
                            <w:rFonts w:hint="eastAsia"/>
                            <w:b/>
                            <w:sz w:val="21"/>
                            <w:szCs w:val="21"/>
                          </w:rPr>
                          <w:t>副总指挥</w:t>
                        </w:r>
                      </w:p>
                    </w:txbxContent>
                  </v:textbox>
                </v:shape>
                <v:shape id="文本框 341" o:spid="_x0000_s1026" o:spt="202" type="#_x0000_t202" style="position:absolute;left:1388745;top:1017270;height:554990;width:2421890;" fillcolor="#FFFFFF" filled="t" stroked="t" coordsize="21600,21600" o:gfxdata="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XjUnTWAAAABQEAAA8AAAAAAAAAAQAg&#10;AAAAIgAAAGRycy9kb3ducmV2LnhtbFBLAQIUABQAAAAIAIdO4kAZ74rKggIAAE0FAAAOAAAAAAAA&#10;AAEAIAAAACUBAABkcnMvZTJvRG9jLnhtbFBLBQYAAAAABgAGAFkBAAAZBgAAAAA=&#10;">
                  <v:fill type="gradient" on="t" color2="#FFFFFF" opacity="0f" o:opacity2="0f" focus="100%" focussize="0,0"/>
                  <v:stroke weight="1.25pt" color="#000000" joinstyle="miter"/>
                  <v:imagedata o:title=""/>
                  <o:lock v:ext="edit" aspectratio="f"/>
                  <v:textbox>
                    <w:txbxContent>
                      <w:p>
                        <w:pPr>
                          <w:ind w:firstLine="0" w:firstLineChars="0"/>
                          <w:jc w:val="center"/>
                          <w:rPr>
                            <w:b/>
                            <w:sz w:val="21"/>
                            <w:szCs w:val="21"/>
                          </w:rPr>
                        </w:pPr>
                        <w:r>
                          <w:rPr>
                            <w:rFonts w:hint="eastAsia"/>
                            <w:b/>
                            <w:sz w:val="21"/>
                            <w:szCs w:val="21"/>
                          </w:rPr>
                          <w:t>应急办公室</w:t>
                        </w:r>
                      </w:p>
                      <w:p>
                        <w:pPr>
                          <w:ind w:firstLine="0" w:firstLineChars="0"/>
                          <w:jc w:val="center"/>
                          <w:rPr>
                            <w:b/>
                            <w:sz w:val="21"/>
                            <w:szCs w:val="21"/>
                          </w:rPr>
                        </w:pPr>
                        <w:r>
                          <w:rPr>
                            <w:rFonts w:hint="eastAsia"/>
                            <w:b/>
                            <w:sz w:val="21"/>
                            <w:szCs w:val="21"/>
                          </w:rPr>
                          <w:t>(24小时联络电话：</w:t>
                        </w:r>
                        <w:r>
                          <w:rPr>
                            <w:b/>
                            <w:sz w:val="21"/>
                            <w:szCs w:val="21"/>
                          </w:rPr>
                          <w:t>029</w:t>
                        </w:r>
                        <w:r>
                          <w:rPr>
                            <w:rFonts w:hint="eastAsia"/>
                            <w:b/>
                            <w:sz w:val="21"/>
                            <w:szCs w:val="21"/>
                          </w:rPr>
                          <w:t>-</w:t>
                        </w:r>
                        <w:r>
                          <w:rPr>
                            <w:b/>
                            <w:sz w:val="21"/>
                            <w:szCs w:val="21"/>
                          </w:rPr>
                          <w:t>33882543</w:t>
                        </w:r>
                        <w:r>
                          <w:rPr>
                            <w:rFonts w:hint="eastAsia"/>
                            <w:b/>
                            <w:sz w:val="21"/>
                            <w:szCs w:val="21"/>
                          </w:rPr>
                          <w:t>)</w:t>
                        </w:r>
                      </w:p>
                    </w:txbxContent>
                  </v:textbox>
                </v:shape>
                <v:shape id="文本框 343" o:spid="_x0000_s1026" o:spt="202" type="#_x0000_t202" style="position:absolute;left:436880;top:2211705;height:1257300;width:375920;" fillcolor="#FFFFFF" filled="t" stroked="t" coordsize="21600,21600" o:gfxdata="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AFu8EN1gAAAAUBAAAP&#10;AAAAAAAAAAEAIAAAACIAAABkcnMvZG93bnJldi54bWxQSwECFAAUAAAACACHTuJAUwVdqowCAABa&#10;BQAADgAAAAAAAAABACAAAAAlAQAAZHJzL2Uyb0RvYy54bWxQSwUGAAAAAAYABgBZAQAAIwYAAAAA&#10;">
                  <v:fill type="gradient" on="t" color2="#FFFFFF" opacity="0f" o:opacity2="0f" focus="100%" focussize="0,0"/>
                  <v:stroke weight="1.25pt" color="#000000" joinstyle="miter"/>
                  <v:imagedata o:title=""/>
                  <o:lock v:ext="edit" aspectratio="f"/>
                  <v:textbox style="layout-flow:vertical-ideographic;">
                    <w:txbxContent>
                      <w:p>
                        <w:pPr>
                          <w:ind w:firstLine="0" w:firstLineChars="0"/>
                          <w:jc w:val="center"/>
                          <w:rPr>
                            <w:sz w:val="21"/>
                            <w:szCs w:val="21"/>
                          </w:rPr>
                        </w:pPr>
                        <w:r>
                          <w:rPr>
                            <w:rFonts w:hint="eastAsia"/>
                            <w:b/>
                            <w:sz w:val="21"/>
                            <w:szCs w:val="21"/>
                          </w:rPr>
                          <w:t>现场处置组</w:t>
                        </w:r>
                      </w:p>
                    </w:txbxContent>
                  </v:textbox>
                </v:shape>
                <v:shape id="文本框 346" o:spid="_x0000_s1026" o:spt="202" type="#_x0000_t202" style="position:absolute;left:1931670;top:2221230;height:1257300;width:368300;" fillcolor="#FFFFFF" filled="t" stroked="t" coordsize="21600,21600" o:gfxdata="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AW7wQ3WAAAABQEAAA8A&#10;AAAAAAAAAQAgAAAAIgAAAGRycy9kb3ducmV2LnhtbFBLAQIUABQAAAAIAIdO4kDtazc9iwIAAFsF&#10;AAAOAAAAAAAAAAEAIAAAACUBAABkcnMvZTJvRG9jLnhtbFBLBQYAAAAABgAGAFkBAAAiBgAAAAA=&#10;">
                  <v:fill type="gradient" on="t" color2="#FFFFFF" opacity="0f" o:opacity2="0f" focus="100%" focussize="0,0"/>
                  <v:stroke weight="1.25pt" color="#000000" joinstyle="miter"/>
                  <v:imagedata o:title=""/>
                  <o:lock v:ext="edit" aspectratio="f"/>
                  <v:textbox style="layout-flow:vertical-ideographic;">
                    <w:txbxContent>
                      <w:p>
                        <w:pPr>
                          <w:ind w:firstLine="0" w:firstLineChars="0"/>
                          <w:jc w:val="center"/>
                          <w:rPr>
                            <w:b/>
                            <w:sz w:val="21"/>
                            <w:szCs w:val="21"/>
                          </w:rPr>
                        </w:pPr>
                        <w:r>
                          <w:rPr>
                            <w:rFonts w:hint="eastAsia"/>
                            <w:b/>
                            <w:sz w:val="21"/>
                            <w:szCs w:val="21"/>
                          </w:rPr>
                          <w:t>后勤保障组</w:t>
                        </w:r>
                      </w:p>
                    </w:txbxContent>
                  </v:textbox>
                </v:shape>
                <v:shape id="自选图形 348" o:spid="_x0000_s1026" o:spt="32" type="#_x0000_t32" style="position:absolute;left:2600960;top:447040;height:562610;width:635;" filled="f" stroked="t" coordsize="21600,21600" o:gfxdata="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6QyinWAAAABQEAAA8AAAAAAAAAAQAgAAAA&#10;IgAAAGRycy9kb3ducmV2LnhtbFBLAQIUABQAAAAIAIdO4kBn4uGXDQIAAPYDAAAOAAAAAAAAAAEA&#10;IAAAACUBAABkcnMvZTJvRG9jLnhtbFBLBQYAAAAABgAGAFkBAACkBQAAAAA=&#10;">
                  <v:fill on="f" focussize="0,0"/>
                  <v:stroke weight="1.25pt" color="#000000" joinstyle="round" endarrow="block"/>
                  <v:imagedata o:title=""/>
                  <o:lock v:ext="edit" aspectratio="f"/>
                </v:shape>
                <v:shape id="文本框 355" o:spid="_x0000_s1026" o:spt="202" type="#_x0000_t202" style="position:absolute;left:3234055;top:2221230;height:1257300;width:368300;" fillcolor="#FFFFFF" filled="t" stroked="t" coordsize="21600,21600" o:gfxdata="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BbvBDdYAAAAFAQAADwAA&#10;AAAAAAABACAAAAAiAAAAZHJzL2Rvd25yZXYueG1sUEsBAhQAFAAAAAgAh07iQADqIO+KAgAAWwUA&#10;AA4AAAAAAAAAAQAgAAAAJQEAAGRycy9lMm9Eb2MueG1sUEsFBgAAAAAGAAYAWQEAACEGAAAAAA==&#10;">
                  <v:fill type="gradient" on="t" color2="#FFFFFF" opacity="0f" o:opacity2="0f" focus="100%" focussize="0,0"/>
                  <v:stroke weight="1.25pt" color="#000000" joinstyle="miter"/>
                  <v:imagedata o:title=""/>
                  <o:lock v:ext="edit" aspectratio="f"/>
                  <v:textbox style="layout-flow:vertical-ideographic;">
                    <w:txbxContent>
                      <w:p>
                        <w:pPr>
                          <w:ind w:firstLine="0" w:firstLineChars="0"/>
                          <w:jc w:val="center"/>
                          <w:rPr>
                            <w:b/>
                            <w:sz w:val="21"/>
                            <w:szCs w:val="21"/>
                          </w:rPr>
                        </w:pPr>
                        <w:r>
                          <w:rPr>
                            <w:rFonts w:hint="eastAsia"/>
                            <w:b/>
                            <w:sz w:val="21"/>
                            <w:szCs w:val="21"/>
                          </w:rPr>
                          <w:t>应急监测组</w:t>
                        </w:r>
                      </w:p>
                    </w:txbxContent>
                  </v:textbox>
                </v:shape>
                <v:shape id="文本框 357" o:spid="_x0000_s1026" o:spt="202" type="#_x0000_t202" style="position:absolute;left:4730115;top:2232025;height:1257300;width:368300;" fillcolor="#FFFFFF" filled="t" stroked="t" coordsize="21600,21600" o:gfxdata="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AFu8EN1gAAAAUBAAAP&#10;AAAAAAAAAAEAIAAAACIAAABkcnMvZG93bnJldi54bWxQSwECFAAUAAAACACHTuJAHdXU6IwCAABb&#10;BQAADgAAAAAAAAABACAAAAAlAQAAZHJzL2Uyb0RvYy54bWxQSwUGAAAAAAYABgBZAQAAIwYAAAAA&#10;">
                  <v:fill type="gradient" on="t" color2="#FFFFFF" opacity="0f" o:opacity2="0f" focus="100%" focussize="0,0"/>
                  <v:stroke weight="1.25pt" color="#000000" joinstyle="miter"/>
                  <v:imagedata o:title=""/>
                  <o:lock v:ext="edit" aspectratio="f"/>
                  <v:textbox style="layout-flow:vertical-ideographic;">
                    <w:txbxContent>
                      <w:p>
                        <w:pPr>
                          <w:ind w:firstLine="0" w:firstLineChars="0"/>
                          <w:jc w:val="center"/>
                          <w:rPr>
                            <w:b/>
                            <w:sz w:val="21"/>
                            <w:szCs w:val="21"/>
                          </w:rPr>
                        </w:pPr>
                        <w:r>
                          <w:rPr>
                            <w:rFonts w:hint="eastAsia"/>
                            <w:b/>
                            <w:sz w:val="21"/>
                            <w:szCs w:val="21"/>
                          </w:rPr>
                          <w:t>应急专家组</w:t>
                        </w:r>
                      </w:p>
                    </w:txbxContent>
                  </v:textbox>
                </v:shape>
                <v:shape id="自选图形 359" o:spid="_x0000_s1026" o:spt="34" type="#_x0000_t34" style="position:absolute;left:1289050;top:911225;height:1974850;width:643255;rotation:5898240f;" filled="f" stroked="t" coordsize="21600,21600" o:gfxdata="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6l7QvVAAAABQEAAA8AAAAAAAAAAQAgAAAAIgAAAGRycy9kb3ducmV2LnhtbFBL&#10;AQIUABQAAAAIAIdO4kC/SWX1MgIAADsEAAAOAAAAAAAAAAEAIAAAACQBAABkcnMvZTJvRG9jLnht&#10;bFBLBQYAAAAABgAGAFkBAADIBQAAAAA=&#10;" adj="10789">
                  <v:fill on="f" focussize="0,0"/>
                  <v:stroke weight="1pt" color="#000000" joinstyle="miter" endarrow="block"/>
                  <v:imagedata o:title=""/>
                  <o:lock v:ext="edit" aspectratio="f"/>
                </v:shape>
                <v:shape id="自选图形 361" o:spid="_x0000_s1026" o:spt="34" type="#_x0000_t34" style="position:absolute;left:2041525;top:1654175;height:485140;width:633730;rotation:5898240f;" filled="f" stroked="t" coordsize="21600,21600" o:gfxdata="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QnPiT1gAAAAUBAAAPAAAAAAAAAAEAIAAAACIAAABkcnMvZG93bnJldi54bWxQ&#10;SwECFAAUAAAACACHTuJAVgNVnzICAAA8BAAADgAAAAAAAAABACAAAAAlAQAAZHJzL2Uyb0RvYy54&#10;bWxQSwUGAAAAAAYABgBZAQAAyQUAAAAA&#10;" adj="10800">
                  <v:fill on="f" focussize="0,0"/>
                  <v:stroke weight="1pt" color="#000000" joinstyle="miter" endarrow="block"/>
                  <v:imagedata o:title=""/>
                  <o:lock v:ext="edit" aspectratio="f"/>
                </v:shape>
                <v:shape id="自选图形 362" o:spid="_x0000_s1026" o:spt="34" type="#_x0000_t34" style="position:absolute;left:2676525;top:1502410;flip:x;height:808355;width:655320;rotation:5898240f;" filled="f" stroked="t" coordsize="21600,21600" o:gfxdata="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c/fir9UAAAAFAQAADwAAAAAAAAABACAAAAAiAAAAZHJzL2Rvd25yZXYu&#10;eG1sUEsBAhQAFAAAAAgAh07iQP4jyGE3AgAARwQAAA4AAAAAAAAAAQAgAAAAJAEAAGRycy9lMm9E&#10;b2MueG1sUEsFBgAAAAAGAAYAWQEAAM0FAAAAAA==&#10;" adj="10800">
                  <v:fill on="f" focussize="0,0"/>
                  <v:stroke weight="1pt" color="#000000" joinstyle="miter" endarrow="block"/>
                  <v:imagedata o:title=""/>
                  <o:lock v:ext="edit" aspectratio="f"/>
                </v:shape>
                <v:shape id="自选图形 363" o:spid="_x0000_s1026" o:spt="34" type="#_x0000_t34" style="position:absolute;left:3429000;top:746125;flip:x;height:2319020;width:657225;rotation:5898240f;" filled="f" stroked="t" coordsize="21600,21600" o:gfxdata="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c/fir9UAAAAFAQAADwAAAAAAAAABACAAAAAiAAAAZHJzL2Rvd25yZXYu&#10;eG1sUEsBAhQAFAAAAAgAh07iQBPNwJ03AgAARwQAAA4AAAAAAAAAAQAgAAAAJAEAAGRycy9lMm9E&#10;b2MueG1sUEsFBgAAAAAGAAYAWQEAAM0FAAAAAA==&#10;" adj="10800">
                  <v:fill on="f" focussize="0,0"/>
                  <v:stroke weight="1pt" color="#000000" joinstyle="miter" endarrow="block"/>
                  <v:imagedata o:title=""/>
                  <o:lock v:ext="edit" aspectratio="f"/>
                </v:shape>
                <v:shape id="自选图形 378" o:spid="_x0000_s1026" o:spt="32" type="#_x0000_t32" style="position:absolute;left:3265805;top:290830;height:635;width:570230;" filled="f" stroked="t" coordsize="21600,21600" o:gfxdata="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egTMA1gAAAAUBAAAPAAAAAAAAAAEAIAAAACIA&#10;AABkcnMvZG93bnJldi54bWxQSwECFAAUAAAACACHTuJAEDM8+QsCAAD2AwAADgAAAAAAAAABACAA&#10;AAAlAQAAZHJzL2Uyb0RvYy54bWxQSwUGAAAAAAYABgBZAQAAogUAAAAA&#10;">
                  <v:fill on="f" focussize="0,0"/>
                  <v:stroke color="#000000" joinstyle="round" endarrow="block"/>
                  <v:imagedata o:title=""/>
                  <o:lock v:ext="edit" aspectratio="f"/>
                </v:shape>
                <v:shape id="自选图形 382" o:spid="_x0000_s1026" o:spt="34" type="#_x0000_t34" style="position:absolute;left:3276600;top:-239395;height:1925955;width:570230;rotation:5898240f;" filled="f" stroked="t" coordsize="21600,21600" o:gfxdata="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UJz4k9YAAAAFAQAADwAAAAAAAAABACAAAAAiAAAAZHJzL2Rvd25yZXYueG1s&#10;UEsBAhQAFAAAAAgAh07iQOCFedUzAgAAPQQAAA4AAAAAAAAAAQAgAAAAJQEAAGRycy9lMm9Eb2Mu&#10;eG1sUEsFBgAAAAAGAAYAWQEAAMoFAAAAAA==&#10;" adj="10800">
                  <v:fill on="f" focussize="0,0"/>
                  <v:stroke weight="1pt" color="#000000" joinstyle="miter" endarrow="block"/>
                  <v:imagedata o:title=""/>
                  <o:lock v:ext="edit" aspectratio="f"/>
                </v:shape>
                <w10:wrap type="none"/>
                <w10:anchorlock/>
              </v:group>
            </w:pict>
          </mc:Fallback>
        </mc:AlternateContent>
      </w:r>
    </w:p>
    <w:p>
      <w:pPr>
        <w:pStyle w:val="53"/>
        <w:ind w:firstLine="0" w:firstLineChars="0"/>
        <w:jc w:val="center"/>
        <w:rPr>
          <w:color w:val="auto"/>
          <w:sz w:val="28"/>
          <w:szCs w:val="28"/>
          <w:lang w:eastAsia="zh-CN"/>
        </w:rPr>
      </w:pPr>
      <w:r>
        <w:rPr>
          <w:color w:val="auto"/>
          <w:spacing w:val="-10"/>
          <w:sz w:val="28"/>
          <w:szCs w:val="28"/>
          <w:lang w:eastAsia="zh-CN"/>
        </w:rPr>
        <w:t xml:space="preserve">图3-1    </w:t>
      </w:r>
      <w:r>
        <w:rPr>
          <w:color w:val="auto"/>
          <w:sz w:val="28"/>
          <w:szCs w:val="28"/>
          <w:lang w:eastAsia="zh-CN"/>
        </w:rPr>
        <w:t>应急救援组织机构图</w:t>
      </w:r>
    </w:p>
    <w:p>
      <w:pPr>
        <w:ind w:firstLine="560"/>
        <w:rPr>
          <w:color w:val="auto"/>
          <w:szCs w:val="28"/>
        </w:rPr>
      </w:pPr>
      <w:r>
        <w:rPr>
          <w:rFonts w:hint="eastAsia"/>
          <w:color w:val="auto"/>
          <w:szCs w:val="28"/>
        </w:rPr>
        <w:t>应急救援指挥部主要职责：</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贯彻执行国家关于突发环境污染事件发生和应急救援的方针、政策，</w:t>
      </w:r>
      <w:r>
        <w:rPr>
          <w:rFonts w:hint="eastAsia"/>
          <w:color w:val="auto"/>
          <w:szCs w:val="28"/>
          <w:lang w:eastAsia="zh-CN"/>
        </w:rPr>
        <w:t>秦汉新城</w:t>
      </w:r>
      <w:r>
        <w:rPr>
          <w:color w:val="auto"/>
          <w:szCs w:val="28"/>
        </w:rPr>
        <w:t>生态环境局、</w:t>
      </w:r>
      <w:r>
        <w:rPr>
          <w:rFonts w:hint="eastAsia"/>
          <w:color w:val="auto"/>
          <w:szCs w:val="28"/>
          <w:lang w:eastAsia="zh-CN"/>
        </w:rPr>
        <w:t>秦汉新城</w:t>
      </w:r>
      <w:r>
        <w:rPr>
          <w:rFonts w:hint="eastAsia"/>
          <w:color w:val="auto"/>
          <w:szCs w:val="28"/>
        </w:rPr>
        <w:t>应急管理局</w:t>
      </w:r>
      <w:r>
        <w:rPr>
          <w:color w:val="auto"/>
          <w:szCs w:val="28"/>
        </w:rPr>
        <w:t>关于突发环境污染事件发生和应急救援的有关规定。</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组织制定、修订本厂突发环境事件应急预案，成立领导小组，组建突发环境事件应急救援队伍，有计划地组织实施突发环境事件应急救援的培训和演习。</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购置突发环境事件应急救援所需的相关仪器、防护器材、救援器材、工具、物料等。</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检查、督促做好突发环境事件的预防措施和应急救援的各项准备工作，督促、协助有关部门及时消除有毒有害介质的跑、冒、滴、漏。</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5 \* GB2</w:instrText>
      </w:r>
      <w:r>
        <w:rPr>
          <w:color w:val="auto"/>
          <w:szCs w:val="28"/>
        </w:rPr>
        <w:instrText xml:space="preserve"> </w:instrText>
      </w:r>
      <w:r>
        <w:rPr>
          <w:color w:val="auto"/>
          <w:szCs w:val="28"/>
        </w:rPr>
        <w:fldChar w:fldCharType="separate"/>
      </w:r>
      <w:r>
        <w:rPr>
          <w:rFonts w:hint="eastAsia"/>
          <w:color w:val="auto"/>
          <w:szCs w:val="28"/>
        </w:rPr>
        <w:t>⑸</w:t>
      </w:r>
      <w:r>
        <w:rPr>
          <w:color w:val="auto"/>
          <w:szCs w:val="28"/>
        </w:rPr>
        <w:fldChar w:fldCharType="end"/>
      </w:r>
      <w:r>
        <w:rPr>
          <w:color w:val="auto"/>
          <w:szCs w:val="28"/>
        </w:rPr>
        <w:t xml:space="preserve"> 批准应急救援的启动和终止。</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6 \* GB2</w:instrText>
      </w:r>
      <w:r>
        <w:rPr>
          <w:color w:val="auto"/>
          <w:szCs w:val="28"/>
        </w:rPr>
        <w:instrText xml:space="preserve"> </w:instrText>
      </w:r>
      <w:r>
        <w:rPr>
          <w:color w:val="auto"/>
          <w:szCs w:val="28"/>
        </w:rPr>
        <w:fldChar w:fldCharType="separate"/>
      </w:r>
      <w:r>
        <w:rPr>
          <w:rFonts w:hint="eastAsia"/>
          <w:color w:val="auto"/>
          <w:szCs w:val="28"/>
        </w:rPr>
        <w:t>⑹</w:t>
      </w:r>
      <w:r>
        <w:rPr>
          <w:color w:val="auto"/>
          <w:szCs w:val="28"/>
        </w:rPr>
        <w:fldChar w:fldCharType="end"/>
      </w:r>
      <w:r>
        <w:rPr>
          <w:color w:val="auto"/>
          <w:szCs w:val="28"/>
        </w:rPr>
        <w:t xml:space="preserve"> 及时向</w:t>
      </w:r>
      <w:r>
        <w:rPr>
          <w:rFonts w:hint="eastAsia"/>
          <w:color w:val="auto"/>
          <w:szCs w:val="28"/>
        </w:rPr>
        <w:t>秦汉新城生态环境局</w:t>
      </w:r>
      <w:r>
        <w:rPr>
          <w:color w:val="auto"/>
          <w:szCs w:val="28"/>
        </w:rPr>
        <w:t>、</w:t>
      </w:r>
      <w:r>
        <w:rPr>
          <w:rFonts w:hint="eastAsia"/>
          <w:color w:val="auto"/>
          <w:szCs w:val="28"/>
        </w:rPr>
        <w:t>西咸新区秦汉新城管委会</w:t>
      </w:r>
      <w:r>
        <w:rPr>
          <w:color w:val="auto"/>
          <w:szCs w:val="28"/>
        </w:rPr>
        <w:t>等相关部门报告突发环境事件的具体情况，必要时向有关单位发出增援请求，并向周边单位通报相关情况。</w:t>
      </w:r>
    </w:p>
    <w:p>
      <w:pPr>
        <w:widowControl/>
        <w:ind w:firstLine="560"/>
        <w:jc w:val="left"/>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7 \* GB2</w:instrText>
      </w:r>
      <w:r>
        <w:rPr>
          <w:color w:val="auto"/>
          <w:szCs w:val="28"/>
        </w:rPr>
        <w:instrText xml:space="preserve"> </w:instrText>
      </w:r>
      <w:r>
        <w:rPr>
          <w:color w:val="auto"/>
          <w:szCs w:val="28"/>
        </w:rPr>
        <w:fldChar w:fldCharType="separate"/>
      </w:r>
      <w:r>
        <w:rPr>
          <w:rFonts w:hint="eastAsia"/>
          <w:color w:val="auto"/>
          <w:szCs w:val="28"/>
        </w:rPr>
        <w:t>⑺</w:t>
      </w:r>
      <w:r>
        <w:rPr>
          <w:color w:val="auto"/>
          <w:szCs w:val="28"/>
        </w:rPr>
        <w:fldChar w:fldCharType="end"/>
      </w:r>
      <w:r>
        <w:rPr>
          <w:color w:val="auto"/>
          <w:szCs w:val="28"/>
        </w:rPr>
        <w:t xml:space="preserve"> 组织指挥救援队伍实施救援行动，负责人员、资源配置、应急队伍的调动。</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8 \* GB2</w:instrText>
      </w:r>
      <w:r>
        <w:rPr>
          <w:color w:val="auto"/>
          <w:szCs w:val="28"/>
        </w:rPr>
        <w:instrText xml:space="preserve"> </w:instrText>
      </w:r>
      <w:r>
        <w:rPr>
          <w:color w:val="auto"/>
          <w:szCs w:val="28"/>
        </w:rPr>
        <w:fldChar w:fldCharType="separate"/>
      </w:r>
      <w:r>
        <w:rPr>
          <w:rFonts w:hint="eastAsia"/>
          <w:color w:val="auto"/>
          <w:szCs w:val="28"/>
        </w:rPr>
        <w:t>⑻</w:t>
      </w:r>
      <w:r>
        <w:rPr>
          <w:color w:val="auto"/>
          <w:szCs w:val="28"/>
        </w:rPr>
        <w:fldChar w:fldCharType="end"/>
      </w:r>
      <w:r>
        <w:rPr>
          <w:color w:val="auto"/>
          <w:szCs w:val="28"/>
        </w:rPr>
        <w:t xml:space="preserve"> 协调事故现场有关工作。配合政府对环境进行恢复、事故调查、经验教训总结。负责对员工进行应急知识和基本防护方法的培训，向周边小区、村民提供本单位有关危险化学品特性、救援知识等的宣传材料。</w:t>
      </w:r>
    </w:p>
    <w:p>
      <w:pPr>
        <w:pStyle w:val="4"/>
        <w:rPr>
          <w:rFonts w:ascii="仿宋" w:hAnsi="仿宋"/>
          <w:color w:val="auto"/>
          <w:szCs w:val="28"/>
        </w:rPr>
      </w:pPr>
      <w:bookmarkStart w:id="91" w:name="_Toc13768"/>
      <w:r>
        <w:rPr>
          <w:rFonts w:hint="eastAsia"/>
          <w:color w:val="auto"/>
          <w:szCs w:val="28"/>
        </w:rPr>
        <w:t>3</w:t>
      </w:r>
      <w:r>
        <w:rPr>
          <w:rFonts w:hint="eastAsia" w:ascii="仿宋" w:hAnsi="仿宋"/>
          <w:color w:val="auto"/>
          <w:szCs w:val="28"/>
        </w:rPr>
        <w:t>.2 应急救援专业队伍</w:t>
      </w:r>
      <w:bookmarkEnd w:id="91"/>
    </w:p>
    <w:p>
      <w:pPr>
        <w:ind w:firstLine="0" w:firstLineChars="0"/>
        <w:rPr>
          <w:rFonts w:ascii="仿宋" w:hAnsi="仿宋"/>
          <w:b/>
          <w:bCs/>
          <w:color w:val="auto"/>
          <w:szCs w:val="28"/>
        </w:rPr>
      </w:pPr>
      <w:r>
        <w:rPr>
          <w:rFonts w:ascii="仿宋" w:hAnsi="仿宋"/>
          <w:b/>
          <w:bCs/>
          <w:color w:val="auto"/>
          <w:szCs w:val="28"/>
        </w:rPr>
        <w:t>3.2.1</w:t>
      </w:r>
      <w:bookmarkStart w:id="92" w:name="_Hlk57024070"/>
      <w:r>
        <w:rPr>
          <w:rFonts w:ascii="仿宋" w:hAnsi="仿宋"/>
          <w:b/>
          <w:bCs/>
          <w:color w:val="auto"/>
          <w:szCs w:val="28"/>
        </w:rPr>
        <w:t>应急组织机构人员组成</w:t>
      </w:r>
    </w:p>
    <w:p>
      <w:pPr>
        <w:pStyle w:val="39"/>
        <w:ind w:left="0" w:leftChars="0" w:firstLine="0" w:firstLineChars="0"/>
        <w:jc w:val="center"/>
        <w:rPr>
          <w:rFonts w:ascii="仿宋" w:hAnsi="仿宋"/>
          <w:b/>
          <w:bCs/>
          <w:color w:val="auto"/>
          <w:sz w:val="24"/>
          <w:szCs w:val="24"/>
        </w:rPr>
      </w:pPr>
      <w:r>
        <w:rPr>
          <w:rFonts w:hint="eastAsia" w:ascii="仿宋" w:hAnsi="仿宋"/>
          <w:b/>
          <w:bCs/>
          <w:color w:val="auto"/>
          <w:sz w:val="24"/>
          <w:szCs w:val="24"/>
        </w:rPr>
        <w:t>表3</w:t>
      </w:r>
      <w:r>
        <w:rPr>
          <w:rFonts w:ascii="仿宋" w:hAnsi="仿宋"/>
          <w:b/>
          <w:bCs/>
          <w:color w:val="auto"/>
          <w:sz w:val="24"/>
          <w:szCs w:val="24"/>
        </w:rPr>
        <w:t xml:space="preserve">-1    </w:t>
      </w:r>
      <w:r>
        <w:rPr>
          <w:rFonts w:hint="eastAsia" w:ascii="仿宋" w:hAnsi="仿宋"/>
          <w:b/>
          <w:bCs/>
          <w:color w:val="auto"/>
          <w:sz w:val="24"/>
          <w:szCs w:val="24"/>
        </w:rPr>
        <w:t>应急组织机构人员组成</w:t>
      </w:r>
    </w:p>
    <w:bookmarkEnd w:id="92"/>
    <w:tbl>
      <w:tblPr>
        <w:tblStyle w:val="40"/>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68"/>
        <w:gridCol w:w="1276"/>
        <w:gridCol w:w="1632"/>
        <w:gridCol w:w="1300"/>
        <w:gridCol w:w="1705"/>
        <w:gridCol w:w="17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898" w:type="pct"/>
            <w:shd w:val="clear" w:color="auto" w:fill="D9D9D9"/>
            <w:vAlign w:val="center"/>
          </w:tcPr>
          <w:p>
            <w:pPr>
              <w:spacing w:line="240" w:lineRule="auto"/>
              <w:ind w:firstLine="0" w:firstLineChars="0"/>
              <w:jc w:val="center"/>
              <w:rPr>
                <w:rFonts w:ascii="仿宋" w:hAnsi="仿宋"/>
                <w:b/>
                <w:bCs/>
                <w:color w:val="auto"/>
                <w:sz w:val="24"/>
              </w:rPr>
            </w:pPr>
            <w:bookmarkStart w:id="93" w:name="_Hlk55572190"/>
            <w:r>
              <w:rPr>
                <w:rFonts w:hint="eastAsia" w:ascii="仿宋" w:hAnsi="仿宋"/>
                <w:b/>
                <w:bCs/>
                <w:color w:val="auto"/>
                <w:sz w:val="24"/>
              </w:rPr>
              <w:t>应急指挥部</w:t>
            </w:r>
          </w:p>
        </w:tc>
        <w:tc>
          <w:tcPr>
            <w:tcW w:w="687" w:type="pct"/>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应急职务</w:t>
            </w:r>
          </w:p>
        </w:tc>
        <w:tc>
          <w:tcPr>
            <w:tcW w:w="879" w:type="pct"/>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部门</w:t>
            </w:r>
          </w:p>
        </w:tc>
        <w:tc>
          <w:tcPr>
            <w:tcW w:w="700" w:type="pct"/>
            <w:tcBorders>
              <w:right w:val="single" w:color="auto" w:sz="8" w:space="0"/>
            </w:tcBorders>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职务</w:t>
            </w:r>
          </w:p>
        </w:tc>
        <w:tc>
          <w:tcPr>
            <w:tcW w:w="918" w:type="pct"/>
            <w:tcBorders>
              <w:left w:val="single" w:color="auto" w:sz="8" w:space="0"/>
            </w:tcBorders>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姓名</w:t>
            </w:r>
          </w:p>
        </w:tc>
        <w:tc>
          <w:tcPr>
            <w:tcW w:w="918" w:type="pct"/>
            <w:tcBorders>
              <w:left w:val="single" w:color="auto" w:sz="8" w:space="0"/>
            </w:tcBorders>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总指挥</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总指挥</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党委书记、总经理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王明川</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18992289000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副总指挥</w:t>
            </w:r>
          </w:p>
        </w:tc>
        <w:tc>
          <w:tcPr>
            <w:tcW w:w="687"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副总指挥</w:t>
            </w:r>
          </w:p>
        </w:tc>
        <w:tc>
          <w:tcPr>
            <w:tcW w:w="879"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黄卫东</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13319213339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熊立军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18792968680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王联盟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18220618103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工会主席</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孙建刚</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13891056666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纪委书记</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郭向阳</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18966707922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应急办公室</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王鹏武</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13609103368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办公室主任助理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冯睿泓</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13891099959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应急专家组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安全副总监兼安环部主任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吴立功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13892959966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张科建</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13892959373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现场处置组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副总工程师兼发电部主任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第五维华</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13892959853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陈波</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13572807078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发电部值长室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发电部值长室主任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孟东</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13891051233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发电部集控中心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发电部集控中心主任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田鹏康</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13892950276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尹建军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13468676659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发电部燃输中心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发电部燃输中心主任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贺海涛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13892950090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物资管理部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物资管理部主任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王刚</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18092044136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燃料管理部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燃料管理部主任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李文军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13891051298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应急监测组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发电部辅控中心主任助理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王云</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13571028603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环保工程师兼监测站站长</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张阿虎</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13659103191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后勤保障组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宋立为</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13609103368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后勤管理党支部书记</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赵海</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工会工作部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工会工作部主任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13891058188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总经理助理兼后勤管理部主任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王小勇</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13325451800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财务部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副总会计师兼财务部主任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王守勤</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15191026088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经营管理部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副总经济师兼经营管理部主任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赫荣娟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13991202010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人力资源部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人力资源部主任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门江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13891969279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党委工作部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党委工作部主任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辜承学</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13572786217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市场营销部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市场营销部副主任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张佐民</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13571055581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纪律检查室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纪律检查室主任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张珺</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13152129808</w:t>
            </w:r>
          </w:p>
        </w:tc>
      </w:tr>
      <w:bookmarkEnd w:id="93"/>
    </w:tbl>
    <w:p>
      <w:pPr>
        <w:ind w:firstLine="562"/>
        <w:rPr>
          <w:rFonts w:ascii="仿宋" w:hAnsi="仿宋"/>
          <w:b/>
          <w:color w:val="auto"/>
          <w:szCs w:val="28"/>
        </w:rPr>
      </w:pPr>
      <w:r>
        <w:rPr>
          <w:rFonts w:hint="eastAsia" w:ascii="仿宋" w:hAnsi="仿宋"/>
          <w:b/>
          <w:color w:val="auto"/>
          <w:szCs w:val="28"/>
        </w:rPr>
        <w:t>公司</w:t>
      </w:r>
      <w:r>
        <w:rPr>
          <w:rFonts w:ascii="仿宋" w:hAnsi="仿宋"/>
          <w:b/>
          <w:color w:val="auto"/>
          <w:szCs w:val="28"/>
        </w:rPr>
        <w:t>24小时联系电话：</w:t>
      </w:r>
      <w:bookmarkStart w:id="94" w:name="_Hlk59021134"/>
      <w:r>
        <w:rPr>
          <w:rFonts w:ascii="仿宋" w:hAnsi="仿宋"/>
          <w:b/>
          <w:color w:val="auto"/>
          <w:szCs w:val="28"/>
        </w:rPr>
        <w:t>029-33882543</w:t>
      </w:r>
      <w:bookmarkEnd w:id="94"/>
      <w:r>
        <w:rPr>
          <w:rFonts w:ascii="仿宋" w:hAnsi="仿宋"/>
          <w:b/>
          <w:color w:val="auto"/>
          <w:szCs w:val="28"/>
        </w:rPr>
        <w:t>。</w:t>
      </w:r>
    </w:p>
    <w:p>
      <w:pPr>
        <w:ind w:firstLine="0" w:firstLineChars="0"/>
        <w:rPr>
          <w:rFonts w:ascii="仿宋" w:hAnsi="仿宋"/>
          <w:b/>
          <w:bCs/>
          <w:color w:val="auto"/>
          <w:szCs w:val="28"/>
        </w:rPr>
      </w:pPr>
      <w:r>
        <w:rPr>
          <w:rFonts w:ascii="仿宋" w:hAnsi="仿宋"/>
          <w:b/>
          <w:bCs/>
          <w:color w:val="auto"/>
          <w:szCs w:val="28"/>
        </w:rPr>
        <w:t>3.2.2 应急组织机构职责</w:t>
      </w:r>
    </w:p>
    <w:p>
      <w:pPr>
        <w:adjustRightInd/>
        <w:snapToGrid/>
        <w:ind w:firstLine="0" w:firstLineChars="0"/>
        <w:jc w:val="center"/>
        <w:rPr>
          <w:rFonts w:ascii="仿宋" w:hAnsi="仿宋"/>
          <w:b/>
          <w:bCs/>
          <w:color w:val="auto"/>
          <w:sz w:val="24"/>
        </w:rPr>
      </w:pPr>
      <w:r>
        <w:rPr>
          <w:rFonts w:hint="eastAsia" w:ascii="仿宋" w:hAnsi="仿宋"/>
          <w:b/>
          <w:bCs/>
          <w:color w:val="auto"/>
          <w:sz w:val="24"/>
        </w:rPr>
        <w:t>表3</w:t>
      </w:r>
      <w:r>
        <w:rPr>
          <w:rFonts w:ascii="仿宋" w:hAnsi="仿宋"/>
          <w:b/>
          <w:bCs/>
          <w:color w:val="auto"/>
          <w:sz w:val="24"/>
        </w:rPr>
        <w:t xml:space="preserve">-2    </w:t>
      </w:r>
      <w:r>
        <w:rPr>
          <w:rFonts w:hint="eastAsia" w:ascii="仿宋" w:hAnsi="仿宋"/>
          <w:b/>
          <w:bCs/>
          <w:color w:val="auto"/>
          <w:sz w:val="24"/>
        </w:rPr>
        <w:t>应急组织机构和职责</w:t>
      </w:r>
    </w:p>
    <w:tbl>
      <w:tblPr>
        <w:tblStyle w:val="4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24"/>
        <w:gridCol w:w="3828"/>
        <w:gridCol w:w="39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trPr>
        <w:tc>
          <w:tcPr>
            <w:tcW w:w="821" w:type="pct"/>
            <w:shd w:val="clear" w:color="auto" w:fill="D9D9D9"/>
            <w:vAlign w:val="center"/>
          </w:tcPr>
          <w:p>
            <w:pPr>
              <w:pStyle w:val="39"/>
              <w:snapToGrid/>
              <w:spacing w:after="0" w:line="240" w:lineRule="auto"/>
              <w:ind w:left="0" w:leftChars="0" w:firstLine="0" w:firstLineChars="0"/>
              <w:jc w:val="center"/>
              <w:rPr>
                <w:rFonts w:ascii="仿宋" w:hAnsi="仿宋"/>
                <w:b/>
                <w:bCs/>
                <w:color w:val="auto"/>
                <w:sz w:val="24"/>
                <w:szCs w:val="24"/>
              </w:rPr>
            </w:pPr>
            <w:r>
              <w:rPr>
                <w:rFonts w:hint="eastAsia" w:ascii="仿宋" w:hAnsi="仿宋"/>
                <w:b/>
                <w:bCs/>
                <w:color w:val="auto"/>
                <w:sz w:val="24"/>
                <w:szCs w:val="24"/>
              </w:rPr>
              <w:t>应急机构</w:t>
            </w:r>
          </w:p>
        </w:tc>
        <w:tc>
          <w:tcPr>
            <w:tcW w:w="2061" w:type="pct"/>
            <w:shd w:val="clear" w:color="auto" w:fill="D9D9D9"/>
            <w:vAlign w:val="center"/>
          </w:tcPr>
          <w:p>
            <w:pPr>
              <w:pStyle w:val="39"/>
              <w:snapToGrid/>
              <w:spacing w:after="0" w:line="240" w:lineRule="auto"/>
              <w:ind w:left="0" w:leftChars="0" w:firstLine="0" w:firstLineChars="0"/>
              <w:jc w:val="center"/>
              <w:rPr>
                <w:rFonts w:ascii="仿宋" w:hAnsi="仿宋"/>
                <w:b/>
                <w:bCs/>
                <w:color w:val="auto"/>
                <w:sz w:val="24"/>
                <w:szCs w:val="24"/>
              </w:rPr>
            </w:pPr>
            <w:r>
              <w:rPr>
                <w:rFonts w:hint="eastAsia" w:ascii="仿宋" w:hAnsi="仿宋"/>
                <w:b/>
                <w:bCs/>
                <w:color w:val="auto"/>
                <w:sz w:val="24"/>
                <w:szCs w:val="24"/>
              </w:rPr>
              <w:t>日常职责</w:t>
            </w:r>
          </w:p>
        </w:tc>
        <w:tc>
          <w:tcPr>
            <w:tcW w:w="2117" w:type="pct"/>
            <w:shd w:val="clear" w:color="auto" w:fill="D9D9D9"/>
            <w:vAlign w:val="center"/>
          </w:tcPr>
          <w:p>
            <w:pPr>
              <w:pStyle w:val="39"/>
              <w:snapToGrid/>
              <w:spacing w:after="0" w:line="240" w:lineRule="auto"/>
              <w:ind w:left="0" w:leftChars="0" w:firstLine="0" w:firstLineChars="0"/>
              <w:jc w:val="center"/>
              <w:rPr>
                <w:rFonts w:ascii="仿宋" w:hAnsi="仿宋"/>
                <w:b/>
                <w:bCs/>
                <w:color w:val="auto"/>
                <w:sz w:val="24"/>
                <w:szCs w:val="24"/>
              </w:rPr>
            </w:pPr>
            <w:r>
              <w:rPr>
                <w:rFonts w:hint="eastAsia" w:ascii="仿宋" w:hAnsi="仿宋"/>
                <w:b/>
                <w:bCs/>
                <w:color w:val="auto"/>
                <w:sz w:val="24"/>
                <w:szCs w:val="24"/>
              </w:rPr>
              <w:t>应急职责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gridSpan w:val="3"/>
            <w:vAlign w:val="center"/>
          </w:tcPr>
          <w:p>
            <w:pPr>
              <w:pStyle w:val="39"/>
              <w:snapToGrid/>
              <w:spacing w:after="0" w:line="240" w:lineRule="auto"/>
              <w:ind w:left="0" w:leftChars="0" w:firstLine="0" w:firstLineChars="0"/>
              <w:jc w:val="center"/>
              <w:rPr>
                <w:rFonts w:ascii="仿宋" w:hAnsi="仿宋"/>
                <w:b/>
                <w:bCs/>
                <w:color w:val="auto"/>
                <w:sz w:val="24"/>
                <w:szCs w:val="24"/>
              </w:rPr>
            </w:pPr>
            <w:r>
              <w:rPr>
                <w:rFonts w:hint="eastAsia" w:ascii="仿宋" w:hAnsi="仿宋"/>
                <w:b/>
                <w:bCs/>
                <w:color w:val="auto"/>
                <w:sz w:val="24"/>
                <w:szCs w:val="24"/>
              </w:rPr>
              <w:t>应急指挥部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jc w:val="center"/>
              <w:rPr>
                <w:rFonts w:ascii="仿宋" w:hAnsi="仿宋"/>
                <w:color w:val="auto"/>
                <w:sz w:val="24"/>
                <w:szCs w:val="24"/>
              </w:rPr>
            </w:pPr>
            <w:r>
              <w:rPr>
                <w:rFonts w:hint="eastAsia" w:ascii="仿宋" w:hAnsi="仿宋"/>
                <w:color w:val="auto"/>
                <w:sz w:val="24"/>
                <w:szCs w:val="24"/>
              </w:rPr>
              <w:t>总指挥</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贯彻执行国家、当地政府、上</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级主管部门关于突发环境事件发生</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和应急救援的方针、政策及有关规</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定；</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对突发环境事件应急预案的编制、修订内容进行审定、批准；</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保障企业突发环境事件应急保障经费的投入。</w:t>
            </w:r>
          </w:p>
        </w:tc>
        <w:tc>
          <w:tcPr>
            <w:tcW w:w="2117" w:type="pct"/>
            <w:vAlign w:val="center"/>
          </w:tcPr>
          <w:p>
            <w:pPr>
              <w:pStyle w:val="39"/>
              <w:adjustRightInd/>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接受政府的指令和调动；</w:t>
            </w:r>
          </w:p>
          <w:p>
            <w:pPr>
              <w:pStyle w:val="39"/>
              <w:adjustRightInd/>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决定应急预案的启动与终止；</w:t>
            </w:r>
          </w:p>
          <w:p>
            <w:pPr>
              <w:pStyle w:val="39"/>
              <w:adjustRightInd/>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审核突发环境事件的险情及应急处理进展等情况，确定预警和应急响应级别；</w:t>
            </w:r>
          </w:p>
          <w:p>
            <w:pPr>
              <w:pStyle w:val="39"/>
              <w:adjustRightInd/>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发生环境事件时，亲自或委托副总指挥赶赴现场进行指挥及组织现场应急处理；</w:t>
            </w:r>
          </w:p>
          <w:p>
            <w:pPr>
              <w:pStyle w:val="39"/>
              <w:adjustRightInd/>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5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⑸</w:t>
            </w:r>
            <w:r>
              <w:rPr>
                <w:rFonts w:ascii="仿宋" w:hAnsi="仿宋"/>
                <w:color w:val="auto"/>
                <w:sz w:val="24"/>
                <w:szCs w:val="24"/>
              </w:rPr>
              <w:fldChar w:fldCharType="end"/>
            </w:r>
            <w:r>
              <w:rPr>
                <w:rFonts w:hint="eastAsia" w:ascii="仿宋" w:hAnsi="仿宋"/>
                <w:color w:val="auto"/>
                <w:sz w:val="24"/>
                <w:szCs w:val="24"/>
              </w:rPr>
              <w:t>发布应急处置命令；</w:t>
            </w:r>
          </w:p>
          <w:p>
            <w:pPr>
              <w:pStyle w:val="39"/>
              <w:adjustRightInd/>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6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⑹</w:t>
            </w:r>
            <w:r>
              <w:rPr>
                <w:rFonts w:ascii="仿宋" w:hAnsi="仿宋"/>
                <w:color w:val="auto"/>
                <w:sz w:val="24"/>
                <w:szCs w:val="24"/>
              </w:rPr>
              <w:fldChar w:fldCharType="end"/>
            </w:r>
            <w:r>
              <w:rPr>
                <w:rFonts w:hint="eastAsia" w:ascii="仿宋" w:hAnsi="仿宋"/>
                <w:color w:val="auto"/>
                <w:sz w:val="24"/>
                <w:szCs w:val="24"/>
              </w:rPr>
              <w:t>如果事故级别升级到社会应急，负责及时向政府部门报告并提出协助请求。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jc w:val="center"/>
              <w:rPr>
                <w:rFonts w:ascii="仿宋" w:hAnsi="仿宋"/>
                <w:color w:val="auto"/>
                <w:sz w:val="24"/>
                <w:szCs w:val="24"/>
              </w:rPr>
            </w:pPr>
            <w:r>
              <w:rPr>
                <w:rFonts w:hint="eastAsia" w:ascii="仿宋" w:hAnsi="仿宋"/>
                <w:color w:val="auto"/>
                <w:sz w:val="24"/>
                <w:szCs w:val="24"/>
              </w:rPr>
              <w:t>副总指挥</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组织、指导员工突发环境事件的应急培训工作，协调指导应急救援队伍的管理和救援能力评估工作；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检查、督促做好突发环境事件的预防措施和应急救援的各项准备工作；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监督应急体系的建设和运转，</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审查应急救援工作报告。</w:t>
            </w:r>
          </w:p>
        </w:tc>
        <w:tc>
          <w:tcPr>
            <w:tcW w:w="2117"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协助总指挥组织和指挥应急任务；</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事故现场应急的直接指挥和协调；</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对应急行动提出建议；</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负责企业人员的应急行动的顺利执行；</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5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⑸</w:t>
            </w:r>
            <w:r>
              <w:rPr>
                <w:rFonts w:ascii="仿宋" w:hAnsi="仿宋"/>
                <w:color w:val="auto"/>
                <w:sz w:val="24"/>
                <w:szCs w:val="24"/>
              </w:rPr>
              <w:fldChar w:fldCharType="end"/>
            </w:r>
            <w:r>
              <w:rPr>
                <w:rFonts w:hint="eastAsia" w:ascii="仿宋" w:hAnsi="仿宋"/>
                <w:color w:val="auto"/>
                <w:sz w:val="24"/>
                <w:szCs w:val="24"/>
              </w:rPr>
              <w:t>控制现场出现的紧急情况；</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6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⑹</w:t>
            </w:r>
            <w:r>
              <w:rPr>
                <w:rFonts w:ascii="仿宋" w:hAnsi="仿宋"/>
                <w:color w:val="auto"/>
                <w:sz w:val="24"/>
                <w:szCs w:val="24"/>
              </w:rPr>
              <w:fldChar w:fldCharType="end"/>
            </w:r>
            <w:r>
              <w:rPr>
                <w:rFonts w:hint="eastAsia" w:ascii="仿宋" w:hAnsi="仿宋"/>
                <w:color w:val="auto"/>
                <w:sz w:val="24"/>
                <w:szCs w:val="24"/>
              </w:rPr>
              <w:t>现场应急行动与场外人员操作指挥的协调。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jc w:val="center"/>
              <w:rPr>
                <w:rFonts w:ascii="仿宋" w:hAnsi="仿宋"/>
                <w:color w:val="auto"/>
                <w:sz w:val="24"/>
                <w:szCs w:val="24"/>
              </w:rPr>
            </w:pPr>
            <w:r>
              <w:rPr>
                <w:rFonts w:hint="eastAsia" w:ascii="仿宋" w:hAnsi="仿宋"/>
                <w:color w:val="auto"/>
                <w:sz w:val="24"/>
                <w:szCs w:val="24"/>
              </w:rPr>
              <w:t>应急办公室</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负责组织应急预案制定、修订工作；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负责本公司应急预案的日常管理工作；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负责日常的接警工作；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组织应急的培训、演练等工作</w:t>
            </w:r>
          </w:p>
        </w:tc>
        <w:tc>
          <w:tcPr>
            <w:tcW w:w="2117"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上传下达指挥安排的应急任务；</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负责人员配置、资源分配、应急队伍的调动；</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事故信息的上报，并与相关的外部应急部门、组织和机构进行联络，及时通报应急信息；</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负责保护事故发生后的相关数据。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5000" w:type="pct"/>
            <w:gridSpan w:val="3"/>
            <w:vAlign w:val="center"/>
          </w:tcPr>
          <w:p>
            <w:pPr>
              <w:pStyle w:val="39"/>
              <w:snapToGrid/>
              <w:spacing w:after="0" w:line="240" w:lineRule="auto"/>
              <w:ind w:left="0" w:leftChars="0" w:firstLine="0" w:firstLineChars="0"/>
              <w:jc w:val="center"/>
              <w:rPr>
                <w:rFonts w:ascii="仿宋" w:hAnsi="仿宋"/>
                <w:b/>
                <w:bCs/>
                <w:color w:val="auto"/>
                <w:sz w:val="24"/>
                <w:szCs w:val="24"/>
              </w:rPr>
            </w:pPr>
            <w:r>
              <w:rPr>
                <w:rFonts w:hint="eastAsia" w:ascii="仿宋" w:hAnsi="仿宋"/>
                <w:b/>
                <w:bCs/>
                <w:color w:val="auto"/>
                <w:sz w:val="24"/>
                <w:szCs w:val="24"/>
              </w:rPr>
              <w:t>应急处置小组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现场处置组</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负责消防设施的维护保养，并负责其他抢险抢修设备的管理和维护等工作；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熟悉抢险抢修工作的步奏，积极参与培训、演练及不断总结等工作，保证事故下的及时抢险抢修。</w:t>
            </w:r>
          </w:p>
        </w:tc>
        <w:tc>
          <w:tcPr>
            <w:tcW w:w="2117"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负责紧急状态下现场排险、控险、灭火等各项工作；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负责抢修被事故破坏的设备、道路交通设施、通讯设</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备设施；</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负责抢救遇险人员，转移物资；</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及时掌握事故的变化情况，提出相应措施；</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5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⑸</w:t>
            </w:r>
            <w:r>
              <w:rPr>
                <w:rFonts w:ascii="仿宋" w:hAnsi="仿宋"/>
                <w:color w:val="auto"/>
                <w:sz w:val="24"/>
                <w:szCs w:val="24"/>
              </w:rPr>
              <w:fldChar w:fldCharType="end"/>
            </w:r>
            <w:r>
              <w:rPr>
                <w:rFonts w:hint="eastAsia" w:ascii="仿宋" w:hAnsi="仿宋"/>
                <w:color w:val="auto"/>
                <w:sz w:val="24"/>
                <w:szCs w:val="24"/>
              </w:rPr>
              <w:t>根据事故变化及时向指挥部报告，以便统筹调度与救</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灾等有关的各方面人力、物力。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jc w:val="center"/>
              <w:rPr>
                <w:rFonts w:ascii="仿宋" w:hAnsi="仿宋"/>
                <w:color w:val="auto"/>
                <w:sz w:val="24"/>
                <w:szCs w:val="24"/>
              </w:rPr>
            </w:pPr>
            <w:r>
              <w:rPr>
                <w:rFonts w:hint="eastAsia" w:ascii="仿宋" w:hAnsi="仿宋"/>
                <w:color w:val="auto"/>
                <w:sz w:val="24"/>
                <w:szCs w:val="24"/>
              </w:rPr>
              <w:t>应急专家组</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指导企业进行日常的应急工作，包</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括培训、演练、隐患整改等。</w:t>
            </w:r>
          </w:p>
        </w:tc>
        <w:tc>
          <w:tcPr>
            <w:tcW w:w="2117" w:type="pct"/>
            <w:vAlign w:val="center"/>
          </w:tcPr>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为现场应急处置行动提供技术支持。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jc w:val="center"/>
              <w:rPr>
                <w:rFonts w:ascii="仿宋" w:hAnsi="仿宋"/>
                <w:color w:val="auto"/>
                <w:sz w:val="24"/>
                <w:szCs w:val="24"/>
              </w:rPr>
            </w:pPr>
            <w:r>
              <w:rPr>
                <w:rFonts w:hint="eastAsia" w:ascii="仿宋" w:hAnsi="仿宋"/>
                <w:color w:val="auto"/>
                <w:sz w:val="24"/>
              </w:rPr>
              <w:t>应急监测组</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负责日常大气和水体的监测；</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负责应急池、雨水阀门、消防泵等环境应急资源的管理等；</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负责应急监测设备的维护及保养等；</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参与相关培训及演练，熟悉应急工作，并负责制定其中的应急监测方案。</w:t>
            </w:r>
          </w:p>
        </w:tc>
        <w:tc>
          <w:tcPr>
            <w:tcW w:w="2117"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负责对事故状态下的大气、水体环境进行监测，为应</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急处置提供依据与保障；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协助</w:t>
            </w:r>
            <w:r>
              <w:rPr>
                <w:rFonts w:hint="eastAsia" w:ascii="仿宋" w:hAnsi="仿宋"/>
                <w:color w:val="auto"/>
                <w:sz w:val="24"/>
                <w:szCs w:val="24"/>
                <w:lang w:eastAsia="zh-CN"/>
              </w:rPr>
              <w:t>生态局</w:t>
            </w:r>
            <w:r>
              <w:rPr>
                <w:rFonts w:hint="eastAsia" w:ascii="仿宋" w:hAnsi="仿宋"/>
                <w:color w:val="auto"/>
                <w:sz w:val="24"/>
                <w:szCs w:val="24"/>
              </w:rPr>
              <w:t>或监测站进行环境应急监测；</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负责对事故产生的污染物进行控制，避免或减少污染</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物对外环境造成污染；主要包括雨水排口、污水排口和清</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净下水排口的截断，防止事故废水蔓延，同时包括将事故</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废水引入应急池等应急工作；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负责对事故后的产生的环境污染物进行相应处理。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821" w:type="pct"/>
            <w:vAlign w:val="center"/>
          </w:tcPr>
          <w:p>
            <w:pPr>
              <w:pStyle w:val="39"/>
              <w:snapToGrid/>
              <w:spacing w:after="0" w:line="240" w:lineRule="auto"/>
              <w:ind w:left="0" w:leftChars="0" w:firstLine="0" w:firstLineChars="0"/>
              <w:jc w:val="center"/>
              <w:rPr>
                <w:rFonts w:ascii="仿宋" w:hAnsi="仿宋"/>
                <w:color w:val="auto"/>
                <w:sz w:val="24"/>
                <w:szCs w:val="24"/>
              </w:rPr>
            </w:pPr>
            <w:r>
              <w:rPr>
                <w:rFonts w:hint="eastAsia" w:ascii="仿宋" w:hAnsi="仿宋"/>
                <w:color w:val="auto"/>
                <w:sz w:val="24"/>
              </w:rPr>
              <w:t>后勤保障组</w:t>
            </w:r>
          </w:p>
        </w:tc>
        <w:tc>
          <w:tcPr>
            <w:tcW w:w="2061"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负责人员救护及救援行动所需物资的准备及其维护等管理工作；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参与相关培训及演练，熟悉应急工作。</w:t>
            </w:r>
          </w:p>
        </w:tc>
        <w:tc>
          <w:tcPr>
            <w:tcW w:w="2117" w:type="pct"/>
            <w:vAlign w:val="center"/>
          </w:tcPr>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1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⑴</w:t>
            </w:r>
            <w:r>
              <w:rPr>
                <w:rFonts w:ascii="仿宋" w:hAnsi="仿宋"/>
                <w:color w:val="auto"/>
                <w:sz w:val="24"/>
                <w:szCs w:val="24"/>
              </w:rPr>
              <w:fldChar w:fldCharType="end"/>
            </w:r>
            <w:r>
              <w:rPr>
                <w:rFonts w:hint="eastAsia" w:ascii="仿宋" w:hAnsi="仿宋"/>
                <w:color w:val="auto"/>
                <w:sz w:val="24"/>
                <w:szCs w:val="24"/>
              </w:rPr>
              <w:t>负责对伤员的救护、包扎、诊治和人工呼吸等现场急</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救；及保护、转送事故中的受伤人员；</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2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⑵</w:t>
            </w:r>
            <w:r>
              <w:rPr>
                <w:rFonts w:ascii="仿宋" w:hAnsi="仿宋"/>
                <w:color w:val="auto"/>
                <w:sz w:val="24"/>
                <w:szCs w:val="24"/>
              </w:rPr>
              <w:fldChar w:fldCharType="end"/>
            </w:r>
            <w:r>
              <w:rPr>
                <w:rFonts w:hint="eastAsia" w:ascii="仿宋" w:hAnsi="仿宋"/>
                <w:color w:val="auto"/>
                <w:sz w:val="24"/>
                <w:szCs w:val="24"/>
              </w:rPr>
              <w:t>负责车辆的安排和调配；</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3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⑶</w:t>
            </w:r>
            <w:r>
              <w:rPr>
                <w:rFonts w:ascii="仿宋" w:hAnsi="仿宋"/>
                <w:color w:val="auto"/>
                <w:sz w:val="24"/>
                <w:szCs w:val="24"/>
              </w:rPr>
              <w:fldChar w:fldCharType="end"/>
            </w:r>
            <w:r>
              <w:rPr>
                <w:rFonts w:hint="eastAsia" w:ascii="仿宋" w:hAnsi="仿宋"/>
                <w:color w:val="auto"/>
                <w:sz w:val="24"/>
                <w:szCs w:val="24"/>
              </w:rPr>
              <w:t>为救援行动提供物质保证（包括应急抢险器材、救援</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防护器材、监测器材和指挥通信器材等）；</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4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⑷</w:t>
            </w:r>
            <w:r>
              <w:rPr>
                <w:rFonts w:ascii="仿宋" w:hAnsi="仿宋"/>
                <w:color w:val="auto"/>
                <w:sz w:val="24"/>
                <w:szCs w:val="24"/>
              </w:rPr>
              <w:fldChar w:fldCharType="end"/>
            </w:r>
            <w:r>
              <w:rPr>
                <w:rFonts w:hint="eastAsia" w:ascii="仿宋" w:hAnsi="仿宋"/>
                <w:color w:val="auto"/>
                <w:sz w:val="24"/>
                <w:szCs w:val="24"/>
              </w:rPr>
              <w:t>负责应急时的后勤保障工作；</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5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⑸</w:t>
            </w:r>
            <w:r>
              <w:rPr>
                <w:rFonts w:ascii="仿宋" w:hAnsi="仿宋"/>
                <w:color w:val="auto"/>
                <w:sz w:val="24"/>
                <w:szCs w:val="24"/>
              </w:rPr>
              <w:fldChar w:fldCharType="end"/>
            </w:r>
            <w:r>
              <w:rPr>
                <w:rFonts w:hint="eastAsia" w:ascii="仿宋" w:hAnsi="仿宋"/>
                <w:color w:val="auto"/>
                <w:sz w:val="24"/>
                <w:szCs w:val="24"/>
              </w:rPr>
              <w:t>负责善后处置工作，包括人员安置、补偿，征用物资</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补偿，救援费用的支付，灾后重建，污染物收集、清理与</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处理等事项；</w:t>
            </w:r>
          </w:p>
          <w:p>
            <w:pPr>
              <w:pStyle w:val="39"/>
              <w:snapToGrid/>
              <w:spacing w:after="0" w:line="240" w:lineRule="auto"/>
              <w:ind w:left="0" w:leftChars="0" w:firstLine="0" w:firstLineChars="0"/>
              <w:rPr>
                <w:rFonts w:ascii="仿宋" w:hAnsi="仿宋"/>
                <w:color w:val="auto"/>
                <w:sz w:val="24"/>
                <w:szCs w:val="24"/>
              </w:rPr>
            </w:pPr>
            <w:r>
              <w:rPr>
                <w:rFonts w:ascii="仿宋" w:hAnsi="仿宋"/>
                <w:color w:val="auto"/>
                <w:sz w:val="24"/>
                <w:szCs w:val="24"/>
              </w:rPr>
              <w:fldChar w:fldCharType="begin"/>
            </w:r>
            <w:r>
              <w:rPr>
                <w:rFonts w:ascii="仿宋" w:hAnsi="仿宋"/>
                <w:color w:val="auto"/>
                <w:sz w:val="24"/>
                <w:szCs w:val="24"/>
              </w:rPr>
              <w:instrText xml:space="preserve"> </w:instrText>
            </w:r>
            <w:r>
              <w:rPr>
                <w:rFonts w:hint="eastAsia" w:ascii="仿宋" w:hAnsi="仿宋"/>
                <w:color w:val="auto"/>
                <w:sz w:val="24"/>
                <w:szCs w:val="24"/>
              </w:rPr>
              <w:instrText xml:space="preserve">= 6 \* GB2</w:instrText>
            </w:r>
            <w:r>
              <w:rPr>
                <w:rFonts w:ascii="仿宋" w:hAnsi="仿宋"/>
                <w:color w:val="auto"/>
                <w:sz w:val="24"/>
                <w:szCs w:val="24"/>
              </w:rPr>
              <w:instrText xml:space="preserve"> </w:instrText>
            </w:r>
            <w:r>
              <w:rPr>
                <w:rFonts w:ascii="仿宋" w:hAnsi="仿宋"/>
                <w:color w:val="auto"/>
                <w:sz w:val="24"/>
                <w:szCs w:val="24"/>
              </w:rPr>
              <w:fldChar w:fldCharType="separate"/>
            </w:r>
            <w:r>
              <w:rPr>
                <w:rFonts w:hint="eastAsia" w:ascii="仿宋" w:hAnsi="仿宋"/>
                <w:color w:val="auto"/>
                <w:sz w:val="24"/>
                <w:szCs w:val="24"/>
              </w:rPr>
              <w:t>⑹</w:t>
            </w:r>
            <w:r>
              <w:rPr>
                <w:rFonts w:ascii="仿宋" w:hAnsi="仿宋"/>
                <w:color w:val="auto"/>
                <w:sz w:val="24"/>
                <w:szCs w:val="24"/>
              </w:rPr>
              <w:fldChar w:fldCharType="end"/>
            </w:r>
            <w:r>
              <w:rPr>
                <w:rFonts w:hint="eastAsia" w:ascii="仿宋" w:hAnsi="仿宋"/>
                <w:color w:val="auto"/>
                <w:sz w:val="24"/>
                <w:szCs w:val="24"/>
              </w:rPr>
              <w:t>尽快消除事故后果和影响，安抚受害和受影响人员，</w:t>
            </w:r>
          </w:p>
          <w:p>
            <w:pPr>
              <w:pStyle w:val="39"/>
              <w:snapToGrid/>
              <w:spacing w:after="0" w:line="240" w:lineRule="auto"/>
              <w:ind w:left="0" w:leftChars="0" w:firstLine="0" w:firstLineChars="0"/>
              <w:rPr>
                <w:rFonts w:ascii="仿宋" w:hAnsi="仿宋"/>
                <w:color w:val="auto"/>
                <w:sz w:val="24"/>
                <w:szCs w:val="24"/>
              </w:rPr>
            </w:pPr>
            <w:r>
              <w:rPr>
                <w:rFonts w:hint="eastAsia" w:ascii="仿宋" w:hAnsi="仿宋"/>
                <w:color w:val="auto"/>
                <w:sz w:val="24"/>
                <w:szCs w:val="24"/>
              </w:rPr>
              <w:t>保证社会稳定，尽快恢复正常秩序。</w:t>
            </w:r>
          </w:p>
        </w:tc>
      </w:tr>
    </w:tbl>
    <w:p>
      <w:pPr>
        <w:ind w:firstLine="560"/>
        <w:rPr>
          <w:color w:val="auto"/>
          <w:szCs w:val="28"/>
        </w:rPr>
      </w:pPr>
    </w:p>
    <w:p>
      <w:pPr>
        <w:pStyle w:val="61"/>
        <w:ind w:firstLine="560"/>
        <w:rPr>
          <w:color w:val="auto"/>
          <w:szCs w:val="28"/>
        </w:rPr>
      </w:pPr>
      <w:bookmarkStart w:id="95" w:name="_Toc15914"/>
    </w:p>
    <w:bookmarkEnd w:id="95"/>
    <w:p>
      <w:pPr>
        <w:ind w:firstLine="0" w:firstLineChars="0"/>
        <w:rPr>
          <w:color w:val="auto"/>
        </w:rPr>
        <w:sectPr>
          <w:pgSz w:w="11906" w:h="16838"/>
          <w:pgMar w:top="1418" w:right="1418" w:bottom="1418" w:left="1418" w:header="851" w:footer="992" w:gutter="0"/>
          <w:pgNumType w:fmt="numberInDash"/>
          <w:cols w:space="720" w:num="1"/>
          <w:docGrid w:linePitch="312" w:charSpace="0"/>
        </w:sectPr>
      </w:pPr>
    </w:p>
    <w:p>
      <w:pPr>
        <w:pStyle w:val="3"/>
        <w:rPr>
          <w:color w:val="auto"/>
          <w:szCs w:val="28"/>
        </w:rPr>
      </w:pPr>
      <w:bookmarkStart w:id="96" w:name="_Toc24562"/>
      <w:bookmarkStart w:id="97" w:name="_Toc21726"/>
      <w:bookmarkStart w:id="98" w:name="_Toc17732"/>
      <w:bookmarkStart w:id="99" w:name="_Toc24791"/>
      <w:r>
        <w:rPr>
          <w:rFonts w:hint="eastAsia"/>
          <w:color w:val="auto"/>
        </w:rPr>
        <w:t>4 环境风险分析</w:t>
      </w:r>
      <w:bookmarkEnd w:id="96"/>
      <w:bookmarkEnd w:id="97"/>
      <w:bookmarkEnd w:id="98"/>
      <w:bookmarkEnd w:id="99"/>
    </w:p>
    <w:p>
      <w:pPr>
        <w:pStyle w:val="5"/>
        <w:ind w:firstLine="0" w:firstLineChars="0"/>
        <w:rPr>
          <w:color w:val="auto"/>
        </w:rPr>
      </w:pPr>
      <w:bookmarkStart w:id="100" w:name="_Toc17663"/>
      <w:r>
        <w:rPr>
          <w:rFonts w:hint="eastAsia"/>
          <w:color w:val="auto"/>
        </w:rPr>
        <w:t>4.1</w:t>
      </w:r>
      <w:r>
        <w:rPr>
          <w:color w:val="auto"/>
        </w:rPr>
        <w:t xml:space="preserve"> </w:t>
      </w:r>
      <w:r>
        <w:rPr>
          <w:rFonts w:hint="eastAsia"/>
          <w:color w:val="auto"/>
        </w:rPr>
        <w:t>环境风险物质</w:t>
      </w:r>
      <w:bookmarkEnd w:id="100"/>
    </w:p>
    <w:p>
      <w:pPr>
        <w:ind w:firstLine="560"/>
        <w:rPr>
          <w:color w:val="auto"/>
          <w:highlight w:val="cyan"/>
        </w:rPr>
      </w:pPr>
      <w:r>
        <w:rPr>
          <w:rFonts w:hint="eastAsia"/>
          <w:color w:val="auto"/>
        </w:rPr>
        <w:t>根据《建设项目环境风险评价技术导则》(HJ169-2018)和《危险化学品重大危险源辨识》(GB18218-2018)，本项目生产、使用、储存过程中涉及的有毒有害、易燃易爆危险物质储存量及临界量见表</w:t>
      </w:r>
      <w:r>
        <w:rPr>
          <w:color w:val="auto"/>
        </w:rPr>
        <w:t>4-1</w:t>
      </w:r>
      <w:r>
        <w:rPr>
          <w:rFonts w:hint="eastAsia"/>
          <w:color w:val="auto"/>
        </w:rPr>
        <w:t>。</w:t>
      </w:r>
    </w:p>
    <w:p>
      <w:pPr>
        <w:autoSpaceDE w:val="0"/>
        <w:autoSpaceDN w:val="0"/>
        <w:ind w:firstLine="482"/>
        <w:jc w:val="center"/>
        <w:rPr>
          <w:rFonts w:ascii="仿宋" w:hAnsi="仿宋"/>
          <w:b/>
          <w:color w:val="auto"/>
          <w:kern w:val="0"/>
          <w:sz w:val="24"/>
          <w:lang w:val="zh-CN"/>
        </w:rPr>
      </w:pPr>
      <w:r>
        <w:rPr>
          <w:rFonts w:ascii="仿宋" w:hAnsi="仿宋"/>
          <w:b/>
          <w:color w:val="auto"/>
          <w:kern w:val="0"/>
          <w:sz w:val="24"/>
          <w:lang w:val="zh-CN"/>
        </w:rPr>
        <w:t>表4-1    风险物质存储情况表</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369"/>
        <w:gridCol w:w="1653"/>
        <w:gridCol w:w="1429"/>
        <w:gridCol w:w="1424"/>
        <w:gridCol w:w="1116"/>
        <w:gridCol w:w="1138"/>
        <w:gridCol w:w="9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tblHeader/>
          <w:jc w:val="center"/>
        </w:trPr>
        <w:tc>
          <w:tcPr>
            <w:tcW w:w="753" w:type="pct"/>
            <w:shd w:val="clear" w:color="auto" w:fill="D9D9D9"/>
            <w:vAlign w:val="center"/>
          </w:tcPr>
          <w:p>
            <w:pPr>
              <w:adjustRightInd/>
              <w:snapToGrid/>
              <w:spacing w:line="240" w:lineRule="auto"/>
              <w:ind w:firstLine="0" w:firstLineChars="0"/>
              <w:jc w:val="center"/>
              <w:rPr>
                <w:rFonts w:ascii="仿宋" w:hAnsi="仿宋"/>
                <w:b/>
                <w:bCs/>
                <w:color w:val="auto"/>
                <w:sz w:val="24"/>
              </w:rPr>
            </w:pPr>
            <w:bookmarkStart w:id="101" w:name="_Hlk59020405"/>
            <w:r>
              <w:rPr>
                <w:rFonts w:hint="eastAsia" w:ascii="仿宋" w:hAnsi="仿宋"/>
                <w:b/>
                <w:bCs/>
                <w:color w:val="auto"/>
                <w:sz w:val="24"/>
              </w:rPr>
              <w:t>风险</w:t>
            </w:r>
            <w:r>
              <w:rPr>
                <w:rFonts w:ascii="仿宋" w:hAnsi="仿宋"/>
                <w:b/>
                <w:bCs/>
                <w:color w:val="auto"/>
                <w:sz w:val="24"/>
              </w:rPr>
              <w:t>单元</w:t>
            </w:r>
          </w:p>
        </w:tc>
        <w:tc>
          <w:tcPr>
            <w:tcW w:w="909"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生产物料</w:t>
            </w:r>
          </w:p>
        </w:tc>
        <w:tc>
          <w:tcPr>
            <w:tcW w:w="786"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生产装置/</w:t>
            </w:r>
          </w:p>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场所</w:t>
            </w:r>
          </w:p>
        </w:tc>
        <w:tc>
          <w:tcPr>
            <w:tcW w:w="783"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危险特性</w:t>
            </w:r>
          </w:p>
        </w:tc>
        <w:tc>
          <w:tcPr>
            <w:tcW w:w="614"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容积</w:t>
            </w:r>
          </w:p>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（m</w:t>
            </w:r>
            <w:r>
              <w:rPr>
                <w:rFonts w:hint="eastAsia" w:ascii="仿宋" w:hAnsi="仿宋"/>
                <w:b/>
                <w:bCs/>
                <w:color w:val="auto"/>
                <w:sz w:val="24"/>
                <w:vertAlign w:val="superscript"/>
              </w:rPr>
              <w:t>3</w:t>
            </w:r>
            <w:r>
              <w:rPr>
                <w:rFonts w:hint="eastAsia" w:ascii="仿宋" w:hAnsi="仿宋"/>
                <w:b/>
                <w:bCs/>
                <w:color w:val="auto"/>
                <w:sz w:val="24"/>
              </w:rPr>
              <w:t>/罐）</w:t>
            </w:r>
          </w:p>
        </w:tc>
        <w:tc>
          <w:tcPr>
            <w:tcW w:w="626"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最大储存量（t）</w:t>
            </w:r>
          </w:p>
        </w:tc>
        <w:tc>
          <w:tcPr>
            <w:tcW w:w="528"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事故</w:t>
            </w:r>
          </w:p>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柴油贮罐</w:t>
            </w:r>
          </w:p>
        </w:tc>
        <w:tc>
          <w:tcPr>
            <w:tcW w:w="909"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柴油</w:t>
            </w:r>
          </w:p>
        </w:tc>
        <w:tc>
          <w:tcPr>
            <w:tcW w:w="78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w:t>
            </w:r>
            <w:r>
              <w:rPr>
                <w:rFonts w:hint="eastAsia" w:ascii="仿宋" w:hAnsi="仿宋"/>
                <w:color w:val="auto"/>
                <w:sz w:val="24"/>
              </w:rPr>
              <w:t>1柴油贮罐</w:t>
            </w:r>
          </w:p>
        </w:tc>
        <w:tc>
          <w:tcPr>
            <w:tcW w:w="78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其他类物质及污染物</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lang w:eastAsia="en-US"/>
              </w:rPr>
              <w:t>400</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200</w:t>
            </w:r>
          </w:p>
        </w:tc>
        <w:tc>
          <w:tcPr>
            <w:tcW w:w="528"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泄漏、火灾爆炸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w:t>
            </w:r>
            <w:r>
              <w:rPr>
                <w:rFonts w:hint="eastAsia" w:ascii="仿宋" w:hAnsi="仿宋"/>
                <w:color w:val="auto"/>
                <w:sz w:val="24"/>
              </w:rPr>
              <w:t>3柴油贮罐</w:t>
            </w: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lang w:eastAsia="en-US"/>
              </w:rPr>
              <w:t>1000</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0</w:t>
            </w:r>
          </w:p>
        </w:tc>
        <w:tc>
          <w:tcPr>
            <w:tcW w:w="528"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除盐</w:t>
            </w:r>
            <w:r>
              <w:rPr>
                <w:rFonts w:ascii="仿宋" w:hAnsi="仿宋"/>
                <w:color w:val="auto"/>
                <w:sz w:val="24"/>
              </w:rPr>
              <w:t>水处理装置</w:t>
            </w: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氫氧化钠(30%)</w:t>
            </w:r>
          </w:p>
        </w:tc>
        <w:tc>
          <w:tcPr>
            <w:tcW w:w="78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高位碱罐</w:t>
            </w:r>
          </w:p>
        </w:tc>
        <w:tc>
          <w:tcPr>
            <w:tcW w:w="783"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强腐蚀性</w:t>
            </w:r>
          </w:p>
        </w:tc>
        <w:tc>
          <w:tcPr>
            <w:tcW w:w="614"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bidi="en-US"/>
              </w:rPr>
            </w:pPr>
            <w:r>
              <w:rPr>
                <w:rFonts w:hint="eastAsia" w:ascii="仿宋" w:hAnsi="仿宋" w:eastAsia="仿宋" w:cs="等线"/>
                <w:color w:val="auto"/>
                <w:sz w:val="24"/>
                <w:szCs w:val="24"/>
                <w:lang w:val="en-US" w:eastAsia="zh-CN" w:bidi="en-US"/>
              </w:rPr>
              <w:t>2</w:t>
            </w:r>
            <w:r>
              <w:rPr>
                <w:rFonts w:hint="eastAsia" w:ascii="仿宋" w:hAnsi="仿宋" w:eastAsia="仿宋" w:cs="等线"/>
                <w:color w:val="auto"/>
                <w:sz w:val="24"/>
                <w:szCs w:val="24"/>
                <w:lang w:val="en-US" w:eastAsia="en-US" w:bidi="en-US"/>
              </w:rPr>
              <w:t>×</w:t>
            </w:r>
            <w:r>
              <w:rPr>
                <w:rFonts w:hint="eastAsia" w:ascii="仿宋" w:hAnsi="仿宋" w:eastAsia="仿宋" w:cs="等线"/>
                <w:color w:val="auto"/>
                <w:sz w:val="24"/>
                <w:szCs w:val="24"/>
                <w:lang w:val="en-US" w:eastAsia="zh-CN" w:bidi="en-US"/>
              </w:rPr>
              <w:t>25</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58.1</w:t>
            </w:r>
          </w:p>
        </w:tc>
        <w:tc>
          <w:tcPr>
            <w:tcW w:w="528"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盐酸(30%)</w:t>
            </w:r>
          </w:p>
        </w:tc>
        <w:tc>
          <w:tcPr>
            <w:tcW w:w="78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盐酸</w:t>
            </w:r>
            <w:r>
              <w:rPr>
                <w:rFonts w:hint="eastAsia" w:ascii="仿宋" w:hAnsi="仿宋"/>
                <w:color w:val="auto"/>
                <w:sz w:val="24"/>
              </w:rPr>
              <w:t>罐</w:t>
            </w:r>
          </w:p>
        </w:tc>
        <w:tc>
          <w:tcPr>
            <w:tcW w:w="783"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有毒液态物质</w:t>
            </w:r>
          </w:p>
        </w:tc>
        <w:tc>
          <w:tcPr>
            <w:tcW w:w="614"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bidi="en-US"/>
              </w:rPr>
            </w:pPr>
            <w:r>
              <w:rPr>
                <w:rFonts w:hint="eastAsia" w:ascii="仿宋" w:hAnsi="仿宋" w:eastAsia="仿宋" w:cs="等线"/>
                <w:color w:val="auto"/>
                <w:sz w:val="24"/>
                <w:szCs w:val="24"/>
                <w:lang w:val="en-US" w:eastAsia="zh-CN" w:bidi="en-US"/>
              </w:rPr>
              <w:t>2</w:t>
            </w:r>
            <w:r>
              <w:rPr>
                <w:rFonts w:hint="eastAsia" w:ascii="仿宋" w:hAnsi="仿宋" w:eastAsia="仿宋" w:cs="等线"/>
                <w:color w:val="auto"/>
                <w:sz w:val="24"/>
                <w:szCs w:val="24"/>
                <w:lang w:val="en-US" w:eastAsia="en-US" w:bidi="en-US"/>
              </w:rPr>
              <w:t>×</w:t>
            </w:r>
            <w:r>
              <w:rPr>
                <w:rFonts w:hint="eastAsia" w:ascii="仿宋" w:hAnsi="仿宋" w:eastAsia="仿宋" w:cs="等线"/>
                <w:color w:val="auto"/>
                <w:sz w:val="24"/>
                <w:szCs w:val="24"/>
                <w:lang w:val="en-US" w:eastAsia="zh-CN" w:bidi="en-US"/>
              </w:rPr>
              <w:t>25</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48.84</w:t>
            </w:r>
          </w:p>
        </w:tc>
        <w:tc>
          <w:tcPr>
            <w:tcW w:w="528"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凝结水</w:t>
            </w:r>
            <w:r>
              <w:rPr>
                <w:rFonts w:ascii="仿宋" w:hAnsi="仿宋"/>
                <w:color w:val="auto"/>
                <w:sz w:val="24"/>
              </w:rPr>
              <w:t>处理装置</w:t>
            </w: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氢氧化钠（30%）</w:t>
            </w:r>
          </w:p>
        </w:tc>
        <w:tc>
          <w:tcPr>
            <w:tcW w:w="78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高位碱罐</w:t>
            </w:r>
          </w:p>
        </w:tc>
        <w:tc>
          <w:tcPr>
            <w:tcW w:w="783"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强腐蚀性</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s="等线"/>
                <w:color w:val="auto"/>
                <w:sz w:val="24"/>
                <w:lang w:bidi="en-US"/>
              </w:rPr>
              <w:t>3</w:t>
            </w:r>
            <w:r>
              <w:rPr>
                <w:rFonts w:hint="eastAsia" w:ascii="仿宋" w:hAnsi="仿宋" w:cs="等线"/>
                <w:color w:val="auto"/>
                <w:sz w:val="24"/>
                <w:lang w:eastAsia="en-US" w:bidi="en-US"/>
              </w:rPr>
              <w:t>×</w:t>
            </w:r>
            <w:r>
              <w:rPr>
                <w:rFonts w:hint="eastAsia" w:ascii="仿宋" w:hAnsi="仿宋" w:cs="等线"/>
                <w:color w:val="auto"/>
                <w:sz w:val="24"/>
                <w:lang w:bidi="en-US"/>
              </w:rPr>
              <w:t>8</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27.9</w:t>
            </w:r>
          </w:p>
        </w:tc>
        <w:tc>
          <w:tcPr>
            <w:tcW w:w="528"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盐</w:t>
            </w:r>
            <w:r>
              <w:rPr>
                <w:rFonts w:ascii="仿宋" w:hAnsi="仿宋"/>
                <w:color w:val="auto"/>
                <w:sz w:val="24"/>
              </w:rPr>
              <w:t>酸(30%)</w:t>
            </w:r>
          </w:p>
        </w:tc>
        <w:tc>
          <w:tcPr>
            <w:tcW w:w="78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盐酸</w:t>
            </w:r>
            <w:r>
              <w:rPr>
                <w:rFonts w:hint="eastAsia" w:ascii="仿宋" w:hAnsi="仿宋"/>
                <w:color w:val="auto"/>
                <w:sz w:val="24"/>
              </w:rPr>
              <w:t>罐</w:t>
            </w:r>
          </w:p>
        </w:tc>
        <w:tc>
          <w:tcPr>
            <w:tcW w:w="783"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有毒液态物质</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s="等线"/>
                <w:color w:val="auto"/>
                <w:sz w:val="24"/>
                <w:lang w:bidi="en-US"/>
              </w:rPr>
              <w:t>3</w:t>
            </w:r>
            <w:r>
              <w:rPr>
                <w:rFonts w:hint="eastAsia" w:ascii="仿宋" w:hAnsi="仿宋" w:cs="等线"/>
                <w:color w:val="auto"/>
                <w:sz w:val="24"/>
                <w:lang w:eastAsia="en-US" w:bidi="en-US"/>
              </w:rPr>
              <w:t>×</w:t>
            </w:r>
            <w:r>
              <w:rPr>
                <w:rFonts w:hint="eastAsia" w:ascii="仿宋" w:hAnsi="仿宋" w:cs="等线"/>
                <w:color w:val="auto"/>
                <w:sz w:val="24"/>
                <w:lang w:bidi="en-US"/>
              </w:rPr>
              <w:t>8</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23.44</w:t>
            </w:r>
          </w:p>
        </w:tc>
        <w:tc>
          <w:tcPr>
            <w:tcW w:w="528"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循环水处理装置</w:t>
            </w:r>
          </w:p>
        </w:tc>
        <w:tc>
          <w:tcPr>
            <w:tcW w:w="909"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浓硫酸(98%)</w:t>
            </w:r>
          </w:p>
        </w:tc>
        <w:tc>
          <w:tcPr>
            <w:tcW w:w="786"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浓硫酸</w:t>
            </w:r>
            <w:r>
              <w:rPr>
                <w:rFonts w:hint="eastAsia" w:ascii="仿宋" w:hAnsi="仿宋"/>
                <w:color w:val="auto"/>
                <w:sz w:val="24"/>
              </w:rPr>
              <w:t>罐</w:t>
            </w:r>
          </w:p>
        </w:tc>
        <w:tc>
          <w:tcPr>
            <w:tcW w:w="78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有毒液态物质</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4</w:t>
            </w:r>
            <w:r>
              <w:rPr>
                <w:rFonts w:ascii="仿宋" w:hAnsi="仿宋"/>
                <w:color w:val="auto"/>
                <w:sz w:val="24"/>
              </w:rPr>
              <w:t>.5</w:t>
            </w:r>
          </w:p>
        </w:tc>
        <w:tc>
          <w:tcPr>
            <w:tcW w:w="626"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49.13</w:t>
            </w:r>
          </w:p>
        </w:tc>
        <w:tc>
          <w:tcPr>
            <w:tcW w:w="528"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8</w:t>
            </w:r>
          </w:p>
        </w:tc>
        <w:tc>
          <w:tcPr>
            <w:tcW w:w="62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528"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8</w:t>
            </w:r>
            <w:r>
              <w:rPr>
                <w:rFonts w:ascii="仿宋" w:hAnsi="仿宋"/>
                <w:color w:val="auto"/>
                <w:sz w:val="24"/>
              </w:rPr>
              <w:t>.5</w:t>
            </w:r>
          </w:p>
        </w:tc>
        <w:tc>
          <w:tcPr>
            <w:tcW w:w="62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528"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5</w:t>
            </w:r>
            <w:r>
              <w:rPr>
                <w:rFonts w:ascii="仿宋" w:hAnsi="仿宋"/>
                <w:color w:val="auto"/>
                <w:sz w:val="24"/>
              </w:rPr>
              <w:t>.7</w:t>
            </w:r>
          </w:p>
        </w:tc>
        <w:tc>
          <w:tcPr>
            <w:tcW w:w="62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528"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制氢站</w:t>
            </w:r>
          </w:p>
        </w:tc>
        <w:tc>
          <w:tcPr>
            <w:tcW w:w="909"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氢气</w:t>
            </w:r>
          </w:p>
        </w:tc>
        <w:tc>
          <w:tcPr>
            <w:tcW w:w="786"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氢罐</w:t>
            </w:r>
          </w:p>
        </w:tc>
        <w:tc>
          <w:tcPr>
            <w:tcW w:w="78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易燃易爆气态物质</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s="等线"/>
                <w:color w:val="auto"/>
                <w:sz w:val="24"/>
                <w:lang w:bidi="en-US"/>
              </w:rPr>
              <w:t>2</w:t>
            </w:r>
            <w:r>
              <w:rPr>
                <w:rFonts w:hint="eastAsia" w:ascii="仿宋" w:hAnsi="仿宋" w:cs="等线"/>
                <w:color w:val="auto"/>
                <w:sz w:val="24"/>
                <w:lang w:eastAsia="en-US" w:bidi="en-US"/>
              </w:rPr>
              <w:t>×</w:t>
            </w:r>
            <w:r>
              <w:rPr>
                <w:rFonts w:ascii="仿宋" w:hAnsi="仿宋" w:cs="等线"/>
                <w:color w:val="auto"/>
                <w:sz w:val="24"/>
                <w:lang w:bidi="en-US"/>
              </w:rPr>
              <w:t>139</w:t>
            </w:r>
          </w:p>
        </w:tc>
        <w:tc>
          <w:tcPr>
            <w:tcW w:w="626"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0</w:t>
            </w:r>
            <w:r>
              <w:rPr>
                <w:rFonts w:ascii="仿宋" w:hAnsi="仿宋"/>
                <w:color w:val="auto"/>
                <w:sz w:val="24"/>
              </w:rPr>
              <w:t>.04</w:t>
            </w:r>
          </w:p>
        </w:tc>
        <w:tc>
          <w:tcPr>
            <w:tcW w:w="528"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泄漏、火灾爆炸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s="等线"/>
                <w:color w:val="auto"/>
                <w:sz w:val="24"/>
                <w:lang w:bidi="en-US"/>
              </w:rPr>
            </w:pPr>
            <w:r>
              <w:rPr>
                <w:rFonts w:ascii="仿宋" w:hAnsi="仿宋" w:cs="等线"/>
                <w:color w:val="auto"/>
                <w:sz w:val="24"/>
                <w:lang w:bidi="en-US"/>
              </w:rPr>
              <w:t>2</w:t>
            </w:r>
            <w:r>
              <w:rPr>
                <w:rFonts w:hint="eastAsia" w:ascii="仿宋" w:hAnsi="仿宋" w:cs="等线"/>
                <w:color w:val="auto"/>
                <w:sz w:val="24"/>
                <w:lang w:eastAsia="en-US" w:bidi="en-US"/>
              </w:rPr>
              <w:t>×</w:t>
            </w:r>
            <w:r>
              <w:rPr>
                <w:rFonts w:ascii="仿宋" w:hAnsi="仿宋" w:cs="等线"/>
                <w:color w:val="auto"/>
                <w:sz w:val="24"/>
                <w:lang w:bidi="en-US"/>
              </w:rPr>
              <w:t>123</w:t>
            </w:r>
          </w:p>
        </w:tc>
        <w:tc>
          <w:tcPr>
            <w:tcW w:w="62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528"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危废暂存间</w:t>
            </w: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废矿物油</w:t>
            </w:r>
          </w:p>
        </w:tc>
        <w:tc>
          <w:tcPr>
            <w:tcW w:w="786"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危废暂存间</w:t>
            </w:r>
          </w:p>
        </w:tc>
        <w:tc>
          <w:tcPr>
            <w:tcW w:w="783"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其他类物质及污染物</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0.5</w:t>
            </w:r>
          </w:p>
        </w:tc>
        <w:tc>
          <w:tcPr>
            <w:tcW w:w="528"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泄漏、火灾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废催化剂</w:t>
            </w: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restar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其他类物质及污染物</w:t>
            </w: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不在厂内贮存，更换后直接带走</w:t>
            </w:r>
          </w:p>
        </w:tc>
        <w:tc>
          <w:tcPr>
            <w:tcW w:w="528" w:type="pct"/>
            <w:shd w:val="clear" w:color="auto" w:fill="FFFFFF"/>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废石棉</w:t>
            </w: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0.05</w:t>
            </w:r>
          </w:p>
        </w:tc>
        <w:tc>
          <w:tcPr>
            <w:tcW w:w="528" w:type="pct"/>
            <w:shd w:val="clear" w:color="auto" w:fill="FFFFFF"/>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75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909"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废铅蓄电池</w:t>
            </w:r>
          </w:p>
        </w:tc>
        <w:tc>
          <w:tcPr>
            <w:tcW w:w="786"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783"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614"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w:t>
            </w:r>
          </w:p>
        </w:tc>
        <w:tc>
          <w:tcPr>
            <w:tcW w:w="626" w:type="pct"/>
            <w:shd w:val="clear" w:color="auto" w:fill="FFFFFF"/>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0.5</w:t>
            </w:r>
          </w:p>
        </w:tc>
        <w:tc>
          <w:tcPr>
            <w:tcW w:w="528" w:type="pct"/>
            <w:shd w:val="clear" w:color="auto" w:fill="FFFFFF"/>
          </w:tcPr>
          <w:p>
            <w:pPr>
              <w:adjustRightInd/>
              <w:snapToGrid/>
              <w:spacing w:line="240" w:lineRule="auto"/>
              <w:ind w:firstLine="0" w:firstLineChars="0"/>
              <w:jc w:val="center"/>
              <w:rPr>
                <w:rFonts w:ascii="仿宋" w:hAnsi="仿宋"/>
                <w:color w:val="auto"/>
                <w:sz w:val="24"/>
              </w:rPr>
            </w:pPr>
            <w:r>
              <w:rPr>
                <w:rFonts w:ascii="仿宋" w:hAnsi="仿宋"/>
                <w:color w:val="auto"/>
                <w:sz w:val="24"/>
              </w:rPr>
              <w:t>泄漏</w:t>
            </w:r>
          </w:p>
        </w:tc>
      </w:tr>
      <w:bookmarkEnd w:id="101"/>
    </w:tbl>
    <w:p>
      <w:pPr>
        <w:pStyle w:val="5"/>
        <w:ind w:firstLine="0" w:firstLineChars="0"/>
        <w:rPr>
          <w:color w:val="auto"/>
        </w:rPr>
      </w:pPr>
      <w:bookmarkStart w:id="102" w:name="_Toc28330"/>
      <w:r>
        <w:rPr>
          <w:rFonts w:hint="eastAsia"/>
          <w:color w:val="auto"/>
        </w:rPr>
        <w:t>4.</w:t>
      </w:r>
      <w:r>
        <w:rPr>
          <w:color w:val="auto"/>
        </w:rPr>
        <w:t xml:space="preserve">2 </w:t>
      </w:r>
      <w:r>
        <w:rPr>
          <w:rFonts w:hint="eastAsia"/>
          <w:color w:val="auto"/>
        </w:rPr>
        <w:t>历史事故分析</w:t>
      </w:r>
      <w:bookmarkEnd w:id="102"/>
    </w:p>
    <w:p>
      <w:pPr>
        <w:pStyle w:val="65"/>
        <w:snapToGrid/>
        <w:spacing w:line="360" w:lineRule="auto"/>
        <w:ind w:firstLine="560" w:firstLineChars="200"/>
        <w:jc w:val="both"/>
        <w:rPr>
          <w:rFonts w:ascii="仿宋" w:hAnsi="仿宋" w:eastAsia="仿宋"/>
          <w:color w:val="auto"/>
          <w:kern w:val="0"/>
          <w:sz w:val="28"/>
          <w:szCs w:val="28"/>
        </w:rPr>
      </w:pPr>
      <w:r>
        <w:rPr>
          <w:rFonts w:hint="eastAsia" w:ascii="仿宋" w:hAnsi="仿宋" w:eastAsia="仿宋"/>
          <w:color w:val="auto"/>
          <w:kern w:val="0"/>
          <w:sz w:val="28"/>
          <w:szCs w:val="28"/>
        </w:rPr>
        <w:t>经调查，企业近三年未发生大气环境事件和水环境事件。</w:t>
      </w:r>
    </w:p>
    <w:p>
      <w:pPr>
        <w:pStyle w:val="5"/>
        <w:ind w:firstLine="0" w:firstLineChars="0"/>
        <w:rPr>
          <w:color w:val="auto"/>
        </w:rPr>
      </w:pPr>
      <w:r>
        <w:rPr>
          <w:rFonts w:hint="eastAsia"/>
          <w:color w:val="auto"/>
        </w:rPr>
        <w:t>4</w:t>
      </w:r>
      <w:r>
        <w:rPr>
          <w:color w:val="auto"/>
        </w:rPr>
        <w:t xml:space="preserve">.3 </w:t>
      </w:r>
      <w:r>
        <w:rPr>
          <w:rFonts w:hint="eastAsia"/>
          <w:color w:val="auto"/>
        </w:rPr>
        <w:t>企业突发环境事件风险等级</w:t>
      </w:r>
    </w:p>
    <w:p>
      <w:pPr>
        <w:pStyle w:val="39"/>
        <w:ind w:left="0" w:leftChars="0" w:firstLine="560"/>
        <w:rPr>
          <w:rFonts w:ascii="仿宋" w:hAnsi="仿宋"/>
          <w:color w:val="auto"/>
          <w:kern w:val="0"/>
          <w:sz w:val="28"/>
          <w:szCs w:val="28"/>
        </w:rPr>
      </w:pPr>
      <w:bookmarkStart w:id="103" w:name="_Toc490845178"/>
      <w:bookmarkStart w:id="104" w:name="_Toc373756816"/>
      <w:bookmarkStart w:id="105" w:name="_Toc408566537"/>
      <w:bookmarkStart w:id="106" w:name="_Toc365671798"/>
      <w:r>
        <w:rPr>
          <w:rFonts w:hint="eastAsia" w:ascii="仿宋" w:hAnsi="仿宋"/>
          <w:color w:val="auto"/>
          <w:kern w:val="0"/>
          <w:sz w:val="28"/>
          <w:szCs w:val="28"/>
        </w:rPr>
        <w:t>根据《陕西渭河发电有限公司突发环境事件应急预案风险评估报告》结论，陕西渭河发电有限公司突发环境事件风险等级为：较大[较大-大气（Q2-M1-E1）+较大-水（Q2-M2-E2）]</w:t>
      </w:r>
    </w:p>
    <w:p>
      <w:pPr>
        <w:pStyle w:val="39"/>
        <w:ind w:left="560"/>
        <w:rPr>
          <w:color w:val="auto"/>
        </w:rPr>
      </w:pPr>
    </w:p>
    <w:p>
      <w:pPr>
        <w:ind w:firstLine="0" w:firstLineChars="0"/>
        <w:rPr>
          <w:color w:val="auto"/>
        </w:rPr>
        <w:sectPr>
          <w:headerReference r:id="rId14" w:type="default"/>
          <w:footerReference r:id="rId15" w:type="default"/>
          <w:pgSz w:w="11906" w:h="16838"/>
          <w:pgMar w:top="1418" w:right="1418" w:bottom="1418" w:left="1418" w:header="851" w:footer="992" w:gutter="0"/>
          <w:pgNumType w:fmt="numberInDash"/>
          <w:cols w:space="720" w:num="1"/>
          <w:docGrid w:linePitch="326" w:charSpace="0"/>
        </w:sectPr>
      </w:pPr>
    </w:p>
    <w:p>
      <w:pPr>
        <w:pStyle w:val="3"/>
        <w:rPr>
          <w:b w:val="0"/>
          <w:bCs/>
          <w:color w:val="auto"/>
          <w:sz w:val="28"/>
          <w:szCs w:val="28"/>
        </w:rPr>
      </w:pPr>
      <w:bookmarkStart w:id="107" w:name="_Toc7395"/>
      <w:r>
        <w:rPr>
          <w:rFonts w:hint="eastAsia"/>
          <w:bCs/>
          <w:color w:val="auto"/>
          <w:sz w:val="28"/>
          <w:szCs w:val="28"/>
        </w:rPr>
        <w:t>5 预防与预警</w:t>
      </w:r>
      <w:bookmarkEnd w:id="103"/>
      <w:bookmarkEnd w:id="104"/>
      <w:bookmarkEnd w:id="105"/>
      <w:bookmarkEnd w:id="106"/>
      <w:bookmarkEnd w:id="107"/>
    </w:p>
    <w:p>
      <w:pPr>
        <w:pStyle w:val="4"/>
        <w:rPr>
          <w:color w:val="auto"/>
          <w:szCs w:val="28"/>
        </w:rPr>
      </w:pPr>
      <w:bookmarkStart w:id="108" w:name="_Toc490845179"/>
      <w:bookmarkStart w:id="109" w:name="_Toc373756817"/>
      <w:bookmarkStart w:id="110" w:name="_Toc365671799"/>
      <w:bookmarkStart w:id="111" w:name="_Toc408566538"/>
      <w:bookmarkStart w:id="112" w:name="_Toc12151"/>
      <w:r>
        <w:rPr>
          <w:color w:val="auto"/>
          <w:szCs w:val="28"/>
        </w:rPr>
        <w:t>5.1 环境风险防范措施</w:t>
      </w:r>
      <w:bookmarkEnd w:id="108"/>
      <w:bookmarkEnd w:id="109"/>
      <w:bookmarkEnd w:id="110"/>
      <w:bookmarkEnd w:id="111"/>
      <w:bookmarkEnd w:id="112"/>
    </w:p>
    <w:p>
      <w:pPr>
        <w:ind w:firstLine="0" w:firstLineChars="0"/>
        <w:outlineLvl w:val="2"/>
        <w:rPr>
          <w:b/>
          <w:bCs/>
          <w:color w:val="auto"/>
          <w:szCs w:val="32"/>
        </w:rPr>
      </w:pPr>
      <w:bookmarkStart w:id="113" w:name="_Toc816"/>
      <w:r>
        <w:rPr>
          <w:rFonts w:hint="eastAsia"/>
          <w:b/>
          <w:bCs/>
          <w:color w:val="auto"/>
          <w:szCs w:val="32"/>
        </w:rPr>
        <w:t>5</w:t>
      </w:r>
      <w:r>
        <w:rPr>
          <w:b/>
          <w:bCs/>
          <w:color w:val="auto"/>
          <w:szCs w:val="32"/>
        </w:rPr>
        <w:t xml:space="preserve">.1.1 </w:t>
      </w:r>
      <w:r>
        <w:rPr>
          <w:rFonts w:hint="eastAsia"/>
          <w:b/>
          <w:bCs/>
          <w:color w:val="auto"/>
          <w:szCs w:val="32"/>
        </w:rPr>
        <w:t>风险源安全措施</w:t>
      </w:r>
      <w:bookmarkEnd w:id="113"/>
    </w:p>
    <w:p>
      <w:pPr>
        <w:snapToGrid/>
        <w:ind w:firstLine="560"/>
        <w:rPr>
          <w:color w:val="auto"/>
          <w:szCs w:val="28"/>
        </w:rPr>
      </w:pPr>
      <w:r>
        <w:rPr>
          <w:color w:val="auto"/>
          <w:szCs w:val="28"/>
        </w:rPr>
        <w:t>为了及时掌握危险源的情况，对危险事故做到早发现早处理，降低或避免危险事故造成的危害，必须建立健全危险源监控体系，具体工作内容包括以下两个方面：</w:t>
      </w:r>
    </w:p>
    <w:p>
      <w:pPr>
        <w:snapToGrid/>
        <w:ind w:firstLine="560"/>
        <w:rPr>
          <w:color w:val="auto"/>
          <w:szCs w:val="28"/>
        </w:rPr>
      </w:pPr>
      <w:r>
        <w:rPr>
          <w:color w:val="auto"/>
          <w:szCs w:val="28"/>
        </w:rPr>
        <w:t>首先是监控内容：主要包括监控对象、监控部位、监控方式、监控时间以及监控频率。</w:t>
      </w:r>
    </w:p>
    <w:p>
      <w:pPr>
        <w:snapToGrid/>
        <w:ind w:firstLine="560"/>
        <w:rPr>
          <w:color w:val="auto"/>
          <w:szCs w:val="28"/>
        </w:rPr>
      </w:pPr>
      <w:r>
        <w:rPr>
          <w:color w:val="auto"/>
          <w:szCs w:val="28"/>
        </w:rPr>
        <w:t>其次是监控人员、物资配备：监控人员落实到位，监控仪器（如电子视频）、监控设施、化验药品配备齐全，并且落实到位。</w:t>
      </w:r>
    </w:p>
    <w:p>
      <w:pPr>
        <w:snapToGrid/>
        <w:ind w:firstLine="560"/>
        <w:rPr>
          <w:color w:val="auto"/>
          <w:szCs w:val="28"/>
        </w:rPr>
      </w:pPr>
      <w:r>
        <w:rPr>
          <w:color w:val="auto"/>
          <w:szCs w:val="28"/>
        </w:rPr>
        <w:t>各个危险源的监控体系，主要措施有：</w:t>
      </w:r>
    </w:p>
    <w:p>
      <w:pPr>
        <w:tabs>
          <w:tab w:val="left" w:pos="9000"/>
        </w:tabs>
        <w:snapToGrid/>
        <w:ind w:firstLine="560"/>
        <w:rPr>
          <w:color w:val="auto"/>
          <w:szCs w:val="28"/>
        </w:rPr>
      </w:pPr>
      <w:r>
        <w:rPr>
          <w:color w:val="auto"/>
          <w:szCs w:val="28"/>
        </w:rPr>
        <w:fldChar w:fldCharType="begin"/>
      </w:r>
      <w:r>
        <w:rPr>
          <w:color w:val="auto"/>
          <w:szCs w:val="28"/>
        </w:rPr>
        <w:instrText xml:space="preserve"> = 1 \* GB2 </w:instrText>
      </w:r>
      <w:r>
        <w:rPr>
          <w:color w:val="auto"/>
          <w:szCs w:val="28"/>
        </w:rPr>
        <w:fldChar w:fldCharType="separate"/>
      </w:r>
      <w:r>
        <w:rPr>
          <w:rFonts w:hint="eastAsia" w:ascii="宋体" w:hAnsi="宋体" w:cs="宋体"/>
          <w:color w:val="auto"/>
          <w:szCs w:val="28"/>
        </w:rPr>
        <w:t>⑴</w:t>
      </w:r>
      <w:r>
        <w:rPr>
          <w:color w:val="auto"/>
          <w:szCs w:val="28"/>
        </w:rPr>
        <w:fldChar w:fldCharType="end"/>
      </w:r>
      <w:r>
        <w:rPr>
          <w:color w:val="auto"/>
          <w:szCs w:val="28"/>
        </w:rPr>
        <w:t xml:space="preserve"> </w:t>
      </w:r>
      <w:r>
        <w:rPr>
          <w:rFonts w:hint="eastAsia"/>
          <w:color w:val="auto"/>
          <w:szCs w:val="28"/>
        </w:rPr>
        <w:t>锅炉主体区、储罐区</w:t>
      </w:r>
      <w:r>
        <w:rPr>
          <w:color w:val="auto"/>
          <w:szCs w:val="28"/>
        </w:rPr>
        <w:t>、污水处理</w:t>
      </w:r>
      <w:r>
        <w:rPr>
          <w:rFonts w:hint="eastAsia"/>
          <w:color w:val="auto"/>
          <w:szCs w:val="28"/>
        </w:rPr>
        <w:t>站</w:t>
      </w:r>
      <w:r>
        <w:rPr>
          <w:color w:val="auto"/>
          <w:szCs w:val="28"/>
        </w:rPr>
        <w:t>、</w:t>
      </w:r>
      <w:r>
        <w:rPr>
          <w:rFonts w:hint="eastAsia"/>
          <w:color w:val="auto"/>
          <w:szCs w:val="28"/>
        </w:rPr>
        <w:t>制氢站、危废暂存间</w:t>
      </w:r>
      <w:r>
        <w:rPr>
          <w:color w:val="auto"/>
          <w:szCs w:val="28"/>
        </w:rPr>
        <w:t>等存在环境风险的关键地点，应设置明显警示标记，并设置专人监管。正常情况下，严格按巡检制度进行巡检，检查内容主要为物料装置、储罐及配套管道、阀门的状况，防护设施的状况，泵体和电机等设备运转是否正常，并做记录。</w:t>
      </w:r>
    </w:p>
    <w:p>
      <w:pPr>
        <w:tabs>
          <w:tab w:val="left" w:pos="9000"/>
        </w:tabs>
        <w:snapToGrid/>
        <w:ind w:firstLine="560"/>
        <w:rPr>
          <w:color w:val="auto"/>
          <w:szCs w:val="28"/>
        </w:rPr>
      </w:pPr>
      <w:r>
        <w:rPr>
          <w:color w:val="auto"/>
          <w:szCs w:val="28"/>
        </w:rPr>
        <w:fldChar w:fldCharType="begin"/>
      </w:r>
      <w:r>
        <w:rPr>
          <w:color w:val="auto"/>
          <w:szCs w:val="28"/>
        </w:rPr>
        <w:instrText xml:space="preserve"> = 2 \* GB2 </w:instrText>
      </w:r>
      <w:r>
        <w:rPr>
          <w:color w:val="auto"/>
          <w:szCs w:val="28"/>
        </w:rPr>
        <w:fldChar w:fldCharType="separate"/>
      </w:r>
      <w:r>
        <w:rPr>
          <w:rFonts w:hint="eastAsia" w:ascii="宋体" w:hAnsi="宋体" w:cs="宋体"/>
          <w:color w:val="auto"/>
          <w:szCs w:val="28"/>
        </w:rPr>
        <w:t>⑵</w:t>
      </w:r>
      <w:r>
        <w:rPr>
          <w:color w:val="auto"/>
          <w:szCs w:val="28"/>
        </w:rPr>
        <w:fldChar w:fldCharType="end"/>
      </w:r>
      <w:r>
        <w:rPr>
          <w:color w:val="auto"/>
          <w:szCs w:val="28"/>
        </w:rPr>
        <w:t xml:space="preserve"> 应急设备和物资设置专人负责，正常情况下按照规定例行检查，保证各种物资的充足与完备。</w:t>
      </w:r>
    </w:p>
    <w:p>
      <w:pPr>
        <w:tabs>
          <w:tab w:val="left" w:pos="9000"/>
        </w:tabs>
        <w:snapToGrid/>
        <w:ind w:firstLine="560"/>
        <w:rPr>
          <w:color w:val="auto"/>
          <w:szCs w:val="28"/>
        </w:rPr>
      </w:pPr>
      <w:r>
        <w:rPr>
          <w:color w:val="auto"/>
          <w:szCs w:val="28"/>
        </w:rPr>
        <w:fldChar w:fldCharType="begin"/>
      </w:r>
      <w:r>
        <w:rPr>
          <w:color w:val="auto"/>
          <w:szCs w:val="28"/>
        </w:rPr>
        <w:instrText xml:space="preserve"> = 3 \* GB2 </w:instrText>
      </w:r>
      <w:r>
        <w:rPr>
          <w:color w:val="auto"/>
          <w:szCs w:val="28"/>
        </w:rPr>
        <w:fldChar w:fldCharType="separate"/>
      </w:r>
      <w:r>
        <w:rPr>
          <w:rFonts w:hint="eastAsia" w:ascii="宋体" w:hAnsi="宋体" w:cs="宋体"/>
          <w:color w:val="auto"/>
          <w:szCs w:val="28"/>
        </w:rPr>
        <w:t>⑶</w:t>
      </w:r>
      <w:r>
        <w:rPr>
          <w:color w:val="auto"/>
          <w:szCs w:val="28"/>
        </w:rPr>
        <w:fldChar w:fldCharType="end"/>
      </w:r>
      <w:r>
        <w:rPr>
          <w:color w:val="auto"/>
          <w:szCs w:val="28"/>
        </w:rPr>
        <w:t xml:space="preserve"> </w:t>
      </w:r>
      <w:r>
        <w:rPr>
          <w:rFonts w:hint="eastAsia"/>
          <w:color w:val="auto"/>
          <w:szCs w:val="28"/>
        </w:rPr>
        <w:t>锅炉主体区、储罐区</w:t>
      </w:r>
      <w:r>
        <w:rPr>
          <w:color w:val="auto"/>
          <w:szCs w:val="28"/>
        </w:rPr>
        <w:t>、污水处理</w:t>
      </w:r>
      <w:r>
        <w:rPr>
          <w:rFonts w:hint="eastAsia"/>
          <w:color w:val="auto"/>
          <w:szCs w:val="28"/>
        </w:rPr>
        <w:t>站</w:t>
      </w:r>
      <w:r>
        <w:rPr>
          <w:color w:val="auto"/>
          <w:szCs w:val="28"/>
        </w:rPr>
        <w:t>、</w:t>
      </w:r>
      <w:r>
        <w:rPr>
          <w:rFonts w:hint="eastAsia"/>
          <w:color w:val="auto"/>
          <w:szCs w:val="28"/>
        </w:rPr>
        <w:t>制氢站、危废暂存间</w:t>
      </w:r>
      <w:r>
        <w:rPr>
          <w:color w:val="auto"/>
          <w:szCs w:val="28"/>
        </w:rPr>
        <w:t>等存在环境风险的关键地点安装</w:t>
      </w:r>
      <w:r>
        <w:rPr>
          <w:rFonts w:hint="eastAsia"/>
          <w:color w:val="auto"/>
          <w:szCs w:val="28"/>
        </w:rPr>
        <w:t>柴油、氢气</w:t>
      </w:r>
      <w:r>
        <w:rPr>
          <w:color w:val="auto"/>
          <w:szCs w:val="28"/>
        </w:rPr>
        <w:t>泄漏报警器，报警器等，并与监控系统连锁；按周期对装置区等进行</w:t>
      </w:r>
      <w:r>
        <w:rPr>
          <w:rFonts w:hint="eastAsia"/>
          <w:color w:val="auto"/>
          <w:szCs w:val="28"/>
        </w:rPr>
        <w:t>柴油、氢气</w:t>
      </w:r>
      <w:r>
        <w:rPr>
          <w:color w:val="auto"/>
          <w:szCs w:val="28"/>
        </w:rPr>
        <w:t>含量测试；设专人对进行检查巡视工作。</w:t>
      </w:r>
    </w:p>
    <w:p>
      <w:pPr>
        <w:ind w:firstLine="0" w:firstLineChars="0"/>
        <w:outlineLvl w:val="2"/>
        <w:rPr>
          <w:b/>
          <w:bCs/>
          <w:color w:val="auto"/>
          <w:szCs w:val="32"/>
        </w:rPr>
      </w:pPr>
      <w:bookmarkStart w:id="114" w:name="_Toc31771"/>
      <w:r>
        <w:rPr>
          <w:b/>
          <w:bCs/>
          <w:color w:val="auto"/>
          <w:szCs w:val="32"/>
        </w:rPr>
        <w:t xml:space="preserve">5.1.2 </w:t>
      </w:r>
      <w:r>
        <w:rPr>
          <w:rFonts w:hint="eastAsia"/>
          <w:b/>
          <w:bCs/>
          <w:color w:val="auto"/>
          <w:szCs w:val="32"/>
        </w:rPr>
        <w:t>风险源管理</w:t>
      </w:r>
      <w:bookmarkEnd w:id="114"/>
    </w:p>
    <w:p>
      <w:pPr>
        <w:ind w:firstLine="560"/>
        <w:rPr>
          <w:color w:val="auto"/>
          <w:szCs w:val="28"/>
        </w:rPr>
      </w:pPr>
      <w:r>
        <w:rPr>
          <w:rFonts w:hint="eastAsia"/>
          <w:color w:val="auto"/>
          <w:szCs w:val="28"/>
        </w:rPr>
        <w:t>公司主要风险事故为泄漏、火灾后的次生环境事件、外排烟气、外排污水超标。</w:t>
      </w:r>
      <w:r>
        <w:rPr>
          <w:color w:val="auto"/>
          <w:szCs w:val="28"/>
        </w:rPr>
        <w:t>其采取的相应风险监控及防范措施分别见表5-1。</w:t>
      </w:r>
    </w:p>
    <w:p>
      <w:pPr>
        <w:ind w:firstLine="562"/>
        <w:jc w:val="center"/>
        <w:rPr>
          <w:b/>
          <w:color w:val="auto"/>
          <w:szCs w:val="28"/>
        </w:rPr>
      </w:pPr>
    </w:p>
    <w:p>
      <w:pPr>
        <w:ind w:firstLine="482"/>
        <w:jc w:val="center"/>
        <w:rPr>
          <w:rFonts w:ascii="仿宋" w:hAnsi="仿宋"/>
          <w:b/>
          <w:color w:val="auto"/>
          <w:sz w:val="24"/>
        </w:rPr>
      </w:pPr>
      <w:r>
        <w:rPr>
          <w:rFonts w:ascii="仿宋" w:hAnsi="仿宋"/>
          <w:b/>
          <w:color w:val="auto"/>
          <w:sz w:val="24"/>
        </w:rPr>
        <w:t>表5-1    主要风险源监控及预防措施</w:t>
      </w:r>
    </w:p>
    <w:tbl>
      <w:tblPr>
        <w:tblStyle w:val="40"/>
        <w:tblW w:w="9072"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78"/>
        <w:gridCol w:w="1916"/>
        <w:gridCol w:w="1275"/>
        <w:gridCol w:w="5103"/>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序号</w:t>
            </w:r>
          </w:p>
        </w:tc>
        <w:tc>
          <w:tcPr>
            <w:tcW w:w="1916" w:type="dxa"/>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环境风险源</w:t>
            </w:r>
          </w:p>
        </w:tc>
        <w:tc>
          <w:tcPr>
            <w:tcW w:w="1275" w:type="dxa"/>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监控方式</w:t>
            </w:r>
          </w:p>
        </w:tc>
        <w:tc>
          <w:tcPr>
            <w:tcW w:w="5103" w:type="dxa"/>
            <w:shd w:val="clear" w:color="auto" w:fill="D9D9D9"/>
            <w:vAlign w:val="center"/>
          </w:tcPr>
          <w:p>
            <w:pPr>
              <w:snapToGrid/>
              <w:spacing w:line="240" w:lineRule="auto"/>
              <w:ind w:firstLine="0" w:firstLineChars="0"/>
              <w:jc w:val="center"/>
              <w:rPr>
                <w:rFonts w:ascii="仿宋" w:hAnsi="仿宋"/>
                <w:b/>
                <w:bCs/>
                <w:color w:val="auto"/>
                <w:sz w:val="24"/>
              </w:rPr>
            </w:pPr>
            <w:r>
              <w:rPr>
                <w:rFonts w:ascii="仿宋" w:hAnsi="仿宋"/>
                <w:b/>
                <w:bCs/>
                <w:color w:val="auto"/>
                <w:sz w:val="24"/>
              </w:rPr>
              <w:t>主要预防措施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1</w:t>
            </w:r>
          </w:p>
        </w:tc>
        <w:tc>
          <w:tcPr>
            <w:tcW w:w="1916"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柴油储罐区</w:t>
            </w:r>
          </w:p>
        </w:tc>
        <w:tc>
          <w:tcPr>
            <w:tcW w:w="1275"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人工巡检</w:t>
            </w:r>
          </w:p>
        </w:tc>
        <w:tc>
          <w:tcPr>
            <w:tcW w:w="5103" w:type="dxa"/>
            <w:vAlign w:val="center"/>
          </w:tcPr>
          <w:p>
            <w:pPr>
              <w:snapToGrid/>
              <w:spacing w:line="240" w:lineRule="auto"/>
              <w:ind w:firstLine="0" w:firstLineChars="0"/>
              <w:jc w:val="left"/>
              <w:rPr>
                <w:rFonts w:ascii="仿宋" w:hAnsi="仿宋"/>
                <w:color w:val="auto"/>
                <w:sz w:val="24"/>
              </w:rPr>
            </w:pPr>
            <w:r>
              <w:rPr>
                <w:rFonts w:hint="eastAsia" w:ascii="仿宋" w:hAnsi="仿宋"/>
                <w:color w:val="auto"/>
                <w:sz w:val="24"/>
              </w:rPr>
              <w:t>安装可燃气体泄漏装置并</w:t>
            </w:r>
            <w:r>
              <w:rPr>
                <w:rFonts w:ascii="仿宋" w:hAnsi="仿宋"/>
                <w:color w:val="auto"/>
                <w:sz w:val="24"/>
              </w:rPr>
              <w:t>定期检查；防火</w:t>
            </w:r>
            <w:r>
              <w:rPr>
                <w:rFonts w:hint="eastAsia" w:ascii="仿宋" w:hAnsi="仿宋"/>
                <w:color w:val="auto"/>
                <w:sz w:val="24"/>
              </w:rPr>
              <w:t>、防泄漏</w:t>
            </w:r>
            <w:r>
              <w:rPr>
                <w:rFonts w:ascii="仿宋" w:hAnsi="仿宋"/>
                <w:color w:val="auto"/>
                <w:sz w:val="24"/>
              </w:rPr>
              <w:t>；由专人负责监控，登记备案。</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2</w:t>
            </w:r>
          </w:p>
        </w:tc>
        <w:tc>
          <w:tcPr>
            <w:tcW w:w="1916"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酸碱罐区</w:t>
            </w:r>
          </w:p>
        </w:tc>
        <w:tc>
          <w:tcPr>
            <w:tcW w:w="1275"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人工巡检</w:t>
            </w:r>
          </w:p>
        </w:tc>
        <w:tc>
          <w:tcPr>
            <w:tcW w:w="5103" w:type="dxa"/>
            <w:vAlign w:val="center"/>
          </w:tcPr>
          <w:p>
            <w:pPr>
              <w:snapToGrid/>
              <w:spacing w:line="240" w:lineRule="auto"/>
              <w:ind w:firstLine="0" w:firstLineChars="0"/>
              <w:jc w:val="left"/>
              <w:rPr>
                <w:rFonts w:ascii="仿宋" w:hAnsi="仿宋"/>
                <w:color w:val="auto"/>
                <w:sz w:val="24"/>
              </w:rPr>
            </w:pPr>
            <w:r>
              <w:rPr>
                <w:rFonts w:ascii="仿宋" w:hAnsi="仿宋"/>
                <w:color w:val="auto"/>
                <w:sz w:val="24"/>
              </w:rPr>
              <w:t>定期检查；防火</w:t>
            </w:r>
            <w:r>
              <w:rPr>
                <w:rFonts w:hint="eastAsia" w:ascii="仿宋" w:hAnsi="仿宋"/>
                <w:color w:val="auto"/>
                <w:sz w:val="24"/>
              </w:rPr>
              <w:t>、防泄漏</w:t>
            </w:r>
            <w:r>
              <w:rPr>
                <w:rFonts w:ascii="仿宋" w:hAnsi="仿宋"/>
                <w:color w:val="auto"/>
                <w:sz w:val="24"/>
              </w:rPr>
              <w:t>；由专人负责监控，登记备案。</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3</w:t>
            </w:r>
          </w:p>
        </w:tc>
        <w:tc>
          <w:tcPr>
            <w:tcW w:w="1916"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氢气储罐区</w:t>
            </w:r>
          </w:p>
        </w:tc>
        <w:tc>
          <w:tcPr>
            <w:tcW w:w="1275"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人工巡检</w:t>
            </w:r>
          </w:p>
        </w:tc>
        <w:tc>
          <w:tcPr>
            <w:tcW w:w="5103" w:type="dxa"/>
            <w:vAlign w:val="center"/>
          </w:tcPr>
          <w:p>
            <w:pPr>
              <w:snapToGrid/>
              <w:spacing w:line="240" w:lineRule="auto"/>
              <w:ind w:firstLine="0" w:firstLineChars="0"/>
              <w:rPr>
                <w:rFonts w:ascii="仿宋" w:hAnsi="仿宋"/>
                <w:color w:val="auto"/>
                <w:sz w:val="24"/>
              </w:rPr>
            </w:pPr>
            <w:r>
              <w:rPr>
                <w:rFonts w:hint="eastAsia" w:ascii="仿宋" w:hAnsi="仿宋"/>
                <w:color w:val="auto"/>
                <w:sz w:val="24"/>
              </w:rPr>
              <w:t>安装爆炸气体泄露自动监测报警系统并</w:t>
            </w:r>
            <w:r>
              <w:rPr>
                <w:rFonts w:ascii="仿宋" w:hAnsi="仿宋"/>
                <w:color w:val="auto"/>
                <w:sz w:val="24"/>
              </w:rPr>
              <w:t>定期检查；防火</w:t>
            </w:r>
            <w:r>
              <w:rPr>
                <w:rFonts w:hint="eastAsia" w:ascii="仿宋" w:hAnsi="仿宋"/>
                <w:color w:val="auto"/>
                <w:sz w:val="24"/>
              </w:rPr>
              <w:t>防、泄漏</w:t>
            </w:r>
            <w:r>
              <w:rPr>
                <w:rFonts w:ascii="仿宋" w:hAnsi="仿宋"/>
                <w:color w:val="auto"/>
                <w:sz w:val="24"/>
              </w:rPr>
              <w:t>；由专人负责监控，登记备案。</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4</w:t>
            </w:r>
          </w:p>
        </w:tc>
        <w:tc>
          <w:tcPr>
            <w:tcW w:w="1916"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危废暂存间</w:t>
            </w:r>
          </w:p>
        </w:tc>
        <w:tc>
          <w:tcPr>
            <w:tcW w:w="1275"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人工巡检</w:t>
            </w:r>
          </w:p>
        </w:tc>
        <w:tc>
          <w:tcPr>
            <w:tcW w:w="5103" w:type="dxa"/>
            <w:vAlign w:val="center"/>
          </w:tcPr>
          <w:p>
            <w:pPr>
              <w:snapToGrid/>
              <w:spacing w:line="240" w:lineRule="auto"/>
              <w:ind w:firstLine="0" w:firstLineChars="0"/>
              <w:jc w:val="left"/>
              <w:rPr>
                <w:rFonts w:ascii="仿宋" w:hAnsi="仿宋"/>
                <w:color w:val="auto"/>
                <w:sz w:val="24"/>
              </w:rPr>
            </w:pPr>
            <w:r>
              <w:rPr>
                <w:rFonts w:ascii="仿宋" w:hAnsi="仿宋"/>
                <w:color w:val="auto"/>
                <w:sz w:val="24"/>
              </w:rPr>
              <w:t>防火</w:t>
            </w:r>
            <w:r>
              <w:rPr>
                <w:rFonts w:hint="eastAsia" w:ascii="仿宋" w:hAnsi="仿宋"/>
                <w:color w:val="auto"/>
                <w:sz w:val="24"/>
              </w:rPr>
              <w:t>、防泄漏</w:t>
            </w:r>
            <w:r>
              <w:rPr>
                <w:rFonts w:ascii="仿宋" w:hAnsi="仿宋"/>
                <w:color w:val="auto"/>
                <w:sz w:val="24"/>
              </w:rPr>
              <w:t>；由专人负责监控，登记备案。</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5</w:t>
            </w:r>
          </w:p>
        </w:tc>
        <w:tc>
          <w:tcPr>
            <w:tcW w:w="1916"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废气处理设施</w:t>
            </w:r>
          </w:p>
        </w:tc>
        <w:tc>
          <w:tcPr>
            <w:tcW w:w="1275"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锅炉在线监测</w:t>
            </w:r>
          </w:p>
          <w:p>
            <w:pPr>
              <w:snapToGrid/>
              <w:spacing w:line="240" w:lineRule="auto"/>
              <w:ind w:firstLine="0" w:firstLineChars="0"/>
              <w:jc w:val="center"/>
              <w:rPr>
                <w:rFonts w:ascii="仿宋" w:hAnsi="仿宋"/>
                <w:color w:val="auto"/>
                <w:sz w:val="24"/>
              </w:rPr>
            </w:pPr>
            <w:r>
              <w:rPr>
                <w:rFonts w:ascii="仿宋" w:hAnsi="仿宋"/>
                <w:color w:val="auto"/>
                <w:sz w:val="24"/>
              </w:rPr>
              <w:t>人工巡检</w:t>
            </w:r>
          </w:p>
        </w:tc>
        <w:tc>
          <w:tcPr>
            <w:tcW w:w="5103" w:type="dxa"/>
            <w:vAlign w:val="center"/>
          </w:tcPr>
          <w:p>
            <w:pPr>
              <w:snapToGrid/>
              <w:spacing w:line="240" w:lineRule="auto"/>
              <w:ind w:firstLine="0" w:firstLineChars="0"/>
              <w:jc w:val="left"/>
              <w:rPr>
                <w:rFonts w:ascii="仿宋" w:hAnsi="仿宋"/>
                <w:color w:val="auto"/>
                <w:sz w:val="24"/>
              </w:rPr>
            </w:pPr>
            <w:r>
              <w:rPr>
                <w:rFonts w:hint="eastAsia" w:ascii="仿宋" w:hAnsi="仿宋"/>
                <w:color w:val="auto"/>
                <w:sz w:val="24"/>
              </w:rPr>
              <w:t>对环保设备定期检修、保养，保证其正常有效运行</w:t>
            </w:r>
            <w:r>
              <w:rPr>
                <w:rFonts w:ascii="仿宋" w:hAnsi="仿宋"/>
                <w:color w:val="auto"/>
                <w:sz w:val="24"/>
              </w:rPr>
              <w:t>；</w:t>
            </w:r>
            <w:r>
              <w:rPr>
                <w:rFonts w:hint="eastAsia" w:ascii="仿宋" w:hAnsi="仿宋"/>
                <w:color w:val="auto"/>
                <w:sz w:val="24"/>
              </w:rPr>
              <w:t>在线监测实时监控；</w:t>
            </w:r>
            <w:r>
              <w:rPr>
                <w:rFonts w:ascii="仿宋" w:hAnsi="仿宋"/>
                <w:color w:val="auto"/>
                <w:sz w:val="24"/>
              </w:rPr>
              <w:t>定期监测；由专人负责监控，登记备案。</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8"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6</w:t>
            </w:r>
          </w:p>
        </w:tc>
        <w:tc>
          <w:tcPr>
            <w:tcW w:w="1916" w:type="dxa"/>
            <w:vAlign w:val="center"/>
          </w:tcPr>
          <w:p>
            <w:pPr>
              <w:snapToGrid/>
              <w:spacing w:line="240" w:lineRule="auto"/>
              <w:ind w:firstLine="0" w:firstLineChars="0"/>
              <w:jc w:val="center"/>
              <w:rPr>
                <w:rFonts w:ascii="仿宋" w:hAnsi="仿宋"/>
                <w:color w:val="auto"/>
                <w:sz w:val="24"/>
              </w:rPr>
            </w:pPr>
            <w:r>
              <w:rPr>
                <w:rFonts w:hint="eastAsia" w:ascii="仿宋" w:hAnsi="仿宋"/>
                <w:color w:val="auto"/>
                <w:sz w:val="24"/>
              </w:rPr>
              <w:t>废水处理设施</w:t>
            </w:r>
          </w:p>
        </w:tc>
        <w:tc>
          <w:tcPr>
            <w:tcW w:w="1275" w:type="dxa"/>
            <w:vAlign w:val="center"/>
          </w:tcPr>
          <w:p>
            <w:pPr>
              <w:snapToGrid/>
              <w:spacing w:line="240" w:lineRule="auto"/>
              <w:ind w:firstLine="0" w:firstLineChars="0"/>
              <w:jc w:val="center"/>
              <w:rPr>
                <w:rFonts w:ascii="仿宋" w:hAnsi="仿宋"/>
                <w:color w:val="auto"/>
                <w:sz w:val="24"/>
              </w:rPr>
            </w:pPr>
            <w:r>
              <w:rPr>
                <w:rFonts w:ascii="仿宋" w:hAnsi="仿宋"/>
                <w:color w:val="auto"/>
                <w:sz w:val="24"/>
              </w:rPr>
              <w:t>人工巡检</w:t>
            </w:r>
          </w:p>
        </w:tc>
        <w:tc>
          <w:tcPr>
            <w:tcW w:w="5103" w:type="dxa"/>
            <w:vAlign w:val="center"/>
          </w:tcPr>
          <w:p>
            <w:pPr>
              <w:snapToGrid/>
              <w:spacing w:line="240" w:lineRule="auto"/>
              <w:ind w:firstLine="0" w:firstLineChars="0"/>
              <w:jc w:val="left"/>
              <w:rPr>
                <w:rFonts w:ascii="仿宋" w:hAnsi="仿宋"/>
                <w:color w:val="auto"/>
                <w:sz w:val="24"/>
              </w:rPr>
            </w:pPr>
            <w:r>
              <w:rPr>
                <w:rFonts w:hint="eastAsia" w:ascii="仿宋" w:hAnsi="仿宋"/>
                <w:color w:val="auto"/>
                <w:sz w:val="24"/>
              </w:rPr>
              <w:t>对环保设备定期检修、保养，保证其正常有效运行</w:t>
            </w:r>
            <w:r>
              <w:rPr>
                <w:rFonts w:ascii="仿宋" w:hAnsi="仿宋"/>
                <w:color w:val="auto"/>
                <w:sz w:val="24"/>
              </w:rPr>
              <w:t>；定期监测；由专人负责监控，登记备案。</w:t>
            </w:r>
          </w:p>
        </w:tc>
      </w:tr>
    </w:tbl>
    <w:p>
      <w:pPr>
        <w:ind w:firstLine="0" w:firstLineChars="0"/>
        <w:outlineLvl w:val="2"/>
        <w:rPr>
          <w:b/>
          <w:bCs/>
          <w:color w:val="auto"/>
          <w:szCs w:val="32"/>
        </w:rPr>
      </w:pPr>
      <w:bookmarkStart w:id="115" w:name="_Toc12739"/>
      <w:r>
        <w:rPr>
          <w:rFonts w:hint="eastAsia"/>
          <w:b/>
          <w:bCs/>
          <w:color w:val="auto"/>
          <w:szCs w:val="32"/>
        </w:rPr>
        <w:t>5.</w:t>
      </w:r>
      <w:r>
        <w:rPr>
          <w:b/>
          <w:bCs/>
          <w:color w:val="auto"/>
          <w:szCs w:val="32"/>
        </w:rPr>
        <w:t>1.3</w:t>
      </w:r>
      <w:r>
        <w:rPr>
          <w:rFonts w:hint="eastAsia"/>
          <w:b/>
          <w:bCs/>
          <w:color w:val="auto"/>
          <w:szCs w:val="32"/>
        </w:rPr>
        <w:t xml:space="preserve"> 风险隐患排查</w:t>
      </w:r>
      <w:bookmarkEnd w:id="115"/>
    </w:p>
    <w:p>
      <w:pPr>
        <w:ind w:firstLine="560"/>
        <w:rPr>
          <w:color w:val="auto"/>
        </w:rPr>
      </w:pPr>
      <w:r>
        <w:rPr>
          <w:color w:val="auto"/>
        </w:rPr>
        <w:fldChar w:fldCharType="begin"/>
      </w:r>
      <w:r>
        <w:rPr>
          <w:color w:val="auto"/>
        </w:rPr>
        <w:instrText xml:space="preserve"> </w:instrText>
      </w:r>
      <w:r>
        <w:rPr>
          <w:rFonts w:hint="eastAsia"/>
          <w:color w:val="auto"/>
        </w:rPr>
        <w:instrText xml:space="preserve">= 1 \* GB2</w:instrText>
      </w:r>
      <w:r>
        <w:rPr>
          <w:color w:val="auto"/>
        </w:rPr>
        <w:instrText xml:space="preserve"> </w:instrText>
      </w:r>
      <w:r>
        <w:rPr>
          <w:color w:val="auto"/>
        </w:rPr>
        <w:fldChar w:fldCharType="separate"/>
      </w:r>
      <w:r>
        <w:rPr>
          <w:rFonts w:hint="eastAsia"/>
          <w:color w:val="auto"/>
        </w:rPr>
        <w:t>⑴</w:t>
      </w:r>
      <w:r>
        <w:rPr>
          <w:color w:val="auto"/>
        </w:rPr>
        <w:fldChar w:fldCharType="end"/>
      </w:r>
      <w:r>
        <w:rPr>
          <w:color w:val="auto"/>
        </w:rPr>
        <w:t xml:space="preserve"> </w:t>
      </w:r>
      <w:r>
        <w:rPr>
          <w:rFonts w:hint="eastAsia"/>
          <w:color w:val="auto"/>
        </w:rPr>
        <w:t>建立由主要负责人任组长的环境风险隐患排查领导小组，全面负责环境风险隐患排查工作。</w:t>
      </w:r>
    </w:p>
    <w:p>
      <w:pPr>
        <w:autoSpaceDE w:val="0"/>
        <w:autoSpaceDN w:val="0"/>
        <w:ind w:firstLine="560"/>
        <w:rPr>
          <w:color w:val="auto"/>
          <w:szCs w:val="28"/>
        </w:rPr>
      </w:pPr>
      <w:r>
        <w:rPr>
          <w:rFonts w:ascii="宋体" w:hAnsi="宋体" w:cs="宋体"/>
          <w:color w:val="auto"/>
          <w:szCs w:val="28"/>
        </w:rPr>
        <w:fldChar w:fldCharType="begin"/>
      </w:r>
      <w:r>
        <w:rPr>
          <w:rFonts w:ascii="宋体" w:hAnsi="宋体" w:cs="宋体"/>
          <w:color w:val="auto"/>
          <w:szCs w:val="28"/>
        </w:rPr>
        <w:instrText xml:space="preserve"> </w:instrText>
      </w:r>
      <w:r>
        <w:rPr>
          <w:rFonts w:hint="eastAsia" w:ascii="宋体" w:hAnsi="宋体" w:cs="宋体"/>
          <w:color w:val="auto"/>
          <w:szCs w:val="28"/>
        </w:rPr>
        <w:instrText xml:space="preserve">= 1 \* GB3</w:instrText>
      </w:r>
      <w:r>
        <w:rPr>
          <w:rFonts w:ascii="宋体" w:hAnsi="宋体" w:cs="宋体"/>
          <w:color w:val="auto"/>
          <w:szCs w:val="28"/>
        </w:rPr>
        <w:instrText xml:space="preserve"> </w:instrText>
      </w:r>
      <w:r>
        <w:rPr>
          <w:rFonts w:ascii="宋体" w:hAnsi="宋体" w:cs="宋体"/>
          <w:color w:val="auto"/>
          <w:szCs w:val="28"/>
        </w:rPr>
        <w:fldChar w:fldCharType="separate"/>
      </w:r>
      <w:r>
        <w:rPr>
          <w:rFonts w:hint="eastAsia" w:ascii="宋体" w:hAnsi="宋体" w:cs="宋体"/>
          <w:color w:val="auto"/>
          <w:szCs w:val="28"/>
        </w:rPr>
        <w:t>①</w:t>
      </w:r>
      <w:r>
        <w:rPr>
          <w:rFonts w:ascii="宋体" w:hAnsi="宋体" w:cs="宋体"/>
          <w:color w:val="auto"/>
          <w:szCs w:val="28"/>
        </w:rPr>
        <w:fldChar w:fldCharType="end"/>
      </w:r>
      <w:r>
        <w:rPr>
          <w:rFonts w:ascii="宋体" w:hAnsi="宋体" w:cs="宋体"/>
          <w:color w:val="auto"/>
          <w:szCs w:val="28"/>
        </w:rPr>
        <w:t xml:space="preserve"> </w:t>
      </w:r>
      <w:r>
        <w:rPr>
          <w:color w:val="auto"/>
          <w:szCs w:val="28"/>
        </w:rPr>
        <w:t>每日进行关键装置巡查不低于3次，每月进行检测1次。</w:t>
      </w:r>
    </w:p>
    <w:p>
      <w:pPr>
        <w:autoSpaceDE w:val="0"/>
        <w:autoSpaceDN w:val="0"/>
        <w:ind w:firstLine="560"/>
        <w:rPr>
          <w:color w:val="auto"/>
          <w:szCs w:val="28"/>
        </w:rPr>
      </w:pPr>
      <w:r>
        <w:rPr>
          <w:rFonts w:ascii="宋体" w:hAnsi="宋体" w:cs="宋体"/>
          <w:color w:val="auto"/>
          <w:szCs w:val="28"/>
        </w:rPr>
        <w:fldChar w:fldCharType="begin"/>
      </w:r>
      <w:r>
        <w:rPr>
          <w:rFonts w:ascii="宋体" w:hAnsi="宋体" w:cs="宋体"/>
          <w:color w:val="auto"/>
          <w:szCs w:val="28"/>
        </w:rPr>
        <w:instrText xml:space="preserve"> </w:instrText>
      </w:r>
      <w:r>
        <w:rPr>
          <w:rFonts w:hint="eastAsia" w:ascii="宋体" w:hAnsi="宋体" w:cs="宋体"/>
          <w:color w:val="auto"/>
          <w:szCs w:val="28"/>
        </w:rPr>
        <w:instrText xml:space="preserve">= 2 \* GB3</w:instrText>
      </w:r>
      <w:r>
        <w:rPr>
          <w:rFonts w:ascii="宋体" w:hAnsi="宋体" w:cs="宋体"/>
          <w:color w:val="auto"/>
          <w:szCs w:val="28"/>
        </w:rPr>
        <w:instrText xml:space="preserve"> </w:instrText>
      </w:r>
      <w:r>
        <w:rPr>
          <w:rFonts w:ascii="宋体" w:hAnsi="宋体" w:cs="宋体"/>
          <w:color w:val="auto"/>
          <w:szCs w:val="28"/>
        </w:rPr>
        <w:fldChar w:fldCharType="separate"/>
      </w:r>
      <w:r>
        <w:rPr>
          <w:rFonts w:hint="eastAsia" w:ascii="宋体" w:hAnsi="宋体" w:cs="宋体"/>
          <w:color w:val="auto"/>
          <w:szCs w:val="28"/>
        </w:rPr>
        <w:t>②</w:t>
      </w:r>
      <w:r>
        <w:rPr>
          <w:rFonts w:ascii="宋体" w:hAnsi="宋体" w:cs="宋体"/>
          <w:color w:val="auto"/>
          <w:szCs w:val="28"/>
        </w:rPr>
        <w:fldChar w:fldCharType="end"/>
      </w:r>
      <w:r>
        <w:rPr>
          <w:rFonts w:ascii="宋体" w:hAnsi="宋体" w:cs="宋体"/>
          <w:color w:val="auto"/>
          <w:szCs w:val="28"/>
        </w:rPr>
        <w:t xml:space="preserve"> </w:t>
      </w:r>
      <w:r>
        <w:rPr>
          <w:color w:val="auto"/>
          <w:szCs w:val="28"/>
        </w:rPr>
        <w:t>应急器材数量满足要求，定期检测，定期更换。</w:t>
      </w:r>
    </w:p>
    <w:p>
      <w:pPr>
        <w:autoSpaceDE w:val="0"/>
        <w:autoSpaceDN w:val="0"/>
        <w:ind w:firstLine="560"/>
        <w:jc w:val="left"/>
        <w:rPr>
          <w:color w:val="auto"/>
          <w:szCs w:val="28"/>
        </w:rPr>
      </w:pPr>
      <w:r>
        <w:rPr>
          <w:rFonts w:ascii="宋体" w:hAnsi="宋体" w:cs="宋体"/>
          <w:color w:val="auto"/>
          <w:szCs w:val="28"/>
        </w:rPr>
        <w:fldChar w:fldCharType="begin"/>
      </w:r>
      <w:r>
        <w:rPr>
          <w:rFonts w:ascii="宋体" w:hAnsi="宋体" w:cs="宋体"/>
          <w:color w:val="auto"/>
          <w:szCs w:val="28"/>
        </w:rPr>
        <w:instrText xml:space="preserve"> </w:instrText>
      </w:r>
      <w:r>
        <w:rPr>
          <w:rFonts w:hint="eastAsia" w:ascii="宋体" w:hAnsi="宋体" w:cs="宋体"/>
          <w:color w:val="auto"/>
          <w:szCs w:val="28"/>
        </w:rPr>
        <w:instrText xml:space="preserve">= 3 \* GB3</w:instrText>
      </w:r>
      <w:r>
        <w:rPr>
          <w:rFonts w:ascii="宋体" w:hAnsi="宋体" w:cs="宋体"/>
          <w:color w:val="auto"/>
          <w:szCs w:val="28"/>
        </w:rPr>
        <w:instrText xml:space="preserve"> </w:instrText>
      </w:r>
      <w:r>
        <w:rPr>
          <w:rFonts w:ascii="宋体" w:hAnsi="宋体" w:cs="宋体"/>
          <w:color w:val="auto"/>
          <w:szCs w:val="28"/>
        </w:rPr>
        <w:fldChar w:fldCharType="separate"/>
      </w:r>
      <w:r>
        <w:rPr>
          <w:rFonts w:hint="eastAsia" w:ascii="宋体" w:hAnsi="宋体" w:cs="宋体"/>
          <w:color w:val="auto"/>
          <w:szCs w:val="28"/>
        </w:rPr>
        <w:t>③</w:t>
      </w:r>
      <w:r>
        <w:rPr>
          <w:rFonts w:ascii="宋体" w:hAnsi="宋体" w:cs="宋体"/>
          <w:color w:val="auto"/>
          <w:szCs w:val="28"/>
        </w:rPr>
        <w:fldChar w:fldCharType="end"/>
      </w:r>
      <w:r>
        <w:rPr>
          <w:rFonts w:ascii="宋体" w:hAnsi="宋体" w:cs="宋体"/>
          <w:color w:val="auto"/>
          <w:szCs w:val="28"/>
        </w:rPr>
        <w:t xml:space="preserve"> </w:t>
      </w:r>
      <w:r>
        <w:rPr>
          <w:color w:val="auto"/>
          <w:szCs w:val="28"/>
        </w:rPr>
        <w:t>每周对危险源进行安全检查和巡回检查。</w:t>
      </w:r>
    </w:p>
    <w:p>
      <w:pPr>
        <w:ind w:firstLine="560"/>
        <w:rPr>
          <w:color w:val="auto"/>
          <w:szCs w:val="28"/>
        </w:rPr>
      </w:pPr>
      <w:r>
        <w:rPr>
          <w:rFonts w:ascii="宋体" w:hAnsi="宋体" w:cs="宋体"/>
          <w:color w:val="auto"/>
          <w:szCs w:val="28"/>
        </w:rPr>
        <w:fldChar w:fldCharType="begin"/>
      </w:r>
      <w:r>
        <w:rPr>
          <w:rFonts w:ascii="宋体" w:hAnsi="宋体" w:cs="宋体"/>
          <w:color w:val="auto"/>
          <w:szCs w:val="28"/>
        </w:rPr>
        <w:instrText xml:space="preserve"> </w:instrText>
      </w:r>
      <w:r>
        <w:rPr>
          <w:rFonts w:hint="eastAsia" w:ascii="宋体" w:hAnsi="宋体" w:cs="宋体"/>
          <w:color w:val="auto"/>
          <w:szCs w:val="28"/>
        </w:rPr>
        <w:instrText xml:space="preserve">= 4 \* GB3</w:instrText>
      </w:r>
      <w:r>
        <w:rPr>
          <w:rFonts w:ascii="宋体" w:hAnsi="宋体" w:cs="宋体"/>
          <w:color w:val="auto"/>
          <w:szCs w:val="28"/>
        </w:rPr>
        <w:instrText xml:space="preserve"> </w:instrText>
      </w:r>
      <w:r>
        <w:rPr>
          <w:rFonts w:ascii="宋体" w:hAnsi="宋体" w:cs="宋体"/>
          <w:color w:val="auto"/>
          <w:szCs w:val="28"/>
        </w:rPr>
        <w:fldChar w:fldCharType="separate"/>
      </w:r>
      <w:r>
        <w:rPr>
          <w:rFonts w:hint="eastAsia" w:ascii="宋体" w:hAnsi="宋体" w:cs="宋体"/>
          <w:color w:val="auto"/>
          <w:szCs w:val="28"/>
        </w:rPr>
        <w:t>④</w:t>
      </w:r>
      <w:r>
        <w:rPr>
          <w:rFonts w:ascii="宋体" w:hAnsi="宋体" w:cs="宋体"/>
          <w:color w:val="auto"/>
          <w:szCs w:val="28"/>
        </w:rPr>
        <w:fldChar w:fldCharType="end"/>
      </w:r>
      <w:r>
        <w:rPr>
          <w:rFonts w:ascii="宋体" w:hAnsi="宋体" w:cs="宋体"/>
          <w:color w:val="auto"/>
          <w:szCs w:val="28"/>
        </w:rPr>
        <w:t xml:space="preserve"> </w:t>
      </w:r>
      <w:r>
        <w:rPr>
          <w:color w:val="auto"/>
          <w:szCs w:val="28"/>
        </w:rPr>
        <w:t>加强设备维护管理，定期检查各定点配置的消防器材、防爆工具、应急电源和防护用品（包括正压空气呼吸器、急救药品等）情况，保持消防通路通畅，确保消防设备、抢险工具、设施和器具全部处于临战状态。</w:t>
      </w:r>
    </w:p>
    <w:p>
      <w:pPr>
        <w:ind w:firstLine="560"/>
        <w:rPr>
          <w:color w:val="auto"/>
          <w:szCs w:val="28"/>
        </w:rPr>
      </w:pPr>
      <w:r>
        <w:rPr>
          <w:rFonts w:ascii="宋体" w:hAnsi="宋体" w:cs="宋体"/>
          <w:color w:val="auto"/>
          <w:szCs w:val="28"/>
        </w:rPr>
        <w:fldChar w:fldCharType="begin"/>
      </w:r>
      <w:r>
        <w:rPr>
          <w:rFonts w:ascii="宋体" w:hAnsi="宋体" w:cs="宋体"/>
          <w:color w:val="auto"/>
          <w:szCs w:val="28"/>
        </w:rPr>
        <w:instrText xml:space="preserve"> </w:instrText>
      </w:r>
      <w:r>
        <w:rPr>
          <w:rFonts w:hint="eastAsia" w:ascii="宋体" w:hAnsi="宋体" w:cs="宋体"/>
          <w:color w:val="auto"/>
          <w:szCs w:val="28"/>
        </w:rPr>
        <w:instrText xml:space="preserve">= 5 \* GB3</w:instrText>
      </w:r>
      <w:r>
        <w:rPr>
          <w:rFonts w:ascii="宋体" w:hAnsi="宋体" w:cs="宋体"/>
          <w:color w:val="auto"/>
          <w:szCs w:val="28"/>
        </w:rPr>
        <w:instrText xml:space="preserve"> </w:instrText>
      </w:r>
      <w:r>
        <w:rPr>
          <w:rFonts w:ascii="宋体" w:hAnsi="宋体" w:cs="宋体"/>
          <w:color w:val="auto"/>
          <w:szCs w:val="28"/>
        </w:rPr>
        <w:fldChar w:fldCharType="separate"/>
      </w:r>
      <w:r>
        <w:rPr>
          <w:rFonts w:hint="eastAsia" w:ascii="宋体" w:hAnsi="宋体" w:cs="宋体"/>
          <w:color w:val="auto"/>
          <w:szCs w:val="28"/>
        </w:rPr>
        <w:t>⑤</w:t>
      </w:r>
      <w:r>
        <w:rPr>
          <w:rFonts w:ascii="宋体" w:hAnsi="宋体" w:cs="宋体"/>
          <w:color w:val="auto"/>
          <w:szCs w:val="28"/>
        </w:rPr>
        <w:fldChar w:fldCharType="end"/>
      </w:r>
      <w:r>
        <w:rPr>
          <w:rFonts w:ascii="宋体" w:hAnsi="宋体" w:cs="宋体"/>
          <w:color w:val="auto"/>
          <w:szCs w:val="28"/>
        </w:rPr>
        <w:t xml:space="preserve"> </w:t>
      </w:r>
      <w:r>
        <w:rPr>
          <w:color w:val="auto"/>
          <w:szCs w:val="28"/>
        </w:rPr>
        <w:t>加强电气管理，对电气设备定期进行维护和保养，发现电气设备绝缘不良及线路绝缘老化，要及时更换电气设备、线路；所有电气、仪表等安装均符合防爆等级的电气设备，对建筑物、管线等设备设施均采取防雷防静电接地措施。</w:t>
      </w:r>
    </w:p>
    <w:p>
      <w:pPr>
        <w:ind w:firstLine="560"/>
        <w:rPr>
          <w:rFonts w:ascii="仿宋" w:hAnsi="仿宋"/>
          <w:color w:val="auto"/>
          <w:szCs w:val="28"/>
          <w:lang w:val="zh-CN"/>
        </w:rPr>
      </w:pPr>
      <w:bookmarkStart w:id="116" w:name="_Hlk60733646"/>
      <w:r>
        <w:rPr>
          <w:rFonts w:ascii="仿宋" w:hAnsi="仿宋"/>
          <w:color w:val="auto"/>
          <w:szCs w:val="28"/>
          <w:lang w:val="zh-CN"/>
        </w:rPr>
        <w:fldChar w:fldCharType="begin"/>
      </w:r>
      <w:r>
        <w:rPr>
          <w:rFonts w:ascii="仿宋" w:hAnsi="仿宋"/>
          <w:color w:val="auto"/>
          <w:szCs w:val="28"/>
          <w:lang w:val="zh-CN"/>
        </w:rPr>
        <w:instrText xml:space="preserve"> </w:instrText>
      </w:r>
      <w:r>
        <w:rPr>
          <w:rFonts w:hint="eastAsia" w:ascii="仿宋" w:hAnsi="仿宋"/>
          <w:color w:val="auto"/>
          <w:szCs w:val="28"/>
          <w:lang w:val="zh-CN"/>
        </w:rPr>
        <w:instrText xml:space="preserve">= 6 \* GB3</w:instrText>
      </w:r>
      <w:r>
        <w:rPr>
          <w:rFonts w:ascii="仿宋" w:hAnsi="仿宋"/>
          <w:color w:val="auto"/>
          <w:szCs w:val="28"/>
          <w:lang w:val="zh-CN"/>
        </w:rPr>
        <w:instrText xml:space="preserve"> </w:instrText>
      </w:r>
      <w:r>
        <w:rPr>
          <w:rFonts w:ascii="仿宋" w:hAnsi="仿宋"/>
          <w:color w:val="auto"/>
          <w:szCs w:val="28"/>
          <w:lang w:val="zh-CN"/>
        </w:rPr>
        <w:fldChar w:fldCharType="separate"/>
      </w:r>
      <w:r>
        <w:rPr>
          <w:rFonts w:hint="eastAsia" w:ascii="仿宋" w:hAnsi="仿宋"/>
          <w:color w:val="auto"/>
          <w:szCs w:val="28"/>
          <w:lang w:val="zh-CN"/>
        </w:rPr>
        <w:t>⑥</w:t>
      </w:r>
      <w:r>
        <w:rPr>
          <w:rFonts w:ascii="仿宋" w:hAnsi="仿宋"/>
          <w:color w:val="auto"/>
          <w:szCs w:val="28"/>
          <w:lang w:val="zh-CN"/>
        </w:rPr>
        <w:fldChar w:fldCharType="end"/>
      </w:r>
      <w:r>
        <w:rPr>
          <w:rFonts w:ascii="仿宋" w:hAnsi="仿宋"/>
          <w:color w:val="auto"/>
          <w:szCs w:val="28"/>
          <w:lang w:val="zh-CN"/>
        </w:rPr>
        <w:t xml:space="preserve"> </w:t>
      </w:r>
      <w:r>
        <w:rPr>
          <w:rFonts w:hint="eastAsia" w:ascii="仿宋" w:hAnsi="仿宋"/>
          <w:color w:val="auto"/>
          <w:szCs w:val="28"/>
          <w:lang w:val="zh-CN"/>
        </w:rPr>
        <w:t>加强环保设施运行管理，确保废气、废水达标排放；固体废物合理处置。</w:t>
      </w:r>
    </w:p>
    <w:bookmarkEnd w:id="116"/>
    <w:p>
      <w:pPr>
        <w:ind w:firstLine="560"/>
        <w:rPr>
          <w:color w:val="auto"/>
        </w:rPr>
      </w:pPr>
      <w:r>
        <w:rPr>
          <w:color w:val="auto"/>
        </w:rPr>
        <w:fldChar w:fldCharType="begin"/>
      </w:r>
      <w:r>
        <w:rPr>
          <w:color w:val="auto"/>
        </w:rPr>
        <w:instrText xml:space="preserve"> </w:instrText>
      </w:r>
      <w:r>
        <w:rPr>
          <w:rFonts w:hint="eastAsia"/>
          <w:color w:val="auto"/>
        </w:rPr>
        <w:instrText xml:space="preserve">= 2 \* GB2</w:instrText>
      </w:r>
      <w:r>
        <w:rPr>
          <w:color w:val="auto"/>
        </w:rPr>
        <w:instrText xml:space="preserve"> </w:instrText>
      </w:r>
      <w:r>
        <w:rPr>
          <w:color w:val="auto"/>
        </w:rPr>
        <w:fldChar w:fldCharType="separate"/>
      </w:r>
      <w:r>
        <w:rPr>
          <w:rFonts w:hint="eastAsia"/>
          <w:color w:val="auto"/>
        </w:rPr>
        <w:t>⑵</w:t>
      </w:r>
      <w:r>
        <w:rPr>
          <w:color w:val="auto"/>
        </w:rPr>
        <w:fldChar w:fldCharType="end"/>
      </w:r>
      <w:r>
        <w:rPr>
          <w:color w:val="auto"/>
        </w:rPr>
        <w:t xml:space="preserve"> </w:t>
      </w:r>
      <w:r>
        <w:rPr>
          <w:rFonts w:hint="eastAsia"/>
          <w:color w:val="auto"/>
        </w:rPr>
        <w:t>组建安全防火组织机构，落实责任，务求高效。总经理为环境和消防安全第一责任人，切实抓好环境安全管理；严格落实环境和消防巡查、检查制度，本着“隐患未查清不放过”的原则，加大火灾隐患的排查治理。</w:t>
      </w:r>
    </w:p>
    <w:p>
      <w:pPr>
        <w:ind w:firstLine="560"/>
        <w:rPr>
          <w:color w:val="auto"/>
        </w:rPr>
      </w:pPr>
      <w:r>
        <w:rPr>
          <w:color w:val="auto"/>
        </w:rPr>
        <w:fldChar w:fldCharType="begin"/>
      </w:r>
      <w:r>
        <w:rPr>
          <w:color w:val="auto"/>
        </w:rPr>
        <w:instrText xml:space="preserve"> </w:instrText>
      </w:r>
      <w:r>
        <w:rPr>
          <w:rFonts w:hint="eastAsia"/>
          <w:color w:val="auto"/>
        </w:rPr>
        <w:instrText xml:space="preserve">= 3 \* GB2</w:instrText>
      </w:r>
      <w:r>
        <w:rPr>
          <w:color w:val="auto"/>
        </w:rPr>
        <w:instrText xml:space="preserve"> </w:instrText>
      </w:r>
      <w:r>
        <w:rPr>
          <w:color w:val="auto"/>
        </w:rPr>
        <w:fldChar w:fldCharType="separate"/>
      </w:r>
      <w:r>
        <w:rPr>
          <w:rFonts w:hint="eastAsia"/>
          <w:color w:val="auto"/>
        </w:rPr>
        <w:t>⑶</w:t>
      </w:r>
      <w:r>
        <w:rPr>
          <w:color w:val="auto"/>
        </w:rPr>
        <w:fldChar w:fldCharType="end"/>
      </w:r>
      <w:r>
        <w:rPr>
          <w:color w:val="auto"/>
        </w:rPr>
        <w:t xml:space="preserve"> </w:t>
      </w:r>
      <w:r>
        <w:rPr>
          <w:rFonts w:hint="eastAsia"/>
          <w:color w:val="auto"/>
        </w:rPr>
        <w:t>建立健全各种规章制度，如：岗位安全操作规程、防火责任制、岗位责任制、日常和定期检修制度、职工定期考核制度等。安全制度和操作规程的健全完善是企业安全生产的保障。应结合运行过程中潜在的危险性，制定相应的环境安全管理制度和操作规程，并严格遵照执行，从而规范操作人员的作业行为、务实安全管理的基础、防止环境安全事故的发生。</w:t>
      </w:r>
    </w:p>
    <w:p>
      <w:pPr>
        <w:ind w:firstLine="560"/>
        <w:rPr>
          <w:color w:val="auto"/>
        </w:rPr>
      </w:pPr>
      <w:r>
        <w:rPr>
          <w:color w:val="auto"/>
        </w:rPr>
        <w:fldChar w:fldCharType="begin"/>
      </w:r>
      <w:r>
        <w:rPr>
          <w:color w:val="auto"/>
        </w:rPr>
        <w:instrText xml:space="preserve"> </w:instrText>
      </w:r>
      <w:r>
        <w:rPr>
          <w:rFonts w:hint="eastAsia"/>
          <w:color w:val="auto"/>
        </w:rPr>
        <w:instrText xml:space="preserve">= 4 \* GB2</w:instrText>
      </w:r>
      <w:r>
        <w:rPr>
          <w:color w:val="auto"/>
        </w:rPr>
        <w:instrText xml:space="preserve"> </w:instrText>
      </w:r>
      <w:r>
        <w:rPr>
          <w:color w:val="auto"/>
        </w:rPr>
        <w:fldChar w:fldCharType="separate"/>
      </w:r>
      <w:r>
        <w:rPr>
          <w:rFonts w:hint="eastAsia"/>
          <w:color w:val="auto"/>
        </w:rPr>
        <w:t>⑷</w:t>
      </w:r>
      <w:r>
        <w:rPr>
          <w:color w:val="auto"/>
        </w:rPr>
        <w:fldChar w:fldCharType="end"/>
      </w:r>
      <w:r>
        <w:rPr>
          <w:color w:val="auto"/>
        </w:rPr>
        <w:t xml:space="preserve"> </w:t>
      </w:r>
      <w:r>
        <w:rPr>
          <w:rFonts w:hint="eastAsia"/>
          <w:color w:val="auto"/>
        </w:rPr>
        <w:t>对排查检查出的环境风险隐患或事故隐患由相关负责人下发隐患整改通知书，督促工作人员积极进行整改，确保把环境风险隐患消灭在萌芽状态，对暂时不能整改的重大隐患，要制定出防范措施和整改计划，设立醒目标志。</w:t>
      </w:r>
    </w:p>
    <w:p>
      <w:pPr>
        <w:pStyle w:val="5"/>
        <w:ind w:firstLine="0" w:firstLineChars="0"/>
        <w:rPr>
          <w:color w:val="auto"/>
          <w:szCs w:val="28"/>
        </w:rPr>
      </w:pPr>
      <w:r>
        <w:rPr>
          <w:color w:val="auto"/>
          <w:szCs w:val="28"/>
        </w:rPr>
        <w:t>5.1.4 环境风险防控措施</w:t>
      </w:r>
    </w:p>
    <w:p>
      <w:pPr>
        <w:ind w:firstLine="560"/>
        <w:jc w:val="left"/>
        <w:rPr>
          <w:snapToGrid w:val="0"/>
          <w:color w:val="auto"/>
          <w:szCs w:val="28"/>
        </w:rPr>
      </w:pPr>
      <w:r>
        <w:rPr>
          <w:snapToGrid w:val="0"/>
          <w:color w:val="auto"/>
          <w:szCs w:val="28"/>
        </w:rPr>
        <w:t>针对公司现有风险源及可能发生的事故，公司采取了一定的风险防范及应急措施，具体措施见表5-2。</w:t>
      </w:r>
    </w:p>
    <w:p>
      <w:pPr>
        <w:ind w:firstLine="482"/>
        <w:jc w:val="center"/>
        <w:rPr>
          <w:b/>
          <w:color w:val="auto"/>
          <w:sz w:val="24"/>
        </w:rPr>
      </w:pPr>
      <w:r>
        <w:rPr>
          <w:b/>
          <w:color w:val="auto"/>
          <w:sz w:val="24"/>
        </w:rPr>
        <w:t xml:space="preserve">表5-2    </w:t>
      </w:r>
      <w:r>
        <w:rPr>
          <w:rFonts w:hint="eastAsia"/>
          <w:b/>
          <w:color w:val="auto"/>
          <w:sz w:val="24"/>
        </w:rPr>
        <w:t>现有环境风险防控与应急措施</w:t>
      </w:r>
    </w:p>
    <w:tbl>
      <w:tblPr>
        <w:tblStyle w:val="40"/>
        <w:tblW w:w="9071"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0" w:type="dxa"/>
          <w:bottom w:w="0" w:type="dxa"/>
          <w:right w:w="0" w:type="dxa"/>
        </w:tblCellMar>
      </w:tblPr>
      <w:tblGrid>
        <w:gridCol w:w="619"/>
        <w:gridCol w:w="1225"/>
        <w:gridCol w:w="7227"/>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tblHeader/>
          <w:jc w:val="center"/>
        </w:trPr>
        <w:tc>
          <w:tcPr>
            <w:tcW w:w="619" w:type="dxa"/>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序号</w:t>
            </w:r>
          </w:p>
        </w:tc>
        <w:tc>
          <w:tcPr>
            <w:tcW w:w="1225" w:type="dxa"/>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项目</w:t>
            </w:r>
          </w:p>
        </w:tc>
        <w:tc>
          <w:tcPr>
            <w:tcW w:w="7227" w:type="dxa"/>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环境风险防控与应急具体措施</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1</w:t>
            </w:r>
          </w:p>
        </w:tc>
        <w:tc>
          <w:tcPr>
            <w:tcW w:w="1225"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截流措施</w:t>
            </w:r>
          </w:p>
        </w:tc>
        <w:tc>
          <w:tcPr>
            <w:tcW w:w="7227" w:type="dxa"/>
            <w:vAlign w:val="center"/>
          </w:tcPr>
          <w:p>
            <w:pPr>
              <w:adjustRightInd/>
              <w:snapToGrid/>
              <w:spacing w:line="240" w:lineRule="auto"/>
              <w:ind w:firstLine="0" w:firstLineChars="0"/>
              <w:jc w:val="left"/>
              <w:rPr>
                <w:rFonts w:ascii="仿宋" w:hAnsi="仿宋"/>
                <w:color w:val="auto"/>
                <w:sz w:val="24"/>
                <w:lang w:val="zh-CN"/>
              </w:rPr>
            </w:pPr>
            <w:r>
              <w:rPr>
                <w:rFonts w:ascii="仿宋" w:hAnsi="仿宋"/>
                <w:color w:val="auto"/>
                <w:sz w:val="24"/>
              </w:rPr>
              <w:t>生产装置区：</w:t>
            </w:r>
            <w:r>
              <w:rPr>
                <w:rFonts w:ascii="仿宋" w:hAnsi="仿宋"/>
                <w:color w:val="auto"/>
                <w:sz w:val="24"/>
                <w:lang w:val="zh-CN"/>
              </w:rPr>
              <w:t>各个环境风险单元设防渗漏、防腐蚀、防淋溶、防流失措施，雨水及事故废水进入生产污水系统处理。地沟与污水单元吸水池设有管线相通，吸水池液位中控设有液位监控点（中控实行24</w:t>
            </w:r>
            <w:r>
              <w:rPr>
                <w:rFonts w:ascii="仿宋" w:hAnsi="仿宋"/>
                <w:color w:val="auto"/>
                <w:sz w:val="24"/>
              </w:rPr>
              <w:t>h</w:t>
            </w:r>
            <w:r>
              <w:rPr>
                <w:rFonts w:ascii="仿宋" w:hAnsi="仿宋"/>
                <w:color w:val="auto"/>
                <w:sz w:val="24"/>
                <w:lang w:val="zh-CN"/>
              </w:rPr>
              <w:t>值班制）。</w:t>
            </w:r>
            <w:r>
              <w:rPr>
                <w:rFonts w:ascii="仿宋" w:hAnsi="仿宋"/>
                <w:color w:val="auto"/>
                <w:sz w:val="24"/>
              </w:rPr>
              <w:t>储罐区：</w:t>
            </w:r>
            <w:r>
              <w:rPr>
                <w:rFonts w:hint="eastAsia" w:ascii="仿宋" w:hAnsi="仿宋"/>
                <w:color w:val="auto"/>
                <w:sz w:val="24"/>
                <w:lang w:val="zh-CN"/>
              </w:rPr>
              <w:t>柴油</w:t>
            </w:r>
            <w:r>
              <w:rPr>
                <w:rFonts w:ascii="仿宋" w:hAnsi="仿宋"/>
                <w:color w:val="auto"/>
                <w:sz w:val="24"/>
                <w:lang w:val="zh-CN"/>
              </w:rPr>
              <w:t>罐区</w:t>
            </w:r>
            <w:r>
              <w:rPr>
                <w:rFonts w:hint="eastAsia" w:ascii="仿宋" w:hAnsi="仿宋"/>
                <w:color w:val="auto"/>
                <w:sz w:val="24"/>
                <w:lang w:val="zh-CN"/>
              </w:rPr>
              <w:t>、酸碱罐区</w:t>
            </w:r>
            <w:r>
              <w:rPr>
                <w:rFonts w:ascii="仿宋" w:hAnsi="仿宋"/>
                <w:color w:val="auto"/>
                <w:sz w:val="24"/>
                <w:lang w:val="zh-CN"/>
              </w:rPr>
              <w:t>设有防火堤，堤内斜对角设有积水池，现场巡检人员发现积水池液位升高时，连接管线和自吸泵吸取积存污水至吸水池。堤外未设置排水切换阀。</w:t>
            </w:r>
          </w:p>
          <w:p>
            <w:pPr>
              <w:adjustRightInd/>
              <w:snapToGrid/>
              <w:spacing w:line="240" w:lineRule="auto"/>
              <w:ind w:firstLine="0" w:firstLineChars="0"/>
              <w:jc w:val="left"/>
              <w:rPr>
                <w:rFonts w:ascii="仿宋" w:hAnsi="仿宋"/>
                <w:color w:val="auto"/>
                <w:sz w:val="24"/>
              </w:rPr>
            </w:pPr>
            <w:r>
              <w:rPr>
                <w:rFonts w:ascii="仿宋" w:hAnsi="仿宋"/>
                <w:color w:val="auto"/>
                <w:sz w:val="24"/>
                <w:lang w:val="zh-CN"/>
              </w:rPr>
              <w:t>管理：日常管理及维护良好，有专人负责阀门切换，保证初期雨水、泄漏物和受污染的消防水排入污水系统</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2</w:t>
            </w:r>
          </w:p>
        </w:tc>
        <w:tc>
          <w:tcPr>
            <w:tcW w:w="1225"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防火防爆防控措施</w:t>
            </w:r>
          </w:p>
        </w:tc>
        <w:tc>
          <w:tcPr>
            <w:tcW w:w="7227" w:type="dxa"/>
            <w:vAlign w:val="center"/>
          </w:tcPr>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1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①</w:t>
            </w:r>
            <w:r>
              <w:rPr>
                <w:rFonts w:ascii="仿宋" w:hAnsi="仿宋"/>
                <w:snapToGrid w:val="0"/>
                <w:color w:val="auto"/>
                <w:sz w:val="24"/>
              </w:rPr>
              <w:fldChar w:fldCharType="end"/>
            </w:r>
            <w:r>
              <w:rPr>
                <w:rFonts w:ascii="仿宋" w:hAnsi="仿宋"/>
                <w:snapToGrid w:val="0"/>
                <w:color w:val="auto"/>
                <w:sz w:val="24"/>
              </w:rPr>
              <w:t>根据生产特点、合理划分功能区，禁止物料随意堆放，占用消防通道；</w:t>
            </w:r>
          </w:p>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2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②</w:t>
            </w:r>
            <w:r>
              <w:rPr>
                <w:rFonts w:ascii="仿宋" w:hAnsi="仿宋"/>
                <w:snapToGrid w:val="0"/>
                <w:color w:val="auto"/>
                <w:sz w:val="24"/>
              </w:rPr>
              <w:fldChar w:fldCharType="end"/>
            </w:r>
            <w:r>
              <w:rPr>
                <w:rFonts w:ascii="仿宋" w:hAnsi="仿宋"/>
                <w:snapToGrid w:val="0"/>
                <w:color w:val="auto"/>
                <w:sz w:val="24"/>
              </w:rPr>
              <w:t>根据消防要求配备手提式干粉灭火器、消防沙</w:t>
            </w:r>
            <w:r>
              <w:rPr>
                <w:rFonts w:hint="eastAsia" w:ascii="仿宋" w:hAnsi="仿宋"/>
                <w:snapToGrid w:val="0"/>
                <w:color w:val="auto"/>
                <w:sz w:val="24"/>
              </w:rPr>
              <w:t>、</w:t>
            </w:r>
            <w:r>
              <w:rPr>
                <w:rFonts w:ascii="仿宋" w:hAnsi="仿宋"/>
                <w:snapToGrid w:val="0"/>
                <w:color w:val="auto"/>
                <w:sz w:val="24"/>
              </w:rPr>
              <w:t>泡沫</w:t>
            </w:r>
            <w:r>
              <w:rPr>
                <w:rFonts w:hint="eastAsia" w:ascii="仿宋" w:hAnsi="仿宋"/>
                <w:snapToGrid w:val="0"/>
                <w:color w:val="auto"/>
                <w:sz w:val="24"/>
              </w:rPr>
              <w:t>灭火</w:t>
            </w:r>
            <w:r>
              <w:rPr>
                <w:rFonts w:ascii="仿宋" w:hAnsi="仿宋"/>
                <w:snapToGrid w:val="0"/>
                <w:color w:val="auto"/>
                <w:sz w:val="24"/>
              </w:rPr>
              <w:t>系统等，并对消防材料专人保管和定期检修；</w:t>
            </w:r>
          </w:p>
          <w:p>
            <w:pPr>
              <w:adjustRightInd/>
              <w:snapToGrid/>
              <w:spacing w:line="240" w:lineRule="auto"/>
              <w:ind w:firstLine="0" w:firstLineChars="0"/>
              <w:jc w:val="left"/>
              <w:rPr>
                <w:rFonts w:ascii="仿宋" w:hAnsi="仿宋"/>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3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③</w:t>
            </w:r>
            <w:r>
              <w:rPr>
                <w:rFonts w:ascii="仿宋" w:hAnsi="仿宋"/>
                <w:snapToGrid w:val="0"/>
                <w:color w:val="auto"/>
                <w:sz w:val="24"/>
              </w:rPr>
              <w:fldChar w:fldCharType="end"/>
            </w:r>
            <w:r>
              <w:rPr>
                <w:rFonts w:hint="eastAsia" w:ascii="仿宋" w:hAnsi="仿宋"/>
                <w:snapToGrid w:val="0"/>
                <w:color w:val="auto"/>
                <w:sz w:val="24"/>
              </w:rPr>
              <w:t>涉及风险物质的材</w:t>
            </w:r>
            <w:r>
              <w:rPr>
                <w:rFonts w:ascii="仿宋" w:hAnsi="仿宋"/>
                <w:snapToGrid w:val="0"/>
                <w:color w:val="auto"/>
                <w:sz w:val="24"/>
              </w:rPr>
              <w:t>料、产品运输严格按照国家风险物质运输规定执行。</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3</w:t>
            </w:r>
          </w:p>
        </w:tc>
        <w:tc>
          <w:tcPr>
            <w:tcW w:w="1225"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snapToGrid w:val="0"/>
                <w:color w:val="auto"/>
                <w:sz w:val="24"/>
              </w:rPr>
              <w:t>风险物质</w:t>
            </w:r>
            <w:r>
              <w:rPr>
                <w:rFonts w:ascii="仿宋" w:hAnsi="仿宋"/>
                <w:snapToGrid w:val="0"/>
                <w:color w:val="auto"/>
                <w:sz w:val="24"/>
              </w:rPr>
              <w:t>管理、储存、使用、运输的防控措施</w:t>
            </w:r>
          </w:p>
        </w:tc>
        <w:tc>
          <w:tcPr>
            <w:tcW w:w="7227" w:type="dxa"/>
            <w:vAlign w:val="center"/>
          </w:tcPr>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1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①</w:t>
            </w:r>
            <w:r>
              <w:rPr>
                <w:rFonts w:ascii="仿宋" w:hAnsi="仿宋"/>
                <w:snapToGrid w:val="0"/>
                <w:color w:val="auto"/>
                <w:sz w:val="24"/>
              </w:rPr>
              <w:fldChar w:fldCharType="end"/>
            </w:r>
            <w:r>
              <w:rPr>
                <w:rFonts w:ascii="仿宋" w:hAnsi="仿宋"/>
                <w:snapToGrid w:val="0"/>
                <w:color w:val="auto"/>
                <w:sz w:val="24"/>
              </w:rPr>
              <w:t>在储存和使用过程中制定风险物质安全操作规程，操作人员必须严格执行；</w:t>
            </w:r>
          </w:p>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2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②</w:t>
            </w:r>
            <w:r>
              <w:rPr>
                <w:rFonts w:ascii="仿宋" w:hAnsi="仿宋"/>
                <w:snapToGrid w:val="0"/>
                <w:color w:val="auto"/>
                <w:sz w:val="24"/>
              </w:rPr>
              <w:fldChar w:fldCharType="end"/>
            </w:r>
            <w:r>
              <w:rPr>
                <w:rFonts w:ascii="仿宋" w:hAnsi="仿宋"/>
                <w:snapToGrid w:val="0"/>
                <w:color w:val="auto"/>
                <w:sz w:val="24"/>
              </w:rPr>
              <w:t>风险物质储存库应建立健全安全规程及执勤制度，检查各</w:t>
            </w:r>
            <w:r>
              <w:rPr>
                <w:rFonts w:hint="eastAsia" w:ascii="仿宋" w:hAnsi="仿宋"/>
                <w:snapToGrid w:val="0"/>
                <w:color w:val="auto"/>
                <w:sz w:val="24"/>
              </w:rPr>
              <w:t>类风险物质</w:t>
            </w:r>
            <w:r>
              <w:rPr>
                <w:rFonts w:ascii="仿宋" w:hAnsi="仿宋"/>
                <w:snapToGrid w:val="0"/>
                <w:color w:val="auto"/>
                <w:sz w:val="24"/>
              </w:rPr>
              <w:t>是否保存完好；</w:t>
            </w:r>
          </w:p>
          <w:p>
            <w:pPr>
              <w:adjustRightInd/>
              <w:snapToGrid/>
              <w:spacing w:line="240" w:lineRule="auto"/>
              <w:ind w:firstLine="0" w:firstLineChars="0"/>
              <w:jc w:val="left"/>
              <w:rPr>
                <w:rFonts w:ascii="仿宋" w:hAnsi="仿宋"/>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3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③</w:t>
            </w:r>
            <w:r>
              <w:rPr>
                <w:rFonts w:ascii="仿宋" w:hAnsi="仿宋"/>
                <w:snapToGrid w:val="0"/>
                <w:color w:val="auto"/>
                <w:sz w:val="24"/>
              </w:rPr>
              <w:fldChar w:fldCharType="end"/>
            </w:r>
            <w:r>
              <w:rPr>
                <w:rFonts w:hint="eastAsia" w:ascii="仿宋" w:hAnsi="仿宋"/>
                <w:snapToGrid w:val="0"/>
                <w:color w:val="auto"/>
                <w:sz w:val="24"/>
              </w:rPr>
              <w:t>柴油储罐区、</w:t>
            </w:r>
            <w:r>
              <w:rPr>
                <w:rFonts w:ascii="仿宋" w:hAnsi="仿宋"/>
                <w:snapToGrid w:val="0"/>
                <w:color w:val="auto"/>
                <w:sz w:val="24"/>
              </w:rPr>
              <w:t>氢气储罐区、酸碱储罐区、危废暂存间应设置禁止吸烟及明火标识，同时加强职工教育。</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4</w:t>
            </w:r>
          </w:p>
        </w:tc>
        <w:tc>
          <w:tcPr>
            <w:tcW w:w="1225" w:type="dxa"/>
            <w:vAlign w:val="center"/>
          </w:tcPr>
          <w:p>
            <w:pPr>
              <w:adjustRightInd/>
              <w:snapToGrid/>
              <w:spacing w:line="240" w:lineRule="auto"/>
              <w:ind w:firstLine="0" w:firstLineChars="0"/>
              <w:jc w:val="center"/>
              <w:rPr>
                <w:rFonts w:ascii="仿宋" w:hAnsi="仿宋"/>
                <w:color w:val="auto"/>
                <w:sz w:val="24"/>
              </w:rPr>
            </w:pPr>
            <w:r>
              <w:rPr>
                <w:rFonts w:ascii="仿宋" w:hAnsi="仿宋"/>
                <w:snapToGrid w:val="0"/>
                <w:color w:val="auto"/>
                <w:sz w:val="24"/>
              </w:rPr>
              <w:t>火灾爆炸事故应急措施</w:t>
            </w:r>
          </w:p>
        </w:tc>
        <w:tc>
          <w:tcPr>
            <w:tcW w:w="7227" w:type="dxa"/>
            <w:vAlign w:val="center"/>
          </w:tcPr>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1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①</w:t>
            </w:r>
            <w:r>
              <w:rPr>
                <w:rFonts w:ascii="仿宋" w:hAnsi="仿宋"/>
                <w:snapToGrid w:val="0"/>
                <w:color w:val="auto"/>
                <w:sz w:val="24"/>
              </w:rPr>
              <w:fldChar w:fldCharType="end"/>
            </w:r>
            <w:r>
              <w:rPr>
                <w:rFonts w:ascii="仿宋" w:hAnsi="仿宋"/>
                <w:snapToGrid w:val="0"/>
                <w:color w:val="auto"/>
                <w:sz w:val="24"/>
              </w:rPr>
              <w:t>当发生火情时，现场人员及时使用灭火器材将火灾消灭在萌芽中，当火情不可控时，现场指挥人员应立即疏散职工，并按报告程序逐级上报请求支援；</w:t>
            </w:r>
          </w:p>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2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②</w:t>
            </w:r>
            <w:r>
              <w:rPr>
                <w:rFonts w:ascii="仿宋" w:hAnsi="仿宋"/>
                <w:snapToGrid w:val="0"/>
                <w:color w:val="auto"/>
                <w:sz w:val="24"/>
              </w:rPr>
              <w:fldChar w:fldCharType="end"/>
            </w:r>
            <w:r>
              <w:rPr>
                <w:rFonts w:ascii="仿宋" w:hAnsi="仿宋"/>
                <w:snapToGrid w:val="0"/>
                <w:color w:val="auto"/>
                <w:sz w:val="24"/>
              </w:rPr>
              <w:t>当某一单元或者周围企业发生火灾、爆炸事故时，相邻两生产单元紧急停</w:t>
            </w:r>
            <w:r>
              <w:rPr>
                <w:rFonts w:hint="eastAsia" w:ascii="仿宋" w:hAnsi="仿宋"/>
                <w:snapToGrid w:val="0"/>
                <w:color w:val="auto"/>
                <w:sz w:val="24"/>
              </w:rPr>
              <w:t>工</w:t>
            </w:r>
            <w:r>
              <w:rPr>
                <w:rFonts w:ascii="仿宋" w:hAnsi="仿宋"/>
                <w:snapToGrid w:val="0"/>
                <w:color w:val="auto"/>
                <w:sz w:val="24"/>
              </w:rPr>
              <w:t>，做好预防准备；</w:t>
            </w:r>
          </w:p>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3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③</w:t>
            </w:r>
            <w:r>
              <w:rPr>
                <w:rFonts w:ascii="仿宋" w:hAnsi="仿宋"/>
                <w:snapToGrid w:val="0"/>
                <w:color w:val="auto"/>
                <w:sz w:val="24"/>
              </w:rPr>
              <w:fldChar w:fldCharType="end"/>
            </w:r>
            <w:r>
              <w:rPr>
                <w:rFonts w:ascii="仿宋" w:hAnsi="仿宋"/>
                <w:snapToGrid w:val="0"/>
                <w:color w:val="auto"/>
                <w:sz w:val="24"/>
              </w:rPr>
              <w:t>如有伤员，则进行紧急救治，并及时通知邻近医院；</w:t>
            </w:r>
          </w:p>
          <w:p>
            <w:pPr>
              <w:adjustRightInd/>
              <w:snapToGrid/>
              <w:spacing w:line="240" w:lineRule="auto"/>
              <w:ind w:firstLine="0" w:firstLineChars="0"/>
              <w:jc w:val="left"/>
              <w:rPr>
                <w:rFonts w:ascii="仿宋" w:hAnsi="仿宋"/>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4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④</w:t>
            </w:r>
            <w:r>
              <w:rPr>
                <w:rFonts w:ascii="仿宋" w:hAnsi="仿宋"/>
                <w:snapToGrid w:val="0"/>
                <w:color w:val="auto"/>
                <w:sz w:val="24"/>
              </w:rPr>
              <w:fldChar w:fldCharType="end"/>
            </w:r>
            <w:r>
              <w:rPr>
                <w:rFonts w:ascii="仿宋" w:hAnsi="仿宋"/>
                <w:snapToGrid w:val="0"/>
                <w:color w:val="auto"/>
                <w:sz w:val="24"/>
              </w:rPr>
              <w:t>加强火灾演练，做到各个环节有条不紊。</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5</w:t>
            </w:r>
          </w:p>
        </w:tc>
        <w:tc>
          <w:tcPr>
            <w:tcW w:w="1225" w:type="dxa"/>
            <w:vAlign w:val="center"/>
          </w:tcPr>
          <w:p>
            <w:pPr>
              <w:adjustRightInd/>
              <w:snapToGrid/>
              <w:spacing w:line="240" w:lineRule="auto"/>
              <w:ind w:firstLine="0" w:firstLineChars="0"/>
              <w:jc w:val="center"/>
              <w:rPr>
                <w:rFonts w:ascii="仿宋" w:hAnsi="仿宋"/>
                <w:color w:val="auto"/>
                <w:sz w:val="24"/>
              </w:rPr>
            </w:pPr>
            <w:r>
              <w:rPr>
                <w:rFonts w:ascii="仿宋" w:hAnsi="仿宋"/>
                <w:snapToGrid w:val="0"/>
                <w:color w:val="auto"/>
                <w:sz w:val="24"/>
              </w:rPr>
              <w:t>泄漏事故防控措施</w:t>
            </w:r>
          </w:p>
        </w:tc>
        <w:tc>
          <w:tcPr>
            <w:tcW w:w="7227" w:type="dxa"/>
            <w:vAlign w:val="center"/>
          </w:tcPr>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1 \* GB2</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⑴</w:t>
            </w:r>
            <w:r>
              <w:rPr>
                <w:rFonts w:ascii="仿宋" w:hAnsi="仿宋"/>
                <w:color w:val="auto"/>
                <w:sz w:val="24"/>
              </w:rPr>
              <w:fldChar w:fldCharType="end"/>
            </w:r>
            <w:r>
              <w:rPr>
                <w:rFonts w:hint="eastAsia" w:ascii="仿宋" w:hAnsi="仿宋"/>
                <w:color w:val="auto"/>
                <w:sz w:val="24"/>
              </w:rPr>
              <w:t>柴油储罐区</w:t>
            </w:r>
            <w:r>
              <w:rPr>
                <w:rFonts w:ascii="仿宋" w:hAnsi="仿宋"/>
                <w:color w:val="auto"/>
                <w:sz w:val="24"/>
              </w:rPr>
              <w:t>和危废暂存间</w:t>
            </w:r>
            <w:r>
              <w:rPr>
                <w:rFonts w:hint="eastAsia" w:ascii="仿宋" w:hAnsi="仿宋"/>
                <w:color w:val="auto"/>
                <w:sz w:val="24"/>
              </w:rPr>
              <w:t>废</w:t>
            </w:r>
            <w:r>
              <w:rPr>
                <w:rFonts w:ascii="仿宋" w:hAnsi="仿宋"/>
                <w:color w:val="auto"/>
                <w:sz w:val="24"/>
              </w:rPr>
              <w:t>机油泄漏时，应按以下方法处置：</w:t>
            </w:r>
          </w:p>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1 \* GB3</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①</w:t>
            </w:r>
            <w:r>
              <w:rPr>
                <w:rFonts w:ascii="仿宋" w:hAnsi="仿宋"/>
                <w:color w:val="auto"/>
                <w:sz w:val="24"/>
              </w:rPr>
              <w:fldChar w:fldCharType="end"/>
            </w:r>
            <w:r>
              <w:rPr>
                <w:rFonts w:hint="eastAsia" w:ascii="仿宋" w:hAnsi="仿宋"/>
                <w:color w:val="auto"/>
                <w:sz w:val="24"/>
              </w:rPr>
              <w:t>柴油</w:t>
            </w:r>
            <w:r>
              <w:rPr>
                <w:rFonts w:ascii="仿宋" w:hAnsi="仿宋"/>
                <w:color w:val="auto"/>
                <w:sz w:val="24"/>
              </w:rPr>
              <w:t>、</w:t>
            </w:r>
            <w:r>
              <w:rPr>
                <w:rFonts w:hint="eastAsia" w:ascii="仿宋" w:hAnsi="仿宋"/>
                <w:color w:val="auto"/>
                <w:sz w:val="24"/>
              </w:rPr>
              <w:t>废</w:t>
            </w:r>
            <w:r>
              <w:rPr>
                <w:rFonts w:ascii="仿宋" w:hAnsi="仿宋"/>
                <w:color w:val="auto"/>
                <w:sz w:val="24"/>
              </w:rPr>
              <w:t>机油泄漏应</w:t>
            </w:r>
            <w:r>
              <w:rPr>
                <w:rFonts w:hint="eastAsia" w:ascii="仿宋" w:hAnsi="仿宋"/>
                <w:color w:val="auto"/>
                <w:sz w:val="24"/>
              </w:rPr>
              <w:t>立即采用沙土截留吸附</w:t>
            </w:r>
            <w:r>
              <w:rPr>
                <w:rFonts w:ascii="仿宋" w:hAnsi="仿宋"/>
                <w:color w:val="auto"/>
                <w:sz w:val="24"/>
              </w:rPr>
              <w:t>；</w:t>
            </w:r>
            <w:r>
              <w:rPr>
                <w:rFonts w:hint="eastAsia" w:ascii="仿宋" w:hAnsi="仿宋"/>
                <w:color w:val="auto"/>
                <w:sz w:val="24"/>
              </w:rPr>
              <w:t>柴油储罐区设置围堰；</w:t>
            </w:r>
          </w:p>
          <w:p>
            <w:pPr>
              <w:adjustRightInd/>
              <w:snapToGrid/>
              <w:spacing w:line="240" w:lineRule="auto"/>
              <w:ind w:firstLine="0" w:firstLineChars="0"/>
              <w:jc w:val="left"/>
              <w:rPr>
                <w:rFonts w:ascii="仿宋" w:hAnsi="仿宋"/>
                <w:color w:val="auto"/>
                <w:sz w:val="24"/>
              </w:rPr>
            </w:pPr>
            <w:r>
              <w:rPr>
                <w:rFonts w:hint="eastAsia" w:ascii="仿宋" w:hAnsi="仿宋"/>
                <w:color w:val="auto"/>
                <w:sz w:val="24"/>
              </w:rPr>
              <w:t>②</w:t>
            </w:r>
            <w:r>
              <w:rPr>
                <w:rFonts w:ascii="仿宋" w:hAnsi="仿宋"/>
                <w:color w:val="auto"/>
                <w:sz w:val="24"/>
              </w:rPr>
              <w:t>做好防火及通风措施防止</w:t>
            </w:r>
            <w:r>
              <w:rPr>
                <w:rFonts w:hint="eastAsia" w:ascii="仿宋" w:hAnsi="仿宋"/>
                <w:color w:val="auto"/>
                <w:sz w:val="24"/>
              </w:rPr>
              <w:t>伤害</w:t>
            </w:r>
            <w:r>
              <w:rPr>
                <w:rFonts w:ascii="仿宋" w:hAnsi="仿宋"/>
                <w:color w:val="auto"/>
                <w:sz w:val="24"/>
              </w:rPr>
              <w:t>事件；</w:t>
            </w:r>
          </w:p>
          <w:p>
            <w:pPr>
              <w:adjustRightInd/>
              <w:snapToGrid/>
              <w:spacing w:line="240" w:lineRule="auto"/>
              <w:ind w:firstLine="0" w:firstLineChars="0"/>
              <w:jc w:val="left"/>
              <w:rPr>
                <w:rFonts w:ascii="仿宋" w:hAnsi="仿宋"/>
                <w:color w:val="auto"/>
                <w:sz w:val="24"/>
              </w:rPr>
            </w:pPr>
            <w:r>
              <w:rPr>
                <w:rFonts w:hint="eastAsia" w:ascii="仿宋" w:hAnsi="仿宋"/>
                <w:color w:val="auto"/>
                <w:sz w:val="24"/>
              </w:rPr>
              <w:t>③</w:t>
            </w:r>
            <w:r>
              <w:rPr>
                <w:rFonts w:ascii="仿宋" w:hAnsi="仿宋"/>
                <w:color w:val="auto"/>
                <w:sz w:val="24"/>
              </w:rPr>
              <w:t>将</w:t>
            </w:r>
            <w:r>
              <w:rPr>
                <w:rFonts w:hint="eastAsia" w:ascii="仿宋" w:hAnsi="仿宋"/>
                <w:color w:val="auto"/>
                <w:sz w:val="24"/>
              </w:rPr>
              <w:t>吸附了柴油/废机油的</w:t>
            </w:r>
            <w:r>
              <w:rPr>
                <w:rFonts w:ascii="仿宋" w:hAnsi="仿宋"/>
                <w:color w:val="auto"/>
                <w:sz w:val="24"/>
              </w:rPr>
              <w:t>沙土</w:t>
            </w:r>
            <w:r>
              <w:rPr>
                <w:rFonts w:hint="eastAsia" w:ascii="仿宋" w:hAnsi="仿宋"/>
                <w:color w:val="auto"/>
                <w:sz w:val="24"/>
              </w:rPr>
              <w:t>收集与密闭容器于危废间暂存，后交资质单位处置</w:t>
            </w:r>
            <w:r>
              <w:rPr>
                <w:rFonts w:ascii="仿宋" w:hAnsi="仿宋"/>
                <w:color w:val="auto"/>
                <w:sz w:val="24"/>
              </w:rPr>
              <w:t>；</w:t>
            </w:r>
          </w:p>
          <w:p>
            <w:pPr>
              <w:adjustRightInd/>
              <w:snapToGrid/>
              <w:spacing w:line="240" w:lineRule="auto"/>
              <w:ind w:firstLine="0" w:firstLineChars="0"/>
              <w:jc w:val="left"/>
              <w:rPr>
                <w:rFonts w:ascii="仿宋" w:hAnsi="仿宋"/>
                <w:color w:val="auto"/>
                <w:sz w:val="24"/>
              </w:rPr>
            </w:pPr>
            <w:r>
              <w:rPr>
                <w:rFonts w:hint="eastAsia" w:ascii="仿宋" w:hAnsi="仿宋"/>
                <w:color w:val="auto"/>
                <w:sz w:val="24"/>
              </w:rPr>
              <w:t>④</w:t>
            </w:r>
            <w:r>
              <w:rPr>
                <w:rFonts w:ascii="仿宋" w:hAnsi="仿宋"/>
                <w:color w:val="auto"/>
                <w:sz w:val="24"/>
              </w:rPr>
              <w:t>将泄漏物及时与其他物料隔离处理。</w:t>
            </w:r>
          </w:p>
          <w:p>
            <w:pPr>
              <w:pStyle w:val="2"/>
              <w:adjustRightInd/>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2 \* GB2</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⑵</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氢气储罐</w:t>
            </w:r>
            <w:r>
              <w:rPr>
                <w:rFonts w:ascii="仿宋" w:hAnsi="仿宋" w:eastAsia="仿宋" w:cs="Times New Roman"/>
                <w:snapToGrid w:val="0"/>
                <w:color w:val="auto"/>
              </w:rPr>
              <w:t>区泄漏时，应按以下方法处置：</w:t>
            </w:r>
          </w:p>
          <w:p>
            <w:pPr>
              <w:pStyle w:val="2"/>
              <w:adjustRightInd/>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1 \* GB3</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①</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氢气</w:t>
            </w:r>
            <w:r>
              <w:rPr>
                <w:rFonts w:ascii="仿宋" w:hAnsi="仿宋" w:eastAsia="仿宋" w:cs="Times New Roman"/>
                <w:snapToGrid w:val="0"/>
                <w:color w:val="auto"/>
              </w:rPr>
              <w:t>泄漏应疏散人员，做好防火及通风措施；</w:t>
            </w:r>
          </w:p>
          <w:p>
            <w:pPr>
              <w:pStyle w:val="2"/>
              <w:adjustRightInd/>
              <w:rPr>
                <w:rFonts w:ascii="仿宋" w:hAnsi="仿宋" w:eastAsia="仿宋" w:cs="Times New Roman"/>
                <w:snapToGrid w:val="0"/>
                <w:color w:val="auto"/>
              </w:rPr>
            </w:pPr>
            <w:r>
              <w:rPr>
                <w:rFonts w:hint="eastAsia" w:ascii="仿宋" w:hAnsi="仿宋" w:eastAsia="仿宋" w:cs="Times New Roman"/>
                <w:snapToGrid w:val="0"/>
                <w:color w:val="auto"/>
              </w:rPr>
              <w:t>②切断气源，保持管路微正压，通入惰性气体。。</w:t>
            </w:r>
          </w:p>
          <w:p>
            <w:pPr>
              <w:pStyle w:val="2"/>
              <w:adjustRightInd/>
              <w:rPr>
                <w:rFonts w:ascii="仿宋" w:hAnsi="仿宋" w:eastAsia="仿宋" w:cs="Times New Roman"/>
                <w:snapToGrid w:val="0"/>
                <w:color w:val="auto"/>
              </w:rPr>
            </w:pPr>
            <w:r>
              <w:rPr>
                <w:rFonts w:hint="eastAsia" w:ascii="仿宋" w:hAnsi="仿宋" w:eastAsia="仿宋" w:cs="Times New Roman"/>
                <w:snapToGrid w:val="0"/>
                <w:color w:val="auto"/>
              </w:rPr>
              <w:t>③</w:t>
            </w:r>
            <w:r>
              <w:rPr>
                <w:rFonts w:ascii="仿宋" w:hAnsi="仿宋" w:eastAsia="仿宋" w:cs="Times New Roman"/>
                <w:snapToGrid w:val="0"/>
                <w:color w:val="auto"/>
              </w:rPr>
              <w:t>现场保持通风防止</w:t>
            </w:r>
            <w:r>
              <w:rPr>
                <w:rFonts w:hint="eastAsia" w:ascii="仿宋" w:hAnsi="仿宋" w:eastAsia="仿宋" w:cs="Times New Roman"/>
                <w:snapToGrid w:val="0"/>
                <w:color w:val="auto"/>
              </w:rPr>
              <w:t>爆炸</w:t>
            </w:r>
            <w:r>
              <w:rPr>
                <w:rFonts w:ascii="仿宋" w:hAnsi="仿宋" w:eastAsia="仿宋" w:cs="Times New Roman"/>
                <w:snapToGrid w:val="0"/>
                <w:color w:val="auto"/>
              </w:rPr>
              <w:t>事件。</w:t>
            </w:r>
          </w:p>
          <w:p>
            <w:pPr>
              <w:pStyle w:val="2"/>
              <w:adjustRightInd/>
              <w:jc w:val="both"/>
              <w:rPr>
                <w:rFonts w:ascii="仿宋" w:hAnsi="仿宋" w:eastAsia="仿宋" w:cs="Times New Roman"/>
                <w:snapToGrid w:val="0"/>
                <w:color w:val="auto"/>
              </w:rPr>
            </w:pPr>
            <w:r>
              <w:rPr>
                <w:rFonts w:hint="eastAsia" w:ascii="仿宋" w:hAnsi="仿宋" w:eastAsia="仿宋" w:cs="Times New Roman"/>
                <w:snapToGrid w:val="0"/>
                <w:color w:val="auto"/>
              </w:rPr>
              <w:t>④对氢气已经扩散的地方，电器要保持原来的状态，不要随意开或关；对接近扩散区的地方，要切断电源。对进入氢气泄漏区的排险人员，严禁穿带钉鞋和化纤衣服，严禁使用金属工具，以免碰撞发生火花或火星。</w:t>
            </w:r>
          </w:p>
          <w:p>
            <w:pPr>
              <w:pStyle w:val="2"/>
              <w:adjustRightInd/>
              <w:jc w:val="both"/>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3 \* GB2</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⑶</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酸碱</w:t>
            </w:r>
            <w:r>
              <w:rPr>
                <w:rFonts w:ascii="仿宋" w:hAnsi="仿宋" w:eastAsia="仿宋" w:cs="Times New Roman"/>
                <w:snapToGrid w:val="0"/>
                <w:color w:val="auto"/>
              </w:rPr>
              <w:t>储罐区泄漏时，应按以下方法处置：</w:t>
            </w:r>
          </w:p>
          <w:p>
            <w:pPr>
              <w:pStyle w:val="2"/>
              <w:adjustRightInd/>
              <w:jc w:val="both"/>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1 \* GB3</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①</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关闭前置阀门，切断泄漏源</w:t>
            </w:r>
            <w:r>
              <w:rPr>
                <w:rFonts w:ascii="仿宋" w:hAnsi="仿宋" w:eastAsia="仿宋" w:cs="Times New Roman"/>
                <w:snapToGrid w:val="0"/>
                <w:color w:val="auto"/>
              </w:rPr>
              <w:t>；</w:t>
            </w:r>
          </w:p>
          <w:p>
            <w:pPr>
              <w:pStyle w:val="2"/>
              <w:adjustRightInd/>
              <w:jc w:val="both"/>
              <w:rPr>
                <w:rFonts w:ascii="仿宋" w:hAnsi="仿宋" w:eastAsia="仿宋" w:cs="Times New Roman"/>
                <w:snapToGrid w:val="0"/>
                <w:color w:val="auto"/>
              </w:rPr>
            </w:pPr>
            <w:r>
              <w:rPr>
                <w:rFonts w:hint="eastAsia" w:ascii="仿宋" w:hAnsi="仿宋" w:eastAsia="仿宋" w:cs="Times New Roman"/>
                <w:snapToGrid w:val="0"/>
                <w:color w:val="auto"/>
              </w:rPr>
              <w:t>②用耐酸碱泵将泄漏物转移到收集容器中进行回收。</w:t>
            </w:r>
          </w:p>
          <w:p>
            <w:pPr>
              <w:pStyle w:val="2"/>
              <w:adjustRightInd/>
              <w:jc w:val="both"/>
              <w:rPr>
                <w:rFonts w:ascii="仿宋" w:hAnsi="仿宋" w:eastAsia="仿宋" w:cs="Times New Roman"/>
                <w:snapToGrid w:val="0"/>
                <w:color w:val="auto"/>
              </w:rPr>
            </w:pPr>
            <w:r>
              <w:rPr>
                <w:rFonts w:hint="eastAsia" w:ascii="仿宋" w:hAnsi="仿宋" w:eastAsia="仿宋" w:cs="Times New Roman"/>
                <w:snapToGrid w:val="0"/>
                <w:color w:val="auto"/>
              </w:rPr>
              <w:t>③中和，使用适量的砂土、粉状氧化钙（生石灰，CaO）等与泄漏物混合，将吸附泄物的物质收集至专用容器中进行集中处置。向路面微粉状氧化钙（生石灰，CaO）等中和可能残留的泄漏物，再用大量清水冲洗路面，冲洗水收集至集水池</w:t>
            </w:r>
            <w:r>
              <w:rPr>
                <w:rFonts w:ascii="仿宋" w:hAnsi="仿宋" w:eastAsia="仿宋" w:cs="Times New Roman"/>
                <w:snapToGrid w:val="0"/>
                <w:color w:val="auto"/>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6</w:t>
            </w:r>
          </w:p>
        </w:tc>
        <w:tc>
          <w:tcPr>
            <w:tcW w:w="1225" w:type="dxa"/>
            <w:vAlign w:val="center"/>
          </w:tcPr>
          <w:p>
            <w:pPr>
              <w:adjustRightInd/>
              <w:snapToGrid/>
              <w:spacing w:line="240" w:lineRule="auto"/>
              <w:ind w:firstLine="0" w:firstLineChars="0"/>
              <w:jc w:val="center"/>
              <w:rPr>
                <w:rFonts w:ascii="仿宋" w:hAnsi="仿宋"/>
                <w:snapToGrid w:val="0"/>
                <w:color w:val="auto"/>
                <w:sz w:val="24"/>
              </w:rPr>
            </w:pPr>
            <w:r>
              <w:rPr>
                <w:rFonts w:ascii="仿宋" w:hAnsi="仿宋"/>
                <w:snapToGrid w:val="0"/>
                <w:color w:val="auto"/>
                <w:sz w:val="24"/>
              </w:rPr>
              <w:t>厂内危险废物处置</w:t>
            </w:r>
          </w:p>
        </w:tc>
        <w:tc>
          <w:tcPr>
            <w:tcW w:w="7227" w:type="dxa"/>
            <w:vAlign w:val="center"/>
          </w:tcPr>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1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①</w:t>
            </w:r>
            <w:r>
              <w:rPr>
                <w:rFonts w:ascii="仿宋" w:hAnsi="仿宋"/>
                <w:snapToGrid w:val="0"/>
                <w:color w:val="auto"/>
                <w:sz w:val="24"/>
              </w:rPr>
              <w:fldChar w:fldCharType="end"/>
            </w:r>
            <w:r>
              <w:rPr>
                <w:rFonts w:ascii="仿宋" w:hAnsi="仿宋"/>
                <w:snapToGrid w:val="0"/>
                <w:color w:val="auto"/>
                <w:sz w:val="24"/>
              </w:rPr>
              <w:t>设置危险废物暂存库</w:t>
            </w:r>
            <w:r>
              <w:rPr>
                <w:rFonts w:hint="eastAsia" w:ascii="仿宋" w:hAnsi="仿宋"/>
                <w:snapToGrid w:val="0"/>
                <w:color w:val="auto"/>
                <w:sz w:val="24"/>
              </w:rPr>
              <w:t>，由专人负责管理</w:t>
            </w:r>
            <w:r>
              <w:rPr>
                <w:rFonts w:ascii="仿宋" w:hAnsi="仿宋"/>
                <w:snapToGrid w:val="0"/>
                <w:color w:val="auto"/>
                <w:sz w:val="24"/>
              </w:rPr>
              <w:t>；</w:t>
            </w:r>
          </w:p>
          <w:p>
            <w:pPr>
              <w:adjustRightInd/>
              <w:snapToGrid/>
              <w:spacing w:line="240" w:lineRule="auto"/>
              <w:ind w:firstLine="0" w:firstLineChars="0"/>
              <w:jc w:val="left"/>
              <w:rPr>
                <w:rFonts w:ascii="仿宋" w:hAnsi="仿宋"/>
                <w:snapToGrid w:val="0"/>
                <w:color w:val="auto"/>
                <w:sz w:val="24"/>
              </w:rPr>
            </w:pPr>
            <w:r>
              <w:rPr>
                <w:rFonts w:ascii="仿宋" w:hAnsi="仿宋"/>
                <w:snapToGrid w:val="0"/>
                <w:color w:val="auto"/>
                <w:sz w:val="24"/>
              </w:rPr>
              <w:fldChar w:fldCharType="begin"/>
            </w:r>
            <w:r>
              <w:rPr>
                <w:rFonts w:ascii="仿宋" w:hAnsi="仿宋"/>
                <w:snapToGrid w:val="0"/>
                <w:color w:val="auto"/>
                <w:sz w:val="24"/>
              </w:rPr>
              <w:instrText xml:space="preserve"> </w:instrText>
            </w:r>
            <w:r>
              <w:rPr>
                <w:rFonts w:hint="eastAsia" w:ascii="仿宋" w:hAnsi="仿宋"/>
                <w:snapToGrid w:val="0"/>
                <w:color w:val="auto"/>
                <w:sz w:val="24"/>
              </w:rPr>
              <w:instrText xml:space="preserve">= 2 \* GB3</w:instrText>
            </w:r>
            <w:r>
              <w:rPr>
                <w:rFonts w:ascii="仿宋" w:hAnsi="仿宋"/>
                <w:snapToGrid w:val="0"/>
                <w:color w:val="auto"/>
                <w:sz w:val="24"/>
              </w:rPr>
              <w:instrText xml:space="preserve"> </w:instrText>
            </w:r>
            <w:r>
              <w:rPr>
                <w:rFonts w:ascii="仿宋" w:hAnsi="仿宋"/>
                <w:snapToGrid w:val="0"/>
                <w:color w:val="auto"/>
                <w:sz w:val="24"/>
              </w:rPr>
              <w:fldChar w:fldCharType="separate"/>
            </w:r>
            <w:r>
              <w:rPr>
                <w:rFonts w:hint="eastAsia" w:ascii="仿宋" w:hAnsi="仿宋"/>
                <w:snapToGrid w:val="0"/>
                <w:color w:val="auto"/>
                <w:sz w:val="24"/>
              </w:rPr>
              <w:t>②</w:t>
            </w:r>
            <w:r>
              <w:rPr>
                <w:rFonts w:ascii="仿宋" w:hAnsi="仿宋"/>
                <w:snapToGrid w:val="0"/>
                <w:color w:val="auto"/>
                <w:sz w:val="24"/>
              </w:rPr>
              <w:fldChar w:fldCharType="end"/>
            </w:r>
            <w:r>
              <w:rPr>
                <w:rFonts w:ascii="仿宋" w:hAnsi="仿宋"/>
                <w:snapToGrid w:val="0"/>
                <w:color w:val="auto"/>
                <w:sz w:val="24"/>
              </w:rPr>
              <w:t>张贴“危险废物”标识，定期由</w:t>
            </w:r>
            <w:r>
              <w:rPr>
                <w:rFonts w:hint="eastAsia" w:ascii="仿宋" w:hAnsi="仿宋"/>
                <w:snapToGrid w:val="0"/>
                <w:color w:val="auto"/>
                <w:sz w:val="24"/>
              </w:rPr>
              <w:t>有危废处置资质的单位</w:t>
            </w:r>
            <w:r>
              <w:rPr>
                <w:rFonts w:ascii="仿宋" w:hAnsi="仿宋"/>
                <w:snapToGrid w:val="0"/>
                <w:color w:val="auto"/>
                <w:sz w:val="24"/>
              </w:rPr>
              <w:t>回收</w:t>
            </w:r>
            <w:r>
              <w:rPr>
                <w:rFonts w:hint="eastAsia" w:ascii="仿宋" w:hAnsi="仿宋"/>
                <w:snapToGrid w:val="0"/>
                <w:color w:val="auto"/>
                <w:sz w:val="24"/>
              </w:rPr>
              <w:t>；</w:t>
            </w:r>
          </w:p>
          <w:p>
            <w:pPr>
              <w:pStyle w:val="2"/>
              <w:adjustRightInd/>
              <w:rPr>
                <w:rFonts w:ascii="仿宋" w:hAnsi="仿宋" w:eastAsia="仿宋" w:cs="Times New Roman"/>
                <w:snapToGrid w:val="0"/>
                <w:color w:val="auto"/>
              </w:rPr>
            </w:pPr>
            <w:r>
              <w:rPr>
                <w:rFonts w:ascii="仿宋" w:hAnsi="仿宋" w:eastAsia="仿宋" w:cs="Times New Roman"/>
                <w:snapToGrid w:val="0"/>
                <w:color w:val="auto"/>
              </w:rPr>
              <w:fldChar w:fldCharType="begin"/>
            </w:r>
            <w:r>
              <w:rPr>
                <w:rFonts w:ascii="仿宋" w:hAnsi="仿宋" w:eastAsia="仿宋" w:cs="Times New Roman"/>
                <w:snapToGrid w:val="0"/>
                <w:color w:val="auto"/>
              </w:rPr>
              <w:instrText xml:space="preserve"> </w:instrText>
            </w:r>
            <w:r>
              <w:rPr>
                <w:rFonts w:hint="eastAsia" w:ascii="仿宋" w:hAnsi="仿宋" w:eastAsia="仿宋" w:cs="Times New Roman"/>
                <w:snapToGrid w:val="0"/>
                <w:color w:val="auto"/>
              </w:rPr>
              <w:instrText xml:space="preserve">= 3 \* GB3</w:instrText>
            </w:r>
            <w:r>
              <w:rPr>
                <w:rFonts w:ascii="仿宋" w:hAnsi="仿宋" w:eastAsia="仿宋" w:cs="Times New Roman"/>
                <w:snapToGrid w:val="0"/>
                <w:color w:val="auto"/>
              </w:rPr>
              <w:instrText xml:space="preserve"> </w:instrText>
            </w:r>
            <w:r>
              <w:rPr>
                <w:rFonts w:ascii="仿宋" w:hAnsi="仿宋" w:eastAsia="仿宋" w:cs="Times New Roman"/>
                <w:snapToGrid w:val="0"/>
                <w:color w:val="auto"/>
              </w:rPr>
              <w:fldChar w:fldCharType="separate"/>
            </w:r>
            <w:r>
              <w:rPr>
                <w:rFonts w:hint="eastAsia" w:ascii="仿宋" w:hAnsi="仿宋" w:eastAsia="仿宋" w:cs="Times New Roman"/>
                <w:snapToGrid w:val="0"/>
                <w:color w:val="auto"/>
              </w:rPr>
              <w:t>③</w:t>
            </w:r>
            <w:r>
              <w:rPr>
                <w:rFonts w:ascii="仿宋" w:hAnsi="仿宋" w:eastAsia="仿宋" w:cs="Times New Roman"/>
                <w:snapToGrid w:val="0"/>
                <w:color w:val="auto"/>
              </w:rPr>
              <w:fldChar w:fldCharType="end"/>
            </w:r>
            <w:r>
              <w:rPr>
                <w:rFonts w:hint="eastAsia" w:ascii="仿宋" w:hAnsi="仿宋" w:eastAsia="仿宋" w:cs="Times New Roman"/>
                <w:snapToGrid w:val="0"/>
                <w:color w:val="auto"/>
              </w:rPr>
              <w:t>按照做好危废转移台账记录工作。</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7</w:t>
            </w:r>
          </w:p>
        </w:tc>
        <w:tc>
          <w:tcPr>
            <w:tcW w:w="1225"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雨水排水系统防控措施</w:t>
            </w:r>
          </w:p>
        </w:tc>
        <w:tc>
          <w:tcPr>
            <w:tcW w:w="7227" w:type="dxa"/>
          </w:tcPr>
          <w:p>
            <w:pPr>
              <w:adjustRightInd/>
              <w:snapToGrid/>
              <w:spacing w:line="240" w:lineRule="auto"/>
              <w:ind w:firstLine="0" w:firstLineChars="0"/>
              <w:jc w:val="left"/>
              <w:rPr>
                <w:rFonts w:ascii="仿宋" w:hAnsi="仿宋"/>
                <w:color w:val="auto"/>
                <w:sz w:val="24"/>
              </w:rPr>
            </w:pPr>
            <w:r>
              <w:rPr>
                <w:rFonts w:hint="eastAsia" w:ascii="仿宋" w:hAnsi="仿宋"/>
                <w:color w:val="auto"/>
                <w:sz w:val="24"/>
              </w:rPr>
              <w:t>雨水进入地沟，而地沟与污水单元吸水池设有管线相通，吸水池液位中控设有液位监控点（中控实行24h值班制），防止雨水、消防水和泄漏物进入外环境；</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8</w:t>
            </w:r>
          </w:p>
        </w:tc>
        <w:tc>
          <w:tcPr>
            <w:tcW w:w="1225"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锅炉烟气超标排放处置措施</w:t>
            </w:r>
          </w:p>
        </w:tc>
        <w:tc>
          <w:tcPr>
            <w:tcW w:w="7227" w:type="dxa"/>
          </w:tcPr>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1 \* GB2</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⑴</w:t>
            </w:r>
            <w:r>
              <w:rPr>
                <w:rFonts w:ascii="仿宋" w:hAnsi="仿宋"/>
                <w:color w:val="auto"/>
                <w:sz w:val="24"/>
              </w:rPr>
              <w:fldChar w:fldCharType="end"/>
            </w:r>
            <w:r>
              <w:rPr>
                <w:rFonts w:hint="eastAsia" w:ascii="仿宋" w:hAnsi="仿宋"/>
                <w:color w:val="auto"/>
                <w:sz w:val="24"/>
              </w:rPr>
              <w:t>二氧化硫超标处置措施</w:t>
            </w:r>
          </w:p>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GB3</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①</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eastAsia="zh-CN"/>
              </w:rPr>
              <w:t>采取掺烧措施减少燃煤硫份，降低SO</w:t>
            </w:r>
            <w:r>
              <w:rPr>
                <w:rFonts w:hint="eastAsia" w:ascii="仿宋" w:hAnsi="仿宋" w:eastAsia="仿宋" w:cs="等线"/>
                <w:color w:val="auto"/>
                <w:sz w:val="24"/>
                <w:szCs w:val="24"/>
                <w:vertAlign w:val="subscript"/>
                <w:lang w:eastAsia="zh-CN"/>
              </w:rPr>
              <w:t>2</w:t>
            </w:r>
            <w:r>
              <w:rPr>
                <w:rFonts w:hint="eastAsia" w:ascii="仿宋" w:hAnsi="仿宋" w:eastAsia="仿宋" w:cs="等线"/>
                <w:color w:val="auto"/>
                <w:sz w:val="24"/>
                <w:szCs w:val="24"/>
                <w:lang w:eastAsia="zh-CN"/>
              </w:rPr>
              <w:t>的浓度；</w:t>
            </w:r>
          </w:p>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GB3</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②</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eastAsia="zh-CN"/>
              </w:rPr>
              <w:t>减负荷、增转浆液循环泵；</w:t>
            </w:r>
          </w:p>
          <w:p>
            <w:pPr>
              <w:pStyle w:val="94"/>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Times New Roman"/>
                <w:color w:val="auto"/>
                <w:sz w:val="24"/>
                <w:szCs w:val="24"/>
                <w:lang w:val="en-US" w:eastAsia="zh-CN" w:bidi="ar-SA"/>
              </w:rPr>
              <w:fldChar w:fldCharType="begin"/>
            </w:r>
            <w:r>
              <w:rPr>
                <w:rFonts w:ascii="仿宋" w:hAnsi="仿宋" w:eastAsia="仿宋" w:cs="Times New Roman"/>
                <w:color w:val="auto"/>
                <w:sz w:val="24"/>
                <w:szCs w:val="24"/>
                <w:lang w:val="en-US" w:eastAsia="zh-CN" w:bidi="ar-SA"/>
              </w:rPr>
              <w:instrText xml:space="preserve"> </w:instrText>
            </w:r>
            <w:r>
              <w:rPr>
                <w:rFonts w:hint="eastAsia" w:ascii="仿宋" w:hAnsi="仿宋" w:eastAsia="仿宋" w:cs="Times New Roman"/>
                <w:color w:val="auto"/>
                <w:sz w:val="24"/>
                <w:szCs w:val="24"/>
                <w:lang w:val="en-US" w:eastAsia="zh-CN" w:bidi="ar-SA"/>
              </w:rPr>
              <w:instrText xml:space="preserve">= 3 \* GB3</w:instrText>
            </w:r>
            <w:r>
              <w:rPr>
                <w:rFonts w:ascii="仿宋" w:hAnsi="仿宋" w:eastAsia="仿宋" w:cs="Times New Roman"/>
                <w:color w:val="auto"/>
                <w:sz w:val="24"/>
                <w:szCs w:val="24"/>
                <w:lang w:val="en-US" w:eastAsia="zh-CN" w:bidi="ar-SA"/>
              </w:rPr>
              <w:instrText xml:space="preserve"> </w:instrText>
            </w:r>
            <w:r>
              <w:rPr>
                <w:rFonts w:ascii="仿宋" w:hAnsi="仿宋" w:eastAsia="仿宋" w:cs="Times New Roman"/>
                <w:color w:val="auto"/>
                <w:sz w:val="24"/>
                <w:szCs w:val="24"/>
                <w:lang w:val="en-US" w:eastAsia="zh-CN" w:bidi="ar-SA"/>
              </w:rPr>
              <w:fldChar w:fldCharType="separate"/>
            </w:r>
            <w:r>
              <w:rPr>
                <w:rFonts w:hint="eastAsia" w:ascii="仿宋" w:hAnsi="仿宋" w:eastAsia="仿宋" w:cs="Times New Roman"/>
                <w:color w:val="auto"/>
                <w:sz w:val="24"/>
                <w:szCs w:val="24"/>
                <w:lang w:val="en-US" w:eastAsia="zh-CN" w:bidi="ar-SA"/>
              </w:rPr>
              <w:t>③</w:t>
            </w:r>
            <w:r>
              <w:rPr>
                <w:rFonts w:ascii="仿宋" w:hAnsi="仿宋" w:eastAsia="仿宋" w:cs="Times New Roman"/>
                <w:color w:val="auto"/>
                <w:sz w:val="24"/>
                <w:szCs w:val="24"/>
                <w:lang w:val="en-US" w:eastAsia="zh-CN" w:bidi="ar-SA"/>
              </w:rPr>
              <w:fldChar w:fldCharType="end"/>
            </w:r>
            <w:r>
              <w:rPr>
                <w:rFonts w:hint="eastAsia" w:ascii="仿宋" w:hAnsi="仿宋" w:eastAsia="仿宋" w:cs="Times New Roman"/>
                <w:color w:val="auto"/>
                <w:sz w:val="24"/>
                <w:szCs w:val="24"/>
                <w:lang w:val="en-US" w:eastAsia="zh-CN" w:bidi="ar-SA"/>
              </w:rPr>
              <w:t>提高石灰石浆液PH值和密度；</w:t>
            </w:r>
          </w:p>
          <w:p>
            <w:pPr>
              <w:adjustRightInd/>
              <w:snapToGrid/>
              <w:spacing w:line="240" w:lineRule="auto"/>
              <w:ind w:firstLine="0" w:firstLineChars="0"/>
              <w:jc w:val="left"/>
              <w:rPr>
                <w:rFonts w:ascii="仿宋" w:hAnsi="仿宋"/>
                <w:color w:val="auto"/>
                <w:sz w:val="24"/>
              </w:rPr>
            </w:pPr>
            <w:r>
              <w:rPr>
                <w:rFonts w:ascii="仿宋" w:hAnsi="仿宋" w:cs="等线"/>
                <w:color w:val="auto"/>
                <w:sz w:val="24"/>
              </w:rPr>
              <w:fldChar w:fldCharType="begin"/>
            </w:r>
            <w:r>
              <w:rPr>
                <w:rFonts w:ascii="仿宋" w:hAnsi="仿宋" w:cs="等线"/>
                <w:color w:val="auto"/>
                <w:sz w:val="24"/>
              </w:rPr>
              <w:instrText xml:space="preserve"> </w:instrText>
            </w:r>
            <w:r>
              <w:rPr>
                <w:rFonts w:hint="eastAsia" w:ascii="仿宋" w:hAnsi="仿宋" w:cs="等线"/>
                <w:color w:val="auto"/>
                <w:sz w:val="24"/>
              </w:rPr>
              <w:instrText xml:space="preserve">= 4 \* GB3</w:instrText>
            </w:r>
            <w:r>
              <w:rPr>
                <w:rFonts w:ascii="仿宋" w:hAnsi="仿宋" w:cs="等线"/>
                <w:color w:val="auto"/>
                <w:sz w:val="24"/>
              </w:rPr>
              <w:instrText xml:space="preserve"> </w:instrText>
            </w:r>
            <w:r>
              <w:rPr>
                <w:rFonts w:ascii="仿宋" w:hAnsi="仿宋" w:cs="等线"/>
                <w:color w:val="auto"/>
                <w:sz w:val="24"/>
              </w:rPr>
              <w:fldChar w:fldCharType="separate"/>
            </w:r>
            <w:r>
              <w:rPr>
                <w:rFonts w:hint="eastAsia" w:ascii="仿宋" w:hAnsi="仿宋" w:cs="等线"/>
                <w:color w:val="auto"/>
                <w:sz w:val="24"/>
              </w:rPr>
              <w:t>④</w:t>
            </w:r>
            <w:r>
              <w:rPr>
                <w:rFonts w:ascii="仿宋" w:hAnsi="仿宋" w:cs="等线"/>
                <w:color w:val="auto"/>
                <w:sz w:val="24"/>
              </w:rPr>
              <w:fldChar w:fldCharType="end"/>
            </w:r>
            <w:r>
              <w:rPr>
                <w:rFonts w:hint="eastAsia" w:ascii="仿宋" w:hAnsi="仿宋"/>
                <w:color w:val="auto"/>
                <w:sz w:val="24"/>
              </w:rPr>
              <w:t>脱硫效率降低时，应及时降低锅炉负荷，采取措施提高效率；如无法解决，应尽快安排停机检修。</w:t>
            </w:r>
          </w:p>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2 \* GB2</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⑵</w:t>
            </w:r>
            <w:r>
              <w:rPr>
                <w:rFonts w:ascii="仿宋" w:hAnsi="仿宋"/>
                <w:color w:val="auto"/>
                <w:sz w:val="24"/>
              </w:rPr>
              <w:fldChar w:fldCharType="end"/>
            </w:r>
            <w:r>
              <w:rPr>
                <w:rFonts w:hint="eastAsia" w:ascii="仿宋" w:hAnsi="仿宋"/>
                <w:color w:val="auto"/>
                <w:sz w:val="24"/>
              </w:rPr>
              <w:t>氮氧化物超标处置措施</w:t>
            </w:r>
          </w:p>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GB3</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①</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检查尿素溶液管道是否泄漏或中断，立即进行处理；</w:t>
            </w:r>
          </w:p>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GB3</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②</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降低机组出力或紧急停机；</w:t>
            </w:r>
          </w:p>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3 \* GB3</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③</w:t>
            </w:r>
            <w:r>
              <w:rPr>
                <w:rFonts w:ascii="仿宋" w:hAnsi="仿宋"/>
                <w:color w:val="auto"/>
                <w:sz w:val="24"/>
              </w:rPr>
              <w:fldChar w:fldCharType="end"/>
            </w:r>
            <w:r>
              <w:rPr>
                <w:rFonts w:hint="eastAsia" w:ascii="仿宋" w:hAnsi="仿宋"/>
                <w:color w:val="auto"/>
                <w:sz w:val="24"/>
              </w:rPr>
              <w:t>利用停机机会及时更换活性降低的催化剂层。</w:t>
            </w:r>
          </w:p>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3 \* GB2</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⑶</w:t>
            </w:r>
            <w:r>
              <w:rPr>
                <w:rFonts w:ascii="仿宋" w:hAnsi="仿宋"/>
                <w:color w:val="auto"/>
                <w:sz w:val="24"/>
              </w:rPr>
              <w:fldChar w:fldCharType="end"/>
            </w:r>
            <w:r>
              <w:rPr>
                <w:rFonts w:hint="eastAsia" w:ascii="仿宋" w:hAnsi="仿宋"/>
                <w:color w:val="auto"/>
                <w:sz w:val="24"/>
              </w:rPr>
              <w:t>颗粒物超标处置措施</w:t>
            </w:r>
          </w:p>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GB3</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①</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降低机组出力；</w:t>
            </w:r>
          </w:p>
          <w:p>
            <w:pPr>
              <w:adjustRightInd/>
              <w:snapToGrid/>
              <w:spacing w:line="240" w:lineRule="auto"/>
              <w:ind w:firstLine="0" w:firstLineChars="0"/>
              <w:jc w:val="left"/>
              <w:rPr>
                <w:rFonts w:ascii="仿宋" w:hAnsi="仿宋"/>
                <w:color w:val="auto"/>
                <w:sz w:val="24"/>
              </w:rPr>
            </w:pPr>
            <w:r>
              <w:rPr>
                <w:rFonts w:ascii="仿宋" w:hAnsi="仿宋" w:cs="等线"/>
                <w:color w:val="auto"/>
                <w:sz w:val="24"/>
              </w:rPr>
              <w:fldChar w:fldCharType="begin"/>
            </w:r>
            <w:r>
              <w:rPr>
                <w:rFonts w:ascii="仿宋" w:hAnsi="仿宋" w:cs="等线"/>
                <w:color w:val="auto"/>
                <w:sz w:val="24"/>
              </w:rPr>
              <w:instrText xml:space="preserve"> </w:instrText>
            </w:r>
            <w:r>
              <w:rPr>
                <w:rFonts w:hint="eastAsia" w:ascii="仿宋" w:hAnsi="仿宋" w:cs="等线"/>
                <w:color w:val="auto"/>
                <w:sz w:val="24"/>
              </w:rPr>
              <w:instrText xml:space="preserve">= 2 \* GB3</w:instrText>
            </w:r>
            <w:r>
              <w:rPr>
                <w:rFonts w:ascii="仿宋" w:hAnsi="仿宋" w:cs="等线"/>
                <w:color w:val="auto"/>
                <w:sz w:val="24"/>
              </w:rPr>
              <w:instrText xml:space="preserve"> </w:instrText>
            </w:r>
            <w:r>
              <w:rPr>
                <w:rFonts w:ascii="仿宋" w:hAnsi="仿宋" w:cs="等线"/>
                <w:color w:val="auto"/>
                <w:sz w:val="24"/>
              </w:rPr>
              <w:fldChar w:fldCharType="separate"/>
            </w:r>
            <w:r>
              <w:rPr>
                <w:rFonts w:hint="eastAsia" w:ascii="仿宋" w:hAnsi="仿宋" w:cs="等线"/>
                <w:color w:val="auto"/>
                <w:sz w:val="24"/>
              </w:rPr>
              <w:t>②</w:t>
            </w:r>
            <w:r>
              <w:rPr>
                <w:rFonts w:ascii="仿宋" w:hAnsi="仿宋" w:cs="等线"/>
                <w:color w:val="auto"/>
                <w:sz w:val="24"/>
              </w:rPr>
              <w:fldChar w:fldCharType="end"/>
            </w:r>
            <w:r>
              <w:rPr>
                <w:rFonts w:hint="eastAsia" w:ascii="仿宋" w:hAnsi="仿宋"/>
                <w:color w:val="auto"/>
                <w:sz w:val="24"/>
              </w:rPr>
              <w:t>除尘器系统故障短时无法恢复，应紧急停机。</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9</w:t>
            </w:r>
          </w:p>
        </w:tc>
        <w:tc>
          <w:tcPr>
            <w:tcW w:w="1225"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废水超标排放处置措施</w:t>
            </w:r>
          </w:p>
        </w:tc>
        <w:tc>
          <w:tcPr>
            <w:tcW w:w="7227" w:type="dxa"/>
          </w:tcPr>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GB3</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①</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eastAsia="zh-CN"/>
              </w:rPr>
              <w:t>堵住废水排口，减少废水排；</w:t>
            </w:r>
          </w:p>
          <w:p>
            <w:pPr>
              <w:adjustRightInd/>
              <w:snapToGrid/>
              <w:spacing w:line="240" w:lineRule="auto"/>
              <w:ind w:firstLine="0" w:firstLineChars="0"/>
              <w:jc w:val="left"/>
              <w:rPr>
                <w:rFonts w:ascii="仿宋" w:hAnsi="仿宋" w:cs="等线"/>
                <w:color w:val="auto"/>
                <w:sz w:val="24"/>
              </w:rPr>
            </w:pPr>
            <w:r>
              <w:rPr>
                <w:rFonts w:ascii="仿宋" w:hAnsi="仿宋" w:cs="等线"/>
                <w:color w:val="auto"/>
                <w:sz w:val="24"/>
              </w:rPr>
              <w:fldChar w:fldCharType="begin"/>
            </w:r>
            <w:r>
              <w:rPr>
                <w:rFonts w:ascii="仿宋" w:hAnsi="仿宋" w:cs="等线"/>
                <w:color w:val="auto"/>
                <w:sz w:val="24"/>
              </w:rPr>
              <w:instrText xml:space="preserve"> </w:instrText>
            </w:r>
            <w:r>
              <w:rPr>
                <w:rFonts w:hint="eastAsia" w:ascii="仿宋" w:hAnsi="仿宋" w:cs="等线"/>
                <w:color w:val="auto"/>
                <w:sz w:val="24"/>
              </w:rPr>
              <w:instrText xml:space="preserve">= 2 \* GB3</w:instrText>
            </w:r>
            <w:r>
              <w:rPr>
                <w:rFonts w:ascii="仿宋" w:hAnsi="仿宋" w:cs="等线"/>
                <w:color w:val="auto"/>
                <w:sz w:val="24"/>
              </w:rPr>
              <w:instrText xml:space="preserve"> </w:instrText>
            </w:r>
            <w:r>
              <w:rPr>
                <w:rFonts w:ascii="仿宋" w:hAnsi="仿宋" w:cs="等线"/>
                <w:color w:val="auto"/>
                <w:sz w:val="24"/>
              </w:rPr>
              <w:fldChar w:fldCharType="separate"/>
            </w:r>
            <w:r>
              <w:rPr>
                <w:rFonts w:hint="eastAsia" w:ascii="仿宋" w:hAnsi="仿宋" w:cs="等线"/>
                <w:color w:val="auto"/>
                <w:sz w:val="24"/>
              </w:rPr>
              <w:t>②</w:t>
            </w:r>
            <w:r>
              <w:rPr>
                <w:rFonts w:ascii="仿宋" w:hAnsi="仿宋" w:cs="等线"/>
                <w:color w:val="auto"/>
                <w:sz w:val="24"/>
              </w:rPr>
              <w:fldChar w:fldCharType="end"/>
            </w:r>
            <w:r>
              <w:rPr>
                <w:rFonts w:hint="eastAsia" w:ascii="仿宋" w:hAnsi="仿宋" w:cs="等线"/>
                <w:color w:val="auto"/>
                <w:sz w:val="24"/>
              </w:rPr>
              <w:t>将需要排放的废水引入可进行存储的设施中暂存，待处理合格后再排放；</w:t>
            </w:r>
          </w:p>
          <w:p>
            <w:pPr>
              <w:adjustRightInd/>
              <w:snapToGrid/>
              <w:spacing w:line="240" w:lineRule="auto"/>
              <w:ind w:firstLine="0" w:firstLineChars="0"/>
              <w:jc w:val="left"/>
              <w:rPr>
                <w:rFonts w:ascii="仿宋" w:hAnsi="仿宋"/>
                <w:color w:val="auto"/>
                <w:sz w:val="24"/>
              </w:rPr>
            </w:pPr>
            <w:r>
              <w:rPr>
                <w:rFonts w:ascii="仿宋" w:hAnsi="仿宋" w:cs="等线"/>
                <w:color w:val="auto"/>
                <w:sz w:val="24"/>
              </w:rPr>
              <w:fldChar w:fldCharType="begin"/>
            </w:r>
            <w:r>
              <w:rPr>
                <w:rFonts w:ascii="仿宋" w:hAnsi="仿宋" w:cs="等线"/>
                <w:color w:val="auto"/>
                <w:sz w:val="24"/>
              </w:rPr>
              <w:instrText xml:space="preserve"> </w:instrText>
            </w:r>
            <w:r>
              <w:rPr>
                <w:rFonts w:hint="eastAsia" w:ascii="仿宋" w:hAnsi="仿宋" w:cs="等线"/>
                <w:color w:val="auto"/>
                <w:sz w:val="24"/>
              </w:rPr>
              <w:instrText xml:space="preserve">= 3 \* GB3</w:instrText>
            </w:r>
            <w:r>
              <w:rPr>
                <w:rFonts w:ascii="仿宋" w:hAnsi="仿宋" w:cs="等线"/>
                <w:color w:val="auto"/>
                <w:sz w:val="24"/>
              </w:rPr>
              <w:instrText xml:space="preserve"> </w:instrText>
            </w:r>
            <w:r>
              <w:rPr>
                <w:rFonts w:ascii="仿宋" w:hAnsi="仿宋" w:cs="等线"/>
                <w:color w:val="auto"/>
                <w:sz w:val="24"/>
              </w:rPr>
              <w:fldChar w:fldCharType="separate"/>
            </w:r>
            <w:r>
              <w:rPr>
                <w:rFonts w:hint="eastAsia" w:ascii="仿宋" w:hAnsi="仿宋" w:cs="等线"/>
                <w:color w:val="auto"/>
                <w:sz w:val="24"/>
              </w:rPr>
              <w:t>③</w:t>
            </w:r>
            <w:r>
              <w:rPr>
                <w:rFonts w:ascii="仿宋" w:hAnsi="仿宋" w:cs="等线"/>
                <w:color w:val="auto"/>
                <w:sz w:val="24"/>
              </w:rPr>
              <w:fldChar w:fldCharType="end"/>
            </w:r>
            <w:r>
              <w:rPr>
                <w:rFonts w:hint="eastAsia" w:ascii="仿宋" w:hAnsi="仿宋" w:cs="等线"/>
                <w:color w:val="auto"/>
                <w:sz w:val="24"/>
              </w:rPr>
              <w:t>对污废水加强取样化验，连续监测。</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0" w:type="dxa"/>
            <w:bottom w:w="0" w:type="dxa"/>
            <w:right w:w="0" w:type="dxa"/>
          </w:tblCellMar>
        </w:tblPrEx>
        <w:trPr>
          <w:trHeight w:val="340" w:hRule="atLeast"/>
          <w:jc w:val="center"/>
        </w:trPr>
        <w:tc>
          <w:tcPr>
            <w:tcW w:w="619" w:type="dxa"/>
            <w:vAlign w:val="center"/>
          </w:tcPr>
          <w:p>
            <w:pPr>
              <w:adjustRightInd/>
              <w:snapToGrid/>
              <w:spacing w:line="240" w:lineRule="auto"/>
              <w:ind w:firstLine="0" w:firstLineChars="0"/>
              <w:jc w:val="center"/>
              <w:rPr>
                <w:rFonts w:ascii="仿宋" w:hAnsi="仿宋"/>
                <w:color w:val="auto"/>
                <w:sz w:val="24"/>
              </w:rPr>
            </w:pPr>
            <w:r>
              <w:rPr>
                <w:rFonts w:ascii="仿宋" w:hAnsi="仿宋"/>
                <w:color w:val="auto"/>
                <w:sz w:val="24"/>
              </w:rPr>
              <w:t>10</w:t>
            </w:r>
          </w:p>
        </w:tc>
        <w:tc>
          <w:tcPr>
            <w:tcW w:w="1225" w:type="dxa"/>
            <w:vAlign w:val="center"/>
          </w:tcPr>
          <w:p>
            <w:pPr>
              <w:adjustRightInd/>
              <w:snapToGrid/>
              <w:spacing w:line="240" w:lineRule="auto"/>
              <w:ind w:firstLine="0" w:firstLineChars="0"/>
              <w:jc w:val="center"/>
              <w:rPr>
                <w:rFonts w:ascii="仿宋" w:hAnsi="仿宋"/>
                <w:color w:val="auto"/>
                <w:sz w:val="24"/>
              </w:rPr>
            </w:pPr>
            <w:r>
              <w:rPr>
                <w:rFonts w:ascii="仿宋" w:hAnsi="仿宋"/>
                <w:snapToGrid w:val="0"/>
                <w:color w:val="auto"/>
                <w:sz w:val="24"/>
              </w:rPr>
              <w:t>环评及批复的其他风险防控措施落实情况</w:t>
            </w:r>
          </w:p>
        </w:tc>
        <w:tc>
          <w:tcPr>
            <w:tcW w:w="7227" w:type="dxa"/>
            <w:vAlign w:val="center"/>
          </w:tcPr>
          <w:p>
            <w:pPr>
              <w:adjustRightInd/>
              <w:snapToGrid/>
              <w:spacing w:line="240" w:lineRule="auto"/>
              <w:ind w:firstLine="0" w:firstLineChars="0"/>
              <w:rPr>
                <w:rFonts w:ascii="仿宋" w:hAnsi="仿宋"/>
                <w:color w:val="auto"/>
                <w:sz w:val="24"/>
              </w:rPr>
            </w:pPr>
            <w:r>
              <w:rPr>
                <w:rFonts w:hint="eastAsia" w:ascii="仿宋" w:hAnsi="仿宋"/>
                <w:snapToGrid w:val="0"/>
                <w:color w:val="auto"/>
                <w:sz w:val="24"/>
              </w:rPr>
              <w:t>项目氢气储罐区、</w:t>
            </w:r>
            <w:r>
              <w:rPr>
                <w:rFonts w:ascii="仿宋" w:hAnsi="仿宋"/>
                <w:snapToGrid w:val="0"/>
                <w:color w:val="auto"/>
                <w:sz w:val="24"/>
              </w:rPr>
              <w:t>柴油储罐区</w:t>
            </w:r>
            <w:r>
              <w:rPr>
                <w:rFonts w:hint="eastAsia" w:ascii="仿宋" w:hAnsi="仿宋"/>
                <w:snapToGrid w:val="0"/>
                <w:color w:val="auto"/>
                <w:sz w:val="24"/>
              </w:rPr>
              <w:t>安装了泄露自动监测报警系统，按照《危险废物贮存污染控制标准》（GB18597-2001）厂区西南侧设置了危废间，地面为环氧树脂防渗地面，液体容器置于防渗漏托盘之上，危废标识、台账、制度上墙等均符合规范，</w:t>
            </w:r>
            <w:r>
              <w:rPr>
                <w:rFonts w:ascii="仿宋" w:hAnsi="仿宋"/>
                <w:snapToGrid w:val="0"/>
                <w:color w:val="auto"/>
                <w:sz w:val="24"/>
              </w:rPr>
              <w:t>落实了环评批复中风险防控措施</w:t>
            </w:r>
            <w:r>
              <w:rPr>
                <w:rFonts w:hint="eastAsia" w:ascii="仿宋" w:hAnsi="仿宋"/>
                <w:snapToGrid w:val="0"/>
                <w:color w:val="auto"/>
                <w:sz w:val="24"/>
              </w:rPr>
              <w:t>。</w:t>
            </w:r>
          </w:p>
        </w:tc>
      </w:tr>
    </w:tbl>
    <w:p>
      <w:pPr>
        <w:pStyle w:val="4"/>
        <w:rPr>
          <w:color w:val="auto"/>
          <w:szCs w:val="28"/>
        </w:rPr>
      </w:pPr>
      <w:bookmarkStart w:id="117" w:name="_Toc31102"/>
      <w:bookmarkStart w:id="118" w:name="_Toc490845183"/>
      <w:bookmarkStart w:id="119" w:name="_Toc373756818"/>
      <w:bookmarkStart w:id="120" w:name="_Toc365671800"/>
      <w:bookmarkStart w:id="121" w:name="_Toc408566539"/>
      <w:r>
        <w:rPr>
          <w:color w:val="auto"/>
          <w:szCs w:val="28"/>
        </w:rPr>
        <w:t>5.2 预警分级与准备</w:t>
      </w:r>
      <w:bookmarkEnd w:id="117"/>
      <w:bookmarkEnd w:id="118"/>
      <w:bookmarkEnd w:id="119"/>
      <w:bookmarkEnd w:id="120"/>
      <w:bookmarkEnd w:id="121"/>
    </w:p>
    <w:p>
      <w:pPr>
        <w:pStyle w:val="5"/>
        <w:ind w:firstLine="0" w:firstLineChars="0"/>
        <w:rPr>
          <w:color w:val="auto"/>
        </w:rPr>
      </w:pPr>
      <w:bookmarkStart w:id="122" w:name="_Toc19046"/>
      <w:bookmarkStart w:id="123" w:name="_Toc490845184"/>
      <w:r>
        <w:rPr>
          <w:color w:val="auto"/>
        </w:rPr>
        <w:t>5.2.1 预警</w:t>
      </w:r>
      <w:r>
        <w:rPr>
          <w:rFonts w:hint="eastAsia"/>
          <w:color w:val="auto"/>
        </w:rPr>
        <w:t>分级</w:t>
      </w:r>
      <w:bookmarkEnd w:id="122"/>
    </w:p>
    <w:p>
      <w:pPr>
        <w:ind w:firstLine="560"/>
        <w:rPr>
          <w:rFonts w:ascii="仿宋" w:hAnsi="仿宋" w:cs="仿宋"/>
          <w:color w:val="auto"/>
          <w:szCs w:val="28"/>
        </w:rPr>
      </w:pPr>
      <w:bookmarkStart w:id="124" w:name="_Toc2206"/>
      <w:r>
        <w:rPr>
          <w:rFonts w:hint="eastAsia" w:ascii="仿宋" w:hAnsi="仿宋" w:cs="仿宋"/>
          <w:color w:val="auto"/>
          <w:szCs w:val="28"/>
        </w:rPr>
        <w:t>按照突发事件严重性、紧急程度和可能波及的范围，和可能造成的危害程度，对可以预警的突发环境事件分为三级，由低到高依次用蓝色、黄色和橙色表示。预计可能发生一级环境事件时，发布橙色预警（社会级）；可能发生二级环境事件时，发布黄色预警（企业级）；可能发生三级环境事件时，发布蓝色预警（车间级）。</w:t>
      </w:r>
    </w:p>
    <w:p>
      <w:pPr>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⑴</w:t>
      </w:r>
      <w:r>
        <w:rPr>
          <w:rFonts w:ascii="仿宋" w:hAnsi="仿宋" w:cs="仿宋"/>
          <w:color w:val="auto"/>
          <w:szCs w:val="28"/>
        </w:rPr>
        <w:fldChar w:fldCharType="end"/>
      </w:r>
      <w:r>
        <w:rPr>
          <w:rFonts w:ascii="仿宋" w:hAnsi="仿宋" w:cs="仿宋"/>
          <w:color w:val="auto"/>
          <w:szCs w:val="28"/>
        </w:rPr>
        <w:t xml:space="preserve"> </w:t>
      </w:r>
      <w:r>
        <w:rPr>
          <w:rFonts w:hint="eastAsia" w:ascii="仿宋" w:hAnsi="仿宋" w:cs="仿宋"/>
          <w:color w:val="auto"/>
          <w:szCs w:val="28"/>
        </w:rPr>
        <w:t>橙色预警（社会级）</w:t>
      </w:r>
    </w:p>
    <w:p>
      <w:pPr>
        <w:ind w:firstLine="560"/>
        <w:rPr>
          <w:rFonts w:ascii="仿宋" w:hAnsi="仿宋" w:cs="仿宋"/>
          <w:color w:val="auto"/>
          <w:szCs w:val="28"/>
        </w:rPr>
      </w:pPr>
      <w:r>
        <w:rPr>
          <w:rFonts w:hint="eastAsia" w:ascii="仿宋" w:hAnsi="仿宋" w:cs="仿宋"/>
          <w:color w:val="auto"/>
          <w:szCs w:val="28"/>
        </w:rPr>
        <w:t>当发生的环境事件超出公司应急处置能力，发布橙色预警。橙色预警在公司总指挥汇报秦汉新城</w:t>
      </w:r>
      <w:r>
        <w:rPr>
          <w:rFonts w:hint="eastAsia" w:ascii="仿宋" w:hAnsi="仿宋" w:cs="仿宋"/>
          <w:color w:val="auto"/>
          <w:szCs w:val="28"/>
          <w:lang w:eastAsia="zh-CN"/>
        </w:rPr>
        <w:t>管委会</w:t>
      </w:r>
      <w:r>
        <w:rPr>
          <w:rFonts w:hint="eastAsia" w:ascii="仿宋" w:hAnsi="仿宋" w:cs="仿宋"/>
          <w:color w:val="auto"/>
          <w:szCs w:val="28"/>
        </w:rPr>
        <w:t>后，由秦汉新城</w:t>
      </w:r>
      <w:r>
        <w:rPr>
          <w:rFonts w:hint="eastAsia" w:ascii="仿宋" w:hAnsi="仿宋" w:cs="仿宋"/>
          <w:color w:val="auto"/>
          <w:szCs w:val="28"/>
          <w:lang w:eastAsia="zh-CN"/>
        </w:rPr>
        <w:t>管委会</w:t>
      </w:r>
      <w:r>
        <w:rPr>
          <w:rFonts w:hint="eastAsia" w:ascii="仿宋" w:hAnsi="仿宋" w:cs="仿宋"/>
          <w:color w:val="auto"/>
          <w:szCs w:val="28"/>
        </w:rPr>
        <w:t>授权发布。</w:t>
      </w:r>
    </w:p>
    <w:p>
      <w:pPr>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2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⑵</w:t>
      </w:r>
      <w:r>
        <w:rPr>
          <w:rFonts w:ascii="仿宋" w:hAnsi="仿宋" w:cs="仿宋"/>
          <w:color w:val="auto"/>
          <w:szCs w:val="28"/>
        </w:rPr>
        <w:fldChar w:fldCharType="end"/>
      </w:r>
      <w:r>
        <w:rPr>
          <w:rFonts w:ascii="仿宋" w:hAnsi="仿宋" w:cs="仿宋"/>
          <w:color w:val="auto"/>
          <w:szCs w:val="28"/>
        </w:rPr>
        <w:t xml:space="preserve"> </w:t>
      </w:r>
      <w:r>
        <w:rPr>
          <w:rFonts w:hint="eastAsia" w:ascii="仿宋" w:hAnsi="仿宋" w:cs="仿宋"/>
          <w:color w:val="auto"/>
          <w:szCs w:val="28"/>
        </w:rPr>
        <w:t>黄色预警（企业级）</w:t>
      </w:r>
    </w:p>
    <w:p>
      <w:pPr>
        <w:ind w:firstLine="560"/>
        <w:rPr>
          <w:rFonts w:ascii="仿宋" w:hAnsi="仿宋" w:cs="仿宋"/>
          <w:color w:val="auto"/>
          <w:szCs w:val="28"/>
        </w:rPr>
      </w:pPr>
      <w:r>
        <w:rPr>
          <w:rFonts w:hint="eastAsia" w:ascii="仿宋" w:hAnsi="仿宋" w:cs="仿宋"/>
          <w:color w:val="auto"/>
          <w:szCs w:val="28"/>
        </w:rPr>
        <w:t>当发生的环境事件超出班组应急处置能力，需要调度公司的力量及资源才能处置，发布黄色预警。黄色预警由公司应急指挥部总指挥发布。</w:t>
      </w:r>
    </w:p>
    <w:p>
      <w:pPr>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3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⑶</w:t>
      </w:r>
      <w:r>
        <w:rPr>
          <w:rFonts w:ascii="仿宋" w:hAnsi="仿宋" w:cs="仿宋"/>
          <w:color w:val="auto"/>
          <w:szCs w:val="28"/>
        </w:rPr>
        <w:fldChar w:fldCharType="end"/>
      </w:r>
      <w:r>
        <w:rPr>
          <w:rFonts w:ascii="仿宋" w:hAnsi="仿宋" w:cs="仿宋"/>
          <w:color w:val="auto"/>
          <w:szCs w:val="28"/>
        </w:rPr>
        <w:t xml:space="preserve"> </w:t>
      </w:r>
      <w:r>
        <w:rPr>
          <w:rFonts w:hint="eastAsia" w:ascii="仿宋" w:hAnsi="仿宋" w:cs="仿宋"/>
          <w:color w:val="auto"/>
          <w:szCs w:val="28"/>
        </w:rPr>
        <w:t>蓝色预警（车间级）</w:t>
      </w:r>
    </w:p>
    <w:p>
      <w:pPr>
        <w:ind w:firstLine="560"/>
        <w:rPr>
          <w:rFonts w:ascii="仿宋" w:hAnsi="仿宋" w:cs="仿宋"/>
          <w:color w:val="auto"/>
          <w:szCs w:val="28"/>
        </w:rPr>
      </w:pPr>
      <w:r>
        <w:rPr>
          <w:rFonts w:hint="eastAsia" w:ascii="仿宋" w:hAnsi="仿宋" w:cs="仿宋"/>
          <w:color w:val="auto"/>
          <w:szCs w:val="28"/>
        </w:rPr>
        <w:t>当发生的环境事件，调度车间人员力量及资源能够及时处置，发布蓝色预警。蓝色预警由公司应急指挥部总指挥发布。</w:t>
      </w:r>
    </w:p>
    <w:p>
      <w:pPr>
        <w:ind w:firstLine="560"/>
        <w:rPr>
          <w:color w:val="auto"/>
          <w:szCs w:val="28"/>
        </w:rPr>
      </w:pPr>
      <w:r>
        <w:rPr>
          <w:color w:val="auto"/>
          <w:szCs w:val="28"/>
        </w:rPr>
        <w:t>当受到外部环境风险威胁时，视外部风险对影响范围、影响程度，对照上述各级预警的定义范围做出预警活动。</w:t>
      </w:r>
    </w:p>
    <w:p>
      <w:pPr>
        <w:ind w:firstLine="0" w:firstLineChars="0"/>
        <w:jc w:val="center"/>
        <w:rPr>
          <w:color w:val="auto"/>
        </w:rPr>
      </w:pPr>
      <w:r>
        <w:rPr>
          <w:color w:val="auto"/>
        </w:rPr>
        <w:object>
          <v:shape id="_x0000_i1025" o:spt="75" type="#_x0000_t75" style="height:202.5pt;width:216.75pt;" o:ole="t" filled="f" coordsize="21600,21600">
            <v:path/>
            <v:fill on="f" focussize="0,0"/>
            <v:stroke/>
            <v:imagedata r:id="rId35" o:title=""/>
            <o:lock v:ext="edit" aspectratio="f"/>
            <w10:wrap type="none"/>
            <w10:anchorlock/>
          </v:shape>
          <o:OLEObject Type="Embed" ProgID="Visio.Drawing.11" ShapeID="_x0000_i1025" DrawAspect="Content" ObjectID="_1468075725">
            <o:LockedField>false</o:LockedField>
          </o:OLEObject>
        </w:object>
      </w:r>
      <w:bookmarkEnd w:id="124"/>
    </w:p>
    <w:p>
      <w:pPr>
        <w:autoSpaceDE w:val="0"/>
        <w:autoSpaceDN w:val="0"/>
        <w:ind w:firstLine="562"/>
        <w:jc w:val="center"/>
        <w:rPr>
          <w:b/>
          <w:color w:val="auto"/>
        </w:rPr>
      </w:pPr>
      <w:bookmarkStart w:id="125" w:name="_Toc16580"/>
      <w:r>
        <w:rPr>
          <w:rFonts w:hint="eastAsia"/>
          <w:b/>
          <w:color w:val="auto"/>
        </w:rPr>
        <w:t>图</w:t>
      </w:r>
      <w:r>
        <w:rPr>
          <w:b/>
          <w:color w:val="auto"/>
        </w:rPr>
        <w:t xml:space="preserve">5-1    </w:t>
      </w:r>
      <w:r>
        <w:rPr>
          <w:rFonts w:hint="eastAsia"/>
          <w:b/>
          <w:color w:val="auto"/>
        </w:rPr>
        <w:t>预警流程图</w:t>
      </w:r>
      <w:bookmarkEnd w:id="125"/>
    </w:p>
    <w:p>
      <w:pPr>
        <w:pStyle w:val="5"/>
        <w:ind w:firstLine="0" w:firstLineChars="0"/>
        <w:rPr>
          <w:color w:val="auto"/>
        </w:rPr>
      </w:pPr>
      <w:bookmarkStart w:id="126" w:name="_Toc30935"/>
      <w:bookmarkStart w:id="127" w:name="_Toc17729299"/>
      <w:r>
        <w:rPr>
          <w:color w:val="auto"/>
        </w:rPr>
        <w:t>5.2.</w:t>
      </w:r>
      <w:r>
        <w:rPr>
          <w:rFonts w:hint="eastAsia"/>
          <w:color w:val="auto"/>
        </w:rPr>
        <w:t>2</w:t>
      </w:r>
      <w:r>
        <w:rPr>
          <w:color w:val="auto"/>
        </w:rPr>
        <w:t xml:space="preserve"> 预警响应</w:t>
      </w:r>
      <w:bookmarkEnd w:id="126"/>
      <w:bookmarkEnd w:id="127"/>
    </w:p>
    <w:p>
      <w:pPr>
        <w:ind w:firstLine="560"/>
        <w:rPr>
          <w:color w:val="auto"/>
        </w:rPr>
      </w:pPr>
      <w:r>
        <w:rPr>
          <w:color w:val="auto"/>
          <w:szCs w:val="28"/>
        </w:rPr>
        <w:t>当班人员或巡视人员发现突发环境污染事件即将发生或发生的可能性增大，立即报告部门领导或应急指挥部，报告的内容包括发生事故的单位、时间、地点、性质、类型、受伤人员情况、事故损失情况、需要的急救措施，应急指挥部在讨论后确定环境污染事件的预警级别后，及时向总指挥、副总指挥通报相关情况，提出启动相应突发环境事件应急预警的建议，然后由总指挥确定预警等级，采取相应的预警措施。预警级别及启动条件见表5</w:t>
      </w:r>
      <w:r>
        <w:rPr>
          <w:rFonts w:hint="eastAsia"/>
          <w:color w:val="auto"/>
          <w:szCs w:val="28"/>
        </w:rPr>
        <w:t>-</w:t>
      </w:r>
      <w:r>
        <w:rPr>
          <w:color w:val="auto"/>
          <w:szCs w:val="28"/>
        </w:rPr>
        <w:t>3。</w:t>
      </w:r>
    </w:p>
    <w:p>
      <w:pPr>
        <w:pStyle w:val="29"/>
        <w:spacing w:line="360" w:lineRule="auto"/>
        <w:ind w:firstLine="0" w:firstLineChars="0"/>
        <w:rPr>
          <w:b/>
          <w:bCs w:val="0"/>
          <w:color w:val="auto"/>
          <w:sz w:val="24"/>
          <w:szCs w:val="24"/>
        </w:rPr>
      </w:pPr>
      <w:r>
        <w:rPr>
          <w:b/>
          <w:bCs w:val="0"/>
          <w:color w:val="auto"/>
          <w:sz w:val="24"/>
          <w:szCs w:val="24"/>
        </w:rPr>
        <w:t>表</w:t>
      </w:r>
      <w:r>
        <w:rPr>
          <w:rFonts w:hint="eastAsia"/>
          <w:b/>
          <w:bCs w:val="0"/>
          <w:color w:val="auto"/>
          <w:sz w:val="24"/>
          <w:szCs w:val="24"/>
        </w:rPr>
        <w:t>5-</w:t>
      </w:r>
      <w:r>
        <w:rPr>
          <w:b/>
          <w:bCs w:val="0"/>
          <w:color w:val="auto"/>
          <w:sz w:val="24"/>
          <w:szCs w:val="24"/>
        </w:rPr>
        <w:t>3</w:t>
      </w:r>
      <w:r>
        <w:rPr>
          <w:rFonts w:hint="eastAsia"/>
          <w:b/>
          <w:bCs w:val="0"/>
          <w:color w:val="auto"/>
          <w:sz w:val="24"/>
          <w:szCs w:val="24"/>
        </w:rPr>
        <w:t xml:space="preserve"> </w:t>
      </w:r>
      <w:r>
        <w:rPr>
          <w:b/>
          <w:bCs w:val="0"/>
          <w:color w:val="auto"/>
          <w:sz w:val="24"/>
          <w:szCs w:val="24"/>
        </w:rPr>
        <w:t xml:space="preserve">  </w:t>
      </w:r>
      <w:r>
        <w:rPr>
          <w:rFonts w:hint="eastAsia"/>
          <w:b/>
          <w:bCs w:val="0"/>
          <w:color w:val="auto"/>
          <w:sz w:val="24"/>
          <w:szCs w:val="24"/>
        </w:rPr>
        <w:t xml:space="preserve"> </w:t>
      </w:r>
      <w:r>
        <w:rPr>
          <w:b/>
          <w:bCs w:val="0"/>
          <w:color w:val="auto"/>
          <w:sz w:val="24"/>
          <w:szCs w:val="24"/>
        </w:rPr>
        <w:t>预警级别及启动条件</w:t>
      </w:r>
    </w:p>
    <w:tbl>
      <w:tblPr>
        <w:tblStyle w:val="40"/>
        <w:tblW w:w="0" w:type="auto"/>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1526"/>
        <w:gridCol w:w="3969"/>
        <w:gridCol w:w="3663"/>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tblHeader/>
        </w:trPr>
        <w:tc>
          <w:tcPr>
            <w:tcW w:w="1526" w:type="dxa"/>
            <w:shd w:val="clear" w:color="auto" w:fill="D9D9D9"/>
            <w:vAlign w:val="center"/>
          </w:tcPr>
          <w:p>
            <w:pPr>
              <w:pStyle w:val="87"/>
              <w:snapToGrid/>
              <w:ind w:firstLine="0" w:firstLineChars="0"/>
              <w:rPr>
                <w:b/>
                <w:bCs/>
                <w:color w:val="auto"/>
                <w:kern w:val="0"/>
                <w:sz w:val="24"/>
              </w:rPr>
            </w:pPr>
            <w:r>
              <w:rPr>
                <w:rFonts w:hint="eastAsia"/>
                <w:b/>
                <w:bCs/>
                <w:color w:val="auto"/>
                <w:kern w:val="0"/>
                <w:sz w:val="24"/>
              </w:rPr>
              <w:t>预警级别</w:t>
            </w:r>
          </w:p>
        </w:tc>
        <w:tc>
          <w:tcPr>
            <w:tcW w:w="3969" w:type="dxa"/>
            <w:shd w:val="clear" w:color="auto" w:fill="D9D9D9"/>
            <w:vAlign w:val="center"/>
          </w:tcPr>
          <w:p>
            <w:pPr>
              <w:pStyle w:val="87"/>
              <w:snapToGrid/>
              <w:ind w:firstLine="0" w:firstLineChars="0"/>
              <w:rPr>
                <w:b/>
                <w:bCs/>
                <w:color w:val="auto"/>
                <w:kern w:val="0"/>
                <w:sz w:val="24"/>
              </w:rPr>
            </w:pPr>
            <w:r>
              <w:rPr>
                <w:rFonts w:hint="eastAsia"/>
                <w:b/>
                <w:bCs/>
                <w:color w:val="auto"/>
                <w:kern w:val="0"/>
                <w:sz w:val="24"/>
              </w:rPr>
              <w:t>预警预设启动条件</w:t>
            </w:r>
          </w:p>
        </w:tc>
        <w:tc>
          <w:tcPr>
            <w:tcW w:w="3663" w:type="dxa"/>
            <w:shd w:val="clear" w:color="auto" w:fill="D9D9D9"/>
            <w:vAlign w:val="center"/>
          </w:tcPr>
          <w:p>
            <w:pPr>
              <w:pStyle w:val="87"/>
              <w:snapToGrid/>
              <w:ind w:firstLine="0" w:firstLineChars="0"/>
              <w:rPr>
                <w:b/>
                <w:bCs/>
                <w:color w:val="auto"/>
                <w:kern w:val="0"/>
                <w:sz w:val="24"/>
              </w:rPr>
            </w:pPr>
            <w:r>
              <w:rPr>
                <w:rFonts w:hint="eastAsia"/>
                <w:b/>
                <w:bCs/>
                <w:color w:val="auto"/>
                <w:kern w:val="0"/>
                <w:sz w:val="24"/>
              </w:rPr>
              <w:t>相应措施</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trPr>
        <w:tc>
          <w:tcPr>
            <w:tcW w:w="1526" w:type="dxa"/>
            <w:vAlign w:val="center"/>
          </w:tcPr>
          <w:p>
            <w:pPr>
              <w:pStyle w:val="87"/>
              <w:snapToGrid/>
              <w:ind w:firstLine="0" w:firstLineChars="0"/>
              <w:rPr>
                <w:color w:val="auto"/>
                <w:kern w:val="0"/>
                <w:sz w:val="24"/>
              </w:rPr>
            </w:pPr>
            <w:r>
              <w:rPr>
                <w:rFonts w:hint="eastAsia"/>
                <w:color w:val="auto"/>
                <w:kern w:val="0"/>
                <w:sz w:val="24"/>
              </w:rPr>
              <w:t>蓝色预警</w:t>
            </w:r>
          </w:p>
        </w:tc>
        <w:tc>
          <w:tcPr>
            <w:tcW w:w="3969" w:type="dxa"/>
            <w:vAlign w:val="center"/>
          </w:tcPr>
          <w:p>
            <w:pPr>
              <w:pStyle w:val="87"/>
              <w:snapToGrid/>
              <w:ind w:firstLine="0" w:firstLineChars="0"/>
              <w:rPr>
                <w:color w:val="auto"/>
                <w:kern w:val="0"/>
                <w:sz w:val="24"/>
              </w:rPr>
            </w:pPr>
            <w:r>
              <w:rPr>
                <w:rFonts w:hint="eastAsia"/>
                <w:color w:val="auto"/>
                <w:kern w:val="0"/>
                <w:sz w:val="24"/>
              </w:rPr>
              <w:t>发生了车间级的突发环境事故，但事故后果严重性或影响范围没有超出现场的控制能力</w:t>
            </w:r>
          </w:p>
        </w:tc>
        <w:tc>
          <w:tcPr>
            <w:tcW w:w="3663" w:type="dxa"/>
            <w:vAlign w:val="center"/>
          </w:tcPr>
          <w:p>
            <w:pPr>
              <w:pStyle w:val="87"/>
              <w:snapToGrid/>
              <w:ind w:firstLine="0" w:firstLineChars="0"/>
              <w:rPr>
                <w:color w:val="auto"/>
                <w:kern w:val="0"/>
                <w:sz w:val="24"/>
              </w:rPr>
            </w:pPr>
            <w:r>
              <w:rPr>
                <w:rFonts w:hint="eastAsia"/>
                <w:color w:val="auto"/>
                <w:kern w:val="0"/>
                <w:sz w:val="24"/>
              </w:rPr>
              <w:t>现场人员重点关注，当班班组立即现场处置，并保持与本站应急指挥部联系，各应急小组待命</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trPr>
        <w:tc>
          <w:tcPr>
            <w:tcW w:w="1526" w:type="dxa"/>
            <w:vAlign w:val="center"/>
          </w:tcPr>
          <w:p>
            <w:pPr>
              <w:pStyle w:val="87"/>
              <w:snapToGrid/>
              <w:ind w:firstLine="0" w:firstLineChars="0"/>
              <w:rPr>
                <w:color w:val="auto"/>
                <w:kern w:val="0"/>
                <w:sz w:val="24"/>
              </w:rPr>
            </w:pPr>
            <w:r>
              <w:rPr>
                <w:rFonts w:hint="eastAsia"/>
                <w:color w:val="auto"/>
                <w:kern w:val="0"/>
                <w:sz w:val="24"/>
              </w:rPr>
              <w:t>黄色预警</w:t>
            </w:r>
          </w:p>
        </w:tc>
        <w:tc>
          <w:tcPr>
            <w:tcW w:w="3969" w:type="dxa"/>
            <w:vAlign w:val="center"/>
          </w:tcPr>
          <w:p>
            <w:pPr>
              <w:pStyle w:val="87"/>
              <w:snapToGrid/>
              <w:ind w:firstLine="0" w:firstLineChars="0"/>
              <w:rPr>
                <w:color w:val="auto"/>
                <w:kern w:val="0"/>
                <w:sz w:val="24"/>
              </w:rPr>
            </w:pPr>
            <w:r>
              <w:rPr>
                <w:rFonts w:hint="eastAsia"/>
                <w:color w:val="auto"/>
                <w:kern w:val="0"/>
                <w:sz w:val="24"/>
              </w:rPr>
              <w:t>发生了企业级的突发环境事故，事故后果严重性、影响范围暂时没有超出控制能力</w:t>
            </w:r>
          </w:p>
        </w:tc>
        <w:tc>
          <w:tcPr>
            <w:tcW w:w="3663" w:type="dxa"/>
            <w:vAlign w:val="center"/>
          </w:tcPr>
          <w:p>
            <w:pPr>
              <w:pStyle w:val="87"/>
              <w:snapToGrid/>
              <w:ind w:firstLine="0" w:firstLineChars="0"/>
              <w:rPr>
                <w:color w:val="auto"/>
                <w:kern w:val="0"/>
                <w:sz w:val="24"/>
              </w:rPr>
            </w:pPr>
            <w:r>
              <w:rPr>
                <w:rFonts w:hint="eastAsia"/>
                <w:color w:val="auto"/>
                <w:kern w:val="0"/>
                <w:sz w:val="24"/>
              </w:rPr>
              <w:t>应急指挥部启动应急预案，各应急小组至事故现场进行应急工作</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trPr>
        <w:tc>
          <w:tcPr>
            <w:tcW w:w="1526" w:type="dxa"/>
            <w:vAlign w:val="center"/>
          </w:tcPr>
          <w:p>
            <w:pPr>
              <w:pStyle w:val="87"/>
              <w:snapToGrid/>
              <w:ind w:firstLine="0" w:firstLineChars="0"/>
              <w:rPr>
                <w:rFonts w:ascii="Calibri" w:hAnsi="Calibri"/>
                <w:color w:val="auto"/>
                <w:kern w:val="0"/>
                <w:sz w:val="24"/>
              </w:rPr>
            </w:pPr>
            <w:r>
              <w:rPr>
                <w:rFonts w:hint="eastAsia" w:ascii="Calibri" w:hAnsi="Calibri"/>
                <w:color w:val="auto"/>
                <w:kern w:val="0"/>
                <w:sz w:val="24"/>
              </w:rPr>
              <w:t>橙色预警</w:t>
            </w:r>
          </w:p>
        </w:tc>
        <w:tc>
          <w:tcPr>
            <w:tcW w:w="3969" w:type="dxa"/>
            <w:vAlign w:val="center"/>
          </w:tcPr>
          <w:p>
            <w:pPr>
              <w:pStyle w:val="87"/>
              <w:snapToGrid/>
              <w:ind w:firstLine="0" w:firstLineChars="0"/>
              <w:rPr>
                <w:rFonts w:ascii="Calibri" w:hAnsi="Calibri"/>
                <w:color w:val="auto"/>
                <w:kern w:val="0"/>
                <w:sz w:val="24"/>
              </w:rPr>
            </w:pPr>
            <w:r>
              <w:rPr>
                <w:rFonts w:hint="eastAsia"/>
                <w:color w:val="auto"/>
                <w:kern w:val="0"/>
                <w:sz w:val="24"/>
              </w:rPr>
              <w:t>发生了社会级的突发环境事故，事故后果严重性、影响范围超出控制能力</w:t>
            </w:r>
          </w:p>
        </w:tc>
        <w:tc>
          <w:tcPr>
            <w:tcW w:w="3663" w:type="dxa"/>
            <w:vAlign w:val="center"/>
          </w:tcPr>
          <w:p>
            <w:pPr>
              <w:pStyle w:val="87"/>
              <w:snapToGrid/>
              <w:ind w:firstLine="0" w:firstLineChars="0"/>
              <w:rPr>
                <w:rFonts w:ascii="Calibri" w:hAnsi="Calibri"/>
                <w:color w:val="auto"/>
                <w:kern w:val="0"/>
                <w:sz w:val="24"/>
              </w:rPr>
            </w:pPr>
            <w:r>
              <w:rPr>
                <w:rFonts w:hint="eastAsia"/>
                <w:color w:val="auto"/>
                <w:kern w:val="0"/>
                <w:sz w:val="24"/>
              </w:rPr>
              <w:t>应急指挥部向当地政府请求救援，各应急小组至事故现场配合政府部门进行应急工作</w:t>
            </w:r>
          </w:p>
        </w:tc>
      </w:tr>
    </w:tbl>
    <w:p>
      <w:pPr>
        <w:pStyle w:val="66"/>
        <w:spacing w:before="120" w:beforeLines="50"/>
        <w:ind w:firstLine="480"/>
        <w:rPr>
          <w:rFonts w:ascii="Times New Roman" w:hAnsi="Times New Roman"/>
          <w:color w:val="auto"/>
          <w:szCs w:val="28"/>
        </w:rPr>
      </w:pPr>
      <w:r>
        <w:rPr>
          <w:rFonts w:ascii="Times New Roman" w:hAnsi="Times New Roman"/>
          <w:color w:val="auto"/>
          <w:szCs w:val="28"/>
        </w:rPr>
        <w:t>在确认进入预警状态之后，根据预警相应级别，应急指挥部按照相关程序可采取以下行动：</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立即启动相应事件的应急预案；</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通知本预案涉及的相关人员进入待命状态做好应急准备；</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按照突发环境事件发布预警的等级，向内部员工以及附近居民发布预警等级；</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各应急小组马上做好行动准备； </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5 \* GB2</w:instrText>
      </w:r>
      <w:r>
        <w:rPr>
          <w:color w:val="auto"/>
          <w:szCs w:val="28"/>
        </w:rPr>
        <w:instrText xml:space="preserve"> </w:instrText>
      </w:r>
      <w:r>
        <w:rPr>
          <w:color w:val="auto"/>
          <w:szCs w:val="28"/>
        </w:rPr>
        <w:fldChar w:fldCharType="separate"/>
      </w:r>
      <w:r>
        <w:rPr>
          <w:rFonts w:hint="eastAsia"/>
          <w:color w:val="auto"/>
          <w:szCs w:val="28"/>
        </w:rPr>
        <w:t>⑸</w:t>
      </w:r>
      <w:r>
        <w:rPr>
          <w:color w:val="auto"/>
          <w:szCs w:val="28"/>
        </w:rPr>
        <w:fldChar w:fldCharType="end"/>
      </w:r>
      <w:r>
        <w:rPr>
          <w:color w:val="auto"/>
          <w:szCs w:val="28"/>
        </w:rPr>
        <w:t xml:space="preserve"> 调集应急处置所需物资和设备，做好其他应急保障工作；</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6 \* GB2</w:instrText>
      </w:r>
      <w:r>
        <w:rPr>
          <w:color w:val="auto"/>
          <w:szCs w:val="28"/>
        </w:rPr>
        <w:instrText xml:space="preserve"> </w:instrText>
      </w:r>
      <w:r>
        <w:rPr>
          <w:color w:val="auto"/>
          <w:szCs w:val="28"/>
        </w:rPr>
        <w:fldChar w:fldCharType="separate"/>
      </w:r>
      <w:r>
        <w:rPr>
          <w:rFonts w:hint="eastAsia"/>
          <w:color w:val="auto"/>
          <w:szCs w:val="28"/>
        </w:rPr>
        <w:t>⑹</w:t>
      </w:r>
      <w:r>
        <w:rPr>
          <w:color w:val="auto"/>
          <w:szCs w:val="28"/>
        </w:rPr>
        <w:fldChar w:fldCharType="end"/>
      </w:r>
      <w:r>
        <w:rPr>
          <w:color w:val="auto"/>
          <w:szCs w:val="28"/>
        </w:rPr>
        <w:t xml:space="preserve"> 根据预警级别，做好协助政府转移、撤离或者疏散可能受到危害的人员，并进行妥善安置。</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7 \* GB2</w:instrText>
      </w:r>
      <w:r>
        <w:rPr>
          <w:color w:val="auto"/>
          <w:szCs w:val="28"/>
        </w:rPr>
        <w:instrText xml:space="preserve"> </w:instrText>
      </w:r>
      <w:r>
        <w:rPr>
          <w:color w:val="auto"/>
          <w:szCs w:val="28"/>
        </w:rPr>
        <w:fldChar w:fldCharType="separate"/>
      </w:r>
      <w:r>
        <w:rPr>
          <w:rFonts w:hint="eastAsia"/>
          <w:color w:val="auto"/>
          <w:szCs w:val="28"/>
        </w:rPr>
        <w:t>⑺</w:t>
      </w:r>
      <w:r>
        <w:rPr>
          <w:color w:val="auto"/>
          <w:szCs w:val="28"/>
        </w:rPr>
        <w:fldChar w:fldCharType="end"/>
      </w:r>
      <w:r>
        <w:rPr>
          <w:color w:val="auto"/>
          <w:szCs w:val="28"/>
        </w:rPr>
        <w:t xml:space="preserve"> 指令各应急小组进入应急状态，随时掌握并通报事态进展情况。</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8 \* GB2</w:instrText>
      </w:r>
      <w:r>
        <w:rPr>
          <w:color w:val="auto"/>
          <w:szCs w:val="28"/>
        </w:rPr>
        <w:instrText xml:space="preserve"> </w:instrText>
      </w:r>
      <w:r>
        <w:rPr>
          <w:color w:val="auto"/>
          <w:szCs w:val="28"/>
        </w:rPr>
        <w:fldChar w:fldCharType="separate"/>
      </w:r>
      <w:r>
        <w:rPr>
          <w:rFonts w:hint="eastAsia"/>
          <w:color w:val="auto"/>
          <w:szCs w:val="28"/>
        </w:rPr>
        <w:t>⑻</w:t>
      </w:r>
      <w:r>
        <w:rPr>
          <w:color w:val="auto"/>
          <w:szCs w:val="28"/>
        </w:rPr>
        <w:fldChar w:fldCharType="end"/>
      </w:r>
      <w:r>
        <w:rPr>
          <w:color w:val="auto"/>
          <w:szCs w:val="28"/>
        </w:rPr>
        <w:t xml:space="preserve"> 针对突发事件可能造成的危害，封闭、隔离或者限制使用有关场所，中止可能导致危害扩大的行为和活动。</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9 \* GB2</w:instrText>
      </w:r>
      <w:r>
        <w:rPr>
          <w:color w:val="auto"/>
          <w:szCs w:val="28"/>
        </w:rPr>
        <w:instrText xml:space="preserve"> </w:instrText>
      </w:r>
      <w:r>
        <w:rPr>
          <w:color w:val="auto"/>
          <w:szCs w:val="28"/>
        </w:rPr>
        <w:fldChar w:fldCharType="separate"/>
      </w:r>
      <w:r>
        <w:rPr>
          <w:rFonts w:hint="eastAsia"/>
          <w:color w:val="auto"/>
          <w:szCs w:val="28"/>
        </w:rPr>
        <w:t>⑼</w:t>
      </w:r>
      <w:r>
        <w:rPr>
          <w:color w:val="auto"/>
          <w:szCs w:val="28"/>
        </w:rPr>
        <w:fldChar w:fldCharType="end"/>
      </w:r>
      <w:r>
        <w:rPr>
          <w:color w:val="auto"/>
          <w:szCs w:val="28"/>
        </w:rPr>
        <w:t xml:space="preserve"> 做好事故信息上报和通报或相关准备工作；</w:t>
      </w:r>
    </w:p>
    <w:p>
      <w:pPr>
        <w:ind w:firstLine="560"/>
        <w:rPr>
          <w:color w:val="auto"/>
        </w:rPr>
      </w:pPr>
      <w:r>
        <w:rPr>
          <w:color w:val="auto"/>
          <w:szCs w:val="28"/>
        </w:rPr>
        <w:fldChar w:fldCharType="begin"/>
      </w:r>
      <w:r>
        <w:rPr>
          <w:color w:val="auto"/>
          <w:szCs w:val="28"/>
        </w:rPr>
        <w:instrText xml:space="preserve"> </w:instrText>
      </w:r>
      <w:r>
        <w:rPr>
          <w:rFonts w:hint="eastAsia"/>
          <w:color w:val="auto"/>
          <w:szCs w:val="28"/>
        </w:rPr>
        <w:instrText xml:space="preserve">= 10 \* GB2</w:instrText>
      </w:r>
      <w:r>
        <w:rPr>
          <w:color w:val="auto"/>
          <w:szCs w:val="28"/>
        </w:rPr>
        <w:instrText xml:space="preserve"> </w:instrText>
      </w:r>
      <w:r>
        <w:rPr>
          <w:color w:val="auto"/>
          <w:szCs w:val="28"/>
        </w:rPr>
        <w:fldChar w:fldCharType="separate"/>
      </w:r>
      <w:r>
        <w:rPr>
          <w:rFonts w:hint="eastAsia"/>
          <w:color w:val="auto"/>
          <w:szCs w:val="28"/>
        </w:rPr>
        <w:t>⑽</w:t>
      </w:r>
      <w:r>
        <w:rPr>
          <w:color w:val="auto"/>
          <w:szCs w:val="28"/>
        </w:rPr>
        <w:fldChar w:fldCharType="end"/>
      </w:r>
      <w:r>
        <w:rPr>
          <w:color w:val="auto"/>
          <w:szCs w:val="28"/>
        </w:rPr>
        <w:t xml:space="preserve"> 做好开展应急监测的准备。</w:t>
      </w:r>
    </w:p>
    <w:p>
      <w:pPr>
        <w:pStyle w:val="5"/>
        <w:ind w:firstLine="0" w:firstLineChars="0"/>
        <w:rPr>
          <w:color w:val="auto"/>
        </w:rPr>
      </w:pPr>
      <w:bookmarkStart w:id="128" w:name="_Toc32184"/>
      <w:r>
        <w:rPr>
          <w:rFonts w:hint="eastAsia"/>
          <w:color w:val="auto"/>
        </w:rPr>
        <w:t>5.2.3预警准备</w:t>
      </w:r>
      <w:bookmarkEnd w:id="128"/>
    </w:p>
    <w:p>
      <w:pPr>
        <w:ind w:firstLine="560"/>
        <w:textAlignment w:val="center"/>
        <w:rPr>
          <w:color w:val="auto"/>
          <w:szCs w:val="28"/>
        </w:rPr>
      </w:pPr>
      <w:r>
        <w:rPr>
          <w:rFonts w:hint="eastAsia"/>
          <w:color w:val="auto"/>
          <w:szCs w:val="28"/>
        </w:rPr>
        <w:t>为保证突发环境事件应急处置的有效实施，应急指挥部及相关部门应做好如下准备。</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对应急部门、人员进行安排，明确各自的应急职责和任务；</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加强有关人员的应急知识和技能的教育、培训；</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w:t>
      </w:r>
      <w:r>
        <w:rPr>
          <w:rFonts w:hint="eastAsia"/>
          <w:color w:val="auto"/>
          <w:szCs w:val="28"/>
        </w:rPr>
        <w:t>识别、准备并核对应急所需的设备、设施、物资、包括监测仪等；</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w:t>
      </w:r>
      <w:r>
        <w:rPr>
          <w:rFonts w:hint="eastAsia"/>
          <w:color w:val="auto"/>
          <w:szCs w:val="28"/>
        </w:rPr>
        <w:t>准备应急时使用的通信联络名单等资料；</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5 \* GB2</w:instrText>
      </w:r>
      <w:r>
        <w:rPr>
          <w:color w:val="auto"/>
          <w:szCs w:val="28"/>
        </w:rPr>
        <w:instrText xml:space="preserve"> </w:instrText>
      </w:r>
      <w:r>
        <w:rPr>
          <w:color w:val="auto"/>
          <w:szCs w:val="28"/>
        </w:rPr>
        <w:fldChar w:fldCharType="separate"/>
      </w:r>
      <w:r>
        <w:rPr>
          <w:rFonts w:hint="eastAsia"/>
          <w:color w:val="auto"/>
          <w:szCs w:val="28"/>
        </w:rPr>
        <w:t>⑸</w:t>
      </w:r>
      <w:r>
        <w:rPr>
          <w:color w:val="auto"/>
          <w:szCs w:val="28"/>
        </w:rPr>
        <w:fldChar w:fldCharType="end"/>
      </w:r>
      <w:r>
        <w:rPr>
          <w:color w:val="auto"/>
          <w:szCs w:val="28"/>
        </w:rPr>
        <w:t xml:space="preserve"> </w:t>
      </w:r>
      <w:r>
        <w:rPr>
          <w:rFonts w:hint="eastAsia"/>
          <w:color w:val="auto"/>
          <w:szCs w:val="28"/>
        </w:rPr>
        <w:t>与其他应急组织或部门、人员协作、协调、配合的沟通和交流；</w:t>
      </w:r>
    </w:p>
    <w:p>
      <w:pPr>
        <w:pStyle w:val="4"/>
        <w:rPr>
          <w:color w:val="auto"/>
        </w:rPr>
      </w:pPr>
      <w:bookmarkStart w:id="129" w:name="_Toc9064"/>
      <w:r>
        <w:rPr>
          <w:rFonts w:hint="eastAsia"/>
          <w:color w:val="auto"/>
        </w:rPr>
        <w:t>5.3 预警信息汇总</w:t>
      </w:r>
      <w:bookmarkEnd w:id="129"/>
    </w:p>
    <w:p>
      <w:pPr>
        <w:ind w:firstLine="560"/>
        <w:textAlignment w:val="center"/>
        <w:rPr>
          <w:color w:val="auto"/>
          <w:szCs w:val="28"/>
        </w:rPr>
      </w:pPr>
      <w:bookmarkStart w:id="130" w:name="_Toc7827"/>
      <w:r>
        <w:rPr>
          <w:rFonts w:hint="eastAsia"/>
          <w:color w:val="auto"/>
          <w:szCs w:val="28"/>
        </w:rPr>
        <w:t>预警信息汇总程序为：岗位人员/预警监测人员</w:t>
      </w:r>
      <w:r>
        <w:rPr>
          <w:rFonts w:cs="Arial"/>
          <w:color w:val="auto"/>
          <w:szCs w:val="28"/>
        </w:rPr>
        <w:t>→</w:t>
      </w:r>
      <w:r>
        <w:rPr>
          <w:rFonts w:hint="eastAsia"/>
          <w:color w:val="auto"/>
          <w:szCs w:val="28"/>
        </w:rPr>
        <w:t>应急办公室</w:t>
      </w:r>
      <w:r>
        <w:rPr>
          <w:rFonts w:cs="Arial"/>
          <w:color w:val="auto"/>
          <w:szCs w:val="28"/>
        </w:rPr>
        <w:t>→</w:t>
      </w:r>
      <w:r>
        <w:rPr>
          <w:rFonts w:hint="eastAsia"/>
          <w:color w:val="auto"/>
          <w:szCs w:val="28"/>
        </w:rPr>
        <w:t>总经理。当预警级别为蓝色，由当班人员、预警监测人员等发现可能引发突发环境事件的事故、隐患或异常情况，15min内上报应急办公室。</w:t>
      </w:r>
    </w:p>
    <w:p>
      <w:pPr>
        <w:pStyle w:val="4"/>
        <w:rPr>
          <w:color w:val="auto"/>
        </w:rPr>
      </w:pPr>
      <w:bookmarkStart w:id="131" w:name="_Toc9873"/>
      <w:r>
        <w:rPr>
          <w:rFonts w:hint="eastAsia"/>
          <w:color w:val="auto"/>
        </w:rPr>
        <w:t>5.4 预警发布</w:t>
      </w:r>
      <w:bookmarkEnd w:id="130"/>
      <w:bookmarkEnd w:id="131"/>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1 \* GB2</w:instrText>
      </w:r>
      <w:r>
        <w:rPr>
          <w:color w:val="auto"/>
        </w:rPr>
        <w:instrText xml:space="preserve"> </w:instrText>
      </w:r>
      <w:r>
        <w:rPr>
          <w:color w:val="auto"/>
        </w:rPr>
        <w:fldChar w:fldCharType="separate"/>
      </w:r>
      <w:r>
        <w:rPr>
          <w:rFonts w:hint="eastAsia"/>
          <w:color w:val="auto"/>
        </w:rPr>
        <w:t>⑴</w:t>
      </w:r>
      <w:r>
        <w:rPr>
          <w:color w:val="auto"/>
        </w:rPr>
        <w:fldChar w:fldCharType="end"/>
      </w:r>
      <w:r>
        <w:rPr>
          <w:color w:val="auto"/>
        </w:rPr>
        <w:t xml:space="preserve"> </w:t>
      </w:r>
      <w:r>
        <w:rPr>
          <w:rFonts w:hint="eastAsia"/>
          <w:color w:val="auto"/>
        </w:rPr>
        <w:t>预警发布现场作业人员发现各种事故的预兆时要立即向应急办公室报告，报告内容包括以下内容：</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事故发生的时间、地点；</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预兆的现场实际情况及已采取的措施；</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GB3</w:instrText>
      </w:r>
      <w:r>
        <w:rPr>
          <w:color w:val="auto"/>
          <w:szCs w:val="28"/>
        </w:rPr>
        <w:instrText xml:space="preserve"> </w:instrText>
      </w:r>
      <w:r>
        <w:rPr>
          <w:color w:val="auto"/>
          <w:szCs w:val="28"/>
        </w:rPr>
        <w:fldChar w:fldCharType="separate"/>
      </w:r>
      <w:r>
        <w:rPr>
          <w:rFonts w:hint="eastAsia"/>
          <w:color w:val="auto"/>
          <w:szCs w:val="28"/>
        </w:rPr>
        <w:t>③</w:t>
      </w:r>
      <w:r>
        <w:rPr>
          <w:color w:val="auto"/>
          <w:szCs w:val="28"/>
        </w:rPr>
        <w:fldChar w:fldCharType="end"/>
      </w:r>
      <w:r>
        <w:rPr>
          <w:color w:val="auto"/>
          <w:szCs w:val="28"/>
        </w:rPr>
        <w:t xml:space="preserve"> </w:t>
      </w:r>
      <w:r>
        <w:rPr>
          <w:rFonts w:hint="eastAsia"/>
          <w:color w:val="auto"/>
          <w:szCs w:val="28"/>
        </w:rPr>
        <w:t>如果预兆明显，马上可能发生事故，则应先避险后报告。</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预警发布程序及要求</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应急办公室值班人员接到事故预兆报警电话后，应立即向应急办公室组长汇报。</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应急办公室组长应立即汇报值班领导。根据事故预兆的性质、严重程度、事态发展趋势，由值班领导向总指挥汇报，并由总指挥确定进行预警。如果不足以启动应急预案最低响应级别，不启动响应。</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GB3</w:instrText>
      </w:r>
      <w:r>
        <w:rPr>
          <w:color w:val="auto"/>
          <w:szCs w:val="28"/>
        </w:rPr>
        <w:instrText xml:space="preserve"> </w:instrText>
      </w:r>
      <w:r>
        <w:rPr>
          <w:color w:val="auto"/>
          <w:szCs w:val="28"/>
        </w:rPr>
        <w:fldChar w:fldCharType="separate"/>
      </w:r>
      <w:r>
        <w:rPr>
          <w:rFonts w:hint="eastAsia"/>
          <w:color w:val="auto"/>
          <w:szCs w:val="28"/>
        </w:rPr>
        <w:t>③</w:t>
      </w:r>
      <w:r>
        <w:rPr>
          <w:color w:val="auto"/>
          <w:szCs w:val="28"/>
        </w:rPr>
        <w:fldChar w:fldCharType="end"/>
      </w:r>
      <w:r>
        <w:rPr>
          <w:color w:val="auto"/>
          <w:szCs w:val="28"/>
        </w:rPr>
        <w:t xml:space="preserve"> </w:t>
      </w:r>
      <w:r>
        <w:rPr>
          <w:rFonts w:hint="eastAsia"/>
          <w:color w:val="auto"/>
          <w:szCs w:val="28"/>
        </w:rPr>
        <w:t>应急指挥部研究分析事故信息，确定预警级别后立即发出预警信息。利用电话及其它形式通讯设备，第一时间通知环境事件可能影响区域村民或其它企业单位。</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GB3</w:instrText>
      </w:r>
      <w:r>
        <w:rPr>
          <w:color w:val="auto"/>
          <w:szCs w:val="28"/>
        </w:rPr>
        <w:instrText xml:space="preserve"> </w:instrText>
      </w:r>
      <w:r>
        <w:rPr>
          <w:color w:val="auto"/>
          <w:szCs w:val="28"/>
        </w:rPr>
        <w:fldChar w:fldCharType="separate"/>
      </w:r>
      <w:r>
        <w:rPr>
          <w:rFonts w:hint="eastAsia"/>
          <w:color w:val="auto"/>
          <w:szCs w:val="28"/>
        </w:rPr>
        <w:t>④</w:t>
      </w:r>
      <w:r>
        <w:rPr>
          <w:color w:val="auto"/>
          <w:szCs w:val="28"/>
        </w:rPr>
        <w:fldChar w:fldCharType="end"/>
      </w:r>
      <w:r>
        <w:rPr>
          <w:color w:val="auto"/>
          <w:szCs w:val="28"/>
        </w:rPr>
        <w:t xml:space="preserve"> </w:t>
      </w:r>
      <w:r>
        <w:rPr>
          <w:rFonts w:hint="eastAsia"/>
          <w:color w:val="auto"/>
          <w:szCs w:val="28"/>
        </w:rPr>
        <w:t>应急指挥部、各专业队伍及有关单位负责人应保持手机24小时开机，防止出现应急事件时不能及时沟通。</w:t>
      </w:r>
    </w:p>
    <w:p>
      <w:pPr>
        <w:pStyle w:val="4"/>
        <w:rPr>
          <w:color w:val="auto"/>
        </w:rPr>
      </w:pPr>
      <w:bookmarkStart w:id="132" w:name="_Toc19675"/>
      <w:r>
        <w:rPr>
          <w:rFonts w:hint="eastAsia"/>
          <w:color w:val="auto"/>
        </w:rPr>
        <w:t>5.5 预警行动</w:t>
      </w:r>
      <w:bookmarkEnd w:id="132"/>
    </w:p>
    <w:p>
      <w:pPr>
        <w:ind w:firstLine="560"/>
        <w:textAlignment w:val="center"/>
        <w:rPr>
          <w:color w:val="auto"/>
          <w:szCs w:val="28"/>
        </w:rPr>
      </w:pPr>
      <w:r>
        <w:rPr>
          <w:rFonts w:hint="eastAsia"/>
          <w:color w:val="auto"/>
          <w:szCs w:val="28"/>
        </w:rPr>
        <w:t>预警信息发布后，根据情况采取以下措施：</w:t>
      </w:r>
    </w:p>
    <w:p>
      <w:pPr>
        <w:ind w:firstLineChars="0"/>
        <w:textAlignment w:val="center"/>
        <w:rPr>
          <w:rStyle w:val="146"/>
          <w:color w:val="auto"/>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分析研判。根据事件相关信息、自身应急能力和专家组意见，及时对预警信息进行分析研判，预估可能的影响范围和危害程度</w:t>
      </w:r>
    </w:p>
    <w:p>
      <w:pPr>
        <w:pStyle w:val="61"/>
        <w:ind w:firstLine="560"/>
        <w:rPr>
          <w:rStyle w:val="146"/>
          <w:color w:val="auto"/>
        </w:rPr>
      </w:pPr>
      <w:r>
        <w:rPr>
          <w:color w:val="auto"/>
        </w:rPr>
        <w:fldChar w:fldCharType="begin"/>
      </w:r>
      <w:r>
        <w:rPr>
          <w:rStyle w:val="146"/>
          <w:color w:val="auto"/>
        </w:rPr>
        <w:instrText xml:space="preserve"> </w:instrText>
      </w:r>
      <w:r>
        <w:rPr>
          <w:rStyle w:val="146"/>
          <w:rFonts w:hint="eastAsia"/>
          <w:color w:val="auto"/>
        </w:rPr>
        <w:instrText xml:space="preserve">= 2 \* GB2</w:instrText>
      </w:r>
      <w:r>
        <w:rPr>
          <w:rStyle w:val="146"/>
          <w:color w:val="auto"/>
        </w:rPr>
        <w:instrText xml:space="preserve"> </w:instrText>
      </w:r>
      <w:r>
        <w:rPr>
          <w:color w:val="auto"/>
        </w:rPr>
        <w:fldChar w:fldCharType="separate"/>
      </w:r>
      <w:r>
        <w:rPr>
          <w:rStyle w:val="146"/>
          <w:rFonts w:hint="eastAsia"/>
          <w:color w:val="auto"/>
        </w:rPr>
        <w:t>⑵</w:t>
      </w:r>
      <w:r>
        <w:rPr>
          <w:color w:val="auto"/>
        </w:rPr>
        <w:fldChar w:fldCharType="end"/>
      </w:r>
      <w:r>
        <w:rPr>
          <w:rStyle w:val="146"/>
          <w:color w:val="auto"/>
        </w:rPr>
        <w:t xml:space="preserve"> 防范处置。</w:t>
      </w:r>
      <w:r>
        <w:rPr>
          <w:rStyle w:val="146"/>
          <w:rFonts w:hint="eastAsia"/>
          <w:color w:val="auto"/>
        </w:rPr>
        <w:t>迅速采取有效处置措施，控制事件苗头。在涉险区域设置注意事项提示或事件危害警告标志。</w:t>
      </w:r>
    </w:p>
    <w:p>
      <w:pPr>
        <w:ind w:firstLine="560"/>
        <w:textAlignment w:val="center"/>
        <w:rPr>
          <w:color w:val="auto"/>
        </w:rPr>
      </w:pPr>
      <w:r>
        <w:rPr>
          <w:color w:val="auto"/>
        </w:rPr>
        <w:fldChar w:fldCharType="begin"/>
      </w:r>
      <w:r>
        <w:rPr>
          <w:color w:val="auto"/>
        </w:rPr>
        <w:instrText xml:space="preserve"> </w:instrText>
      </w:r>
      <w:r>
        <w:rPr>
          <w:rFonts w:hint="eastAsia"/>
          <w:color w:val="auto"/>
        </w:rPr>
        <w:instrText xml:space="preserve">= 3 \* GB2</w:instrText>
      </w:r>
      <w:r>
        <w:rPr>
          <w:color w:val="auto"/>
        </w:rPr>
        <w:instrText xml:space="preserve"> </w:instrText>
      </w:r>
      <w:r>
        <w:rPr>
          <w:color w:val="auto"/>
        </w:rPr>
        <w:fldChar w:fldCharType="separate"/>
      </w:r>
      <w:r>
        <w:rPr>
          <w:rFonts w:hint="eastAsia"/>
          <w:color w:val="auto"/>
        </w:rPr>
        <w:t>⑶</w:t>
      </w:r>
      <w:r>
        <w:rPr>
          <w:color w:val="auto"/>
        </w:rPr>
        <w:fldChar w:fldCharType="end"/>
      </w:r>
      <w:r>
        <w:rPr>
          <w:color w:val="auto"/>
        </w:rPr>
        <w:t xml:space="preserve"> 应急准备。</w:t>
      </w:r>
      <w:r>
        <w:rPr>
          <w:rFonts w:hint="eastAsia"/>
          <w:color w:val="auto"/>
        </w:rPr>
        <w:t>提前疏散、转移可能受到危害的人员，并进行妥善安置。</w:t>
      </w:r>
      <w:r>
        <w:rPr>
          <w:rFonts w:hint="eastAsia"/>
          <w:color w:val="auto"/>
          <w:szCs w:val="28"/>
          <w:lang w:bidi="ar"/>
        </w:rPr>
        <w:t>责令现场处置组、综合协调组和其余负有特定职责的人员进入待命状态，其余人员做好参加应急救援和处置工作的准备，并调集应急所需物资和设备，做好应急保障工作。</w:t>
      </w:r>
    </w:p>
    <w:p>
      <w:pPr>
        <w:pStyle w:val="4"/>
        <w:rPr>
          <w:color w:val="auto"/>
        </w:rPr>
      </w:pPr>
      <w:bookmarkStart w:id="133" w:name="_Toc25944"/>
      <w:r>
        <w:rPr>
          <w:rFonts w:hint="eastAsia"/>
          <w:color w:val="auto"/>
        </w:rPr>
        <w:t>5.6预警解除</w:t>
      </w:r>
      <w:bookmarkEnd w:id="133"/>
    </w:p>
    <w:p>
      <w:pPr>
        <w:ind w:firstLine="560"/>
        <w:textAlignment w:val="center"/>
        <w:rPr>
          <w:color w:val="auto"/>
          <w:szCs w:val="28"/>
        </w:rPr>
      </w:pPr>
      <w:r>
        <w:rPr>
          <w:rFonts w:hint="eastAsia"/>
          <w:color w:val="auto"/>
          <w:szCs w:val="28"/>
        </w:rPr>
        <w:t>预警解除根据事件发展态势，应急办公室报请单位应急指挥部批准后解除预警，终止已经采取的有关措施。预警结束后，应急办公室应根据应急指挥部有关指示和实际情况，继续进行事件事态跟踪，直至事态隐患完全消除为止；有关部门、单位应继续查找可能产生环境污染隐患的原因，提出预防措施，明确落实责任，防止类似问题的重复出现。</w:t>
      </w:r>
    </w:p>
    <w:p>
      <w:pPr>
        <w:ind w:firstLine="562"/>
        <w:textAlignment w:val="center"/>
        <w:rPr>
          <w:b/>
          <w:bCs/>
          <w:color w:val="auto"/>
          <w:szCs w:val="28"/>
        </w:rPr>
      </w:pPr>
      <w:r>
        <w:rPr>
          <w:rFonts w:hint="eastAsia"/>
          <w:b/>
          <w:bCs/>
          <w:color w:val="auto"/>
          <w:szCs w:val="28"/>
        </w:rPr>
        <w:t>符合预警结束的条件如下：</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事件现场得到控制，事件隐患已经消除；</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对污染源采取了必要的防护措施，事件不会对环境造成影响。</w:t>
      </w:r>
    </w:p>
    <w:p>
      <w:pPr>
        <w:pStyle w:val="4"/>
        <w:rPr>
          <w:color w:val="auto"/>
        </w:rPr>
      </w:pPr>
      <w:bookmarkStart w:id="134" w:name="_Toc17211"/>
      <w:bookmarkStart w:id="135" w:name="_Toc27073"/>
      <w:r>
        <w:rPr>
          <w:rFonts w:hint="eastAsia"/>
          <w:color w:val="auto"/>
        </w:rPr>
        <w:t>5.7预警措施</w:t>
      </w:r>
      <w:bookmarkEnd w:id="134"/>
      <w:bookmarkEnd w:id="135"/>
    </w:p>
    <w:p>
      <w:pPr>
        <w:ind w:firstLine="560"/>
        <w:textAlignment w:val="center"/>
        <w:rPr>
          <w:color w:val="auto"/>
          <w:szCs w:val="28"/>
        </w:rPr>
      </w:pPr>
      <w:r>
        <w:rPr>
          <w:rFonts w:hint="eastAsia"/>
          <w:color w:val="auto"/>
          <w:szCs w:val="28"/>
        </w:rPr>
        <w:t>进入预警状态后，应当采取相对应措施：</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发布预警公告。</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转移、撤离或者疏散可能受到危害的人员，并妥善安置。</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w:t>
      </w:r>
      <w:r>
        <w:rPr>
          <w:rFonts w:hint="eastAsia"/>
          <w:color w:val="auto"/>
          <w:szCs w:val="28"/>
        </w:rPr>
        <w:t>指令各应急救援队伍进入应急状态，请求第三方监测公司开展应急监测，随时掌握并报告事态进展情况。</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w:t>
      </w:r>
      <w:r>
        <w:rPr>
          <w:rFonts w:hint="eastAsia"/>
          <w:color w:val="auto"/>
          <w:szCs w:val="28"/>
        </w:rPr>
        <w:t>针对突发事件可能造成的危害，封闭、隔离或者限制使用有关场所，中止可能导致危害扩大的行为和活动。</w:t>
      </w:r>
    </w:p>
    <w:p>
      <w:pPr>
        <w:ind w:firstLine="560"/>
        <w:textAlignment w:val="center"/>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5 \* GB2</w:instrText>
      </w:r>
      <w:r>
        <w:rPr>
          <w:color w:val="auto"/>
          <w:szCs w:val="28"/>
        </w:rPr>
        <w:instrText xml:space="preserve"> </w:instrText>
      </w:r>
      <w:r>
        <w:rPr>
          <w:color w:val="auto"/>
          <w:szCs w:val="28"/>
        </w:rPr>
        <w:fldChar w:fldCharType="separate"/>
      </w:r>
      <w:r>
        <w:rPr>
          <w:rFonts w:hint="eastAsia"/>
          <w:color w:val="auto"/>
          <w:szCs w:val="28"/>
        </w:rPr>
        <w:t>⑸</w:t>
      </w:r>
      <w:r>
        <w:rPr>
          <w:color w:val="auto"/>
          <w:szCs w:val="28"/>
        </w:rPr>
        <w:fldChar w:fldCharType="end"/>
      </w:r>
      <w:r>
        <w:rPr>
          <w:color w:val="auto"/>
          <w:szCs w:val="28"/>
        </w:rPr>
        <w:t xml:space="preserve"> </w:t>
      </w:r>
      <w:r>
        <w:rPr>
          <w:rFonts w:hint="eastAsia"/>
          <w:color w:val="auto"/>
          <w:szCs w:val="28"/>
        </w:rPr>
        <w:t>调集环境应急所需物资和设备，确保应急保障工作。</w:t>
      </w:r>
    </w:p>
    <w:p>
      <w:pPr>
        <w:pStyle w:val="39"/>
        <w:ind w:left="560" w:firstLine="562"/>
        <w:rPr>
          <w:rFonts w:cs="仿宋"/>
          <w:b/>
          <w:color w:val="auto"/>
          <w:sz w:val="28"/>
          <w:lang w:bidi="ar"/>
        </w:rPr>
      </w:pPr>
    </w:p>
    <w:p>
      <w:pPr>
        <w:ind w:firstLine="0" w:firstLineChars="0"/>
        <w:rPr>
          <w:color w:val="auto"/>
        </w:rPr>
        <w:sectPr>
          <w:pgSz w:w="11906" w:h="16838"/>
          <w:pgMar w:top="1418" w:right="1418" w:bottom="1418" w:left="1418" w:header="851" w:footer="992" w:gutter="0"/>
          <w:pgNumType w:fmt="numberInDash"/>
          <w:cols w:space="720" w:num="1"/>
          <w:docGrid w:linePitch="326" w:charSpace="0"/>
        </w:sectPr>
      </w:pPr>
      <w:bookmarkStart w:id="136" w:name="_Toc10401"/>
    </w:p>
    <w:p>
      <w:pPr>
        <w:pStyle w:val="3"/>
        <w:rPr>
          <w:bCs/>
          <w:color w:val="auto"/>
          <w:sz w:val="28"/>
          <w:szCs w:val="28"/>
        </w:rPr>
      </w:pPr>
      <w:bookmarkStart w:id="137" w:name="_Toc25371"/>
      <w:r>
        <w:rPr>
          <w:rFonts w:hint="eastAsia"/>
          <w:bCs/>
          <w:color w:val="auto"/>
          <w:sz w:val="28"/>
          <w:szCs w:val="28"/>
        </w:rPr>
        <w:t>6 应急处置</w:t>
      </w:r>
      <w:bookmarkEnd w:id="136"/>
      <w:bookmarkEnd w:id="137"/>
    </w:p>
    <w:p>
      <w:pPr>
        <w:pStyle w:val="4"/>
        <w:rPr>
          <w:color w:val="auto"/>
          <w:szCs w:val="28"/>
        </w:rPr>
      </w:pPr>
      <w:bookmarkStart w:id="138" w:name="_Toc21182"/>
      <w:bookmarkStart w:id="139" w:name="_Toc10242"/>
      <w:r>
        <w:rPr>
          <w:color w:val="auto"/>
          <w:szCs w:val="28"/>
        </w:rPr>
        <w:t>6.1 应急预案启动</w:t>
      </w:r>
      <w:bookmarkEnd w:id="138"/>
      <w:bookmarkEnd w:id="139"/>
    </w:p>
    <w:p>
      <w:pPr>
        <w:snapToGrid/>
        <w:ind w:firstLine="560"/>
        <w:rPr>
          <w:color w:val="auto"/>
          <w:szCs w:val="28"/>
        </w:rPr>
      </w:pPr>
      <w:r>
        <w:rPr>
          <w:rFonts w:hint="eastAsia"/>
          <w:color w:val="auto"/>
          <w:szCs w:val="28"/>
        </w:rPr>
        <w:t>接警后，根据事故发生的位置及危害程度，决定启动相应的应急预案。在总指挥的统一指挥下，发布突发环境事故应急救援令，启动预案，各应急专业小组依据预案的分工、机构设置赶赴现场，采取相应的措施，并报告秦汉新城生态环境局等政府有关部门。</w:t>
      </w:r>
    </w:p>
    <w:p>
      <w:pPr>
        <w:snapToGrid/>
        <w:ind w:firstLine="560"/>
        <w:rPr>
          <w:color w:val="auto"/>
          <w:szCs w:val="28"/>
        </w:rPr>
      </w:pPr>
      <w:r>
        <w:rPr>
          <w:rFonts w:hint="eastAsia"/>
          <w:color w:val="auto"/>
          <w:szCs w:val="28"/>
        </w:rPr>
        <w:t>启动应急预案的条件：</w:t>
      </w:r>
    </w:p>
    <w:p>
      <w:pPr>
        <w:snapToGrid/>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车间级</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因环境污染造成1人轻伤的；</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因环境污染造成直接经济损失2万元（不含）以下的；</w:t>
      </w:r>
    </w:p>
    <w:p>
      <w:pPr>
        <w:ind w:firstLine="560"/>
        <w:rPr>
          <w:color w:val="auto"/>
        </w:rPr>
      </w:pPr>
      <w:r>
        <w:rPr>
          <w:color w:val="auto"/>
        </w:rPr>
        <w:fldChar w:fldCharType="begin"/>
      </w:r>
      <w:r>
        <w:rPr>
          <w:color w:val="auto"/>
        </w:rPr>
        <w:instrText xml:space="preserve"> </w:instrText>
      </w:r>
      <w:r>
        <w:rPr>
          <w:rFonts w:hint="eastAsia"/>
          <w:color w:val="auto"/>
        </w:rPr>
        <w:instrText xml:space="preserve">= 3 \* GB3</w:instrText>
      </w:r>
      <w:r>
        <w:rPr>
          <w:color w:val="auto"/>
        </w:rPr>
        <w:instrText xml:space="preserve"> </w:instrText>
      </w:r>
      <w:r>
        <w:rPr>
          <w:color w:val="auto"/>
        </w:rPr>
        <w:fldChar w:fldCharType="separate"/>
      </w:r>
      <w:r>
        <w:rPr>
          <w:rFonts w:hint="eastAsia"/>
          <w:color w:val="auto"/>
        </w:rPr>
        <w:t>③</w:t>
      </w:r>
      <w:r>
        <w:rPr>
          <w:color w:val="auto"/>
        </w:rPr>
        <w:fldChar w:fldCharType="end"/>
      </w:r>
      <w:r>
        <w:rPr>
          <w:color w:val="auto"/>
        </w:rPr>
        <w:t xml:space="preserve"> 发生泄漏</w:t>
      </w:r>
      <w:r>
        <w:rPr>
          <w:rFonts w:hint="eastAsia"/>
          <w:color w:val="auto"/>
        </w:rPr>
        <w:t>，影响范围在车间（库房、罐区）范围内，未对环境造成影响的；</w:t>
      </w:r>
    </w:p>
    <w:p>
      <w:pPr>
        <w:pStyle w:val="39"/>
        <w:snapToGrid/>
        <w:spacing w:after="0"/>
        <w:ind w:left="0" w:leftChars="0" w:firstLine="560"/>
        <w:rPr>
          <w:color w:val="auto"/>
          <w:sz w:val="28"/>
          <w:szCs w:val="28"/>
        </w:rPr>
      </w:pPr>
      <w:r>
        <w:rPr>
          <w:color w:val="auto"/>
          <w:sz w:val="28"/>
          <w:szCs w:val="28"/>
        </w:rPr>
        <w:fldChar w:fldCharType="begin"/>
      </w:r>
      <w:r>
        <w:rPr>
          <w:color w:val="auto"/>
          <w:sz w:val="28"/>
          <w:szCs w:val="28"/>
        </w:rPr>
        <w:instrText xml:space="preserve"> </w:instrText>
      </w:r>
      <w:r>
        <w:rPr>
          <w:rFonts w:hint="eastAsia"/>
          <w:color w:val="auto"/>
          <w:sz w:val="28"/>
          <w:szCs w:val="28"/>
        </w:rPr>
        <w:instrText xml:space="preserve">= 2 \* GB2</w:instrText>
      </w:r>
      <w:r>
        <w:rPr>
          <w:color w:val="auto"/>
          <w:sz w:val="28"/>
          <w:szCs w:val="28"/>
        </w:rPr>
        <w:instrText xml:space="preserve"> </w:instrText>
      </w:r>
      <w:r>
        <w:rPr>
          <w:color w:val="auto"/>
          <w:sz w:val="28"/>
          <w:szCs w:val="28"/>
        </w:rPr>
        <w:fldChar w:fldCharType="separate"/>
      </w:r>
      <w:r>
        <w:rPr>
          <w:rFonts w:hint="eastAsia"/>
          <w:color w:val="auto"/>
          <w:sz w:val="28"/>
          <w:szCs w:val="28"/>
        </w:rPr>
        <w:t>⑵</w:t>
      </w:r>
      <w:r>
        <w:rPr>
          <w:color w:val="auto"/>
          <w:sz w:val="28"/>
          <w:szCs w:val="28"/>
        </w:rPr>
        <w:fldChar w:fldCharType="end"/>
      </w:r>
      <w:r>
        <w:rPr>
          <w:color w:val="auto"/>
          <w:sz w:val="28"/>
          <w:szCs w:val="28"/>
        </w:rPr>
        <w:t xml:space="preserve"> </w:t>
      </w:r>
      <w:r>
        <w:rPr>
          <w:rFonts w:hint="eastAsia"/>
          <w:color w:val="auto"/>
          <w:sz w:val="28"/>
          <w:szCs w:val="28"/>
        </w:rPr>
        <w:t>企业级</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因环境污染造成</w:t>
      </w:r>
      <w:r>
        <w:rPr>
          <w:color w:val="auto"/>
          <w:szCs w:val="28"/>
        </w:rPr>
        <w:t>3</w:t>
      </w:r>
      <w:r>
        <w:rPr>
          <w:rFonts w:hint="eastAsia"/>
          <w:color w:val="auto"/>
          <w:szCs w:val="28"/>
        </w:rPr>
        <w:t>人以下（不含3人）中毒或重伤的；</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因环境污染造成直接经济损失2万元（含）以上</w:t>
      </w:r>
      <w:r>
        <w:rPr>
          <w:color w:val="auto"/>
          <w:szCs w:val="28"/>
        </w:rPr>
        <w:t>50</w:t>
      </w:r>
      <w:r>
        <w:rPr>
          <w:rFonts w:hint="eastAsia"/>
          <w:color w:val="auto"/>
          <w:szCs w:val="28"/>
        </w:rPr>
        <w:t>万元以下的；</w:t>
      </w:r>
    </w:p>
    <w:p>
      <w:pPr>
        <w:ind w:firstLine="560"/>
        <w:rPr>
          <w:color w:val="auto"/>
        </w:rPr>
      </w:pPr>
      <w:r>
        <w:rPr>
          <w:color w:val="auto"/>
        </w:rPr>
        <w:fldChar w:fldCharType="begin"/>
      </w:r>
      <w:r>
        <w:rPr>
          <w:color w:val="auto"/>
        </w:rPr>
        <w:instrText xml:space="preserve"> </w:instrText>
      </w:r>
      <w:r>
        <w:rPr>
          <w:rFonts w:hint="eastAsia"/>
          <w:color w:val="auto"/>
        </w:rPr>
        <w:instrText xml:space="preserve">= 3 \* GB3</w:instrText>
      </w:r>
      <w:r>
        <w:rPr>
          <w:color w:val="auto"/>
        </w:rPr>
        <w:instrText xml:space="preserve"> </w:instrText>
      </w:r>
      <w:r>
        <w:rPr>
          <w:color w:val="auto"/>
        </w:rPr>
        <w:fldChar w:fldCharType="separate"/>
      </w:r>
      <w:r>
        <w:rPr>
          <w:rFonts w:hint="eastAsia"/>
          <w:color w:val="auto"/>
        </w:rPr>
        <w:t>③</w:t>
      </w:r>
      <w:r>
        <w:rPr>
          <w:color w:val="auto"/>
        </w:rPr>
        <w:fldChar w:fldCharType="end"/>
      </w:r>
      <w:r>
        <w:rPr>
          <w:color w:val="auto"/>
        </w:rPr>
        <w:t xml:space="preserve"> 发生泄漏</w:t>
      </w:r>
      <w:r>
        <w:rPr>
          <w:rFonts w:hint="eastAsia"/>
          <w:color w:val="auto"/>
        </w:rPr>
        <w:t>，影响范围在生产厂区范围内，未对环境造成影响的；</w:t>
      </w:r>
    </w:p>
    <w:p>
      <w:pPr>
        <w:ind w:firstLine="560"/>
        <w:rPr>
          <w:color w:val="auto"/>
        </w:rPr>
      </w:pPr>
      <w:r>
        <w:rPr>
          <w:color w:val="auto"/>
        </w:rPr>
        <w:fldChar w:fldCharType="begin"/>
      </w:r>
      <w:r>
        <w:rPr>
          <w:color w:val="auto"/>
        </w:rPr>
        <w:instrText xml:space="preserve"> </w:instrText>
      </w:r>
      <w:r>
        <w:rPr>
          <w:rFonts w:hint="eastAsia"/>
          <w:color w:val="auto"/>
        </w:rPr>
        <w:instrText xml:space="preserve">= 4 \* GB3</w:instrText>
      </w:r>
      <w:r>
        <w:rPr>
          <w:color w:val="auto"/>
        </w:rPr>
        <w:instrText xml:space="preserve"> </w:instrText>
      </w:r>
      <w:r>
        <w:rPr>
          <w:color w:val="auto"/>
        </w:rPr>
        <w:fldChar w:fldCharType="separate"/>
      </w:r>
      <w:r>
        <w:rPr>
          <w:rFonts w:hint="eastAsia"/>
          <w:color w:val="auto"/>
        </w:rPr>
        <w:t>④</w:t>
      </w:r>
      <w:r>
        <w:rPr>
          <w:color w:val="auto"/>
        </w:rPr>
        <w:fldChar w:fldCharType="end"/>
      </w:r>
      <w:r>
        <w:rPr>
          <w:color w:val="auto"/>
        </w:rPr>
        <w:t xml:space="preserve"> 发生火灾爆炸事故</w:t>
      </w:r>
      <w:r>
        <w:rPr>
          <w:rFonts w:hint="eastAsia"/>
          <w:color w:val="auto"/>
        </w:rPr>
        <w:t>未</w:t>
      </w:r>
      <w:r>
        <w:rPr>
          <w:color w:val="auto"/>
        </w:rPr>
        <w:t>引发次生环境事件</w:t>
      </w:r>
      <w:r>
        <w:rPr>
          <w:rFonts w:hint="eastAsia"/>
          <w:color w:val="auto"/>
        </w:rPr>
        <w:t>的；</w:t>
      </w:r>
    </w:p>
    <w:p>
      <w:pPr>
        <w:pStyle w:val="38"/>
        <w:snapToGrid/>
        <w:spacing w:after="0"/>
        <w:ind w:firstLine="560" w:firstLineChars="200"/>
        <w:rPr>
          <w:rFonts w:hint="default" w:ascii="Times New Roman" w:hAnsi="Times New Roman" w:eastAsia="仿宋"/>
          <w:color w:val="auto"/>
          <w:kern w:val="2"/>
          <w:sz w:val="28"/>
          <w:szCs w:val="28"/>
          <w:lang w:eastAsia="zh-CN"/>
        </w:rPr>
      </w:pPr>
      <w:r>
        <w:rPr>
          <w:rFonts w:hint="default" w:ascii="Times New Roman" w:hAnsi="Times New Roman" w:eastAsia="仿宋"/>
          <w:color w:val="auto"/>
          <w:kern w:val="2"/>
          <w:sz w:val="28"/>
          <w:szCs w:val="28"/>
          <w:lang w:eastAsia="zh-CN"/>
        </w:rPr>
        <w:fldChar w:fldCharType="begin"/>
      </w:r>
      <w:r>
        <w:rPr>
          <w:rFonts w:hint="default" w:ascii="Times New Roman" w:hAnsi="Times New Roman" w:eastAsia="仿宋"/>
          <w:color w:val="auto"/>
          <w:kern w:val="2"/>
          <w:sz w:val="28"/>
          <w:szCs w:val="28"/>
          <w:lang w:eastAsia="zh-CN"/>
        </w:rPr>
        <w:instrText xml:space="preserve"> </w:instrText>
      </w:r>
      <w:r>
        <w:rPr>
          <w:rFonts w:ascii="Times New Roman" w:hAnsi="Times New Roman" w:eastAsia="仿宋"/>
          <w:color w:val="auto"/>
          <w:kern w:val="2"/>
          <w:sz w:val="28"/>
          <w:szCs w:val="28"/>
          <w:lang w:eastAsia="zh-CN"/>
        </w:rPr>
        <w:instrText xml:space="preserve">= 3 \* GB2</w:instrText>
      </w:r>
      <w:r>
        <w:rPr>
          <w:rFonts w:hint="default" w:ascii="Times New Roman" w:hAnsi="Times New Roman" w:eastAsia="仿宋"/>
          <w:color w:val="auto"/>
          <w:kern w:val="2"/>
          <w:sz w:val="28"/>
          <w:szCs w:val="28"/>
          <w:lang w:eastAsia="zh-CN"/>
        </w:rPr>
        <w:instrText xml:space="preserve"> </w:instrText>
      </w:r>
      <w:r>
        <w:rPr>
          <w:rFonts w:hint="default" w:ascii="Times New Roman" w:hAnsi="Times New Roman" w:eastAsia="仿宋"/>
          <w:color w:val="auto"/>
          <w:kern w:val="2"/>
          <w:sz w:val="28"/>
          <w:szCs w:val="28"/>
          <w:lang w:eastAsia="zh-CN"/>
        </w:rPr>
        <w:fldChar w:fldCharType="separate"/>
      </w:r>
      <w:r>
        <w:rPr>
          <w:rFonts w:ascii="Times New Roman" w:hAnsi="Times New Roman" w:eastAsia="仿宋"/>
          <w:color w:val="auto"/>
          <w:kern w:val="2"/>
          <w:sz w:val="28"/>
          <w:szCs w:val="28"/>
          <w:lang w:eastAsia="zh-CN"/>
        </w:rPr>
        <w:t>⑶</w:t>
      </w:r>
      <w:r>
        <w:rPr>
          <w:rFonts w:hint="default" w:ascii="Times New Roman" w:hAnsi="Times New Roman" w:eastAsia="仿宋"/>
          <w:color w:val="auto"/>
          <w:kern w:val="2"/>
          <w:sz w:val="28"/>
          <w:szCs w:val="28"/>
          <w:lang w:eastAsia="zh-CN"/>
        </w:rPr>
        <w:fldChar w:fldCharType="end"/>
      </w:r>
      <w:r>
        <w:rPr>
          <w:rFonts w:hint="default" w:ascii="Times New Roman" w:hAnsi="Times New Roman" w:eastAsia="仿宋"/>
          <w:color w:val="auto"/>
          <w:kern w:val="2"/>
          <w:sz w:val="28"/>
          <w:szCs w:val="28"/>
          <w:lang w:eastAsia="zh-CN"/>
        </w:rPr>
        <w:t xml:space="preserve"> </w:t>
      </w:r>
      <w:r>
        <w:rPr>
          <w:rFonts w:ascii="Times New Roman" w:hAnsi="Times New Roman" w:eastAsia="仿宋"/>
          <w:color w:val="auto"/>
          <w:kern w:val="2"/>
          <w:sz w:val="28"/>
          <w:szCs w:val="28"/>
          <w:lang w:eastAsia="zh-CN"/>
        </w:rPr>
        <w:t>社会级</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因环境污染造成人员死亡的或</w:t>
      </w:r>
      <w:r>
        <w:rPr>
          <w:color w:val="auto"/>
          <w:szCs w:val="28"/>
        </w:rPr>
        <w:t>3</w:t>
      </w:r>
      <w:r>
        <w:rPr>
          <w:rFonts w:hint="eastAsia"/>
          <w:color w:val="auto"/>
          <w:szCs w:val="28"/>
        </w:rPr>
        <w:t>人（含3人）以上中毒或重伤的；</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因环境污染造成直接经济损失50万元以上的；</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GB3</w:instrText>
      </w:r>
      <w:r>
        <w:rPr>
          <w:color w:val="auto"/>
          <w:szCs w:val="28"/>
        </w:rPr>
        <w:instrText xml:space="preserve"> </w:instrText>
      </w:r>
      <w:r>
        <w:rPr>
          <w:color w:val="auto"/>
          <w:szCs w:val="28"/>
        </w:rPr>
        <w:fldChar w:fldCharType="separate"/>
      </w:r>
      <w:r>
        <w:rPr>
          <w:rFonts w:hint="eastAsia"/>
          <w:color w:val="auto"/>
          <w:szCs w:val="28"/>
        </w:rPr>
        <w:t>③</w:t>
      </w:r>
      <w:r>
        <w:rPr>
          <w:color w:val="auto"/>
          <w:szCs w:val="28"/>
        </w:rPr>
        <w:fldChar w:fldCharType="end"/>
      </w:r>
      <w:r>
        <w:rPr>
          <w:color w:val="auto"/>
          <w:szCs w:val="28"/>
        </w:rPr>
        <w:t xml:space="preserve"> </w:t>
      </w:r>
      <w:r>
        <w:rPr>
          <w:color w:val="auto"/>
        </w:rPr>
        <w:t>发生泄漏</w:t>
      </w:r>
      <w:r>
        <w:rPr>
          <w:rFonts w:hint="eastAsia"/>
          <w:color w:val="auto"/>
        </w:rPr>
        <w:t>，超出厂区范围，对外部环境产生影响的；</w:t>
      </w:r>
    </w:p>
    <w:p>
      <w:pPr>
        <w:ind w:firstLine="560"/>
        <w:rPr>
          <w:color w:val="auto"/>
        </w:rPr>
      </w:pPr>
      <w:r>
        <w:rPr>
          <w:color w:val="auto"/>
        </w:rPr>
        <w:fldChar w:fldCharType="begin"/>
      </w:r>
      <w:r>
        <w:rPr>
          <w:color w:val="auto"/>
        </w:rPr>
        <w:instrText xml:space="preserve"> </w:instrText>
      </w:r>
      <w:r>
        <w:rPr>
          <w:rFonts w:hint="eastAsia"/>
          <w:color w:val="auto"/>
        </w:rPr>
        <w:instrText xml:space="preserve">= 4 \* GB3</w:instrText>
      </w:r>
      <w:r>
        <w:rPr>
          <w:color w:val="auto"/>
        </w:rPr>
        <w:instrText xml:space="preserve"> </w:instrText>
      </w:r>
      <w:r>
        <w:rPr>
          <w:color w:val="auto"/>
        </w:rPr>
        <w:fldChar w:fldCharType="separate"/>
      </w:r>
      <w:r>
        <w:rPr>
          <w:rFonts w:hint="eastAsia"/>
          <w:color w:val="auto"/>
        </w:rPr>
        <w:t>④</w:t>
      </w:r>
      <w:r>
        <w:rPr>
          <w:color w:val="auto"/>
        </w:rPr>
        <w:fldChar w:fldCharType="end"/>
      </w:r>
      <w:r>
        <w:rPr>
          <w:color w:val="auto"/>
        </w:rPr>
        <w:t xml:space="preserve"> 发生火灾爆炸事故从而引发的次生环境事件</w:t>
      </w:r>
      <w:r>
        <w:rPr>
          <w:rFonts w:hint="eastAsia"/>
          <w:color w:val="auto"/>
        </w:rPr>
        <w:t>的；</w:t>
      </w:r>
    </w:p>
    <w:p>
      <w:pPr>
        <w:ind w:firstLine="560"/>
        <w:rPr>
          <w:color w:val="auto"/>
          <w:szCs w:val="28"/>
        </w:rPr>
      </w:pPr>
      <w:bookmarkStart w:id="140" w:name="_Toc24084"/>
      <w:r>
        <w:rPr>
          <w:color w:val="auto"/>
        </w:rPr>
        <w:fldChar w:fldCharType="begin"/>
      </w:r>
      <w:r>
        <w:rPr>
          <w:color w:val="auto"/>
        </w:rPr>
        <w:instrText xml:space="preserve"> </w:instrText>
      </w:r>
      <w:r>
        <w:rPr>
          <w:rFonts w:hint="eastAsia"/>
          <w:color w:val="auto"/>
        </w:rPr>
        <w:instrText xml:space="preserve">= 5 \* GB3</w:instrText>
      </w:r>
      <w:r>
        <w:rPr>
          <w:color w:val="auto"/>
        </w:rPr>
        <w:instrText xml:space="preserve"> </w:instrText>
      </w:r>
      <w:r>
        <w:rPr>
          <w:color w:val="auto"/>
        </w:rPr>
        <w:fldChar w:fldCharType="separate"/>
      </w:r>
      <w:r>
        <w:rPr>
          <w:rFonts w:hint="eastAsia"/>
          <w:color w:val="auto"/>
        </w:rPr>
        <w:t>⑤</w:t>
      </w:r>
      <w:r>
        <w:rPr>
          <w:color w:val="auto"/>
        </w:rPr>
        <w:fldChar w:fldCharType="end"/>
      </w:r>
      <w:r>
        <w:rPr>
          <w:color w:val="auto"/>
        </w:rPr>
        <w:t xml:space="preserve"> </w:t>
      </w:r>
      <w:r>
        <w:rPr>
          <w:rFonts w:hint="eastAsia"/>
          <w:color w:val="auto"/>
          <w:szCs w:val="28"/>
        </w:rPr>
        <w:t>生产过程中因意外事故可能造成无能力处理的突发环境污染的；</w:t>
      </w:r>
    </w:p>
    <w:p>
      <w:pPr>
        <w:ind w:firstLine="560"/>
        <w:rPr>
          <w:color w:val="auto"/>
        </w:rPr>
      </w:pPr>
      <w:r>
        <w:rPr>
          <w:color w:val="auto"/>
        </w:rPr>
        <w:fldChar w:fldCharType="begin"/>
      </w:r>
      <w:r>
        <w:rPr>
          <w:color w:val="auto"/>
        </w:rPr>
        <w:instrText xml:space="preserve"> </w:instrText>
      </w:r>
      <w:r>
        <w:rPr>
          <w:rFonts w:hint="eastAsia"/>
          <w:color w:val="auto"/>
        </w:rPr>
        <w:instrText xml:space="preserve">= 6 \* GB3</w:instrText>
      </w:r>
      <w:r>
        <w:rPr>
          <w:color w:val="auto"/>
        </w:rPr>
        <w:instrText xml:space="preserve"> </w:instrText>
      </w:r>
      <w:r>
        <w:rPr>
          <w:color w:val="auto"/>
        </w:rPr>
        <w:fldChar w:fldCharType="separate"/>
      </w:r>
      <w:r>
        <w:rPr>
          <w:rFonts w:hint="eastAsia"/>
          <w:color w:val="auto"/>
        </w:rPr>
        <w:t>⑥</w:t>
      </w:r>
      <w:r>
        <w:rPr>
          <w:color w:val="auto"/>
        </w:rPr>
        <w:fldChar w:fldCharType="end"/>
      </w:r>
      <w:r>
        <w:rPr>
          <w:color w:val="auto"/>
        </w:rPr>
        <w:t xml:space="preserve"> </w:t>
      </w:r>
      <w:r>
        <w:rPr>
          <w:rFonts w:hint="eastAsia"/>
          <w:color w:val="auto"/>
          <w:szCs w:val="28"/>
        </w:rPr>
        <w:t>因生产区周边环境污染，引发周边居民与单位冲突，干扰正常生产和生活秩序的；</w:t>
      </w:r>
    </w:p>
    <w:p>
      <w:pPr>
        <w:ind w:firstLine="560"/>
        <w:rPr>
          <w:color w:val="auto"/>
        </w:rPr>
      </w:pPr>
      <w:r>
        <w:rPr>
          <w:color w:val="auto"/>
        </w:rPr>
        <w:fldChar w:fldCharType="begin"/>
      </w:r>
      <w:r>
        <w:rPr>
          <w:color w:val="auto"/>
        </w:rPr>
        <w:instrText xml:space="preserve"> </w:instrText>
      </w:r>
      <w:r>
        <w:rPr>
          <w:rFonts w:hint="eastAsia"/>
          <w:color w:val="auto"/>
        </w:rPr>
        <w:instrText xml:space="preserve">= 7 \* GB3</w:instrText>
      </w:r>
      <w:r>
        <w:rPr>
          <w:color w:val="auto"/>
        </w:rPr>
        <w:instrText xml:space="preserve"> </w:instrText>
      </w:r>
      <w:r>
        <w:rPr>
          <w:color w:val="auto"/>
        </w:rPr>
        <w:fldChar w:fldCharType="separate"/>
      </w:r>
      <w:r>
        <w:rPr>
          <w:rFonts w:hint="eastAsia"/>
          <w:color w:val="auto"/>
        </w:rPr>
        <w:t>⑦</w:t>
      </w:r>
      <w:r>
        <w:rPr>
          <w:color w:val="auto"/>
        </w:rPr>
        <w:fldChar w:fldCharType="end"/>
      </w:r>
      <w:r>
        <w:rPr>
          <w:color w:val="auto"/>
        </w:rPr>
        <w:t xml:space="preserve"> </w:t>
      </w:r>
      <w:r>
        <w:rPr>
          <w:rFonts w:hint="eastAsia"/>
          <w:color w:val="auto"/>
        </w:rPr>
        <w:t>其他原因造成较大（含较大）以上环境污染的。</w:t>
      </w:r>
    </w:p>
    <w:p>
      <w:pPr>
        <w:pStyle w:val="4"/>
        <w:rPr>
          <w:color w:val="auto"/>
          <w:szCs w:val="28"/>
        </w:rPr>
      </w:pPr>
      <w:bookmarkStart w:id="141" w:name="_Toc25203"/>
      <w:r>
        <w:rPr>
          <w:color w:val="auto"/>
          <w:szCs w:val="28"/>
        </w:rPr>
        <w:t>6.2 信息报告</w:t>
      </w:r>
      <w:bookmarkEnd w:id="140"/>
      <w:bookmarkEnd w:id="141"/>
    </w:p>
    <w:p>
      <w:pPr>
        <w:pStyle w:val="5"/>
        <w:ind w:firstLine="0" w:firstLineChars="0"/>
        <w:rPr>
          <w:color w:val="auto"/>
        </w:rPr>
      </w:pPr>
      <w:bookmarkStart w:id="142" w:name="_Toc616"/>
      <w:r>
        <w:rPr>
          <w:color w:val="auto"/>
        </w:rPr>
        <w:t xml:space="preserve">6.2.1 </w:t>
      </w:r>
      <w:r>
        <w:rPr>
          <w:rFonts w:hint="eastAsia"/>
          <w:color w:val="auto"/>
        </w:rPr>
        <w:t>企业内部报告程序</w:t>
      </w:r>
      <w:bookmarkEnd w:id="142"/>
    </w:p>
    <w:p>
      <w:pPr>
        <w:ind w:right="129" w:rightChars="46"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当发生突发环境事件时，最早发现者和事故部门应立即报告部门负责人、应急办公室。</w:t>
      </w:r>
    </w:p>
    <w:p>
      <w:pPr>
        <w:ind w:right="129" w:rightChars="46"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应急办公室接到报告后，上报应急指挥部，启动应急救援程序，通知救援队伍迅速赶赴事故现场。</w:t>
      </w:r>
    </w:p>
    <w:p>
      <w:pPr>
        <w:ind w:right="129" w:rightChars="46"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w:t>
      </w:r>
      <w:r>
        <w:rPr>
          <w:rFonts w:hint="eastAsia"/>
          <w:color w:val="auto"/>
          <w:szCs w:val="28"/>
        </w:rPr>
        <w:t>当事人应迅速查明事故发生点，调度应当机立断采取措施，最大程度降低事故危害，组织自救。</w:t>
      </w:r>
    </w:p>
    <w:p>
      <w:pPr>
        <w:ind w:right="129" w:rightChars="46"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w:t>
      </w:r>
      <w:r>
        <w:rPr>
          <w:rFonts w:hint="eastAsia"/>
          <w:color w:val="auto"/>
          <w:szCs w:val="28"/>
        </w:rPr>
        <w:t>监测人员到达现场后，应迅速对事故现场的污染程度进行监测分析，将监测情况报告应急指挥部，并对污染情况做出评估。</w:t>
      </w:r>
    </w:p>
    <w:p>
      <w:pPr>
        <w:ind w:right="129" w:rightChars="46"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5 \* GB2</w:instrText>
      </w:r>
      <w:r>
        <w:rPr>
          <w:color w:val="auto"/>
          <w:szCs w:val="28"/>
        </w:rPr>
        <w:instrText xml:space="preserve"> </w:instrText>
      </w:r>
      <w:r>
        <w:rPr>
          <w:color w:val="auto"/>
          <w:szCs w:val="28"/>
        </w:rPr>
        <w:fldChar w:fldCharType="separate"/>
      </w:r>
      <w:r>
        <w:rPr>
          <w:rFonts w:hint="eastAsia"/>
          <w:color w:val="auto"/>
          <w:szCs w:val="28"/>
        </w:rPr>
        <w:t>⑸</w:t>
      </w:r>
      <w:r>
        <w:rPr>
          <w:color w:val="auto"/>
          <w:szCs w:val="28"/>
        </w:rPr>
        <w:fldChar w:fldCharType="end"/>
      </w:r>
      <w:r>
        <w:rPr>
          <w:color w:val="auto"/>
          <w:szCs w:val="28"/>
        </w:rPr>
        <w:t xml:space="preserve"> </w:t>
      </w:r>
      <w:r>
        <w:rPr>
          <w:rFonts w:hint="eastAsia"/>
          <w:color w:val="auto"/>
          <w:szCs w:val="28"/>
        </w:rPr>
        <w:t>当事故得到控制，应尽快恢复生产。由应急办公室负责写出事故分析报告，上报应急指挥部。</w:t>
      </w:r>
    </w:p>
    <w:p>
      <w:pPr>
        <w:pStyle w:val="5"/>
        <w:ind w:firstLine="0" w:firstLineChars="0"/>
        <w:rPr>
          <w:color w:val="auto"/>
        </w:rPr>
      </w:pPr>
      <w:bookmarkStart w:id="143" w:name="_Toc13432"/>
      <w:r>
        <w:rPr>
          <w:color w:val="auto"/>
        </w:rPr>
        <w:t xml:space="preserve">6.2.2 </w:t>
      </w:r>
      <w:r>
        <w:rPr>
          <w:rFonts w:hint="eastAsia"/>
          <w:color w:val="auto"/>
        </w:rPr>
        <w:t>外部报告时限要求及程序</w:t>
      </w:r>
      <w:bookmarkEnd w:id="143"/>
      <w:r>
        <w:rPr>
          <w:color w:val="auto"/>
        </w:rPr>
        <w:t xml:space="preserve"> </w:t>
      </w:r>
    </w:p>
    <w:p>
      <w:pPr>
        <w:pStyle w:val="61"/>
        <w:ind w:firstLine="560"/>
        <w:rPr>
          <w:color w:val="auto"/>
          <w:kern w:val="0"/>
        </w:rPr>
      </w:pPr>
      <w:r>
        <w:rPr>
          <w:rFonts w:hint="eastAsia"/>
          <w:color w:val="auto"/>
          <w:kern w:val="0"/>
        </w:rPr>
        <w:t>发现突发环境事件后，事件的责任部门、责任人、负有监管责任的部门应立即打电话向</w:t>
      </w:r>
      <w:r>
        <w:rPr>
          <w:rFonts w:hint="eastAsia"/>
          <w:color w:val="auto"/>
          <w:kern w:val="0"/>
          <w:lang w:eastAsia="zh-CN"/>
        </w:rPr>
        <w:t>秦汉新城</w:t>
      </w:r>
      <w:r>
        <w:rPr>
          <w:rFonts w:hint="eastAsia"/>
          <w:color w:val="auto"/>
          <w:kern w:val="0"/>
        </w:rPr>
        <w:t>生态环境局</w:t>
      </w:r>
      <w:r>
        <w:rPr>
          <w:rFonts w:hint="eastAsia"/>
          <w:color w:val="auto"/>
          <w:kern w:val="0"/>
        </w:rPr>
        <w:t>等政府部门报告，并立即组织进行现场调查。</w:t>
      </w:r>
    </w:p>
    <w:p>
      <w:pPr>
        <w:pStyle w:val="61"/>
        <w:ind w:firstLine="560"/>
        <w:rPr>
          <w:color w:val="auto"/>
          <w:kern w:val="0"/>
        </w:rPr>
      </w:pPr>
      <w:r>
        <w:rPr>
          <w:rFonts w:hint="eastAsia"/>
          <w:color w:val="auto"/>
          <w:kern w:val="0"/>
        </w:rPr>
        <w:t>发生突发环境事件要立即启动事故应急预案，需要请示支援的，同时上报上级有关部门请求支援；总指挥指令应急办公室组织职员协助工作，由总指挥和副总指挥赶赴现场，协助上级有关部门指挥应急处置工作。</w:t>
      </w:r>
    </w:p>
    <w:p>
      <w:pPr>
        <w:pStyle w:val="61"/>
        <w:ind w:firstLine="560"/>
        <w:rPr>
          <w:color w:val="auto"/>
          <w:kern w:val="0"/>
        </w:rPr>
      </w:pPr>
      <w:r>
        <w:rPr>
          <w:rFonts w:hint="eastAsia"/>
          <w:color w:val="auto"/>
          <w:kern w:val="0"/>
        </w:rPr>
        <w:t>应急指挥部应在事故发生后及时通报可能受到污染危害的单位和村民，并在事故发生后的24小时内以书面的形式向</w:t>
      </w:r>
      <w:r>
        <w:rPr>
          <w:rFonts w:hint="eastAsia"/>
          <w:color w:val="auto"/>
          <w:kern w:val="0"/>
          <w:lang w:eastAsia="zh-CN"/>
        </w:rPr>
        <w:t>秦汉新城</w:t>
      </w:r>
      <w:r>
        <w:rPr>
          <w:rFonts w:hint="eastAsia"/>
          <w:color w:val="auto"/>
          <w:kern w:val="0"/>
        </w:rPr>
        <w:t>生态环境局</w:t>
      </w:r>
      <w:r>
        <w:rPr>
          <w:rFonts w:hint="eastAsia"/>
          <w:color w:val="auto"/>
          <w:kern w:val="0"/>
        </w:rPr>
        <w:t>报告，说明事故发生的时间、地点、类型和排放污染物的种类、数量、经济损失、人员受害及应急措施等情况的初步报告；事故查清后，向</w:t>
      </w:r>
      <w:r>
        <w:rPr>
          <w:rFonts w:hint="eastAsia"/>
          <w:color w:val="auto"/>
          <w:kern w:val="0"/>
          <w:lang w:eastAsia="zh-CN"/>
        </w:rPr>
        <w:t>秦汉新城</w:t>
      </w:r>
      <w:r>
        <w:rPr>
          <w:rFonts w:hint="eastAsia"/>
          <w:color w:val="auto"/>
          <w:kern w:val="0"/>
        </w:rPr>
        <w:t>生态环境局</w:t>
      </w:r>
      <w:r>
        <w:rPr>
          <w:rFonts w:hint="eastAsia"/>
          <w:color w:val="auto"/>
          <w:kern w:val="0"/>
        </w:rPr>
        <w:t>做出事故发生的原因、过程、危害、采取的措施、处理结果以及事故潜在危害或间接危害、社会影响、遗留问题和防范措施等情况的书面报告，并附有关证明文件。</w:t>
      </w:r>
    </w:p>
    <w:p>
      <w:pPr>
        <w:pStyle w:val="5"/>
        <w:ind w:firstLine="0" w:firstLineChars="0"/>
        <w:rPr>
          <w:color w:val="auto"/>
          <w:kern w:val="0"/>
        </w:rPr>
      </w:pPr>
      <w:bookmarkStart w:id="144" w:name="_Toc10990"/>
      <w:r>
        <w:rPr>
          <w:rFonts w:hint="eastAsia"/>
          <w:color w:val="auto"/>
          <w:kern w:val="0"/>
        </w:rPr>
        <w:t>6.2.3 事故报告内容</w:t>
      </w:r>
      <w:bookmarkEnd w:id="144"/>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1 \* GB2</w:instrText>
      </w:r>
      <w:r>
        <w:rPr>
          <w:color w:val="auto"/>
          <w:kern w:val="0"/>
          <w:szCs w:val="28"/>
        </w:rPr>
        <w:instrText xml:space="preserve"> </w:instrText>
      </w:r>
      <w:r>
        <w:rPr>
          <w:color w:val="auto"/>
          <w:kern w:val="0"/>
          <w:szCs w:val="28"/>
        </w:rPr>
        <w:fldChar w:fldCharType="separate"/>
      </w:r>
      <w:r>
        <w:rPr>
          <w:rFonts w:hint="eastAsia"/>
          <w:color w:val="auto"/>
          <w:kern w:val="0"/>
          <w:szCs w:val="28"/>
        </w:rPr>
        <w:t>⑴</w:t>
      </w:r>
      <w:r>
        <w:rPr>
          <w:color w:val="auto"/>
          <w:kern w:val="0"/>
          <w:szCs w:val="28"/>
        </w:rPr>
        <w:fldChar w:fldCharType="end"/>
      </w:r>
      <w:r>
        <w:rPr>
          <w:color w:val="auto"/>
          <w:kern w:val="0"/>
          <w:szCs w:val="28"/>
        </w:rPr>
        <w:t xml:space="preserve"> </w:t>
      </w:r>
      <w:r>
        <w:rPr>
          <w:rFonts w:hint="eastAsia"/>
          <w:color w:val="auto"/>
          <w:kern w:val="0"/>
          <w:szCs w:val="28"/>
        </w:rPr>
        <w:t xml:space="preserve">事故报告方式 </w:t>
      </w:r>
    </w:p>
    <w:p>
      <w:pPr>
        <w:autoSpaceDE w:val="0"/>
        <w:autoSpaceDN w:val="0"/>
        <w:ind w:firstLine="560"/>
        <w:rPr>
          <w:color w:val="auto"/>
          <w:kern w:val="0"/>
          <w:szCs w:val="28"/>
        </w:rPr>
      </w:pPr>
      <w:r>
        <w:rPr>
          <w:rFonts w:hint="eastAsia"/>
          <w:color w:val="auto"/>
          <w:kern w:val="0"/>
          <w:szCs w:val="28"/>
        </w:rPr>
        <w:t>突发环境事件的报告分为初报、续报和处理结果报告三类。初报在发现或者得知突发环境事件后首次上报，续报在查清有关基本情况、事件发展情况后随时上报，处理结果报告在突发环境事件处理完毕后上报。</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1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①</w:t>
      </w:r>
      <w:r>
        <w:rPr>
          <w:color w:val="auto"/>
          <w:kern w:val="0"/>
          <w:szCs w:val="28"/>
        </w:rPr>
        <w:fldChar w:fldCharType="end"/>
      </w:r>
      <w:r>
        <w:rPr>
          <w:color w:val="auto"/>
          <w:kern w:val="0"/>
          <w:szCs w:val="28"/>
        </w:rPr>
        <w:t xml:space="preserve"> </w:t>
      </w:r>
      <w:r>
        <w:rPr>
          <w:rFonts w:hint="eastAsia"/>
          <w:color w:val="auto"/>
          <w:kern w:val="0"/>
          <w:szCs w:val="28"/>
        </w:rPr>
        <w:t>初报应报告突发环境事件的发生时间、地点、信息来源、事件起因和性质、基本过程、主要污染物和数量、监测数据、人员受害情况、饮用水水源地等环境敏感点受影响情况、事件发展趋势、处置情况、采取的措施以及下一步工作建议等初步情况，并提供可能受到突发环境事件影响的环境敏感点的分布示意图。</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2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②</w:t>
      </w:r>
      <w:r>
        <w:rPr>
          <w:color w:val="auto"/>
          <w:kern w:val="0"/>
          <w:szCs w:val="28"/>
        </w:rPr>
        <w:fldChar w:fldCharType="end"/>
      </w:r>
      <w:r>
        <w:rPr>
          <w:color w:val="auto"/>
          <w:kern w:val="0"/>
          <w:szCs w:val="28"/>
        </w:rPr>
        <w:t xml:space="preserve"> </w:t>
      </w:r>
      <w:r>
        <w:rPr>
          <w:rFonts w:hint="eastAsia"/>
          <w:color w:val="auto"/>
          <w:kern w:val="0"/>
          <w:szCs w:val="28"/>
        </w:rPr>
        <w:t>续报应在初报的基础上，报告有关处置进展情况。</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3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③</w:t>
      </w:r>
      <w:r>
        <w:rPr>
          <w:color w:val="auto"/>
          <w:kern w:val="0"/>
          <w:szCs w:val="28"/>
        </w:rPr>
        <w:fldChar w:fldCharType="end"/>
      </w:r>
      <w:r>
        <w:rPr>
          <w:color w:val="auto"/>
          <w:kern w:val="0"/>
          <w:szCs w:val="28"/>
        </w:rPr>
        <w:t xml:space="preserve"> </w:t>
      </w:r>
      <w:r>
        <w:rPr>
          <w:rFonts w:hint="eastAsia"/>
          <w:color w:val="auto"/>
          <w:kern w:val="0"/>
          <w:szCs w:val="28"/>
        </w:rPr>
        <w:t>处理结果报告应在初报和续报的基础上，报告处理突发环境事件的措施、过程和结果，突发环境事件潜在或者间接危害以及损失、社会影响、处理后的遗留问题、责任追究等详细情况。</w:t>
      </w:r>
    </w:p>
    <w:p>
      <w:pPr>
        <w:pStyle w:val="61"/>
        <w:ind w:firstLine="560"/>
        <w:rPr>
          <w:color w:val="auto"/>
          <w:kern w:val="0"/>
        </w:rPr>
      </w:pPr>
      <w:r>
        <w:rPr>
          <w:color w:val="auto"/>
          <w:kern w:val="0"/>
        </w:rPr>
        <w:fldChar w:fldCharType="begin"/>
      </w:r>
      <w:r>
        <w:rPr>
          <w:color w:val="auto"/>
          <w:kern w:val="0"/>
        </w:rPr>
        <w:instrText xml:space="preserve"> </w:instrText>
      </w:r>
      <w:r>
        <w:rPr>
          <w:rFonts w:hint="eastAsia"/>
          <w:color w:val="auto"/>
          <w:kern w:val="0"/>
        </w:rPr>
        <w:instrText xml:space="preserve">= 2 \* GB2</w:instrText>
      </w:r>
      <w:r>
        <w:rPr>
          <w:color w:val="auto"/>
          <w:kern w:val="0"/>
        </w:rPr>
        <w:instrText xml:space="preserve"> </w:instrText>
      </w:r>
      <w:r>
        <w:rPr>
          <w:color w:val="auto"/>
          <w:kern w:val="0"/>
        </w:rPr>
        <w:fldChar w:fldCharType="separate"/>
      </w:r>
      <w:r>
        <w:rPr>
          <w:rFonts w:hint="eastAsia"/>
          <w:color w:val="auto"/>
          <w:kern w:val="0"/>
        </w:rPr>
        <w:t>⑵</w:t>
      </w:r>
      <w:r>
        <w:rPr>
          <w:color w:val="auto"/>
          <w:kern w:val="0"/>
        </w:rPr>
        <w:fldChar w:fldCharType="end"/>
      </w:r>
      <w:r>
        <w:rPr>
          <w:color w:val="auto"/>
          <w:kern w:val="0"/>
        </w:rPr>
        <w:t xml:space="preserve"> </w:t>
      </w:r>
      <w:r>
        <w:rPr>
          <w:rFonts w:hint="eastAsia"/>
          <w:color w:val="auto"/>
          <w:kern w:val="0"/>
        </w:rPr>
        <w:t>事故报告内容</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1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①</w:t>
      </w:r>
      <w:r>
        <w:rPr>
          <w:color w:val="auto"/>
          <w:kern w:val="0"/>
          <w:szCs w:val="28"/>
        </w:rPr>
        <w:fldChar w:fldCharType="end"/>
      </w:r>
      <w:r>
        <w:rPr>
          <w:color w:val="auto"/>
          <w:kern w:val="0"/>
          <w:szCs w:val="28"/>
        </w:rPr>
        <w:t xml:space="preserve"> </w:t>
      </w:r>
      <w:r>
        <w:rPr>
          <w:rFonts w:hint="eastAsia"/>
          <w:color w:val="auto"/>
          <w:kern w:val="0"/>
          <w:szCs w:val="28"/>
        </w:rPr>
        <w:t>环境污染事故的类型、发生时间、发生地点、主要污染物质；</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2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②</w:t>
      </w:r>
      <w:r>
        <w:rPr>
          <w:color w:val="auto"/>
          <w:kern w:val="0"/>
          <w:szCs w:val="28"/>
        </w:rPr>
        <w:fldChar w:fldCharType="end"/>
      </w:r>
      <w:r>
        <w:rPr>
          <w:color w:val="auto"/>
          <w:kern w:val="0"/>
          <w:szCs w:val="28"/>
        </w:rPr>
        <w:t xml:space="preserve"> </w:t>
      </w:r>
      <w:r>
        <w:rPr>
          <w:rFonts w:hint="eastAsia"/>
          <w:color w:val="auto"/>
          <w:kern w:val="0"/>
          <w:szCs w:val="28"/>
        </w:rPr>
        <w:t>事故发生后人员受害情况（轻伤、重伤、死亡、受伤状况）；</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3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③</w:t>
      </w:r>
      <w:r>
        <w:rPr>
          <w:color w:val="auto"/>
          <w:kern w:val="0"/>
          <w:szCs w:val="28"/>
        </w:rPr>
        <w:fldChar w:fldCharType="end"/>
      </w:r>
      <w:r>
        <w:rPr>
          <w:color w:val="auto"/>
          <w:kern w:val="0"/>
          <w:szCs w:val="28"/>
        </w:rPr>
        <w:t xml:space="preserve"> </w:t>
      </w:r>
      <w:r>
        <w:rPr>
          <w:rFonts w:hint="eastAsia"/>
          <w:color w:val="auto"/>
          <w:kern w:val="0"/>
          <w:szCs w:val="28"/>
        </w:rPr>
        <w:t>事故潜在危害程度、转化方式趋向等初步情况；</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4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④</w:t>
      </w:r>
      <w:r>
        <w:rPr>
          <w:color w:val="auto"/>
          <w:kern w:val="0"/>
          <w:szCs w:val="28"/>
        </w:rPr>
        <w:fldChar w:fldCharType="end"/>
      </w:r>
      <w:r>
        <w:rPr>
          <w:color w:val="auto"/>
          <w:kern w:val="0"/>
          <w:szCs w:val="28"/>
        </w:rPr>
        <w:t xml:space="preserve"> </w:t>
      </w:r>
      <w:r>
        <w:rPr>
          <w:rFonts w:hint="eastAsia"/>
          <w:color w:val="auto"/>
          <w:kern w:val="0"/>
          <w:szCs w:val="28"/>
        </w:rPr>
        <w:t>事故发生原因、过程、进展情况及采取的应急措施等基本情况；</w:t>
      </w:r>
    </w:p>
    <w:p>
      <w:pPr>
        <w:autoSpaceDE w:val="0"/>
        <w:autoSpaceDN w:val="0"/>
        <w:ind w:firstLine="560"/>
        <w:rPr>
          <w:color w:val="auto"/>
          <w:kern w:val="0"/>
          <w:szCs w:val="28"/>
        </w:rPr>
      </w:pPr>
      <w:r>
        <w:rPr>
          <w:color w:val="auto"/>
          <w:kern w:val="0"/>
          <w:szCs w:val="28"/>
        </w:rPr>
        <w:fldChar w:fldCharType="begin"/>
      </w:r>
      <w:r>
        <w:rPr>
          <w:color w:val="auto"/>
          <w:kern w:val="0"/>
          <w:szCs w:val="28"/>
        </w:rPr>
        <w:instrText xml:space="preserve"> </w:instrText>
      </w:r>
      <w:r>
        <w:rPr>
          <w:rFonts w:hint="eastAsia"/>
          <w:color w:val="auto"/>
          <w:kern w:val="0"/>
          <w:szCs w:val="28"/>
        </w:rPr>
        <w:instrText xml:space="preserve">= 5 \* GB3</w:instrText>
      </w:r>
      <w:r>
        <w:rPr>
          <w:color w:val="auto"/>
          <w:kern w:val="0"/>
          <w:szCs w:val="28"/>
        </w:rPr>
        <w:instrText xml:space="preserve"> </w:instrText>
      </w:r>
      <w:r>
        <w:rPr>
          <w:color w:val="auto"/>
          <w:kern w:val="0"/>
          <w:szCs w:val="28"/>
        </w:rPr>
        <w:fldChar w:fldCharType="separate"/>
      </w:r>
      <w:r>
        <w:rPr>
          <w:rFonts w:hint="eastAsia"/>
          <w:color w:val="auto"/>
          <w:kern w:val="0"/>
          <w:szCs w:val="28"/>
        </w:rPr>
        <w:t>⑤</w:t>
      </w:r>
      <w:r>
        <w:rPr>
          <w:color w:val="auto"/>
          <w:kern w:val="0"/>
          <w:szCs w:val="28"/>
        </w:rPr>
        <w:fldChar w:fldCharType="end"/>
      </w:r>
      <w:r>
        <w:rPr>
          <w:color w:val="auto"/>
          <w:kern w:val="0"/>
          <w:szCs w:val="28"/>
        </w:rPr>
        <w:t xml:space="preserve"> </w:t>
      </w:r>
      <w:r>
        <w:rPr>
          <w:rFonts w:hint="eastAsia"/>
          <w:color w:val="auto"/>
          <w:kern w:val="0"/>
          <w:szCs w:val="28"/>
        </w:rPr>
        <w:t>自然环境和社会环境的受害面积及受破坏程度，事故潜在程度等内容。</w:t>
      </w:r>
    </w:p>
    <w:p>
      <w:pPr>
        <w:pStyle w:val="5"/>
        <w:ind w:firstLine="0" w:firstLineChars="0"/>
        <w:rPr>
          <w:color w:val="auto"/>
          <w:kern w:val="0"/>
        </w:rPr>
      </w:pPr>
      <w:bookmarkStart w:id="145" w:name="_Toc6730"/>
      <w:r>
        <w:rPr>
          <w:rFonts w:hint="eastAsia"/>
          <w:color w:val="auto"/>
          <w:kern w:val="0"/>
        </w:rPr>
        <w:t>6.2.4 通报可能影响的区域</w:t>
      </w:r>
      <w:bookmarkEnd w:id="145"/>
    </w:p>
    <w:p>
      <w:pPr>
        <w:autoSpaceDE w:val="0"/>
        <w:autoSpaceDN w:val="0"/>
        <w:ind w:firstLine="560"/>
        <w:rPr>
          <w:color w:val="auto"/>
          <w:kern w:val="0"/>
          <w:szCs w:val="28"/>
        </w:rPr>
      </w:pPr>
      <w:r>
        <w:rPr>
          <w:rFonts w:hint="eastAsia"/>
          <w:color w:val="auto"/>
          <w:kern w:val="0"/>
          <w:szCs w:val="28"/>
        </w:rPr>
        <w:t>总指挥根据现场应急情况，当发现事故可能影响村庄村民的安全时，由应急办公室协助政府部门应急救援负责小组与周边村委紧急联系，通报当前污染事故的状况，通知群众做好应急疏散准备，听候应急指挥的指令，并强调在撤离过程中注意事项，积极组织群众开展自救和互救。</w:t>
      </w:r>
    </w:p>
    <w:p>
      <w:pPr>
        <w:pStyle w:val="4"/>
        <w:rPr>
          <w:color w:val="auto"/>
          <w:szCs w:val="28"/>
        </w:rPr>
      </w:pPr>
      <w:bookmarkStart w:id="146" w:name="_Toc5744"/>
      <w:bookmarkStart w:id="147" w:name="_Toc10736"/>
      <w:r>
        <w:rPr>
          <w:color w:val="auto"/>
          <w:szCs w:val="28"/>
        </w:rPr>
        <w:t>6.3 分级响应</w:t>
      </w:r>
      <w:bookmarkEnd w:id="146"/>
      <w:bookmarkEnd w:id="147"/>
    </w:p>
    <w:p>
      <w:pPr>
        <w:pStyle w:val="5"/>
        <w:ind w:firstLine="0" w:firstLineChars="0"/>
        <w:rPr>
          <w:color w:val="auto"/>
          <w:kern w:val="0"/>
        </w:rPr>
      </w:pPr>
      <w:bookmarkStart w:id="148" w:name="_Toc8191"/>
      <w:r>
        <w:rPr>
          <w:color w:val="auto"/>
          <w:kern w:val="0"/>
        </w:rPr>
        <w:t>6.3.1 分级</w:t>
      </w:r>
      <w:r>
        <w:rPr>
          <w:rFonts w:hint="eastAsia"/>
          <w:color w:val="auto"/>
          <w:kern w:val="0"/>
        </w:rPr>
        <w:t>响应措施</w:t>
      </w:r>
      <w:bookmarkEnd w:id="148"/>
    </w:p>
    <w:p>
      <w:pPr>
        <w:ind w:firstLine="560"/>
        <w:rPr>
          <w:rFonts w:ascii="仿宋" w:hAnsi="仿宋" w:cs="仿宋"/>
          <w:color w:val="auto"/>
          <w:szCs w:val="28"/>
        </w:rPr>
      </w:pPr>
      <w:r>
        <w:rPr>
          <w:rFonts w:hint="eastAsia" w:ascii="仿宋" w:hAnsi="仿宋" w:cs="仿宋"/>
          <w:color w:val="auto"/>
          <w:szCs w:val="28"/>
        </w:rPr>
        <w:t>按公司突发环境事件的可控性、严重程度和影响范围，将公司突发环境事件的应急响应分三级，响应级别由低到高分别为Ⅲ级（车间级）响应、Ⅱ级（企业级）响应和Ⅰ级（社会级）响应。</w:t>
      </w:r>
    </w:p>
    <w:p>
      <w:pPr>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1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⑴</w:t>
      </w:r>
      <w:r>
        <w:rPr>
          <w:rFonts w:ascii="仿宋" w:hAnsi="仿宋" w:cs="仿宋"/>
          <w:color w:val="auto"/>
          <w:szCs w:val="28"/>
        </w:rPr>
        <w:fldChar w:fldCharType="end"/>
      </w:r>
      <w:r>
        <w:rPr>
          <w:rFonts w:ascii="仿宋" w:hAnsi="仿宋" w:cs="仿宋"/>
          <w:color w:val="auto"/>
          <w:szCs w:val="28"/>
        </w:rPr>
        <w:t xml:space="preserve"> </w:t>
      </w:r>
      <w:r>
        <w:rPr>
          <w:rFonts w:hint="eastAsia" w:ascii="仿宋" w:hAnsi="仿宋" w:cs="仿宋"/>
          <w:color w:val="auto"/>
          <w:szCs w:val="28"/>
        </w:rPr>
        <w:t>当发生车间级环境污染事件时，启动三级响应程序，由公司应急指挥部总指挥负责应急指挥；组织调度应急资源进行应急处置。</w:t>
      </w:r>
    </w:p>
    <w:p>
      <w:pPr>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2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⑵</w:t>
      </w:r>
      <w:r>
        <w:rPr>
          <w:rFonts w:ascii="仿宋" w:hAnsi="仿宋" w:cs="仿宋"/>
          <w:color w:val="auto"/>
          <w:szCs w:val="28"/>
        </w:rPr>
        <w:fldChar w:fldCharType="end"/>
      </w:r>
      <w:r>
        <w:rPr>
          <w:rFonts w:ascii="仿宋" w:hAnsi="仿宋" w:cs="仿宋"/>
          <w:color w:val="auto"/>
          <w:szCs w:val="28"/>
        </w:rPr>
        <w:t xml:space="preserve"> </w:t>
      </w:r>
      <w:r>
        <w:rPr>
          <w:rFonts w:hint="eastAsia" w:ascii="仿宋" w:hAnsi="仿宋" w:cs="仿宋"/>
          <w:color w:val="auto"/>
          <w:szCs w:val="28"/>
        </w:rPr>
        <w:t>当发生企业级环境污染事件时，启动二级响应程序，由公司应急指挥部总指挥负责应急指挥；组织调度全公司的应急资源进行应急处置。</w:t>
      </w:r>
    </w:p>
    <w:p>
      <w:pPr>
        <w:ind w:firstLine="560"/>
        <w:rPr>
          <w:rFonts w:ascii="仿宋" w:hAnsi="仿宋" w:cs="仿宋"/>
          <w:color w:val="auto"/>
          <w:szCs w:val="28"/>
        </w:rPr>
      </w:pPr>
      <w:r>
        <w:rPr>
          <w:rFonts w:ascii="仿宋" w:hAnsi="仿宋" w:cs="仿宋"/>
          <w:color w:val="auto"/>
          <w:szCs w:val="28"/>
        </w:rPr>
        <w:fldChar w:fldCharType="begin"/>
      </w:r>
      <w:r>
        <w:rPr>
          <w:rFonts w:ascii="仿宋" w:hAnsi="仿宋" w:cs="仿宋"/>
          <w:color w:val="auto"/>
          <w:szCs w:val="28"/>
        </w:rPr>
        <w:instrText xml:space="preserve"> </w:instrText>
      </w:r>
      <w:r>
        <w:rPr>
          <w:rFonts w:hint="eastAsia" w:ascii="仿宋" w:hAnsi="仿宋" w:cs="仿宋"/>
          <w:color w:val="auto"/>
          <w:szCs w:val="28"/>
        </w:rPr>
        <w:instrText xml:space="preserve">= 3 \* GB2</w:instrText>
      </w:r>
      <w:r>
        <w:rPr>
          <w:rFonts w:ascii="仿宋" w:hAnsi="仿宋" w:cs="仿宋"/>
          <w:color w:val="auto"/>
          <w:szCs w:val="28"/>
        </w:rPr>
        <w:instrText xml:space="preserve"> </w:instrText>
      </w:r>
      <w:r>
        <w:rPr>
          <w:rFonts w:ascii="仿宋" w:hAnsi="仿宋" w:cs="仿宋"/>
          <w:color w:val="auto"/>
          <w:szCs w:val="28"/>
        </w:rPr>
        <w:fldChar w:fldCharType="separate"/>
      </w:r>
      <w:r>
        <w:rPr>
          <w:rFonts w:hint="eastAsia" w:ascii="仿宋" w:hAnsi="仿宋" w:cs="仿宋"/>
          <w:color w:val="auto"/>
          <w:szCs w:val="28"/>
        </w:rPr>
        <w:t>⑶</w:t>
      </w:r>
      <w:r>
        <w:rPr>
          <w:rFonts w:ascii="仿宋" w:hAnsi="仿宋" w:cs="仿宋"/>
          <w:color w:val="auto"/>
          <w:szCs w:val="28"/>
        </w:rPr>
        <w:fldChar w:fldCharType="end"/>
      </w:r>
      <w:r>
        <w:rPr>
          <w:rFonts w:ascii="仿宋" w:hAnsi="仿宋" w:cs="仿宋"/>
          <w:color w:val="auto"/>
          <w:szCs w:val="28"/>
        </w:rPr>
        <w:t xml:space="preserve"> </w:t>
      </w:r>
      <w:r>
        <w:rPr>
          <w:rFonts w:hint="eastAsia" w:ascii="仿宋" w:hAnsi="仿宋" w:cs="仿宋"/>
          <w:color w:val="auto"/>
          <w:szCs w:val="28"/>
        </w:rPr>
        <w:t>当发生社会级环境污染事件时，启动一级响应程序，由应急总指挥上报秦汉新城</w:t>
      </w:r>
      <w:r>
        <w:rPr>
          <w:rFonts w:hint="eastAsia" w:ascii="仿宋" w:hAnsi="仿宋" w:cs="仿宋"/>
          <w:color w:val="auto"/>
          <w:szCs w:val="28"/>
          <w:lang w:eastAsia="zh-CN"/>
        </w:rPr>
        <w:t>管委会</w:t>
      </w:r>
      <w:r>
        <w:rPr>
          <w:rFonts w:hint="eastAsia" w:ascii="仿宋" w:hAnsi="仿宋" w:cs="仿宋"/>
          <w:color w:val="auto"/>
          <w:szCs w:val="28"/>
        </w:rPr>
        <w:t>，由政府部门授权后启动相关预案，调度社会应急资源进行应急处置。公司应急指挥部积极协助配合应急处置工作。</w:t>
      </w:r>
    </w:p>
    <w:p>
      <w:pPr>
        <w:pStyle w:val="61"/>
        <w:ind w:firstLine="560"/>
        <w:rPr>
          <w:color w:val="auto"/>
        </w:rPr>
      </w:pPr>
      <w:r>
        <w:rPr>
          <w:rFonts w:hint="eastAsia"/>
          <w:color w:val="auto"/>
        </w:rPr>
        <w:t>本应急响应流程图见图6-1。</w:t>
      </w:r>
    </w:p>
    <w:p>
      <w:pPr>
        <w:pStyle w:val="61"/>
        <w:ind w:firstLine="560"/>
        <w:jc w:val="center"/>
        <w:rPr>
          <w:b/>
          <w:bCs/>
          <w:color w:val="auto"/>
        </w:rPr>
      </w:pPr>
      <w:r>
        <w:rPr>
          <w:rFonts w:hint="eastAsia"/>
          <w:color w:val="auto"/>
        </w:rPr>
        <w:object>
          <v:shape id="_x0000_i1026" o:spt="75" type="#_x0000_t75" style="height:615.85pt;width:444.6pt;" o:ole="t" filled="f" coordsize="21600,21600">
            <v:path/>
            <v:fill on="f" focussize="0,0"/>
            <v:stroke/>
            <v:imagedata r:id="rId36" o:title=""/>
            <o:lock v:ext="edit" aspectratio="t"/>
            <w10:wrap type="none"/>
            <w10:anchorlock/>
          </v:shape>
          <o:OLEObject Type="Embed" ProgID="Visio.Drawing.11" ShapeID="_x0000_i1026" DrawAspect="Content" ObjectID="_1468075726">
            <o:LockedField>false</o:LockedField>
          </o:OLEObject>
        </w:object>
      </w:r>
      <w:r>
        <w:rPr>
          <w:rFonts w:hint="eastAsia"/>
          <w:b/>
          <w:bCs/>
          <w:color w:val="auto"/>
        </w:rPr>
        <w:t xml:space="preserve">图6-1  </w:t>
      </w:r>
      <w:r>
        <w:rPr>
          <w:b/>
          <w:bCs/>
          <w:color w:val="auto"/>
        </w:rPr>
        <w:t xml:space="preserve">  </w:t>
      </w:r>
      <w:r>
        <w:rPr>
          <w:rFonts w:hint="eastAsia"/>
          <w:b/>
          <w:bCs/>
          <w:color w:val="auto"/>
        </w:rPr>
        <w:t>应急响应流程图</w:t>
      </w:r>
    </w:p>
    <w:p>
      <w:pPr>
        <w:autoSpaceDE w:val="0"/>
        <w:autoSpaceDN w:val="0"/>
        <w:ind w:firstLine="562"/>
        <w:jc w:val="center"/>
        <w:rPr>
          <w:b/>
          <w:color w:val="auto"/>
        </w:rPr>
      </w:pPr>
    </w:p>
    <w:p>
      <w:pPr>
        <w:pStyle w:val="39"/>
        <w:ind w:left="560"/>
        <w:rPr>
          <w:color w:val="auto"/>
        </w:rPr>
      </w:pPr>
    </w:p>
    <w:p>
      <w:pPr>
        <w:autoSpaceDE w:val="0"/>
        <w:autoSpaceDN w:val="0"/>
        <w:ind w:firstLine="482"/>
        <w:jc w:val="center"/>
        <w:rPr>
          <w:b/>
          <w:color w:val="auto"/>
          <w:sz w:val="24"/>
        </w:rPr>
      </w:pPr>
      <w:r>
        <w:rPr>
          <w:rFonts w:hint="eastAsia"/>
          <w:b/>
          <w:color w:val="auto"/>
          <w:sz w:val="24"/>
        </w:rPr>
        <w:t>表6-1</w:t>
      </w:r>
      <w:r>
        <w:rPr>
          <w:b/>
          <w:color w:val="auto"/>
          <w:sz w:val="24"/>
        </w:rPr>
        <w:t xml:space="preserve">    </w:t>
      </w:r>
      <w:r>
        <w:rPr>
          <w:rFonts w:hint="eastAsia"/>
          <w:b/>
          <w:color w:val="auto"/>
          <w:sz w:val="24"/>
        </w:rPr>
        <w:tab/>
      </w:r>
      <w:r>
        <w:rPr>
          <w:rFonts w:hint="eastAsia"/>
          <w:b/>
          <w:color w:val="auto"/>
          <w:sz w:val="24"/>
        </w:rPr>
        <w:t>应急响应级别表</w:t>
      </w:r>
    </w:p>
    <w:tbl>
      <w:tblPr>
        <w:tblStyle w:val="40"/>
        <w:tblW w:w="9080"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979"/>
        <w:gridCol w:w="1662"/>
        <w:gridCol w:w="2735"/>
        <w:gridCol w:w="1208"/>
        <w:gridCol w:w="1496"/>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79" w:type="dxa"/>
            <w:shd w:val="clear" w:color="auto" w:fill="D9D9D9"/>
            <w:vAlign w:val="center"/>
          </w:tcPr>
          <w:p>
            <w:pPr>
              <w:pStyle w:val="36"/>
              <w:widowControl w:val="0"/>
              <w:adjustRightInd/>
              <w:snapToGrid/>
              <w:spacing w:before="0" w:beforeAutospacing="0" w:after="0" w:afterAutospacing="0" w:line="240" w:lineRule="auto"/>
              <w:jc w:val="center"/>
              <w:rPr>
                <w:rFonts w:ascii="仿宋" w:hAnsi="仿宋" w:eastAsia="仿宋" w:cs="Times New Roman"/>
                <w:b/>
                <w:color w:val="auto"/>
              </w:rPr>
            </w:pPr>
            <w:r>
              <w:rPr>
                <w:rFonts w:hint="eastAsia" w:ascii="仿宋" w:hAnsi="仿宋" w:eastAsia="仿宋" w:cs="Times New Roman"/>
                <w:b/>
                <w:color w:val="auto"/>
              </w:rPr>
              <w:t>事件</w:t>
            </w:r>
          </w:p>
        </w:tc>
        <w:tc>
          <w:tcPr>
            <w:tcW w:w="1662" w:type="dxa"/>
            <w:shd w:val="clear" w:color="auto" w:fill="D9D9D9"/>
            <w:vAlign w:val="center"/>
          </w:tcPr>
          <w:p>
            <w:pPr>
              <w:pStyle w:val="36"/>
              <w:widowControl w:val="0"/>
              <w:adjustRightInd/>
              <w:snapToGrid/>
              <w:spacing w:before="0" w:beforeAutospacing="0" w:after="0" w:afterAutospacing="0" w:line="240" w:lineRule="auto"/>
              <w:jc w:val="center"/>
              <w:rPr>
                <w:rFonts w:ascii="仿宋" w:hAnsi="仿宋" w:eastAsia="仿宋" w:cs="Times New Roman"/>
                <w:b/>
                <w:color w:val="auto"/>
              </w:rPr>
            </w:pPr>
            <w:r>
              <w:rPr>
                <w:rFonts w:hint="eastAsia" w:ascii="仿宋" w:hAnsi="仿宋" w:eastAsia="仿宋" w:cs="Times New Roman"/>
                <w:b/>
                <w:color w:val="auto"/>
              </w:rPr>
              <w:t>事件类型</w:t>
            </w:r>
          </w:p>
        </w:tc>
        <w:tc>
          <w:tcPr>
            <w:tcW w:w="2735" w:type="dxa"/>
            <w:shd w:val="clear" w:color="auto" w:fill="D9D9D9"/>
            <w:vAlign w:val="center"/>
          </w:tcPr>
          <w:p>
            <w:pPr>
              <w:pStyle w:val="36"/>
              <w:widowControl w:val="0"/>
              <w:adjustRightInd/>
              <w:snapToGrid/>
              <w:spacing w:before="0" w:beforeAutospacing="0" w:after="0" w:afterAutospacing="0" w:line="240" w:lineRule="auto"/>
              <w:jc w:val="center"/>
              <w:rPr>
                <w:rFonts w:ascii="仿宋" w:hAnsi="仿宋" w:eastAsia="仿宋" w:cs="Times New Roman"/>
                <w:b/>
                <w:color w:val="auto"/>
              </w:rPr>
            </w:pPr>
            <w:r>
              <w:rPr>
                <w:rFonts w:hint="eastAsia" w:ascii="仿宋" w:hAnsi="仿宋" w:eastAsia="仿宋" w:cs="Times New Roman"/>
                <w:b/>
                <w:color w:val="auto"/>
              </w:rPr>
              <w:t>诱发因素</w:t>
            </w:r>
          </w:p>
        </w:tc>
        <w:tc>
          <w:tcPr>
            <w:tcW w:w="1208" w:type="dxa"/>
            <w:shd w:val="clear" w:color="auto" w:fill="D9D9D9"/>
            <w:vAlign w:val="center"/>
          </w:tcPr>
          <w:p>
            <w:pPr>
              <w:pStyle w:val="36"/>
              <w:widowControl w:val="0"/>
              <w:adjustRightInd/>
              <w:snapToGrid/>
              <w:spacing w:before="0" w:beforeAutospacing="0" w:after="0" w:afterAutospacing="0" w:line="240" w:lineRule="auto"/>
              <w:jc w:val="center"/>
              <w:rPr>
                <w:rFonts w:ascii="仿宋" w:hAnsi="仿宋" w:eastAsia="仿宋" w:cs="Times New Roman"/>
                <w:b/>
                <w:color w:val="auto"/>
              </w:rPr>
            </w:pPr>
            <w:r>
              <w:rPr>
                <w:rFonts w:hint="eastAsia" w:ascii="仿宋" w:hAnsi="仿宋" w:eastAsia="仿宋" w:cs="Times New Roman"/>
                <w:b/>
                <w:color w:val="auto"/>
              </w:rPr>
              <w:t>预警级别</w:t>
            </w:r>
          </w:p>
        </w:tc>
        <w:tc>
          <w:tcPr>
            <w:tcW w:w="1496" w:type="dxa"/>
            <w:shd w:val="clear" w:color="auto" w:fill="D9D9D9"/>
            <w:vAlign w:val="center"/>
          </w:tcPr>
          <w:p>
            <w:pPr>
              <w:pStyle w:val="36"/>
              <w:widowControl w:val="0"/>
              <w:adjustRightInd/>
              <w:snapToGrid/>
              <w:spacing w:before="0" w:beforeAutospacing="0" w:after="0" w:afterAutospacing="0" w:line="240" w:lineRule="auto"/>
              <w:jc w:val="center"/>
              <w:rPr>
                <w:rFonts w:ascii="仿宋" w:hAnsi="仿宋" w:eastAsia="仿宋" w:cs="Times New Roman"/>
                <w:b/>
                <w:color w:val="auto"/>
              </w:rPr>
            </w:pPr>
            <w:r>
              <w:rPr>
                <w:rFonts w:hint="eastAsia" w:ascii="仿宋" w:hAnsi="仿宋" w:eastAsia="仿宋" w:cs="Times New Roman"/>
                <w:b/>
                <w:color w:val="auto"/>
              </w:rPr>
              <w:t>响应级别</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79"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泄漏</w:t>
            </w:r>
          </w:p>
        </w:tc>
        <w:tc>
          <w:tcPr>
            <w:tcW w:w="1662"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大气污染、水污染、土壤污染</w:t>
            </w:r>
          </w:p>
        </w:tc>
        <w:tc>
          <w:tcPr>
            <w:tcW w:w="2735"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储罐破裂、设备管道故障造成的泄漏</w:t>
            </w:r>
          </w:p>
        </w:tc>
        <w:tc>
          <w:tcPr>
            <w:tcW w:w="1208"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蓝色预警</w:t>
            </w:r>
          </w:p>
        </w:tc>
        <w:tc>
          <w:tcPr>
            <w:tcW w:w="1496"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车间级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79"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ascii="仿宋" w:hAnsi="仿宋" w:eastAsia="仿宋" w:cs="Times New Roman"/>
                <w:color w:val="auto"/>
              </w:rPr>
              <w:t>火灾、爆炸</w:t>
            </w:r>
            <w:r>
              <w:rPr>
                <w:rFonts w:hint="eastAsia" w:ascii="仿宋" w:hAnsi="仿宋" w:eastAsia="仿宋" w:cs="Times New Roman"/>
                <w:color w:val="auto"/>
              </w:rPr>
              <w:t>伴生的CO</w:t>
            </w:r>
          </w:p>
        </w:tc>
        <w:tc>
          <w:tcPr>
            <w:tcW w:w="1662"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大气污染</w:t>
            </w:r>
          </w:p>
        </w:tc>
        <w:tc>
          <w:tcPr>
            <w:tcW w:w="2735"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泄漏未及时控制；其他因素如电路老化、明火、管理不当等</w:t>
            </w:r>
          </w:p>
        </w:tc>
        <w:tc>
          <w:tcPr>
            <w:tcW w:w="1208"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黄色预警</w:t>
            </w:r>
          </w:p>
        </w:tc>
        <w:tc>
          <w:tcPr>
            <w:tcW w:w="1496"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企业级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79"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消防水外流事件</w:t>
            </w:r>
          </w:p>
        </w:tc>
        <w:tc>
          <w:tcPr>
            <w:tcW w:w="1662"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土壤污染和</w:t>
            </w:r>
          </w:p>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水污染</w:t>
            </w:r>
          </w:p>
        </w:tc>
        <w:tc>
          <w:tcPr>
            <w:tcW w:w="2735"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发生事故后操作不及时等</w:t>
            </w:r>
          </w:p>
        </w:tc>
        <w:tc>
          <w:tcPr>
            <w:tcW w:w="1208"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黄色预警</w:t>
            </w:r>
          </w:p>
        </w:tc>
        <w:tc>
          <w:tcPr>
            <w:tcW w:w="1496"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企业级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79"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废气</w:t>
            </w:r>
            <w:r>
              <w:rPr>
                <w:rFonts w:ascii="仿宋" w:hAnsi="仿宋" w:eastAsia="仿宋" w:cs="Times New Roman"/>
                <w:color w:val="auto"/>
              </w:rPr>
              <w:t>、废水超标排放</w:t>
            </w:r>
            <w:r>
              <w:rPr>
                <w:rFonts w:hint="eastAsia" w:ascii="仿宋" w:hAnsi="仿宋" w:eastAsia="仿宋" w:cs="Times New Roman"/>
                <w:color w:val="auto"/>
              </w:rPr>
              <w:t>8小时</w:t>
            </w:r>
          </w:p>
        </w:tc>
        <w:tc>
          <w:tcPr>
            <w:tcW w:w="1662"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大气污染、水污染</w:t>
            </w:r>
          </w:p>
        </w:tc>
        <w:tc>
          <w:tcPr>
            <w:tcW w:w="2735"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废气</w:t>
            </w:r>
            <w:r>
              <w:rPr>
                <w:rFonts w:ascii="仿宋" w:hAnsi="仿宋" w:eastAsia="仿宋" w:cs="Times New Roman"/>
                <w:color w:val="auto"/>
              </w:rPr>
              <w:t>、废水处理设施故障、操作不当等</w:t>
            </w:r>
          </w:p>
        </w:tc>
        <w:tc>
          <w:tcPr>
            <w:tcW w:w="1208"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黄色预警</w:t>
            </w:r>
          </w:p>
        </w:tc>
        <w:tc>
          <w:tcPr>
            <w:tcW w:w="1496"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企业级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40" w:hRule="atLeast"/>
          <w:jc w:val="center"/>
        </w:trPr>
        <w:tc>
          <w:tcPr>
            <w:tcW w:w="1979"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废气</w:t>
            </w:r>
            <w:r>
              <w:rPr>
                <w:rFonts w:ascii="仿宋" w:hAnsi="仿宋" w:eastAsia="仿宋" w:cs="Times New Roman"/>
                <w:color w:val="auto"/>
              </w:rPr>
              <w:t>、废水超标排放</w:t>
            </w:r>
            <w:r>
              <w:rPr>
                <w:rFonts w:hint="eastAsia" w:ascii="仿宋" w:hAnsi="仿宋" w:eastAsia="仿宋" w:cs="Times New Roman"/>
                <w:color w:val="auto"/>
              </w:rPr>
              <w:t>16小时</w:t>
            </w:r>
          </w:p>
        </w:tc>
        <w:tc>
          <w:tcPr>
            <w:tcW w:w="1662"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大气污染、水污染</w:t>
            </w:r>
          </w:p>
        </w:tc>
        <w:tc>
          <w:tcPr>
            <w:tcW w:w="2735"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废气</w:t>
            </w:r>
            <w:r>
              <w:rPr>
                <w:rFonts w:ascii="仿宋" w:hAnsi="仿宋" w:eastAsia="仿宋" w:cs="Times New Roman"/>
                <w:color w:val="auto"/>
              </w:rPr>
              <w:t>、废水处理设施故障、操作不当等</w:t>
            </w:r>
          </w:p>
        </w:tc>
        <w:tc>
          <w:tcPr>
            <w:tcW w:w="1208" w:type="dxa"/>
            <w:vAlign w:val="center"/>
          </w:tcPr>
          <w:p>
            <w:pPr>
              <w:pStyle w:val="36"/>
              <w:widowControl w:val="0"/>
              <w:adjustRightInd/>
              <w:snapToGrid/>
              <w:spacing w:before="0" w:beforeAutospacing="0" w:after="0" w:afterAutospacing="0" w:line="240" w:lineRule="auto"/>
              <w:jc w:val="center"/>
              <w:rPr>
                <w:rFonts w:ascii="仿宋" w:hAnsi="仿宋" w:eastAsia="仿宋" w:cs="Times New Roman"/>
                <w:color w:val="auto"/>
              </w:rPr>
            </w:pPr>
            <w:r>
              <w:rPr>
                <w:rFonts w:hint="eastAsia" w:ascii="仿宋" w:hAnsi="仿宋" w:eastAsia="仿宋" w:cs="Times New Roman"/>
                <w:color w:val="auto"/>
              </w:rPr>
              <w:t>橙色色预警</w:t>
            </w:r>
          </w:p>
        </w:tc>
        <w:tc>
          <w:tcPr>
            <w:tcW w:w="1496" w:type="dxa"/>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社会级</w:t>
            </w:r>
          </w:p>
        </w:tc>
      </w:tr>
    </w:tbl>
    <w:p>
      <w:pPr>
        <w:pStyle w:val="5"/>
        <w:ind w:firstLine="562"/>
        <w:rPr>
          <w:color w:val="auto"/>
        </w:rPr>
      </w:pPr>
      <w:bookmarkStart w:id="149" w:name="_Toc21564"/>
      <w:r>
        <w:rPr>
          <w:color w:val="auto"/>
        </w:rPr>
        <w:t>6.3.2 响应行动</w:t>
      </w:r>
      <w:bookmarkEnd w:id="149"/>
    </w:p>
    <w:p>
      <w:pPr>
        <w:ind w:firstLine="560"/>
        <w:rPr>
          <w:color w:val="auto"/>
          <w:szCs w:val="28"/>
        </w:rPr>
      </w:pPr>
      <w:r>
        <w:rPr>
          <w:rFonts w:hint="eastAsia"/>
          <w:color w:val="auto"/>
          <w:szCs w:val="28"/>
        </w:rPr>
        <w:t>⑴</w:t>
      </w:r>
      <w:r>
        <w:rPr>
          <w:color w:val="auto"/>
          <w:szCs w:val="28"/>
        </w:rPr>
        <w:t>应急指挥部</w:t>
      </w:r>
    </w:p>
    <w:p>
      <w:pPr>
        <w:ind w:firstLine="560"/>
        <w:rPr>
          <w:color w:val="auto"/>
          <w:szCs w:val="28"/>
        </w:rPr>
      </w:pPr>
      <w:r>
        <w:rPr>
          <w:rFonts w:hint="eastAsia"/>
          <w:color w:val="auto"/>
          <w:szCs w:val="28"/>
        </w:rPr>
        <w:t>①</w:t>
      </w:r>
      <w:r>
        <w:rPr>
          <w:color w:val="auto"/>
          <w:szCs w:val="28"/>
        </w:rPr>
        <w:t xml:space="preserve"> 根据接警时描述情况研究应急措施，启动应急预案与处置程序；</w:t>
      </w:r>
    </w:p>
    <w:p>
      <w:pPr>
        <w:autoSpaceDE w:val="0"/>
        <w:autoSpaceDN w:val="0"/>
        <w:ind w:firstLine="560"/>
        <w:rPr>
          <w:color w:val="auto"/>
          <w:szCs w:val="28"/>
        </w:rPr>
      </w:pPr>
      <w:r>
        <w:rPr>
          <w:rFonts w:hint="eastAsia"/>
          <w:color w:val="auto"/>
          <w:szCs w:val="28"/>
        </w:rPr>
        <w:t>②</w:t>
      </w:r>
      <w:r>
        <w:rPr>
          <w:color w:val="auto"/>
          <w:szCs w:val="28"/>
        </w:rPr>
        <w:t xml:space="preserve"> 现场组织各应急队伍</w:t>
      </w:r>
      <w:r>
        <w:rPr>
          <w:bCs/>
          <w:color w:val="auto"/>
        </w:rPr>
        <w:t>抢险</w:t>
      </w:r>
      <w:r>
        <w:rPr>
          <w:color w:val="auto"/>
          <w:szCs w:val="28"/>
        </w:rPr>
        <w:t>；</w:t>
      </w:r>
    </w:p>
    <w:p>
      <w:pPr>
        <w:ind w:firstLine="560"/>
        <w:rPr>
          <w:color w:val="auto"/>
          <w:szCs w:val="28"/>
        </w:rPr>
      </w:pPr>
      <w:r>
        <w:rPr>
          <w:rFonts w:hint="eastAsia"/>
          <w:color w:val="auto"/>
          <w:szCs w:val="28"/>
        </w:rPr>
        <w:t>③</w:t>
      </w:r>
      <w:r>
        <w:rPr>
          <w:color w:val="auto"/>
          <w:szCs w:val="28"/>
        </w:rPr>
        <w:t xml:space="preserve"> 批准各应急资源的调配；</w:t>
      </w:r>
    </w:p>
    <w:p>
      <w:pPr>
        <w:ind w:firstLine="560"/>
        <w:rPr>
          <w:color w:val="auto"/>
          <w:szCs w:val="28"/>
        </w:rPr>
      </w:pPr>
      <w:r>
        <w:rPr>
          <w:rFonts w:hint="eastAsia"/>
          <w:color w:val="auto"/>
          <w:szCs w:val="28"/>
        </w:rPr>
        <w:t>④</w:t>
      </w:r>
      <w:r>
        <w:rPr>
          <w:color w:val="auto"/>
          <w:szCs w:val="28"/>
        </w:rPr>
        <w:t xml:space="preserve"> 根据现场情况申请有关救援力量参与事件处置</w:t>
      </w:r>
      <w:r>
        <w:rPr>
          <w:rFonts w:hint="eastAsia"/>
          <w:color w:val="auto"/>
          <w:szCs w:val="28"/>
        </w:rPr>
        <w:t>；</w:t>
      </w:r>
    </w:p>
    <w:p>
      <w:pPr>
        <w:pStyle w:val="61"/>
        <w:ind w:firstLine="560"/>
        <w:rPr>
          <w:color w:val="auto"/>
        </w:rPr>
      </w:pPr>
      <w:r>
        <w:rPr>
          <w:rFonts w:hint="eastAsia"/>
          <w:color w:val="auto"/>
          <w:lang w:bidi="ar"/>
        </w:rPr>
        <w:t xml:space="preserve">⑤ </w:t>
      </w:r>
      <w:r>
        <w:rPr>
          <w:color w:val="auto"/>
          <w:kern w:val="0"/>
        </w:rPr>
        <w:t>及时下达命令，督促落实</w:t>
      </w:r>
      <w:r>
        <w:rPr>
          <w:rFonts w:hint="eastAsia"/>
          <w:color w:val="auto"/>
          <w:kern w:val="0"/>
        </w:rPr>
        <w:t>，</w:t>
      </w:r>
      <w:r>
        <w:rPr>
          <w:color w:val="auto"/>
          <w:kern w:val="0"/>
        </w:rPr>
        <w:t>随时调度应急救援工作</w:t>
      </w:r>
      <w:r>
        <w:rPr>
          <w:rFonts w:hint="eastAsia"/>
          <w:color w:val="auto"/>
          <w:kern w:val="0"/>
        </w:rPr>
        <w:t>。</w:t>
      </w:r>
    </w:p>
    <w:p>
      <w:pPr>
        <w:ind w:firstLine="560"/>
        <w:rPr>
          <w:color w:val="auto"/>
          <w:szCs w:val="28"/>
        </w:rPr>
      </w:pPr>
      <w:r>
        <w:rPr>
          <w:rFonts w:hint="eastAsia" w:ascii="仿宋" w:hAnsi="仿宋" w:cs="仿宋"/>
          <w:color w:val="auto"/>
          <w:szCs w:val="28"/>
        </w:rPr>
        <w:t>⑵</w:t>
      </w:r>
      <w:r>
        <w:rPr>
          <w:color w:val="auto"/>
          <w:szCs w:val="28"/>
        </w:rPr>
        <w:t>应急专家组</w:t>
      </w:r>
    </w:p>
    <w:p>
      <w:pPr>
        <w:ind w:firstLine="560"/>
        <w:rPr>
          <w:color w:val="auto"/>
          <w:szCs w:val="28"/>
        </w:rPr>
      </w:pPr>
      <w:r>
        <w:rPr>
          <w:rFonts w:hint="eastAsia"/>
          <w:color w:val="auto"/>
          <w:szCs w:val="28"/>
        </w:rPr>
        <w:t>①</w:t>
      </w:r>
      <w:r>
        <w:rPr>
          <w:color w:val="auto"/>
          <w:szCs w:val="28"/>
        </w:rPr>
        <w:t>提出环保应急救援方案、研制应急救援路线及实施方案，提供必要的技术支持；</w:t>
      </w:r>
    </w:p>
    <w:p>
      <w:pPr>
        <w:overflowPunct w:val="0"/>
        <w:autoSpaceDE w:val="0"/>
        <w:autoSpaceDN w:val="0"/>
        <w:ind w:right="23" w:firstLine="560"/>
        <w:textAlignment w:val="baseline"/>
        <w:rPr>
          <w:color w:val="auto"/>
          <w:kern w:val="0"/>
          <w:szCs w:val="28"/>
        </w:rPr>
      </w:pPr>
      <w:r>
        <w:rPr>
          <w:rFonts w:hint="eastAsia"/>
          <w:color w:val="auto"/>
          <w:kern w:val="0"/>
          <w:szCs w:val="28"/>
        </w:rPr>
        <w:t>②</w:t>
      </w:r>
      <w:r>
        <w:rPr>
          <w:color w:val="auto"/>
          <w:kern w:val="0"/>
          <w:szCs w:val="28"/>
        </w:rPr>
        <w:t>制定环保应急救援方案</w:t>
      </w:r>
      <w:r>
        <w:rPr>
          <w:rFonts w:hint="eastAsia"/>
          <w:color w:val="auto"/>
          <w:kern w:val="0"/>
          <w:szCs w:val="28"/>
        </w:rPr>
        <w:t>；</w:t>
      </w:r>
    </w:p>
    <w:p>
      <w:pPr>
        <w:overflowPunct w:val="0"/>
        <w:autoSpaceDE w:val="0"/>
        <w:autoSpaceDN w:val="0"/>
        <w:ind w:right="23" w:firstLine="560"/>
        <w:textAlignment w:val="baseline"/>
        <w:rPr>
          <w:color w:val="auto"/>
          <w:kern w:val="0"/>
          <w:szCs w:val="28"/>
        </w:rPr>
      </w:pPr>
      <w:r>
        <w:rPr>
          <w:rFonts w:hint="eastAsia"/>
          <w:color w:val="auto"/>
          <w:kern w:val="0"/>
          <w:szCs w:val="28"/>
        </w:rPr>
        <w:t>③</w:t>
      </w:r>
      <w:r>
        <w:rPr>
          <w:color w:val="auto"/>
          <w:kern w:val="0"/>
          <w:szCs w:val="28"/>
        </w:rPr>
        <w:t>及时下达命令，督促落实</w:t>
      </w:r>
      <w:r>
        <w:rPr>
          <w:rFonts w:hint="eastAsia"/>
          <w:color w:val="auto"/>
          <w:kern w:val="0"/>
          <w:szCs w:val="28"/>
        </w:rPr>
        <w:t>，</w:t>
      </w:r>
      <w:r>
        <w:rPr>
          <w:color w:val="auto"/>
          <w:kern w:val="0"/>
          <w:szCs w:val="28"/>
        </w:rPr>
        <w:t>随时调度应急救援工作</w:t>
      </w:r>
      <w:r>
        <w:rPr>
          <w:rFonts w:hint="eastAsia"/>
          <w:color w:val="auto"/>
          <w:kern w:val="0"/>
          <w:szCs w:val="28"/>
        </w:rPr>
        <w:t>；</w:t>
      </w:r>
    </w:p>
    <w:p>
      <w:pPr>
        <w:overflowPunct w:val="0"/>
        <w:autoSpaceDE w:val="0"/>
        <w:autoSpaceDN w:val="0"/>
        <w:ind w:right="23" w:firstLine="560"/>
        <w:textAlignment w:val="baseline"/>
        <w:rPr>
          <w:color w:val="auto"/>
          <w:kern w:val="0"/>
          <w:szCs w:val="28"/>
        </w:rPr>
      </w:pPr>
      <w:r>
        <w:rPr>
          <w:rFonts w:hint="eastAsia"/>
          <w:color w:val="auto"/>
          <w:kern w:val="0"/>
          <w:szCs w:val="28"/>
        </w:rPr>
        <w:t>⑶现场处置组</w:t>
      </w:r>
    </w:p>
    <w:p>
      <w:pPr>
        <w:overflowPunct w:val="0"/>
        <w:autoSpaceDE w:val="0"/>
        <w:autoSpaceDN w:val="0"/>
        <w:ind w:right="23" w:firstLine="560"/>
        <w:textAlignment w:val="baseline"/>
        <w:rPr>
          <w:color w:val="auto"/>
          <w:kern w:val="0"/>
          <w:szCs w:val="28"/>
        </w:rPr>
      </w:pPr>
      <w:r>
        <w:rPr>
          <w:rFonts w:hint="eastAsia"/>
          <w:color w:val="auto"/>
          <w:kern w:val="0"/>
          <w:szCs w:val="28"/>
        </w:rPr>
        <w:t>①</w:t>
      </w:r>
      <w:r>
        <w:rPr>
          <w:color w:val="auto"/>
          <w:kern w:val="0"/>
          <w:szCs w:val="28"/>
        </w:rPr>
        <w:t>立即停止作业，</w:t>
      </w:r>
      <w:r>
        <w:rPr>
          <w:rFonts w:hint="eastAsia"/>
          <w:color w:val="auto"/>
          <w:kern w:val="0"/>
          <w:szCs w:val="28"/>
        </w:rPr>
        <w:t>检查污染源</w:t>
      </w:r>
      <w:r>
        <w:rPr>
          <w:color w:val="auto"/>
          <w:kern w:val="0"/>
          <w:szCs w:val="28"/>
        </w:rPr>
        <w:t>，</w:t>
      </w:r>
      <w:r>
        <w:rPr>
          <w:rFonts w:hint="eastAsia"/>
          <w:color w:val="auto"/>
          <w:kern w:val="0"/>
          <w:szCs w:val="28"/>
        </w:rPr>
        <w:t>采取措施控制污染源</w:t>
      </w:r>
      <w:r>
        <w:rPr>
          <w:color w:val="auto"/>
          <w:kern w:val="0"/>
          <w:szCs w:val="28"/>
        </w:rPr>
        <w:t>；</w:t>
      </w:r>
    </w:p>
    <w:p>
      <w:pPr>
        <w:overflowPunct w:val="0"/>
        <w:autoSpaceDE w:val="0"/>
        <w:autoSpaceDN w:val="0"/>
        <w:ind w:right="23" w:firstLine="560"/>
        <w:textAlignment w:val="baseline"/>
        <w:rPr>
          <w:color w:val="auto"/>
          <w:kern w:val="0"/>
          <w:szCs w:val="28"/>
        </w:rPr>
      </w:pPr>
      <w:r>
        <w:rPr>
          <w:rFonts w:hint="eastAsia"/>
          <w:color w:val="auto"/>
          <w:kern w:val="0"/>
          <w:szCs w:val="28"/>
        </w:rPr>
        <w:t>②</w:t>
      </w:r>
      <w:r>
        <w:rPr>
          <w:color w:val="auto"/>
          <w:kern w:val="0"/>
          <w:szCs w:val="28"/>
        </w:rPr>
        <w:t>现场人员搜救</w:t>
      </w:r>
      <w:r>
        <w:rPr>
          <w:rFonts w:hint="eastAsia"/>
          <w:color w:val="auto"/>
          <w:kern w:val="0"/>
          <w:szCs w:val="28"/>
        </w:rPr>
        <w:t>等工作；</w:t>
      </w:r>
    </w:p>
    <w:p>
      <w:pPr>
        <w:overflowPunct w:val="0"/>
        <w:autoSpaceDE w:val="0"/>
        <w:autoSpaceDN w:val="0"/>
        <w:ind w:right="23" w:firstLine="560"/>
        <w:textAlignment w:val="baseline"/>
        <w:rPr>
          <w:color w:val="auto"/>
          <w:kern w:val="0"/>
          <w:szCs w:val="28"/>
        </w:rPr>
      </w:pPr>
      <w:r>
        <w:rPr>
          <w:rFonts w:hint="eastAsia"/>
          <w:color w:val="auto"/>
          <w:kern w:val="0"/>
          <w:szCs w:val="28"/>
        </w:rPr>
        <w:t>③</w:t>
      </w:r>
      <w:r>
        <w:rPr>
          <w:color w:val="auto"/>
          <w:kern w:val="0"/>
          <w:szCs w:val="28"/>
        </w:rPr>
        <w:t>将发生区域内的人员、物资抢救到安全地点，防止事态扩大。</w:t>
      </w:r>
    </w:p>
    <w:p>
      <w:pPr>
        <w:ind w:firstLine="560"/>
        <w:rPr>
          <w:color w:val="auto"/>
        </w:rPr>
      </w:pPr>
      <w:r>
        <w:rPr>
          <w:rFonts w:hint="eastAsia" w:ascii="仿宋" w:hAnsi="仿宋" w:cs="仿宋"/>
          <w:color w:val="auto"/>
          <w:kern w:val="0"/>
          <w:szCs w:val="28"/>
        </w:rPr>
        <w:t>⑷</w:t>
      </w:r>
      <w:r>
        <w:rPr>
          <w:rFonts w:hint="eastAsia"/>
          <w:color w:val="auto"/>
        </w:rPr>
        <w:t>综合协调组</w:t>
      </w:r>
    </w:p>
    <w:p>
      <w:pPr>
        <w:ind w:firstLine="560"/>
        <w:rPr>
          <w:color w:val="auto"/>
        </w:rPr>
      </w:pPr>
      <w:r>
        <w:rPr>
          <w:rFonts w:hint="eastAsia"/>
          <w:color w:val="auto"/>
        </w:rPr>
        <w:t>①</w:t>
      </w:r>
      <w:r>
        <w:rPr>
          <w:color w:val="auto"/>
        </w:rPr>
        <w:t>疏散人员，除相关人员外禁止出入；</w:t>
      </w:r>
    </w:p>
    <w:p>
      <w:pPr>
        <w:ind w:firstLine="560"/>
        <w:rPr>
          <w:color w:val="auto"/>
        </w:rPr>
      </w:pPr>
      <w:r>
        <w:rPr>
          <w:rFonts w:hint="eastAsia"/>
          <w:color w:val="auto"/>
        </w:rPr>
        <w:t>②维持治安秩序</w:t>
      </w:r>
      <w:r>
        <w:rPr>
          <w:color w:val="auto"/>
        </w:rPr>
        <w:t>；</w:t>
      </w:r>
    </w:p>
    <w:p>
      <w:pPr>
        <w:ind w:firstLine="560"/>
        <w:rPr>
          <w:color w:val="auto"/>
        </w:rPr>
      </w:pPr>
      <w:r>
        <w:rPr>
          <w:rFonts w:hint="eastAsia"/>
          <w:color w:val="auto"/>
        </w:rPr>
        <w:t>③</w:t>
      </w:r>
      <w:r>
        <w:rPr>
          <w:color w:val="auto"/>
        </w:rPr>
        <w:t>引导救援车辆及救援人员</w:t>
      </w:r>
      <w:r>
        <w:rPr>
          <w:rFonts w:hint="eastAsia"/>
          <w:color w:val="auto"/>
        </w:rPr>
        <w:t>，对现场车辆进行疏导</w:t>
      </w:r>
      <w:r>
        <w:rPr>
          <w:color w:val="auto"/>
        </w:rPr>
        <w:t>；</w:t>
      </w:r>
    </w:p>
    <w:p>
      <w:pPr>
        <w:ind w:firstLine="560"/>
        <w:rPr>
          <w:color w:val="auto"/>
        </w:rPr>
      </w:pPr>
      <w:r>
        <w:rPr>
          <w:rFonts w:hint="eastAsia"/>
          <w:color w:val="auto"/>
        </w:rPr>
        <w:t>④</w:t>
      </w:r>
      <w:r>
        <w:rPr>
          <w:color w:val="auto"/>
        </w:rPr>
        <w:t>严禁启动中的车辆和不知情人员等携带火源靠近，</w:t>
      </w:r>
      <w:r>
        <w:rPr>
          <w:rFonts w:hint="eastAsia"/>
          <w:color w:val="auto"/>
        </w:rPr>
        <w:t>对</w:t>
      </w:r>
      <w:r>
        <w:rPr>
          <w:color w:val="auto"/>
        </w:rPr>
        <w:t>现场隔离警戒</w:t>
      </w:r>
      <w:r>
        <w:rPr>
          <w:rFonts w:hint="eastAsia"/>
          <w:color w:val="auto"/>
        </w:rPr>
        <w:t>；</w:t>
      </w:r>
    </w:p>
    <w:p>
      <w:pPr>
        <w:ind w:firstLine="560"/>
        <w:rPr>
          <w:color w:val="auto"/>
          <w:kern w:val="0"/>
          <w:szCs w:val="28"/>
        </w:rPr>
      </w:pPr>
      <w:r>
        <w:rPr>
          <w:rFonts w:hint="eastAsia"/>
          <w:color w:val="auto"/>
        </w:rPr>
        <w:t>⑤负责确保各专业救援专业队与场内事故现场指挥部广播和通讯的畅通。</w:t>
      </w:r>
    </w:p>
    <w:p>
      <w:pPr>
        <w:overflowPunct w:val="0"/>
        <w:autoSpaceDE w:val="0"/>
        <w:autoSpaceDN w:val="0"/>
        <w:ind w:right="23" w:firstLine="560"/>
        <w:textAlignment w:val="baseline"/>
        <w:rPr>
          <w:color w:val="auto"/>
          <w:kern w:val="0"/>
          <w:szCs w:val="28"/>
        </w:rPr>
      </w:pPr>
      <w:bookmarkStart w:id="150" w:name="_Toc14352"/>
      <w:r>
        <w:rPr>
          <w:rFonts w:hint="eastAsia" w:ascii="仿宋" w:hAnsi="仿宋" w:cs="仿宋"/>
          <w:color w:val="auto"/>
          <w:kern w:val="0"/>
          <w:szCs w:val="28"/>
        </w:rPr>
        <w:t>⑸</w:t>
      </w:r>
      <w:r>
        <w:rPr>
          <w:rFonts w:hint="eastAsia"/>
          <w:color w:val="auto"/>
          <w:kern w:val="0"/>
          <w:szCs w:val="28"/>
        </w:rPr>
        <w:t>后勤保障组</w:t>
      </w:r>
    </w:p>
    <w:p>
      <w:pPr>
        <w:overflowPunct w:val="0"/>
        <w:autoSpaceDE w:val="0"/>
        <w:autoSpaceDN w:val="0"/>
        <w:ind w:right="23" w:firstLine="560"/>
        <w:textAlignment w:val="baseline"/>
        <w:rPr>
          <w:color w:val="auto"/>
          <w:kern w:val="0"/>
          <w:szCs w:val="28"/>
        </w:rPr>
      </w:pPr>
      <w:r>
        <w:rPr>
          <w:rFonts w:hint="eastAsia"/>
          <w:color w:val="auto"/>
          <w:kern w:val="0"/>
          <w:szCs w:val="28"/>
        </w:rPr>
        <w:t>①</w:t>
      </w:r>
      <w:r>
        <w:rPr>
          <w:color w:val="auto"/>
          <w:kern w:val="0"/>
          <w:szCs w:val="28"/>
        </w:rPr>
        <w:t>保障抢险应急物资的供给</w:t>
      </w:r>
      <w:r>
        <w:rPr>
          <w:rFonts w:hint="eastAsia"/>
          <w:color w:val="auto"/>
          <w:kern w:val="0"/>
          <w:szCs w:val="28"/>
        </w:rPr>
        <w:t>；</w:t>
      </w:r>
    </w:p>
    <w:p>
      <w:pPr>
        <w:overflowPunct w:val="0"/>
        <w:autoSpaceDE w:val="0"/>
        <w:autoSpaceDN w:val="0"/>
        <w:ind w:right="23" w:firstLine="560"/>
        <w:textAlignment w:val="baseline"/>
        <w:rPr>
          <w:color w:val="auto"/>
          <w:kern w:val="0"/>
          <w:szCs w:val="28"/>
        </w:rPr>
      </w:pPr>
      <w:r>
        <w:rPr>
          <w:rFonts w:hint="eastAsia"/>
          <w:color w:val="auto"/>
          <w:kern w:val="0"/>
          <w:szCs w:val="28"/>
        </w:rPr>
        <w:t>②</w:t>
      </w:r>
      <w:r>
        <w:rPr>
          <w:color w:val="auto"/>
          <w:kern w:val="0"/>
          <w:szCs w:val="28"/>
        </w:rPr>
        <w:t>调动应急救援过程物资运送和人员疏散所需车辆</w:t>
      </w:r>
      <w:r>
        <w:rPr>
          <w:rFonts w:hint="eastAsia"/>
          <w:color w:val="auto"/>
          <w:kern w:val="0"/>
          <w:szCs w:val="28"/>
        </w:rPr>
        <w:t>；</w:t>
      </w:r>
    </w:p>
    <w:p>
      <w:pPr>
        <w:overflowPunct w:val="0"/>
        <w:autoSpaceDE w:val="0"/>
        <w:autoSpaceDN w:val="0"/>
        <w:ind w:right="23" w:firstLine="560"/>
        <w:textAlignment w:val="baseline"/>
        <w:rPr>
          <w:color w:val="auto"/>
          <w:kern w:val="0"/>
          <w:szCs w:val="28"/>
        </w:rPr>
      </w:pPr>
      <w:r>
        <w:rPr>
          <w:rFonts w:hint="eastAsia"/>
          <w:color w:val="auto"/>
          <w:kern w:val="0"/>
          <w:szCs w:val="28"/>
        </w:rPr>
        <w:t>③</w:t>
      </w:r>
      <w:r>
        <w:rPr>
          <w:color w:val="auto"/>
          <w:kern w:val="0"/>
          <w:szCs w:val="28"/>
        </w:rPr>
        <w:t>处理事故现场用水、用电的调度</w:t>
      </w:r>
      <w:r>
        <w:rPr>
          <w:rFonts w:hint="eastAsia"/>
          <w:color w:val="auto"/>
          <w:kern w:val="0"/>
          <w:szCs w:val="28"/>
        </w:rPr>
        <w:t>；</w:t>
      </w:r>
    </w:p>
    <w:p>
      <w:pPr>
        <w:overflowPunct w:val="0"/>
        <w:autoSpaceDE w:val="0"/>
        <w:autoSpaceDN w:val="0"/>
        <w:ind w:right="23" w:firstLine="560"/>
        <w:textAlignment w:val="baseline"/>
        <w:rPr>
          <w:color w:val="auto"/>
          <w:kern w:val="0"/>
          <w:szCs w:val="28"/>
        </w:rPr>
      </w:pPr>
      <w:r>
        <w:rPr>
          <w:rFonts w:hint="eastAsia"/>
          <w:color w:val="auto"/>
          <w:kern w:val="0"/>
          <w:szCs w:val="28"/>
        </w:rPr>
        <w:t>④</w:t>
      </w:r>
      <w:r>
        <w:rPr>
          <w:color w:val="auto"/>
          <w:kern w:val="0"/>
          <w:szCs w:val="28"/>
        </w:rPr>
        <w:t>处理事故现场供电故障的处理或实施临时断、送电作业的调度</w:t>
      </w:r>
      <w:r>
        <w:rPr>
          <w:rFonts w:hint="eastAsia"/>
          <w:color w:val="auto"/>
          <w:kern w:val="0"/>
          <w:szCs w:val="28"/>
        </w:rPr>
        <w:t>。</w:t>
      </w:r>
    </w:p>
    <w:p>
      <w:pPr>
        <w:overflowPunct w:val="0"/>
        <w:autoSpaceDE w:val="0"/>
        <w:autoSpaceDN w:val="0"/>
        <w:ind w:right="23" w:firstLine="560"/>
        <w:textAlignment w:val="baseline"/>
        <w:rPr>
          <w:color w:val="auto"/>
          <w:kern w:val="0"/>
          <w:szCs w:val="28"/>
        </w:rPr>
      </w:pPr>
      <w:r>
        <w:rPr>
          <w:rFonts w:hint="eastAsia" w:ascii="仿宋" w:hAnsi="仿宋" w:cs="仿宋"/>
          <w:color w:val="auto"/>
          <w:kern w:val="0"/>
          <w:szCs w:val="28"/>
        </w:rPr>
        <w:t>⑹</w:t>
      </w:r>
      <w:r>
        <w:rPr>
          <w:rFonts w:hint="eastAsia"/>
          <w:color w:val="auto"/>
          <w:kern w:val="0"/>
          <w:szCs w:val="28"/>
        </w:rPr>
        <w:t>应急监测组</w:t>
      </w:r>
    </w:p>
    <w:p>
      <w:pPr>
        <w:overflowPunct w:val="0"/>
        <w:autoSpaceDE w:val="0"/>
        <w:autoSpaceDN w:val="0"/>
        <w:ind w:right="23" w:firstLine="544"/>
        <w:textAlignment w:val="baseline"/>
        <w:rPr>
          <w:color w:val="auto"/>
          <w:szCs w:val="28"/>
        </w:rPr>
      </w:pPr>
      <w:r>
        <w:rPr>
          <w:color w:val="auto"/>
          <w:spacing w:val="-4"/>
          <w:szCs w:val="28"/>
        </w:rPr>
        <w:t>发生事故时，</w:t>
      </w:r>
      <w:r>
        <w:rPr>
          <w:rFonts w:hint="eastAsia"/>
          <w:color w:val="auto"/>
          <w:spacing w:val="-4"/>
          <w:szCs w:val="28"/>
          <w:lang w:bidi="ar"/>
        </w:rPr>
        <w:t>根据污染物排放情况，</w:t>
      </w:r>
      <w:r>
        <w:rPr>
          <w:color w:val="auto"/>
          <w:spacing w:val="-4"/>
          <w:szCs w:val="28"/>
        </w:rPr>
        <w:t>联系专业监测人员进入现场并配合和协助</w:t>
      </w:r>
      <w:r>
        <w:rPr>
          <w:rFonts w:hint="eastAsia"/>
          <w:color w:val="auto"/>
          <w:spacing w:val="-4"/>
          <w:szCs w:val="28"/>
        </w:rPr>
        <w:t>第三方</w:t>
      </w:r>
      <w:r>
        <w:rPr>
          <w:color w:val="auto"/>
          <w:spacing w:val="-4"/>
          <w:szCs w:val="28"/>
        </w:rPr>
        <w:t>监测机构进行应急监测。</w:t>
      </w:r>
    </w:p>
    <w:p>
      <w:pPr>
        <w:pStyle w:val="4"/>
        <w:rPr>
          <w:color w:val="auto"/>
          <w:szCs w:val="28"/>
        </w:rPr>
      </w:pPr>
      <w:bookmarkStart w:id="151" w:name="_Toc9211"/>
      <w:r>
        <w:rPr>
          <w:color w:val="auto"/>
          <w:szCs w:val="28"/>
        </w:rPr>
        <w:t>6.4</w:t>
      </w:r>
      <w:r>
        <w:rPr>
          <w:rFonts w:hint="eastAsia"/>
          <w:color w:val="auto"/>
          <w:szCs w:val="28"/>
        </w:rPr>
        <w:t xml:space="preserve"> 指挥与协调</w:t>
      </w:r>
      <w:bookmarkEnd w:id="150"/>
      <w:bookmarkEnd w:id="151"/>
    </w:p>
    <w:p>
      <w:pPr>
        <w:ind w:firstLine="556"/>
        <w:rPr>
          <w:color w:val="auto"/>
          <w:szCs w:val="28"/>
          <w:lang w:bidi="ar"/>
        </w:rPr>
      </w:pPr>
      <w:r>
        <w:rPr>
          <w:rFonts w:hint="eastAsia"/>
          <w:color w:val="auto"/>
          <w:spacing w:val="-1"/>
          <w:szCs w:val="28"/>
          <w:lang w:bidi="ar"/>
        </w:rPr>
        <w:t>突</w:t>
      </w:r>
      <w:r>
        <w:rPr>
          <w:rFonts w:hint="eastAsia"/>
          <w:color w:val="auto"/>
          <w:spacing w:val="-3"/>
          <w:szCs w:val="28"/>
          <w:lang w:bidi="ar"/>
        </w:rPr>
        <w:t>发</w:t>
      </w:r>
      <w:r>
        <w:rPr>
          <w:rFonts w:hint="eastAsia"/>
          <w:color w:val="auto"/>
          <w:spacing w:val="-1"/>
          <w:szCs w:val="28"/>
          <w:lang w:bidi="ar"/>
        </w:rPr>
        <w:t>环境</w:t>
      </w:r>
      <w:r>
        <w:rPr>
          <w:rFonts w:hint="eastAsia"/>
          <w:color w:val="auto"/>
          <w:spacing w:val="-3"/>
          <w:szCs w:val="28"/>
          <w:lang w:bidi="ar"/>
        </w:rPr>
        <w:t>事</w:t>
      </w:r>
      <w:r>
        <w:rPr>
          <w:rFonts w:hint="eastAsia"/>
          <w:color w:val="auto"/>
          <w:spacing w:val="-1"/>
          <w:szCs w:val="28"/>
          <w:lang w:bidi="ar"/>
        </w:rPr>
        <w:t>件应</w:t>
      </w:r>
      <w:r>
        <w:rPr>
          <w:rFonts w:hint="eastAsia"/>
          <w:color w:val="auto"/>
          <w:spacing w:val="-3"/>
          <w:szCs w:val="28"/>
          <w:lang w:bidi="ar"/>
        </w:rPr>
        <w:t>急</w:t>
      </w:r>
      <w:r>
        <w:rPr>
          <w:rFonts w:hint="eastAsia"/>
          <w:color w:val="auto"/>
          <w:spacing w:val="-1"/>
          <w:szCs w:val="28"/>
          <w:lang w:bidi="ar"/>
        </w:rPr>
        <w:t>指挥</w:t>
      </w:r>
      <w:r>
        <w:rPr>
          <w:rFonts w:hint="eastAsia"/>
          <w:color w:val="auto"/>
          <w:spacing w:val="-3"/>
          <w:szCs w:val="28"/>
          <w:lang w:bidi="ar"/>
        </w:rPr>
        <w:t>部</w:t>
      </w:r>
      <w:r>
        <w:rPr>
          <w:rFonts w:hint="eastAsia"/>
          <w:color w:val="auto"/>
          <w:spacing w:val="-1"/>
          <w:szCs w:val="28"/>
          <w:lang w:bidi="ar"/>
        </w:rPr>
        <w:t>指挥</w:t>
      </w:r>
      <w:r>
        <w:rPr>
          <w:rFonts w:hint="eastAsia"/>
          <w:color w:val="auto"/>
          <w:spacing w:val="-3"/>
          <w:szCs w:val="28"/>
          <w:lang w:bidi="ar"/>
        </w:rPr>
        <w:t>协</w:t>
      </w:r>
      <w:r>
        <w:rPr>
          <w:rFonts w:hint="eastAsia"/>
          <w:color w:val="auto"/>
          <w:spacing w:val="-1"/>
          <w:szCs w:val="28"/>
          <w:lang w:bidi="ar"/>
        </w:rPr>
        <w:t>调的</w:t>
      </w:r>
      <w:r>
        <w:rPr>
          <w:rFonts w:hint="eastAsia"/>
          <w:color w:val="auto"/>
          <w:spacing w:val="-3"/>
          <w:szCs w:val="28"/>
          <w:lang w:bidi="ar"/>
        </w:rPr>
        <w:t>主</w:t>
      </w:r>
      <w:r>
        <w:rPr>
          <w:rFonts w:hint="eastAsia"/>
          <w:color w:val="auto"/>
          <w:spacing w:val="-1"/>
          <w:szCs w:val="28"/>
          <w:lang w:bidi="ar"/>
        </w:rPr>
        <w:t>要内</w:t>
      </w:r>
      <w:r>
        <w:rPr>
          <w:rFonts w:hint="eastAsia"/>
          <w:color w:val="auto"/>
          <w:spacing w:val="-3"/>
          <w:szCs w:val="28"/>
          <w:lang w:bidi="ar"/>
        </w:rPr>
        <w:t>容</w:t>
      </w:r>
      <w:r>
        <w:rPr>
          <w:rFonts w:hint="eastAsia"/>
          <w:color w:val="auto"/>
          <w:spacing w:val="-1"/>
          <w:szCs w:val="28"/>
          <w:lang w:bidi="ar"/>
        </w:rPr>
        <w:t>包括</w:t>
      </w:r>
      <w:r>
        <w:rPr>
          <w:rFonts w:hint="eastAsia"/>
          <w:color w:val="auto"/>
          <w:szCs w:val="28"/>
          <w:lang w:bidi="ar"/>
        </w:rPr>
        <w:t>：</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1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⑴</w:t>
      </w:r>
      <w:r>
        <w:rPr>
          <w:color w:val="auto"/>
          <w:szCs w:val="28"/>
          <w:lang w:bidi="ar"/>
        </w:rPr>
        <w:fldChar w:fldCharType="end"/>
      </w:r>
      <w:r>
        <w:rPr>
          <w:color w:val="auto"/>
          <w:szCs w:val="28"/>
          <w:lang w:bidi="ar"/>
        </w:rPr>
        <w:t xml:space="preserve"> </w:t>
      </w:r>
      <w:r>
        <w:rPr>
          <w:rFonts w:hint="eastAsia"/>
          <w:color w:val="auto"/>
          <w:szCs w:val="28"/>
          <w:lang w:bidi="ar"/>
        </w:rPr>
        <w:t>提出现场应急行动原则要求；</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2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⑵</w:t>
      </w:r>
      <w:r>
        <w:rPr>
          <w:color w:val="auto"/>
          <w:szCs w:val="28"/>
          <w:lang w:bidi="ar"/>
        </w:rPr>
        <w:fldChar w:fldCharType="end"/>
      </w:r>
      <w:r>
        <w:rPr>
          <w:color w:val="auto"/>
          <w:szCs w:val="28"/>
          <w:lang w:bidi="ar"/>
        </w:rPr>
        <w:t xml:space="preserve"> </w:t>
      </w:r>
      <w:r>
        <w:rPr>
          <w:rFonts w:hint="eastAsia"/>
          <w:color w:val="auto"/>
          <w:szCs w:val="28"/>
          <w:lang w:bidi="ar"/>
        </w:rPr>
        <w:t>组织有关专家和人员参与现场应急救援指挥工作；</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3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⑶</w:t>
      </w:r>
      <w:r>
        <w:rPr>
          <w:color w:val="auto"/>
          <w:szCs w:val="28"/>
          <w:lang w:bidi="ar"/>
        </w:rPr>
        <w:fldChar w:fldCharType="end"/>
      </w:r>
      <w:r>
        <w:rPr>
          <w:color w:val="auto"/>
          <w:szCs w:val="28"/>
          <w:lang w:bidi="ar"/>
        </w:rPr>
        <w:t xml:space="preserve"> </w:t>
      </w:r>
      <w:r>
        <w:rPr>
          <w:rFonts w:hint="eastAsia"/>
          <w:color w:val="auto"/>
          <w:szCs w:val="28"/>
          <w:lang w:bidi="ar"/>
        </w:rPr>
        <w:t>协调各级、各专业应急组织实施应急救援行动；</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4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⑷</w:t>
      </w:r>
      <w:r>
        <w:rPr>
          <w:color w:val="auto"/>
          <w:szCs w:val="28"/>
          <w:lang w:bidi="ar"/>
        </w:rPr>
        <w:fldChar w:fldCharType="end"/>
      </w:r>
      <w:r>
        <w:rPr>
          <w:color w:val="auto"/>
          <w:szCs w:val="28"/>
          <w:lang w:bidi="ar"/>
        </w:rPr>
        <w:t xml:space="preserve"> </w:t>
      </w:r>
      <w:r>
        <w:rPr>
          <w:rFonts w:hint="eastAsia"/>
          <w:color w:val="auto"/>
          <w:szCs w:val="28"/>
          <w:lang w:bidi="ar"/>
        </w:rPr>
        <w:t>协调与周边企业的应急联动机制，组织实施应急救援行动；</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5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⑸</w:t>
      </w:r>
      <w:r>
        <w:rPr>
          <w:color w:val="auto"/>
          <w:szCs w:val="28"/>
          <w:lang w:bidi="ar"/>
        </w:rPr>
        <w:fldChar w:fldCharType="end"/>
      </w:r>
      <w:r>
        <w:rPr>
          <w:color w:val="auto"/>
          <w:szCs w:val="28"/>
          <w:lang w:bidi="ar"/>
        </w:rPr>
        <w:t xml:space="preserve"> </w:t>
      </w:r>
      <w:r>
        <w:rPr>
          <w:rFonts w:hint="eastAsia"/>
          <w:color w:val="auto"/>
          <w:szCs w:val="28"/>
          <w:lang w:bidi="ar"/>
        </w:rPr>
        <w:t>协调受威胁或影响的周边地区的监控工作；</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6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⑹</w:t>
      </w:r>
      <w:r>
        <w:rPr>
          <w:color w:val="auto"/>
          <w:szCs w:val="28"/>
          <w:lang w:bidi="ar"/>
        </w:rPr>
        <w:fldChar w:fldCharType="end"/>
      </w:r>
      <w:r>
        <w:rPr>
          <w:color w:val="auto"/>
          <w:szCs w:val="28"/>
          <w:lang w:bidi="ar"/>
        </w:rPr>
        <w:t xml:space="preserve"> </w:t>
      </w:r>
      <w:r>
        <w:rPr>
          <w:rFonts w:hint="eastAsia"/>
          <w:color w:val="auto"/>
          <w:szCs w:val="28"/>
          <w:lang w:bidi="ar"/>
        </w:rPr>
        <w:t>协调建立现场警戒区和交通管制区域，确定重点防护区域；</w:t>
      </w:r>
    </w:p>
    <w:p>
      <w:pPr>
        <w:ind w:firstLine="560"/>
        <w:rPr>
          <w:color w:val="auto"/>
          <w:szCs w:val="28"/>
          <w:lang w:bidi="ar"/>
        </w:rPr>
      </w:pPr>
      <w:r>
        <w:rPr>
          <w:color w:val="auto"/>
          <w:szCs w:val="28"/>
          <w:lang w:bidi="ar"/>
        </w:rPr>
        <w:fldChar w:fldCharType="begin"/>
      </w:r>
      <w:r>
        <w:rPr>
          <w:color w:val="auto"/>
          <w:szCs w:val="28"/>
          <w:lang w:bidi="ar"/>
        </w:rPr>
        <w:instrText xml:space="preserve"> </w:instrText>
      </w:r>
      <w:r>
        <w:rPr>
          <w:rFonts w:hint="eastAsia"/>
          <w:color w:val="auto"/>
          <w:szCs w:val="28"/>
          <w:lang w:bidi="ar"/>
        </w:rPr>
        <w:instrText xml:space="preserve">= 7 \* GB2</w:instrText>
      </w:r>
      <w:r>
        <w:rPr>
          <w:color w:val="auto"/>
          <w:szCs w:val="28"/>
          <w:lang w:bidi="ar"/>
        </w:rPr>
        <w:instrText xml:space="preserve"> </w:instrText>
      </w:r>
      <w:r>
        <w:rPr>
          <w:color w:val="auto"/>
          <w:szCs w:val="28"/>
          <w:lang w:bidi="ar"/>
        </w:rPr>
        <w:fldChar w:fldCharType="separate"/>
      </w:r>
      <w:r>
        <w:rPr>
          <w:rFonts w:hint="eastAsia"/>
          <w:color w:val="auto"/>
          <w:szCs w:val="28"/>
          <w:lang w:bidi="ar"/>
        </w:rPr>
        <w:t>⑺</w:t>
      </w:r>
      <w:r>
        <w:rPr>
          <w:color w:val="auto"/>
          <w:szCs w:val="28"/>
          <w:lang w:bidi="ar"/>
        </w:rPr>
        <w:fldChar w:fldCharType="end"/>
      </w:r>
      <w:r>
        <w:rPr>
          <w:color w:val="auto"/>
          <w:szCs w:val="28"/>
          <w:lang w:bidi="ar"/>
        </w:rPr>
        <w:t xml:space="preserve"> </w:t>
      </w:r>
      <w:r>
        <w:rPr>
          <w:rFonts w:hint="eastAsia"/>
          <w:color w:val="auto"/>
          <w:szCs w:val="28"/>
          <w:lang w:bidi="ar"/>
        </w:rPr>
        <w:t>及时向政府及相关部门报告应急行动的进展情况。发生突发环境事件时，紧急疏散线路见附件7。</w:t>
      </w:r>
    </w:p>
    <w:p>
      <w:pPr>
        <w:pStyle w:val="4"/>
        <w:rPr>
          <w:color w:val="auto"/>
        </w:rPr>
      </w:pPr>
      <w:bookmarkStart w:id="152" w:name="_Toc8263"/>
      <w:bookmarkStart w:id="153" w:name="_Toc9157"/>
      <w:r>
        <w:rPr>
          <w:rFonts w:hint="eastAsia"/>
          <w:color w:val="auto"/>
        </w:rPr>
        <w:t>6.5 现场处置</w:t>
      </w:r>
      <w:bookmarkEnd w:id="152"/>
      <w:bookmarkEnd w:id="153"/>
    </w:p>
    <w:p>
      <w:pPr>
        <w:pStyle w:val="61"/>
        <w:ind w:firstLine="560"/>
        <w:rPr>
          <w:color w:val="auto"/>
        </w:rPr>
      </w:pPr>
      <w:r>
        <w:rPr>
          <w:rFonts w:hint="eastAsia"/>
          <w:color w:val="auto"/>
        </w:rPr>
        <w:t>突发环境污染事件发生时，应急处置的首要工作是控制事故污染源和防止污染物扩散造成对周围人群、动植物的伤害，防止进一步污染环境。</w:t>
      </w:r>
    </w:p>
    <w:p>
      <w:pPr>
        <w:pStyle w:val="5"/>
        <w:ind w:firstLine="0" w:firstLineChars="0"/>
        <w:rPr>
          <w:color w:val="auto"/>
          <w:szCs w:val="28"/>
        </w:rPr>
      </w:pPr>
      <w:bookmarkStart w:id="154" w:name="_Toc5624"/>
      <w:r>
        <w:rPr>
          <w:rFonts w:hint="eastAsia"/>
          <w:color w:val="auto"/>
          <w:kern w:val="0"/>
        </w:rPr>
        <w:t>6.5.1 锅炉烟气排放异常事件处置措施</w:t>
      </w:r>
      <w:bookmarkEnd w:id="154"/>
    </w:p>
    <w:p>
      <w:pPr>
        <w:ind w:firstLine="560"/>
        <w:rPr>
          <w:rFonts w:ascii="仿宋" w:hAnsi="仿宋"/>
          <w:color w:val="auto"/>
          <w:szCs w:val="28"/>
        </w:rPr>
      </w:pPr>
      <w:r>
        <w:rPr>
          <w:rFonts w:hint="eastAsia" w:ascii="仿宋" w:hAnsi="仿宋"/>
          <w:color w:val="auto"/>
          <w:szCs w:val="28"/>
        </w:rPr>
        <w:t>如环保设施运行异常、故障或运行调整不当，造成烟气排放指标超标，污染周边大气环境，会造成周边农作物减产歉收、质量下降；会引起人体鼻、咽、眼部不适，严重一些会导致呼吸道疾病，损害人体健康。对应的处置方案详见表</w:t>
      </w:r>
      <w:r>
        <w:rPr>
          <w:rFonts w:ascii="仿宋" w:hAnsi="仿宋"/>
          <w:color w:val="auto"/>
          <w:szCs w:val="28"/>
        </w:rPr>
        <w:t>6-2</w:t>
      </w:r>
      <w:r>
        <w:rPr>
          <w:rFonts w:hint="eastAsia" w:ascii="仿宋" w:hAnsi="仿宋"/>
          <w:color w:val="auto"/>
          <w:szCs w:val="28"/>
        </w:rPr>
        <w:t>。</w:t>
      </w:r>
    </w:p>
    <w:p>
      <w:pPr>
        <w:ind w:firstLine="562"/>
        <w:rPr>
          <w:b/>
          <w:bCs/>
          <w:color w:val="auto"/>
          <w:szCs w:val="28"/>
        </w:rPr>
      </w:pPr>
    </w:p>
    <w:p>
      <w:pPr>
        <w:pStyle w:val="39"/>
        <w:ind w:left="560"/>
        <w:rPr>
          <w:color w:val="auto"/>
        </w:rPr>
        <w:sectPr>
          <w:pgSz w:w="11906" w:h="16838"/>
          <w:pgMar w:top="1418" w:right="1418" w:bottom="1418" w:left="1418" w:header="851" w:footer="992" w:gutter="0"/>
          <w:pgNumType w:fmt="numberInDash"/>
          <w:cols w:space="720" w:num="1"/>
          <w:docGrid w:linePitch="326" w:charSpace="0"/>
        </w:sectPr>
      </w:pPr>
    </w:p>
    <w:p>
      <w:pPr>
        <w:ind w:firstLine="482"/>
        <w:jc w:val="center"/>
        <w:rPr>
          <w:rFonts w:ascii="仿宋" w:hAnsi="仿宋"/>
          <w:b/>
          <w:bCs/>
          <w:color w:val="auto"/>
          <w:sz w:val="24"/>
        </w:rPr>
      </w:pPr>
      <w:r>
        <w:rPr>
          <w:rFonts w:hint="eastAsia" w:ascii="仿宋" w:hAnsi="仿宋"/>
          <w:b/>
          <w:bCs/>
          <w:color w:val="auto"/>
          <w:sz w:val="24"/>
        </w:rPr>
        <w:t>表</w:t>
      </w:r>
      <w:r>
        <w:rPr>
          <w:rFonts w:ascii="仿宋" w:hAnsi="仿宋"/>
          <w:b/>
          <w:bCs/>
          <w:color w:val="auto"/>
          <w:sz w:val="24"/>
        </w:rPr>
        <w:t xml:space="preserve">6-2    </w:t>
      </w:r>
      <w:r>
        <w:rPr>
          <w:rFonts w:hint="eastAsia" w:ascii="仿宋" w:hAnsi="仿宋"/>
          <w:b/>
          <w:bCs/>
          <w:color w:val="auto"/>
          <w:sz w:val="24"/>
        </w:rPr>
        <w:t>锅炉烟气排放超标处置方案</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2277"/>
        <w:gridCol w:w="1845"/>
        <w:gridCol w:w="1416"/>
        <w:gridCol w:w="2978"/>
        <w:gridCol w:w="1133"/>
        <w:gridCol w:w="3259"/>
        <w:gridCol w:w="11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812"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情景设置</w:t>
            </w:r>
          </w:p>
        </w:tc>
        <w:tc>
          <w:tcPr>
            <w:tcW w:w="658"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环境风险物质</w:t>
            </w:r>
          </w:p>
        </w:tc>
        <w:tc>
          <w:tcPr>
            <w:tcW w:w="3530" w:type="pct"/>
            <w:gridSpan w:val="5"/>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处置措施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812" w:type="pct"/>
            <w:vMerge w:val="continue"/>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eastAsia="zh-TW" w:bidi="zh-TW"/>
              </w:rPr>
            </w:pPr>
          </w:p>
        </w:tc>
        <w:tc>
          <w:tcPr>
            <w:tcW w:w="658" w:type="pct"/>
            <w:vMerge w:val="continue"/>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eastAsia="zh-TW" w:bidi="zh-TW"/>
              </w:rPr>
            </w:pPr>
          </w:p>
        </w:tc>
        <w:tc>
          <w:tcPr>
            <w:tcW w:w="505" w:type="pct"/>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事故确认</w:t>
            </w:r>
          </w:p>
        </w:tc>
        <w:tc>
          <w:tcPr>
            <w:tcW w:w="1062"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断源</w:t>
            </w:r>
          </w:p>
        </w:tc>
        <w:tc>
          <w:tcPr>
            <w:tcW w:w="404" w:type="pct"/>
            <w:shd w:val="clear" w:color="auto" w:fill="D9D9D9"/>
            <w:vAlign w:val="center"/>
          </w:tcPr>
          <w:p>
            <w:pPr>
              <w:adjustRightInd/>
              <w:snapToGrid/>
              <w:spacing w:line="240" w:lineRule="auto"/>
              <w:ind w:firstLine="0" w:firstLineChars="0"/>
              <w:jc w:val="center"/>
              <w:rPr>
                <w:rFonts w:ascii="仿宋" w:hAnsi="仿宋"/>
                <w:b/>
                <w:bCs/>
                <w:color w:val="auto"/>
                <w:sz w:val="24"/>
              </w:rPr>
            </w:pPr>
            <w:r>
              <w:rPr>
                <w:rFonts w:hint="eastAsia" w:ascii="仿宋" w:hAnsi="仿宋"/>
                <w:b/>
                <w:bCs/>
                <w:color w:val="auto"/>
                <w:sz w:val="24"/>
              </w:rPr>
              <w:t>截流</w:t>
            </w:r>
          </w:p>
        </w:tc>
        <w:tc>
          <w:tcPr>
            <w:tcW w:w="1162" w:type="pct"/>
            <w:shd w:val="clear" w:color="auto" w:fill="D9D9D9"/>
            <w:vAlign w:val="center"/>
          </w:tcPr>
          <w:p>
            <w:pPr>
              <w:pStyle w:val="94"/>
              <w:spacing w:line="240" w:lineRule="auto"/>
              <w:ind w:firstLine="0"/>
              <w:jc w:val="center"/>
              <w:rPr>
                <w:rFonts w:ascii="仿宋" w:hAnsi="仿宋" w:eastAsia="仿宋" w:cs="Times New Roman"/>
                <w:b/>
                <w:bCs/>
                <w:color w:val="auto"/>
                <w:sz w:val="24"/>
                <w:szCs w:val="24"/>
                <w:lang w:val="en-US" w:eastAsia="zh-CN" w:bidi="ar-SA"/>
              </w:rPr>
            </w:pPr>
            <w:r>
              <w:rPr>
                <w:rFonts w:hint="eastAsia" w:ascii="仿宋" w:hAnsi="仿宋" w:eastAsia="仿宋" w:cs="Times New Roman"/>
                <w:b/>
                <w:bCs/>
                <w:color w:val="auto"/>
                <w:sz w:val="24"/>
                <w:szCs w:val="24"/>
                <w:lang w:val="en-US" w:eastAsia="zh-CN" w:bidi="ar-SA"/>
              </w:rPr>
              <w:t>污染控制</w:t>
            </w:r>
          </w:p>
        </w:tc>
        <w:tc>
          <w:tcPr>
            <w:tcW w:w="397" w:type="pct"/>
            <w:shd w:val="clear" w:color="auto" w:fill="D9D9D9"/>
            <w:vAlign w:val="center"/>
          </w:tcPr>
          <w:p>
            <w:pPr>
              <w:pStyle w:val="94"/>
              <w:spacing w:line="240" w:lineRule="auto"/>
              <w:ind w:firstLine="0"/>
              <w:jc w:val="center"/>
              <w:rPr>
                <w:rFonts w:ascii="仿宋" w:hAnsi="仿宋" w:eastAsia="仿宋" w:cs="Times New Roman"/>
                <w:b/>
                <w:bCs/>
                <w:color w:val="auto"/>
                <w:sz w:val="24"/>
                <w:szCs w:val="24"/>
                <w:lang w:val="en-US" w:eastAsia="zh-CN" w:bidi="ar-SA"/>
              </w:rPr>
            </w:pPr>
            <w:r>
              <w:rPr>
                <w:rFonts w:hint="eastAsia" w:ascii="仿宋" w:hAnsi="仿宋" w:eastAsia="仿宋" w:cs="Times New Roman"/>
                <w:b/>
                <w:bCs/>
                <w:color w:val="auto"/>
                <w:sz w:val="24"/>
                <w:szCs w:val="24"/>
                <w:lang w:val="en-US" w:eastAsia="zh-CN" w:bidi="ar-SA"/>
              </w:rPr>
              <w:t>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812" w:type="pc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当烟气系统</w:t>
            </w:r>
            <w:r>
              <w:rPr>
                <w:rFonts w:hint="eastAsia" w:ascii="仿宋" w:hAnsi="仿宋" w:eastAsia="仿宋" w:cs="等线"/>
                <w:color w:val="auto"/>
                <w:sz w:val="24"/>
                <w:szCs w:val="24"/>
                <w:lang w:val="en-US" w:eastAsia="zh-CN"/>
              </w:rPr>
              <w:t>处理</w:t>
            </w:r>
            <w:r>
              <w:rPr>
                <w:rFonts w:hint="eastAsia" w:ascii="仿宋" w:hAnsi="仿宋" w:eastAsia="仿宋" w:cs="等线"/>
                <w:color w:val="auto"/>
                <w:sz w:val="24"/>
                <w:szCs w:val="24"/>
              </w:rPr>
              <w:t>系统故障</w:t>
            </w:r>
            <w:r>
              <w:rPr>
                <w:rFonts w:hint="eastAsia" w:ascii="仿宋" w:hAnsi="仿宋" w:eastAsia="仿宋" w:cs="等线"/>
                <w:color w:val="auto"/>
                <w:sz w:val="24"/>
                <w:szCs w:val="24"/>
                <w:lang w:eastAsia="zh-CN"/>
              </w:rPr>
              <w:t>或燃煤硫分过高，</w:t>
            </w:r>
            <w:r>
              <w:rPr>
                <w:rFonts w:hint="eastAsia" w:ascii="仿宋" w:hAnsi="仿宋" w:eastAsia="仿宋" w:cs="等线"/>
                <w:color w:val="auto"/>
                <w:sz w:val="24"/>
                <w:szCs w:val="24"/>
              </w:rPr>
              <w:t>影响</w:t>
            </w:r>
            <w:r>
              <w:rPr>
                <w:rFonts w:hint="eastAsia" w:ascii="仿宋" w:hAnsi="仿宋" w:eastAsia="仿宋" w:cs="等线"/>
                <w:color w:val="auto"/>
                <w:sz w:val="24"/>
                <w:szCs w:val="24"/>
                <w:lang w:eastAsia="zh-CN"/>
              </w:rPr>
              <w:t>锅炉</w:t>
            </w:r>
            <w:r>
              <w:rPr>
                <w:rFonts w:hint="eastAsia" w:ascii="仿宋" w:hAnsi="仿宋" w:eastAsia="仿宋" w:cs="等线"/>
                <w:color w:val="auto"/>
                <w:sz w:val="24"/>
                <w:szCs w:val="24"/>
              </w:rPr>
              <w:t>脱硫效率时，使得烟气中SO</w:t>
            </w:r>
            <w:r>
              <w:rPr>
                <w:rFonts w:hint="eastAsia" w:ascii="仿宋" w:hAnsi="仿宋" w:eastAsia="仿宋" w:cs="等线"/>
                <w:color w:val="auto"/>
                <w:sz w:val="24"/>
                <w:szCs w:val="24"/>
                <w:vertAlign w:val="subscript"/>
              </w:rPr>
              <w:t>2</w:t>
            </w:r>
            <w:r>
              <w:rPr>
                <w:rFonts w:hint="eastAsia" w:ascii="仿宋" w:hAnsi="仿宋" w:eastAsia="仿宋" w:cs="等线"/>
                <w:color w:val="auto"/>
                <w:sz w:val="24"/>
                <w:szCs w:val="24"/>
              </w:rPr>
              <w:t>浓度超过</w:t>
            </w:r>
            <w:r>
              <w:rPr>
                <w:rFonts w:hint="eastAsia" w:ascii="仿宋" w:hAnsi="仿宋" w:eastAsia="仿宋" w:cs="等线"/>
                <w:color w:val="auto"/>
                <w:sz w:val="24"/>
                <w:szCs w:val="24"/>
                <w:lang w:eastAsia="zh-CN"/>
              </w:rPr>
              <w:t>标准限</w:t>
            </w:r>
            <w:r>
              <w:rPr>
                <w:rFonts w:hint="eastAsia" w:ascii="仿宋" w:hAnsi="仿宋" w:eastAsia="仿宋" w:cs="等线"/>
                <w:color w:val="auto"/>
                <w:sz w:val="24"/>
                <w:szCs w:val="24"/>
              </w:rPr>
              <w:t>值，造成烟囱SO</w:t>
            </w:r>
            <w:r>
              <w:rPr>
                <w:rFonts w:hint="eastAsia" w:ascii="仿宋" w:hAnsi="仿宋" w:eastAsia="仿宋" w:cs="等线"/>
                <w:color w:val="auto"/>
                <w:sz w:val="24"/>
                <w:szCs w:val="24"/>
                <w:vertAlign w:val="subscript"/>
              </w:rPr>
              <w:t>2</w:t>
            </w:r>
            <w:r>
              <w:rPr>
                <w:rFonts w:hint="eastAsia" w:ascii="仿宋" w:hAnsi="仿宋" w:eastAsia="仿宋" w:cs="等线"/>
                <w:color w:val="auto"/>
                <w:sz w:val="24"/>
                <w:szCs w:val="24"/>
              </w:rPr>
              <w:t>排放超标。</w:t>
            </w:r>
          </w:p>
        </w:tc>
        <w:tc>
          <w:tcPr>
            <w:tcW w:w="658"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rPr>
              <w:t>SO</w:t>
            </w:r>
            <w:r>
              <w:rPr>
                <w:rFonts w:hint="eastAsia" w:ascii="仿宋" w:hAnsi="仿宋" w:eastAsia="仿宋" w:cs="等线"/>
                <w:color w:val="auto"/>
                <w:sz w:val="24"/>
                <w:szCs w:val="24"/>
                <w:vertAlign w:val="subscript"/>
              </w:rPr>
              <w:t>2</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lang w:val="en-US" w:eastAsia="zh-CN"/>
              </w:rPr>
              <w:t>NO</w:t>
            </w:r>
            <w:r>
              <w:rPr>
                <w:rFonts w:hint="eastAsia" w:ascii="仿宋" w:hAnsi="仿宋" w:eastAsia="仿宋" w:cs="等线"/>
                <w:color w:val="auto"/>
                <w:sz w:val="24"/>
                <w:szCs w:val="24"/>
                <w:vertAlign w:val="subscript"/>
                <w:lang w:val="en-US" w:eastAsia="zh-CN"/>
              </w:rPr>
              <w:t>X</w:t>
            </w:r>
            <w:r>
              <w:rPr>
                <w:rFonts w:hint="eastAsia" w:ascii="仿宋" w:hAnsi="仿宋" w:eastAsia="仿宋" w:cs="等线"/>
                <w:color w:val="auto"/>
                <w:sz w:val="24"/>
                <w:szCs w:val="24"/>
                <w:lang w:eastAsia="zh-CN"/>
              </w:rPr>
              <w:t>、颗粒物</w:t>
            </w:r>
          </w:p>
        </w:tc>
        <w:tc>
          <w:tcPr>
            <w:tcW w:w="505"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查明废气非正常排放的原因</w:t>
            </w:r>
          </w:p>
        </w:tc>
        <w:tc>
          <w:tcPr>
            <w:tcW w:w="1062" w:type="pct"/>
            <w:shd w:val="clear" w:color="auto" w:fill="FFFFFF"/>
            <w:vAlign w:val="center"/>
          </w:tcPr>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第一时间汇报至值长，并加强监视。</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如参数仍无法正常，申请减负荷。</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烟气CEMS维保单位检查测量仪表是否故障。</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4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⑷</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安环部向上级</w:t>
            </w:r>
            <w:r>
              <w:rPr>
                <w:rFonts w:hint="eastAsia" w:ascii="仿宋" w:hAnsi="仿宋" w:eastAsia="仿宋" w:cs="等线"/>
                <w:color w:val="auto"/>
                <w:sz w:val="24"/>
                <w:szCs w:val="24"/>
                <w:lang w:val="en-US" w:eastAsia="zh-CN"/>
              </w:rPr>
              <w:t>生态环境</w:t>
            </w:r>
            <w:r>
              <w:rPr>
                <w:rFonts w:hint="eastAsia" w:ascii="仿宋" w:hAnsi="仿宋" w:eastAsia="仿宋" w:cs="等线"/>
                <w:color w:val="auto"/>
                <w:sz w:val="24"/>
                <w:szCs w:val="24"/>
                <w:lang w:val="en-US" w:eastAsia="zh-CN"/>
              </w:rPr>
              <w:t>部门汇报。</w:t>
            </w:r>
          </w:p>
        </w:tc>
        <w:tc>
          <w:tcPr>
            <w:tcW w:w="404"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实时监测排放数据变化</w:t>
            </w:r>
          </w:p>
        </w:tc>
        <w:tc>
          <w:tcPr>
            <w:tcW w:w="1162" w:type="pct"/>
            <w:shd w:val="clear" w:color="auto" w:fill="FFFFFF"/>
            <w:vAlign w:val="center"/>
          </w:tcPr>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eastAsia="zh-CN"/>
              </w:rPr>
              <w:t>采取掺烧措施减少燃煤硫份，降低SO2的浓度。</w:t>
            </w:r>
          </w:p>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eastAsia="zh-CN"/>
              </w:rPr>
              <w:t>减负荷、增转浆液循环泵</w:t>
            </w:r>
          </w:p>
          <w:p>
            <w:pPr>
              <w:pStyle w:val="94"/>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Times New Roman"/>
                <w:color w:val="auto"/>
                <w:sz w:val="24"/>
                <w:szCs w:val="24"/>
                <w:lang w:val="en-US" w:eastAsia="zh-CN" w:bidi="ar-SA"/>
              </w:rPr>
              <w:fldChar w:fldCharType="begin"/>
            </w:r>
            <w:r>
              <w:rPr>
                <w:rFonts w:ascii="仿宋" w:hAnsi="仿宋" w:eastAsia="仿宋" w:cs="Times New Roman"/>
                <w:color w:val="auto"/>
                <w:sz w:val="24"/>
                <w:szCs w:val="24"/>
                <w:lang w:val="en-US" w:eastAsia="zh-CN" w:bidi="ar-SA"/>
              </w:rPr>
              <w:instrText xml:space="preserve"> </w:instrText>
            </w:r>
            <w:r>
              <w:rPr>
                <w:rFonts w:hint="eastAsia" w:ascii="仿宋" w:hAnsi="仿宋" w:eastAsia="仿宋" w:cs="Times New Roman"/>
                <w:color w:val="auto"/>
                <w:sz w:val="24"/>
                <w:szCs w:val="24"/>
                <w:lang w:val="en-US" w:eastAsia="zh-CN" w:bidi="ar-SA"/>
              </w:rPr>
              <w:instrText xml:space="preserve">= 3 \* GB2</w:instrText>
            </w:r>
            <w:r>
              <w:rPr>
                <w:rFonts w:ascii="仿宋" w:hAnsi="仿宋" w:eastAsia="仿宋" w:cs="Times New Roman"/>
                <w:color w:val="auto"/>
                <w:sz w:val="24"/>
                <w:szCs w:val="24"/>
                <w:lang w:val="en-US" w:eastAsia="zh-CN" w:bidi="ar-SA"/>
              </w:rPr>
              <w:instrText xml:space="preserve"> </w:instrText>
            </w:r>
            <w:r>
              <w:rPr>
                <w:rFonts w:ascii="仿宋" w:hAnsi="仿宋" w:eastAsia="仿宋" w:cs="Times New Roman"/>
                <w:color w:val="auto"/>
                <w:sz w:val="24"/>
                <w:szCs w:val="24"/>
                <w:lang w:val="en-US" w:eastAsia="zh-CN" w:bidi="ar-SA"/>
              </w:rPr>
              <w:fldChar w:fldCharType="separate"/>
            </w:r>
            <w:r>
              <w:rPr>
                <w:rFonts w:hint="eastAsia" w:ascii="仿宋" w:hAnsi="仿宋" w:eastAsia="仿宋" w:cs="Times New Roman"/>
                <w:color w:val="auto"/>
                <w:sz w:val="24"/>
                <w:szCs w:val="24"/>
                <w:lang w:val="en-US" w:eastAsia="zh-CN" w:bidi="ar-SA"/>
              </w:rPr>
              <w:t>⑶</w:t>
            </w:r>
            <w:r>
              <w:rPr>
                <w:rFonts w:ascii="仿宋" w:hAnsi="仿宋" w:eastAsia="仿宋" w:cs="Times New Roman"/>
                <w:color w:val="auto"/>
                <w:sz w:val="24"/>
                <w:szCs w:val="24"/>
                <w:lang w:val="en-US" w:eastAsia="zh-CN" w:bidi="ar-SA"/>
              </w:rPr>
              <w:fldChar w:fldCharType="end"/>
            </w:r>
            <w:r>
              <w:rPr>
                <w:rFonts w:hint="eastAsia" w:ascii="仿宋" w:hAnsi="仿宋" w:eastAsia="仿宋" w:cs="Times New Roman"/>
                <w:color w:val="auto"/>
                <w:sz w:val="24"/>
                <w:szCs w:val="24"/>
                <w:lang w:val="en-US" w:eastAsia="zh-CN" w:bidi="ar-SA"/>
              </w:rPr>
              <w:t>提高石灰石浆液PH值和密度。</w:t>
            </w:r>
          </w:p>
          <w:p>
            <w:pPr>
              <w:pStyle w:val="94"/>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4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⑷</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脱硫效率降低时，应及时降低锅炉负荷，采取措施提高效率；如无法解决，应尽快安排停机检修。</w:t>
            </w:r>
          </w:p>
        </w:tc>
        <w:tc>
          <w:tcPr>
            <w:tcW w:w="397" w:type="pct"/>
            <w:vMerge w:val="restart"/>
            <w:shd w:val="clear" w:color="auto" w:fill="FFFFFF"/>
            <w:vAlign w:val="center"/>
          </w:tcPr>
          <w:p>
            <w:pPr>
              <w:pStyle w:val="94"/>
              <w:spacing w:line="240" w:lineRule="auto"/>
              <w:ind w:firstLine="0"/>
              <w:jc w:val="center"/>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发生烟气排放数据超标，应及时汇报至生产领导、安环部。</w:t>
            </w:r>
          </w:p>
          <w:p>
            <w:pPr>
              <w:pStyle w:val="94"/>
              <w:spacing w:line="240" w:lineRule="auto"/>
              <w:ind w:firstLine="0"/>
              <w:jc w:val="center"/>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发生烟气排放超标，及时采取正确的措施，严禁无故拖延。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812" w:type="pc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lang w:eastAsia="zh-CN"/>
              </w:rPr>
              <w:t>尿素溶液系统管道泄漏、反应器入口烟温过高或过低，影响催化剂活性、脱硝系统故障等，造成</w:t>
            </w:r>
            <w:r>
              <w:rPr>
                <w:rFonts w:hint="eastAsia" w:ascii="仿宋" w:hAnsi="仿宋" w:eastAsia="仿宋" w:cs="等线"/>
                <w:color w:val="auto"/>
                <w:sz w:val="24"/>
                <w:szCs w:val="24"/>
                <w:lang w:val="en-US" w:eastAsia="zh-CN"/>
              </w:rPr>
              <w:t>NO</w:t>
            </w:r>
            <w:r>
              <w:rPr>
                <w:rFonts w:hint="eastAsia" w:ascii="仿宋" w:hAnsi="仿宋" w:eastAsia="仿宋" w:cs="等线"/>
                <w:color w:val="auto"/>
                <w:sz w:val="24"/>
                <w:szCs w:val="24"/>
                <w:vertAlign w:val="subscript"/>
                <w:lang w:val="en-US" w:eastAsia="zh-CN"/>
              </w:rPr>
              <w:t>X</w:t>
            </w:r>
            <w:r>
              <w:rPr>
                <w:rFonts w:hint="eastAsia" w:ascii="仿宋" w:hAnsi="仿宋" w:eastAsia="仿宋" w:cs="等线"/>
                <w:color w:val="auto"/>
                <w:sz w:val="24"/>
                <w:szCs w:val="24"/>
                <w:lang w:val="en-US" w:eastAsia="zh-CN"/>
              </w:rPr>
              <w:t>排放超标</w:t>
            </w:r>
            <w:r>
              <w:rPr>
                <w:rFonts w:hint="eastAsia" w:ascii="仿宋" w:hAnsi="仿宋" w:eastAsia="仿宋" w:cs="等线"/>
                <w:color w:val="auto"/>
                <w:sz w:val="24"/>
                <w:szCs w:val="24"/>
              </w:rPr>
              <w:t>。</w:t>
            </w:r>
          </w:p>
        </w:tc>
        <w:tc>
          <w:tcPr>
            <w:tcW w:w="658"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rPr>
            </w:pPr>
          </w:p>
        </w:tc>
        <w:tc>
          <w:tcPr>
            <w:tcW w:w="505" w:type="pct"/>
            <w:vMerge w:val="continue"/>
            <w:shd w:val="clear" w:color="auto" w:fill="FFFFFF"/>
          </w:tcPr>
          <w:p>
            <w:pPr>
              <w:pStyle w:val="94"/>
              <w:spacing w:line="240" w:lineRule="auto"/>
              <w:ind w:firstLine="0"/>
              <w:jc w:val="center"/>
              <w:rPr>
                <w:rFonts w:ascii="仿宋" w:hAnsi="仿宋" w:eastAsia="仿宋" w:cs="等线"/>
                <w:color w:val="auto"/>
                <w:sz w:val="24"/>
                <w:szCs w:val="24"/>
                <w:lang w:val="en-US" w:eastAsia="zh-CN"/>
              </w:rPr>
            </w:pPr>
          </w:p>
        </w:tc>
        <w:tc>
          <w:tcPr>
            <w:tcW w:w="1062" w:type="pct"/>
            <w:shd w:val="clear" w:color="auto" w:fill="FFFFFF"/>
            <w:vAlign w:val="center"/>
          </w:tcPr>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紧急汇报至值长降低负荷，严密监视数据变化</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查找原因，尽快恢复。</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安环部向上级</w:t>
            </w:r>
            <w:r>
              <w:rPr>
                <w:rFonts w:hint="eastAsia" w:ascii="仿宋" w:hAnsi="仿宋" w:eastAsia="仿宋" w:cs="等线"/>
                <w:color w:val="auto"/>
                <w:sz w:val="24"/>
                <w:szCs w:val="24"/>
                <w:lang w:val="en-US" w:eastAsia="zh-CN"/>
              </w:rPr>
              <w:t>生态环境</w:t>
            </w:r>
            <w:r>
              <w:rPr>
                <w:rFonts w:hint="eastAsia" w:ascii="仿宋" w:hAnsi="仿宋" w:eastAsia="仿宋" w:cs="等线"/>
                <w:color w:val="auto"/>
                <w:sz w:val="24"/>
                <w:szCs w:val="24"/>
                <w:lang w:val="en-US" w:eastAsia="zh-CN"/>
              </w:rPr>
              <w:t>部门汇报。</w:t>
            </w:r>
          </w:p>
        </w:tc>
        <w:tc>
          <w:tcPr>
            <w:tcW w:w="404"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1162" w:type="pct"/>
            <w:shd w:val="clear" w:color="auto" w:fill="FFFFFF"/>
            <w:vAlign w:val="center"/>
          </w:tcPr>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检查尿素溶液管道是否泄漏或中断，立即进行处理。</w:t>
            </w:r>
          </w:p>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降低机组出力或紧急停机。</w:t>
            </w:r>
          </w:p>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Times New Roman"/>
                <w:color w:val="auto"/>
                <w:sz w:val="24"/>
                <w:szCs w:val="24"/>
                <w:lang w:val="en-US" w:eastAsia="zh-CN" w:bidi="ar-SA"/>
              </w:rPr>
              <w:fldChar w:fldCharType="begin"/>
            </w:r>
            <w:r>
              <w:rPr>
                <w:rFonts w:ascii="仿宋" w:hAnsi="仿宋" w:eastAsia="仿宋" w:cs="Times New Roman"/>
                <w:color w:val="auto"/>
                <w:sz w:val="24"/>
                <w:szCs w:val="24"/>
                <w:lang w:val="en-US" w:eastAsia="zh-CN" w:bidi="ar-SA"/>
              </w:rPr>
              <w:instrText xml:space="preserve"> </w:instrText>
            </w:r>
            <w:r>
              <w:rPr>
                <w:rFonts w:hint="eastAsia" w:ascii="仿宋" w:hAnsi="仿宋" w:eastAsia="仿宋" w:cs="Times New Roman"/>
                <w:color w:val="auto"/>
                <w:sz w:val="24"/>
                <w:szCs w:val="24"/>
                <w:lang w:val="en-US" w:eastAsia="zh-CN" w:bidi="ar-SA"/>
              </w:rPr>
              <w:instrText xml:space="preserve">= 3 \* GB2</w:instrText>
            </w:r>
            <w:r>
              <w:rPr>
                <w:rFonts w:ascii="仿宋" w:hAnsi="仿宋" w:eastAsia="仿宋" w:cs="Times New Roman"/>
                <w:color w:val="auto"/>
                <w:sz w:val="24"/>
                <w:szCs w:val="24"/>
                <w:lang w:val="en-US" w:eastAsia="zh-CN" w:bidi="ar-SA"/>
              </w:rPr>
              <w:instrText xml:space="preserve"> </w:instrText>
            </w:r>
            <w:r>
              <w:rPr>
                <w:rFonts w:ascii="仿宋" w:hAnsi="仿宋" w:eastAsia="仿宋" w:cs="Times New Roman"/>
                <w:color w:val="auto"/>
                <w:sz w:val="24"/>
                <w:szCs w:val="24"/>
                <w:lang w:val="en-US" w:eastAsia="zh-CN" w:bidi="ar-SA"/>
              </w:rPr>
              <w:fldChar w:fldCharType="separate"/>
            </w:r>
            <w:r>
              <w:rPr>
                <w:rFonts w:hint="eastAsia" w:ascii="仿宋" w:hAnsi="仿宋" w:eastAsia="仿宋" w:cs="Times New Roman"/>
                <w:color w:val="auto"/>
                <w:sz w:val="24"/>
                <w:szCs w:val="24"/>
                <w:lang w:val="en-US" w:eastAsia="zh-CN" w:bidi="ar-SA"/>
              </w:rPr>
              <w:t>⑶</w:t>
            </w:r>
            <w:r>
              <w:rPr>
                <w:rFonts w:ascii="仿宋" w:hAnsi="仿宋" w:eastAsia="仿宋" w:cs="Times New Roman"/>
                <w:color w:val="auto"/>
                <w:sz w:val="24"/>
                <w:szCs w:val="24"/>
                <w:lang w:val="en-US" w:eastAsia="zh-CN" w:bidi="ar-SA"/>
              </w:rPr>
              <w:fldChar w:fldCharType="end"/>
            </w:r>
            <w:r>
              <w:rPr>
                <w:rFonts w:hint="eastAsia" w:ascii="仿宋" w:hAnsi="仿宋" w:eastAsia="仿宋" w:cs="Times New Roman"/>
                <w:color w:val="auto"/>
                <w:sz w:val="24"/>
                <w:szCs w:val="24"/>
                <w:lang w:val="en-US" w:eastAsia="zh-CN" w:bidi="ar-SA"/>
              </w:rPr>
              <w:t>利用停机机会及时更换活性降低的催化剂层。</w:t>
            </w:r>
          </w:p>
        </w:tc>
        <w:tc>
          <w:tcPr>
            <w:tcW w:w="397" w:type="pct"/>
            <w:vMerge w:val="continue"/>
            <w:shd w:val="clear" w:color="auto" w:fill="FFFFFF"/>
            <w:vAlign w:val="center"/>
          </w:tcPr>
          <w:p>
            <w:pPr>
              <w:pStyle w:val="94"/>
              <w:spacing w:line="240" w:lineRule="auto"/>
              <w:ind w:firstLine="0"/>
              <w:jc w:val="center"/>
              <w:rPr>
                <w:rFonts w:ascii="仿宋" w:hAnsi="仿宋" w:eastAsia="仿宋" w:cs="Times New Roman"/>
                <w:color w:val="auto"/>
                <w:sz w:val="24"/>
                <w:szCs w:val="24"/>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812" w:type="pc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除尘器</w:t>
            </w:r>
            <w:r>
              <w:rPr>
                <w:rFonts w:hint="eastAsia" w:ascii="仿宋" w:hAnsi="仿宋" w:eastAsia="仿宋" w:cs="等线"/>
                <w:color w:val="auto"/>
                <w:sz w:val="24"/>
                <w:szCs w:val="24"/>
                <w:lang w:eastAsia="zh-CN"/>
              </w:rPr>
              <w:t>系统</w:t>
            </w:r>
            <w:r>
              <w:rPr>
                <w:rFonts w:hint="eastAsia" w:ascii="仿宋" w:hAnsi="仿宋" w:eastAsia="仿宋" w:cs="等线"/>
                <w:color w:val="auto"/>
                <w:sz w:val="24"/>
                <w:szCs w:val="24"/>
              </w:rPr>
              <w:t>出现故障，烟囱冒黑烟，排放物超标。</w:t>
            </w:r>
          </w:p>
        </w:tc>
        <w:tc>
          <w:tcPr>
            <w:tcW w:w="658"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rPr>
            </w:pPr>
          </w:p>
        </w:tc>
        <w:tc>
          <w:tcPr>
            <w:tcW w:w="505" w:type="pct"/>
            <w:vMerge w:val="continue"/>
            <w:shd w:val="clear" w:color="auto" w:fill="FFFFFF"/>
          </w:tcPr>
          <w:p>
            <w:pPr>
              <w:pStyle w:val="94"/>
              <w:spacing w:line="240" w:lineRule="auto"/>
              <w:ind w:firstLine="0"/>
              <w:jc w:val="left"/>
              <w:rPr>
                <w:rFonts w:ascii="仿宋" w:hAnsi="仿宋" w:eastAsia="仿宋" w:cs="等线"/>
                <w:color w:val="auto"/>
                <w:sz w:val="24"/>
                <w:szCs w:val="24"/>
                <w:lang w:val="en-US" w:eastAsia="zh-CN"/>
              </w:rPr>
            </w:pPr>
          </w:p>
        </w:tc>
        <w:tc>
          <w:tcPr>
            <w:tcW w:w="1062" w:type="pct"/>
            <w:shd w:val="clear" w:color="auto" w:fill="FFFFFF"/>
            <w:vAlign w:val="center"/>
          </w:tcPr>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第一时间汇报至值长，减负荷并加强监视</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及时调整锅炉风粉配比，优化机组运行方式。</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紧急停运故障除尘器。</w:t>
            </w:r>
          </w:p>
          <w:p>
            <w:pPr>
              <w:pStyle w:val="94"/>
              <w:spacing w:line="240" w:lineRule="auto"/>
              <w:ind w:firstLine="0"/>
              <w:jc w:val="left"/>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4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⑷</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安环部向上级</w:t>
            </w:r>
            <w:r>
              <w:rPr>
                <w:rFonts w:hint="eastAsia" w:ascii="仿宋" w:hAnsi="仿宋" w:eastAsia="仿宋" w:cs="等线"/>
                <w:color w:val="auto"/>
                <w:sz w:val="24"/>
                <w:szCs w:val="24"/>
                <w:lang w:val="en-US" w:eastAsia="zh-CN"/>
              </w:rPr>
              <w:t>生态环境</w:t>
            </w:r>
            <w:r>
              <w:rPr>
                <w:rFonts w:hint="eastAsia" w:ascii="仿宋" w:hAnsi="仿宋" w:eastAsia="仿宋" w:cs="等线"/>
                <w:color w:val="auto"/>
                <w:sz w:val="24"/>
                <w:szCs w:val="24"/>
                <w:lang w:val="en-US" w:eastAsia="zh-CN"/>
              </w:rPr>
              <w:t>门汇报。</w:t>
            </w:r>
          </w:p>
        </w:tc>
        <w:tc>
          <w:tcPr>
            <w:tcW w:w="404"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1162" w:type="pct"/>
            <w:shd w:val="clear" w:color="auto" w:fill="FFFFFF"/>
            <w:vAlign w:val="center"/>
          </w:tcPr>
          <w:p>
            <w:pPr>
              <w:pStyle w:val="94"/>
              <w:tabs>
                <w:tab w:val="left" w:pos="605"/>
              </w:tabs>
              <w:spacing w:line="240" w:lineRule="auto"/>
              <w:ind w:firstLine="0"/>
              <w:jc w:val="left"/>
              <w:rPr>
                <w:rFonts w:ascii="仿宋" w:hAnsi="仿宋" w:eastAsia="仿宋" w:cs="Times New Roman"/>
                <w:color w:val="auto"/>
                <w:sz w:val="24"/>
                <w:szCs w:val="24"/>
                <w:lang w:val="en-US" w:eastAsia="zh-CN" w:bidi="ar-SA"/>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汇报值长，降低机组出力，尽快消除问题。</w:t>
            </w:r>
          </w:p>
          <w:p>
            <w:pPr>
              <w:pStyle w:val="94"/>
              <w:tabs>
                <w:tab w:val="left" w:pos="676"/>
              </w:tabs>
              <w:spacing w:line="240" w:lineRule="auto"/>
              <w:ind w:firstLine="0"/>
              <w:jc w:val="left"/>
              <w:rPr>
                <w:rFonts w:ascii="仿宋" w:hAnsi="仿宋" w:eastAsia="仿宋"/>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Times New Roman"/>
                <w:color w:val="auto"/>
                <w:sz w:val="24"/>
                <w:szCs w:val="24"/>
                <w:lang w:val="en-US" w:eastAsia="zh-CN" w:bidi="ar-SA"/>
              </w:rPr>
              <w:t>除尘器系统故障短时无法恢复，应紧急停机。</w:t>
            </w:r>
          </w:p>
        </w:tc>
        <w:tc>
          <w:tcPr>
            <w:tcW w:w="397"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bl>
    <w:p>
      <w:pPr>
        <w:ind w:firstLine="482"/>
        <w:jc w:val="center"/>
        <w:rPr>
          <w:rFonts w:ascii="仿宋" w:hAnsi="仿宋"/>
          <w:b/>
          <w:bCs/>
          <w:color w:val="auto"/>
          <w:sz w:val="24"/>
        </w:rPr>
      </w:pPr>
    </w:p>
    <w:p>
      <w:pPr>
        <w:ind w:firstLine="482"/>
        <w:jc w:val="center"/>
        <w:rPr>
          <w:rFonts w:ascii="仿宋" w:hAnsi="仿宋"/>
          <w:b/>
          <w:bCs/>
          <w:color w:val="auto"/>
          <w:sz w:val="24"/>
        </w:rPr>
      </w:pPr>
    </w:p>
    <w:p>
      <w:pPr>
        <w:ind w:firstLine="0" w:firstLineChars="0"/>
        <w:rPr>
          <w:b/>
          <w:bCs/>
          <w:color w:val="auto"/>
          <w:szCs w:val="28"/>
        </w:rPr>
        <w:sectPr>
          <w:pgSz w:w="16838" w:h="11906" w:orient="landscape"/>
          <w:pgMar w:top="1418" w:right="1418" w:bottom="1418" w:left="1418" w:header="851" w:footer="992" w:gutter="0"/>
          <w:pgNumType w:fmt="numberInDash"/>
          <w:cols w:space="720" w:num="1"/>
          <w:docGrid w:linePitch="381" w:charSpace="0"/>
        </w:sectPr>
      </w:pPr>
    </w:p>
    <w:p>
      <w:pPr>
        <w:pStyle w:val="5"/>
        <w:ind w:firstLine="0" w:firstLineChars="0"/>
        <w:rPr>
          <w:color w:val="auto"/>
          <w:kern w:val="0"/>
        </w:rPr>
      </w:pPr>
      <w:bookmarkStart w:id="155" w:name="_Toc11675"/>
      <w:r>
        <w:rPr>
          <w:rFonts w:hint="eastAsia"/>
          <w:color w:val="auto"/>
          <w:kern w:val="0"/>
        </w:rPr>
        <w:t>6</w:t>
      </w:r>
      <w:r>
        <w:rPr>
          <w:color w:val="auto"/>
          <w:kern w:val="0"/>
        </w:rPr>
        <w:t xml:space="preserve">.5.2 </w:t>
      </w:r>
      <w:r>
        <w:rPr>
          <w:rFonts w:hint="eastAsia"/>
          <w:color w:val="auto"/>
          <w:kern w:val="0"/>
        </w:rPr>
        <w:t>柴油泄漏、火灾爆炸事故情景处置方案</w:t>
      </w:r>
      <w:bookmarkEnd w:id="155"/>
    </w:p>
    <w:p>
      <w:pPr>
        <w:ind w:firstLine="482"/>
        <w:jc w:val="center"/>
        <w:rPr>
          <w:rFonts w:ascii="仿宋" w:hAnsi="仿宋"/>
          <w:b/>
          <w:bCs/>
          <w:color w:val="auto"/>
          <w:sz w:val="24"/>
        </w:rPr>
      </w:pPr>
      <w:r>
        <w:rPr>
          <w:rFonts w:ascii="仿宋" w:hAnsi="仿宋"/>
          <w:b/>
          <w:bCs/>
          <w:color w:val="auto"/>
          <w:sz w:val="24"/>
        </w:rPr>
        <w:t xml:space="preserve">表6-3    </w:t>
      </w:r>
      <w:r>
        <w:rPr>
          <w:rFonts w:hint="eastAsia" w:ascii="仿宋" w:hAnsi="仿宋"/>
          <w:b/>
          <w:bCs/>
          <w:color w:val="auto"/>
          <w:sz w:val="24"/>
        </w:rPr>
        <w:t>柴油泄漏、火灾爆炸事故情景处置方案</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710"/>
        <w:gridCol w:w="993"/>
        <w:gridCol w:w="1562"/>
        <w:gridCol w:w="3116"/>
        <w:gridCol w:w="2126"/>
        <w:gridCol w:w="2552"/>
        <w:gridCol w:w="19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610" w:type="pct"/>
            <w:vMerge w:val="restart"/>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bidi="zh-TW"/>
              </w:rPr>
            </w:pPr>
            <w:r>
              <w:rPr>
                <w:rFonts w:hint="eastAsia" w:ascii="仿宋" w:hAnsi="仿宋" w:cs="等线"/>
                <w:b/>
                <w:bCs/>
                <w:color w:val="auto"/>
                <w:sz w:val="24"/>
                <w:lang w:val="zh-TW" w:bidi="zh-TW"/>
              </w:rPr>
              <w:t>情景设置</w:t>
            </w:r>
          </w:p>
        </w:tc>
        <w:tc>
          <w:tcPr>
            <w:tcW w:w="354" w:type="pct"/>
            <w:vMerge w:val="restart"/>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bidi="zh-TW"/>
              </w:rPr>
            </w:pPr>
            <w:r>
              <w:rPr>
                <w:rFonts w:hint="eastAsia" w:ascii="仿宋" w:hAnsi="仿宋" w:cs="等线"/>
                <w:b/>
                <w:bCs/>
                <w:color w:val="auto"/>
                <w:sz w:val="24"/>
                <w:lang w:val="zh-TW" w:bidi="zh-TW"/>
              </w:rPr>
              <w:t>环境风险物质</w:t>
            </w:r>
          </w:p>
        </w:tc>
        <w:tc>
          <w:tcPr>
            <w:tcW w:w="4036" w:type="pct"/>
            <w:gridSpan w:val="5"/>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bidi="zh-TW"/>
              </w:rPr>
            </w:pPr>
            <w:r>
              <w:rPr>
                <w:rFonts w:hint="eastAsia" w:ascii="仿宋" w:hAnsi="仿宋" w:cs="等线"/>
                <w:b/>
                <w:bCs/>
                <w:color w:val="auto"/>
                <w:sz w:val="24"/>
                <w:lang w:val="zh-TW" w:bidi="zh-TW"/>
              </w:rPr>
              <w:t>现场处置措施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610" w:type="pct"/>
            <w:vMerge w:val="continue"/>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eastAsia="zh-TW" w:bidi="zh-TW"/>
              </w:rPr>
            </w:pPr>
          </w:p>
        </w:tc>
        <w:tc>
          <w:tcPr>
            <w:tcW w:w="354" w:type="pct"/>
            <w:vMerge w:val="continue"/>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eastAsia="zh-TW" w:bidi="zh-TW"/>
              </w:rPr>
            </w:pPr>
          </w:p>
        </w:tc>
        <w:tc>
          <w:tcPr>
            <w:tcW w:w="557" w:type="pct"/>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bidi="zh-TW"/>
              </w:rPr>
            </w:pPr>
            <w:r>
              <w:rPr>
                <w:rFonts w:hint="eastAsia" w:ascii="仿宋" w:hAnsi="仿宋" w:cs="等线"/>
                <w:b/>
                <w:bCs/>
                <w:color w:val="auto"/>
                <w:sz w:val="24"/>
                <w:lang w:val="zh-TW" w:bidi="zh-TW"/>
              </w:rPr>
              <w:t>事故确认</w:t>
            </w:r>
          </w:p>
        </w:tc>
        <w:tc>
          <w:tcPr>
            <w:tcW w:w="1111" w:type="pct"/>
            <w:shd w:val="clear" w:color="auto" w:fill="D9D9D9"/>
            <w:vAlign w:val="center"/>
          </w:tcPr>
          <w:p>
            <w:pPr>
              <w:adjustRightInd/>
              <w:snapToGrid/>
              <w:spacing w:line="240" w:lineRule="auto"/>
              <w:ind w:firstLine="0" w:firstLineChars="0"/>
              <w:jc w:val="center"/>
              <w:rPr>
                <w:rFonts w:ascii="仿宋" w:hAnsi="仿宋" w:cs="等线"/>
                <w:b/>
                <w:bCs/>
                <w:color w:val="auto"/>
                <w:sz w:val="24"/>
                <w:lang w:val="zh-TW" w:bidi="zh-TW"/>
              </w:rPr>
            </w:pPr>
            <w:r>
              <w:rPr>
                <w:rFonts w:hint="eastAsia" w:ascii="仿宋" w:hAnsi="仿宋" w:cs="等线"/>
                <w:b/>
                <w:bCs/>
                <w:color w:val="auto"/>
                <w:sz w:val="24"/>
                <w:lang w:val="zh-TW" w:bidi="zh-TW"/>
              </w:rPr>
              <w:t>断源</w:t>
            </w:r>
          </w:p>
        </w:tc>
        <w:tc>
          <w:tcPr>
            <w:tcW w:w="758"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截流</w:t>
            </w:r>
          </w:p>
        </w:tc>
        <w:tc>
          <w:tcPr>
            <w:tcW w:w="910"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污染消除</w:t>
            </w:r>
          </w:p>
        </w:tc>
        <w:tc>
          <w:tcPr>
            <w:tcW w:w="700"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jc w:val="center"/>
        </w:trPr>
        <w:tc>
          <w:tcPr>
            <w:tcW w:w="610"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柴油输送管道、阀门、法兰泄漏</w:t>
            </w:r>
          </w:p>
        </w:tc>
        <w:tc>
          <w:tcPr>
            <w:tcW w:w="354"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柴油</w:t>
            </w:r>
          </w:p>
        </w:tc>
        <w:tc>
          <w:tcPr>
            <w:tcW w:w="557" w:type="pct"/>
            <w:vMerge w:val="restart"/>
            <w:shd w:val="clear" w:color="auto" w:fill="FFFFFF"/>
            <w:vAlign w:val="center"/>
          </w:tcPr>
          <w:p>
            <w:pPr>
              <w:pStyle w:val="94"/>
              <w:spacing w:line="240" w:lineRule="auto"/>
              <w:ind w:firstLine="0"/>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确认泄漏源、以及事故现场情况</w:t>
            </w:r>
          </w:p>
        </w:tc>
        <w:tc>
          <w:tcPr>
            <w:tcW w:w="1111"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关闭泄漏点进出料</w:t>
            </w:r>
            <w:r>
              <w:rPr>
                <w:rFonts w:hint="eastAsia" w:ascii="仿宋" w:hAnsi="仿宋" w:eastAsia="仿宋" w:cs="等线"/>
                <w:color w:val="auto"/>
                <w:sz w:val="24"/>
                <w:szCs w:val="24"/>
                <w:lang w:eastAsia="zh-CN"/>
              </w:rPr>
              <w:t>阀门</w:t>
            </w:r>
            <w:r>
              <w:rPr>
                <w:rFonts w:hint="eastAsia" w:ascii="仿宋" w:hAnsi="仿宋" w:eastAsia="仿宋" w:cs="等线"/>
                <w:color w:val="auto"/>
                <w:sz w:val="24"/>
                <w:szCs w:val="24"/>
              </w:rPr>
              <w:t>；</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及时进行堵漏维修。</w:t>
            </w:r>
          </w:p>
        </w:tc>
        <w:tc>
          <w:tcPr>
            <w:tcW w:w="758" w:type="pct"/>
            <w:vMerge w:val="restar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切断雨水排口；</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利用已有围堰，对泄漏物进行截流，将泄漏柴油通过导流沟自流入污油收集池；</w:t>
            </w:r>
          </w:p>
        </w:tc>
        <w:tc>
          <w:tcPr>
            <w:tcW w:w="910" w:type="pct"/>
            <w:vMerge w:val="restar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1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泄漏物收集至洁净容器中；</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2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泄漏至地面柴油用砂土进行吸附；</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3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⑶</w:t>
            </w:r>
            <w:r>
              <w:rPr>
                <w:rFonts w:ascii="仿宋" w:hAnsi="仿宋" w:eastAsia="仿宋" w:cs="等线"/>
                <w:color w:val="auto"/>
                <w:sz w:val="24"/>
                <w:szCs w:val="24"/>
              </w:rPr>
              <w:fldChar w:fldCharType="end"/>
            </w:r>
            <w:r>
              <w:rPr>
                <w:rFonts w:hint="eastAsia" w:ascii="仿宋" w:hAnsi="仿宋" w:eastAsia="仿宋" w:cs="等线"/>
                <w:color w:val="auto"/>
                <w:sz w:val="24"/>
                <w:szCs w:val="24"/>
              </w:rPr>
              <w:t>含油砂土按危废进行处置。</w:t>
            </w:r>
          </w:p>
        </w:tc>
        <w:tc>
          <w:tcPr>
            <w:tcW w:w="700" w:type="pct"/>
            <w:vMerge w:val="restart"/>
            <w:shd w:val="clear" w:color="auto" w:fill="FFFFFF"/>
            <w:vAlign w:val="center"/>
          </w:tcPr>
          <w:p>
            <w:pPr>
              <w:pStyle w:val="94"/>
              <w:spacing w:line="240" w:lineRule="auto"/>
              <w:ind w:firstLine="0"/>
              <w:rPr>
                <w:rFonts w:ascii="仿宋" w:hAnsi="仿宋" w:eastAsia="仿宋" w:cs="等线"/>
                <w:color w:val="auto"/>
                <w:sz w:val="24"/>
                <w:szCs w:val="24"/>
              </w:rPr>
            </w:pPr>
            <w:r>
              <w:rPr>
                <w:rFonts w:hint="eastAsia" w:ascii="仿宋" w:hAnsi="仿宋" w:eastAsia="仿宋" w:cs="等线"/>
                <w:color w:val="auto"/>
                <w:sz w:val="24"/>
                <w:szCs w:val="24"/>
              </w:rPr>
              <w:t>若出现超出企业应急能力的情况，及时向外部请求支援，并根据当地</w:t>
            </w:r>
            <w:r>
              <w:rPr>
                <w:rFonts w:hint="eastAsia" w:ascii="仿宋" w:hAnsi="仿宋" w:eastAsia="仿宋" w:cs="等线"/>
                <w:color w:val="auto"/>
                <w:sz w:val="24"/>
                <w:szCs w:val="24"/>
                <w:lang w:val="en-US" w:eastAsia="zh-CN"/>
              </w:rPr>
              <w:t>生态环境</w:t>
            </w:r>
            <w:r>
              <w:rPr>
                <w:rFonts w:hint="eastAsia" w:ascii="仿宋" w:hAnsi="仿宋" w:eastAsia="仿宋" w:cs="等线"/>
                <w:color w:val="auto"/>
                <w:sz w:val="24"/>
                <w:szCs w:val="24"/>
              </w:rPr>
              <w:t>部门的要求及专家的意见对事态进行控制，在外部救援力量抵达现场时，全力配合应急</w:t>
            </w:r>
          </w:p>
          <w:p>
            <w:pPr>
              <w:pStyle w:val="94"/>
              <w:spacing w:line="240" w:lineRule="auto"/>
              <w:ind w:firstLine="0"/>
              <w:rPr>
                <w:rFonts w:ascii="仿宋" w:hAnsi="仿宋" w:eastAsia="仿宋" w:cs="等线"/>
                <w:color w:val="auto"/>
                <w:sz w:val="24"/>
                <w:szCs w:val="24"/>
              </w:rPr>
            </w:pPr>
            <w:r>
              <w:rPr>
                <w:rFonts w:hint="eastAsia" w:ascii="仿宋" w:hAnsi="仿宋" w:eastAsia="仿宋" w:cs="等线"/>
                <w:color w:val="auto"/>
                <w:sz w:val="24"/>
                <w:szCs w:val="24"/>
              </w:rPr>
              <w:t>抢险工作。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610"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rPr>
            </w:pPr>
          </w:p>
        </w:tc>
        <w:tc>
          <w:tcPr>
            <w:tcW w:w="354"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rPr>
            </w:pPr>
          </w:p>
        </w:tc>
        <w:tc>
          <w:tcPr>
            <w:tcW w:w="557" w:type="pct"/>
            <w:vMerge w:val="continue"/>
            <w:shd w:val="clear" w:color="auto" w:fill="FFFFFF"/>
            <w:vAlign w:val="center"/>
          </w:tcPr>
          <w:p>
            <w:pPr>
              <w:pStyle w:val="94"/>
              <w:spacing w:line="240" w:lineRule="auto"/>
              <w:jc w:val="center"/>
              <w:rPr>
                <w:rFonts w:ascii="仿宋" w:hAnsi="仿宋" w:eastAsia="仿宋" w:cs="等线"/>
                <w:color w:val="auto"/>
                <w:sz w:val="24"/>
                <w:szCs w:val="24"/>
                <w:lang w:val="en-US" w:eastAsia="zh-CN"/>
              </w:rPr>
            </w:pPr>
          </w:p>
        </w:tc>
        <w:tc>
          <w:tcPr>
            <w:tcW w:w="1111"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应立即切断泄漏源；</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进行倒</w:t>
            </w:r>
            <w:r>
              <w:rPr>
                <w:rFonts w:hint="eastAsia" w:ascii="仿宋" w:hAnsi="仿宋" w:eastAsia="仿宋" w:cs="等线"/>
                <w:color w:val="auto"/>
                <w:sz w:val="24"/>
                <w:szCs w:val="24"/>
                <w:lang w:eastAsia="zh-CN"/>
              </w:rPr>
              <w:t>罐</w:t>
            </w:r>
            <w:r>
              <w:rPr>
                <w:rFonts w:hint="eastAsia" w:ascii="仿宋" w:hAnsi="仿宋" w:eastAsia="仿宋" w:cs="等线"/>
                <w:color w:val="auto"/>
                <w:sz w:val="24"/>
                <w:szCs w:val="24"/>
              </w:rPr>
              <w:t>操作；</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及时进行堵漏维修。</w:t>
            </w:r>
          </w:p>
        </w:tc>
        <w:tc>
          <w:tcPr>
            <w:tcW w:w="758" w:type="pct"/>
            <w:vMerge w:val="continue"/>
            <w:shd w:val="clear" w:color="auto" w:fill="FFFFFF"/>
            <w:vAlign w:val="center"/>
          </w:tcPr>
          <w:p>
            <w:pPr>
              <w:pStyle w:val="94"/>
              <w:spacing w:line="240" w:lineRule="auto"/>
              <w:ind w:firstLine="0"/>
              <w:rPr>
                <w:rFonts w:ascii="仿宋" w:hAnsi="仿宋" w:eastAsia="仿宋" w:cs="等线"/>
                <w:color w:val="auto"/>
                <w:sz w:val="24"/>
                <w:szCs w:val="24"/>
              </w:rPr>
            </w:pPr>
          </w:p>
        </w:tc>
        <w:tc>
          <w:tcPr>
            <w:tcW w:w="910" w:type="pct"/>
            <w:vMerge w:val="continue"/>
            <w:shd w:val="clear" w:color="auto" w:fill="FFFFFF"/>
            <w:vAlign w:val="center"/>
          </w:tcPr>
          <w:p>
            <w:pPr>
              <w:pStyle w:val="94"/>
              <w:spacing w:line="240" w:lineRule="auto"/>
              <w:ind w:firstLine="0"/>
              <w:rPr>
                <w:rFonts w:ascii="仿宋" w:hAnsi="仿宋" w:eastAsia="仿宋" w:cs="等线"/>
                <w:color w:val="auto"/>
                <w:sz w:val="24"/>
                <w:szCs w:val="24"/>
              </w:rPr>
            </w:pPr>
          </w:p>
        </w:tc>
        <w:tc>
          <w:tcPr>
            <w:tcW w:w="700" w:type="pct"/>
            <w:vMerge w:val="continue"/>
            <w:shd w:val="clear" w:color="auto" w:fill="FFFFFF"/>
            <w:vAlign w:val="center"/>
          </w:tcPr>
          <w:p>
            <w:pPr>
              <w:adjustRightInd/>
              <w:snapToGrid/>
              <w:spacing w:line="240" w:lineRule="auto"/>
              <w:ind w:firstLine="0" w:firstLineChars="0"/>
              <w:jc w:val="center"/>
              <w:rPr>
                <w:rFonts w:ascii="仿宋" w:hAnsi="仿宋" w:cs="等线"/>
                <w:color w:val="auto"/>
                <w:sz w:val="24"/>
                <w:lang w:val="zh-TW" w:eastAsia="zh-TW" w:bidi="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610" w:type="pc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lang w:eastAsia="zh-CN"/>
              </w:rPr>
              <w:t>储罐破裂</w:t>
            </w:r>
            <w:r>
              <w:rPr>
                <w:rFonts w:ascii="仿宋" w:hAnsi="仿宋" w:eastAsia="仿宋" w:cs="等线"/>
                <w:color w:val="auto"/>
                <w:sz w:val="24"/>
                <w:szCs w:val="24"/>
              </w:rPr>
              <w:t>,</w:t>
            </w:r>
            <w:r>
              <w:rPr>
                <w:rFonts w:hint="eastAsia" w:ascii="仿宋" w:hAnsi="仿宋" w:eastAsia="仿宋" w:cs="等线"/>
                <w:color w:val="auto"/>
                <w:sz w:val="24"/>
                <w:szCs w:val="24"/>
              </w:rPr>
              <w:t>泄漏</w:t>
            </w:r>
          </w:p>
        </w:tc>
        <w:tc>
          <w:tcPr>
            <w:tcW w:w="354"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rPr>
            </w:pPr>
          </w:p>
        </w:tc>
        <w:tc>
          <w:tcPr>
            <w:tcW w:w="557"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p>
        </w:tc>
        <w:tc>
          <w:tcPr>
            <w:tcW w:w="1111"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停止该装置的物料传输工作，并关停该装置；</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进行倒</w:t>
            </w:r>
            <w:r>
              <w:rPr>
                <w:rFonts w:hint="eastAsia" w:ascii="仿宋" w:hAnsi="仿宋" w:eastAsia="仿宋" w:cs="等线"/>
                <w:color w:val="auto"/>
                <w:sz w:val="24"/>
                <w:szCs w:val="24"/>
                <w:lang w:eastAsia="zh-CN"/>
              </w:rPr>
              <w:t>罐</w:t>
            </w:r>
            <w:r>
              <w:rPr>
                <w:rFonts w:hint="eastAsia" w:ascii="仿宋" w:hAnsi="仿宋" w:eastAsia="仿宋" w:cs="等线"/>
                <w:color w:val="auto"/>
                <w:sz w:val="24"/>
                <w:szCs w:val="24"/>
              </w:rPr>
              <w:t>操作；</w:t>
            </w:r>
          </w:p>
          <w:p>
            <w:pPr>
              <w:pStyle w:val="94"/>
              <w:spacing w:line="240" w:lineRule="auto"/>
              <w:ind w:firstLine="0"/>
              <w:rPr>
                <w:rFonts w:ascii="仿宋" w:hAnsi="仿宋" w:eastAsia="仿宋" w:cs="等线"/>
                <w:color w:val="auto"/>
                <w:sz w:val="24"/>
                <w:szCs w:val="24"/>
                <w:lang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及时进行堵漏维修</w:t>
            </w:r>
            <w:r>
              <w:rPr>
                <w:rFonts w:hint="eastAsia" w:ascii="仿宋" w:hAnsi="仿宋" w:eastAsia="仿宋" w:cs="等线"/>
                <w:color w:val="auto"/>
                <w:sz w:val="24"/>
                <w:szCs w:val="24"/>
                <w:lang w:eastAsia="zh-CN"/>
              </w:rPr>
              <w:t>;</w:t>
            </w:r>
          </w:p>
        </w:tc>
        <w:tc>
          <w:tcPr>
            <w:tcW w:w="758" w:type="pct"/>
            <w:vMerge w:val="continue"/>
            <w:shd w:val="clear" w:color="auto" w:fill="FFFFFF"/>
            <w:vAlign w:val="center"/>
          </w:tcPr>
          <w:p>
            <w:pPr>
              <w:pStyle w:val="94"/>
              <w:spacing w:line="240" w:lineRule="auto"/>
              <w:ind w:firstLine="0"/>
              <w:rPr>
                <w:rFonts w:ascii="仿宋" w:hAnsi="仿宋" w:eastAsia="仿宋" w:cs="等线"/>
                <w:color w:val="auto"/>
                <w:sz w:val="24"/>
                <w:szCs w:val="24"/>
              </w:rPr>
            </w:pPr>
          </w:p>
        </w:tc>
        <w:tc>
          <w:tcPr>
            <w:tcW w:w="910"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1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将污油收集池柴油经处理后回用；</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2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罐区围堰洗消废水收集至污油事故收集池；</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3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⑶</w:t>
            </w:r>
            <w:r>
              <w:rPr>
                <w:rFonts w:ascii="仿宋" w:hAnsi="仿宋" w:eastAsia="仿宋" w:cs="等线"/>
                <w:color w:val="auto"/>
                <w:sz w:val="24"/>
                <w:szCs w:val="24"/>
              </w:rPr>
              <w:fldChar w:fldCharType="end"/>
            </w:r>
            <w:r>
              <w:rPr>
                <w:rFonts w:hint="eastAsia" w:ascii="仿宋" w:hAnsi="仿宋" w:eastAsia="仿宋" w:cs="等线"/>
                <w:color w:val="auto"/>
                <w:sz w:val="24"/>
                <w:szCs w:val="24"/>
              </w:rPr>
              <w:t>含油废水按危废进行处置。</w:t>
            </w:r>
          </w:p>
        </w:tc>
        <w:tc>
          <w:tcPr>
            <w:tcW w:w="700" w:type="pct"/>
            <w:vMerge w:val="continue"/>
            <w:shd w:val="clear" w:color="auto" w:fill="FFFFFF"/>
            <w:vAlign w:val="center"/>
          </w:tcPr>
          <w:p>
            <w:pPr>
              <w:adjustRightInd/>
              <w:snapToGrid/>
              <w:spacing w:line="240" w:lineRule="auto"/>
              <w:ind w:firstLine="0" w:firstLineChars="0"/>
              <w:jc w:val="center"/>
              <w:rPr>
                <w:rFonts w:ascii="仿宋" w:hAnsi="仿宋" w:cs="等线"/>
                <w:color w:val="auto"/>
                <w:sz w:val="24"/>
                <w:lang w:val="zh-TW" w:eastAsia="zh-TW" w:bidi="zh-TW"/>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556" w:hRule="atLeast"/>
          <w:jc w:val="center"/>
        </w:trPr>
        <w:tc>
          <w:tcPr>
            <w:tcW w:w="610" w:type="pct"/>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火灾爆炸事故</w:t>
            </w:r>
          </w:p>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引起的环境污</w:t>
            </w:r>
          </w:p>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染事故</w:t>
            </w:r>
          </w:p>
        </w:tc>
        <w:tc>
          <w:tcPr>
            <w:tcW w:w="354"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消防废水</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CO</w:t>
            </w:r>
          </w:p>
        </w:tc>
        <w:tc>
          <w:tcPr>
            <w:tcW w:w="557"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确认事故源、</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以及事故消防灭火工作和警</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戒等现场情况</w:t>
            </w:r>
          </w:p>
        </w:tc>
        <w:tc>
          <w:tcPr>
            <w:tcW w:w="1111"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停止该装置的物料传输工作，并关停该装置；</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对未发生火灾的柴油罐做好防护措施。</w:t>
            </w:r>
          </w:p>
        </w:tc>
        <w:tc>
          <w:tcPr>
            <w:tcW w:w="758"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切断雨水排口；</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控制大气污染物的扩散速率与扩散浓度，将对消防废水进行截流、导流与收集。</w:t>
            </w:r>
          </w:p>
        </w:tc>
        <w:tc>
          <w:tcPr>
            <w:tcW w:w="910"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1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罐区围堰洗消废水收集后排入污水处理设施。</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2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使用清洁剂等清洁用品对事故现场进行清洗。</w:t>
            </w:r>
          </w:p>
        </w:tc>
        <w:tc>
          <w:tcPr>
            <w:tcW w:w="700" w:type="pct"/>
            <w:shd w:val="clear" w:color="auto" w:fill="FFFFFF"/>
            <w:vAlign w:val="center"/>
          </w:tcPr>
          <w:p>
            <w:pPr>
              <w:spacing w:line="240" w:lineRule="auto"/>
              <w:ind w:firstLine="0" w:firstLineChars="0"/>
              <w:rPr>
                <w:rFonts w:ascii="仿宋" w:hAnsi="仿宋" w:cs="等线"/>
                <w:color w:val="auto"/>
                <w:sz w:val="24"/>
                <w:lang w:val="zh-TW" w:eastAsia="zh-TW" w:bidi="zh-TW"/>
              </w:rPr>
            </w:pPr>
            <w:r>
              <w:rPr>
                <w:rFonts w:ascii="仿宋" w:hAnsi="仿宋" w:cs="等线"/>
                <w:color w:val="auto"/>
                <w:sz w:val="24"/>
              </w:rPr>
              <w:fldChar w:fldCharType="begin"/>
            </w:r>
            <w:r>
              <w:rPr>
                <w:rFonts w:ascii="仿宋" w:hAnsi="仿宋" w:cs="等线"/>
                <w:color w:val="auto"/>
                <w:sz w:val="24"/>
                <w:lang w:eastAsia="zh-TW"/>
              </w:rPr>
              <w:instrText xml:space="preserve"> </w:instrText>
            </w:r>
            <w:r>
              <w:rPr>
                <w:rFonts w:hint="eastAsia" w:ascii="仿宋" w:hAnsi="仿宋" w:cs="等线"/>
                <w:color w:val="auto"/>
                <w:sz w:val="24"/>
                <w:lang w:eastAsia="zh-TW"/>
              </w:rPr>
              <w:instrText xml:space="preserve">= 1 \* GB2</w:instrText>
            </w:r>
            <w:r>
              <w:rPr>
                <w:rFonts w:ascii="仿宋" w:hAnsi="仿宋" w:cs="等线"/>
                <w:color w:val="auto"/>
                <w:sz w:val="24"/>
                <w:lang w:eastAsia="zh-TW"/>
              </w:rPr>
              <w:instrText xml:space="preserve"> </w:instrText>
            </w:r>
            <w:r>
              <w:rPr>
                <w:rFonts w:ascii="仿宋" w:hAnsi="仿宋" w:cs="等线"/>
                <w:color w:val="auto"/>
                <w:sz w:val="24"/>
              </w:rPr>
              <w:fldChar w:fldCharType="separate"/>
            </w:r>
            <w:r>
              <w:rPr>
                <w:rFonts w:hint="eastAsia" w:ascii="仿宋" w:hAnsi="仿宋" w:cs="等线"/>
                <w:color w:val="auto"/>
                <w:sz w:val="24"/>
                <w:lang w:eastAsia="zh-TW"/>
              </w:rPr>
              <w:t>⑴</w:t>
            </w:r>
            <w:r>
              <w:rPr>
                <w:rFonts w:ascii="仿宋" w:hAnsi="仿宋" w:cs="等线"/>
                <w:color w:val="auto"/>
                <w:sz w:val="24"/>
              </w:rPr>
              <w:fldChar w:fldCharType="end"/>
            </w:r>
            <w:r>
              <w:rPr>
                <w:rFonts w:hint="eastAsia" w:ascii="仿宋" w:hAnsi="仿宋" w:cs="等线"/>
                <w:color w:val="auto"/>
                <w:sz w:val="24"/>
                <w:lang w:val="zh-TW" w:eastAsia="zh-TW" w:bidi="zh-TW"/>
              </w:rPr>
              <w:t>注意控制消防废水的量，若无法收集时需及时向外求助；</w:t>
            </w:r>
          </w:p>
          <w:p>
            <w:pPr>
              <w:spacing w:line="240" w:lineRule="auto"/>
              <w:ind w:firstLine="0" w:firstLineChars="0"/>
              <w:rPr>
                <w:rFonts w:ascii="仿宋" w:hAnsi="仿宋" w:cs="等线"/>
                <w:color w:val="auto"/>
                <w:sz w:val="24"/>
                <w:lang w:val="zh-TW" w:eastAsia="zh-TW" w:bidi="zh-TW"/>
              </w:rPr>
            </w:pPr>
            <w:r>
              <w:rPr>
                <w:rFonts w:ascii="仿宋" w:hAnsi="仿宋" w:cs="等线"/>
                <w:color w:val="auto"/>
                <w:sz w:val="24"/>
                <w:lang w:eastAsia="zh-TW"/>
              </w:rPr>
              <w:fldChar w:fldCharType="begin"/>
            </w:r>
            <w:r>
              <w:rPr>
                <w:rFonts w:ascii="仿宋" w:hAnsi="仿宋" w:cs="等线"/>
                <w:color w:val="auto"/>
                <w:sz w:val="24"/>
                <w:lang w:eastAsia="zh-TW"/>
              </w:rPr>
              <w:instrText xml:space="preserve"> </w:instrText>
            </w:r>
            <w:r>
              <w:rPr>
                <w:rFonts w:hint="eastAsia" w:ascii="仿宋" w:hAnsi="仿宋" w:cs="等线"/>
                <w:color w:val="auto"/>
                <w:sz w:val="24"/>
                <w:lang w:eastAsia="zh-TW"/>
              </w:rPr>
              <w:instrText xml:space="preserve">= 2 \* GB2</w:instrText>
            </w:r>
            <w:r>
              <w:rPr>
                <w:rFonts w:ascii="仿宋" w:hAnsi="仿宋" w:cs="等线"/>
                <w:color w:val="auto"/>
                <w:sz w:val="24"/>
                <w:lang w:eastAsia="zh-TW"/>
              </w:rPr>
              <w:instrText xml:space="preserve"> </w:instrText>
            </w:r>
            <w:r>
              <w:rPr>
                <w:rFonts w:ascii="仿宋" w:hAnsi="仿宋" w:cs="等线"/>
                <w:color w:val="auto"/>
                <w:sz w:val="24"/>
                <w:lang w:eastAsia="zh-TW"/>
              </w:rPr>
              <w:fldChar w:fldCharType="separate"/>
            </w:r>
            <w:r>
              <w:rPr>
                <w:rFonts w:hint="eastAsia" w:ascii="仿宋" w:hAnsi="仿宋" w:cs="等线"/>
                <w:color w:val="auto"/>
                <w:sz w:val="24"/>
                <w:lang w:eastAsia="zh-TW"/>
              </w:rPr>
              <w:t>⑵</w:t>
            </w:r>
            <w:r>
              <w:rPr>
                <w:rFonts w:ascii="仿宋" w:hAnsi="仿宋" w:cs="等线"/>
                <w:color w:val="auto"/>
                <w:sz w:val="24"/>
                <w:lang w:eastAsia="zh-TW"/>
              </w:rPr>
              <w:fldChar w:fldCharType="end"/>
            </w:r>
            <w:r>
              <w:rPr>
                <w:rFonts w:hint="eastAsia" w:ascii="仿宋" w:hAnsi="仿宋" w:cs="等线"/>
                <w:color w:val="auto"/>
                <w:sz w:val="24"/>
                <w:lang w:val="zh-TW" w:eastAsia="zh-TW" w:bidi="zh-TW"/>
              </w:rPr>
              <w:t>若在暴雨天气下需做好分区控制，尽可</w:t>
            </w:r>
          </w:p>
          <w:p>
            <w:pPr>
              <w:spacing w:line="240" w:lineRule="auto"/>
              <w:ind w:firstLine="0" w:firstLineChars="0"/>
              <w:rPr>
                <w:rFonts w:ascii="仿宋" w:hAnsi="仿宋" w:cs="等线"/>
                <w:color w:val="auto"/>
                <w:sz w:val="24"/>
                <w:lang w:val="zh-TW" w:eastAsia="zh-TW" w:bidi="zh-TW"/>
              </w:rPr>
            </w:pPr>
            <w:r>
              <w:rPr>
                <w:rFonts w:hint="eastAsia" w:ascii="仿宋" w:hAnsi="仿宋" w:cs="等线"/>
                <w:color w:val="auto"/>
                <w:sz w:val="24"/>
                <w:lang w:val="zh-TW" w:eastAsia="zh-TW" w:bidi="zh-TW"/>
              </w:rPr>
              <w:t>能多的避免消</w:t>
            </w:r>
          </w:p>
          <w:p>
            <w:pPr>
              <w:spacing w:line="240" w:lineRule="auto"/>
              <w:ind w:firstLine="0" w:firstLineChars="0"/>
              <w:rPr>
                <w:rFonts w:ascii="仿宋" w:hAnsi="仿宋" w:cs="等线"/>
                <w:color w:val="auto"/>
                <w:sz w:val="24"/>
                <w:lang w:val="zh-TW" w:eastAsia="zh-TW" w:bidi="zh-TW"/>
              </w:rPr>
            </w:pPr>
            <w:r>
              <w:rPr>
                <w:rFonts w:hint="eastAsia" w:ascii="仿宋" w:hAnsi="仿宋" w:cs="等线"/>
                <w:color w:val="auto"/>
                <w:sz w:val="24"/>
                <w:lang w:val="zh-TW" w:eastAsia="zh-TW" w:bidi="zh-TW"/>
              </w:rPr>
              <w:t>防废水和雨水</w:t>
            </w:r>
          </w:p>
          <w:p>
            <w:pPr>
              <w:spacing w:line="240" w:lineRule="auto"/>
              <w:ind w:firstLine="0" w:firstLineChars="0"/>
              <w:rPr>
                <w:rFonts w:ascii="仿宋" w:hAnsi="仿宋" w:cs="等线"/>
                <w:color w:val="auto"/>
                <w:sz w:val="24"/>
                <w:lang w:val="zh-TW" w:eastAsia="zh-TW" w:bidi="zh-TW"/>
              </w:rPr>
            </w:pPr>
            <w:r>
              <w:rPr>
                <w:rFonts w:hint="eastAsia" w:ascii="仿宋" w:hAnsi="仿宋" w:cs="等线"/>
                <w:color w:val="auto"/>
                <w:sz w:val="24"/>
                <w:lang w:val="zh-TW" w:eastAsia="zh-TW" w:bidi="zh-TW"/>
              </w:rPr>
              <w:t>混合。</w:t>
            </w:r>
          </w:p>
        </w:tc>
      </w:tr>
    </w:tbl>
    <w:p>
      <w:pPr>
        <w:ind w:firstLine="562"/>
        <w:rPr>
          <w:b/>
          <w:bCs/>
          <w:color w:val="auto"/>
          <w:szCs w:val="28"/>
        </w:rPr>
        <w:sectPr>
          <w:pgSz w:w="16838" w:h="11906" w:orient="landscape"/>
          <w:pgMar w:top="1418" w:right="1418" w:bottom="1418" w:left="1418" w:header="851" w:footer="992" w:gutter="0"/>
          <w:pgNumType w:fmt="numberInDash"/>
          <w:cols w:space="720" w:num="1"/>
          <w:docGrid w:linePitch="381" w:charSpace="0"/>
        </w:sectPr>
      </w:pPr>
    </w:p>
    <w:p>
      <w:pPr>
        <w:pStyle w:val="5"/>
        <w:ind w:firstLine="0" w:firstLineChars="0"/>
        <w:rPr>
          <w:color w:val="auto"/>
          <w:kern w:val="0"/>
        </w:rPr>
      </w:pPr>
      <w:bookmarkStart w:id="156" w:name="_Toc4928"/>
      <w:r>
        <w:rPr>
          <w:rFonts w:hint="eastAsia"/>
          <w:color w:val="auto"/>
          <w:kern w:val="0"/>
        </w:rPr>
        <w:t>6</w:t>
      </w:r>
      <w:r>
        <w:rPr>
          <w:color w:val="auto"/>
          <w:kern w:val="0"/>
        </w:rPr>
        <w:t xml:space="preserve">.5.3 </w:t>
      </w:r>
      <w:r>
        <w:rPr>
          <w:rFonts w:hint="eastAsia"/>
          <w:color w:val="auto"/>
          <w:kern w:val="0"/>
        </w:rPr>
        <w:t>危险废物泄漏事故情景处置方案</w:t>
      </w:r>
      <w:bookmarkEnd w:id="156"/>
    </w:p>
    <w:p>
      <w:pPr>
        <w:ind w:firstLine="482"/>
        <w:jc w:val="center"/>
        <w:rPr>
          <w:rFonts w:ascii="仿宋" w:hAnsi="仿宋" w:cs="等线"/>
          <w:b/>
          <w:bCs/>
          <w:color w:val="auto"/>
          <w:sz w:val="24"/>
        </w:rPr>
      </w:pPr>
      <w:r>
        <w:rPr>
          <w:rFonts w:hint="eastAsia" w:ascii="仿宋" w:hAnsi="仿宋" w:cs="等线"/>
          <w:b/>
          <w:bCs/>
          <w:color w:val="auto"/>
          <w:sz w:val="24"/>
        </w:rPr>
        <w:t>表6-</w:t>
      </w:r>
      <w:r>
        <w:rPr>
          <w:rFonts w:ascii="仿宋" w:hAnsi="仿宋" w:cs="等线"/>
          <w:b/>
          <w:bCs/>
          <w:color w:val="auto"/>
          <w:sz w:val="24"/>
        </w:rPr>
        <w:t xml:space="preserve">4    </w:t>
      </w:r>
      <w:r>
        <w:rPr>
          <w:rFonts w:hint="eastAsia" w:ascii="仿宋" w:hAnsi="仿宋" w:cs="等线"/>
          <w:b/>
          <w:bCs/>
          <w:color w:val="auto"/>
          <w:sz w:val="24"/>
        </w:rPr>
        <w:t>危险废物泄漏事故情景处置方案</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689"/>
        <w:gridCol w:w="1105"/>
        <w:gridCol w:w="1618"/>
        <w:gridCol w:w="2126"/>
        <w:gridCol w:w="2129"/>
        <w:gridCol w:w="4103"/>
        <w:gridCol w:w="2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246"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情景设置</w:t>
            </w:r>
          </w:p>
        </w:tc>
        <w:tc>
          <w:tcPr>
            <w:tcW w:w="394"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环境风险物质</w:t>
            </w:r>
          </w:p>
        </w:tc>
        <w:tc>
          <w:tcPr>
            <w:tcW w:w="4360" w:type="pct"/>
            <w:gridSpan w:val="5"/>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处置措施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0" w:hRule="atLeast"/>
          <w:jc w:val="center"/>
        </w:trPr>
        <w:tc>
          <w:tcPr>
            <w:tcW w:w="246" w:type="pct"/>
            <w:vMerge w:val="continue"/>
            <w:shd w:val="clear" w:color="auto" w:fill="D9D9D9"/>
            <w:vAlign w:val="center"/>
          </w:tcPr>
          <w:p>
            <w:pPr>
              <w:snapToGrid/>
              <w:spacing w:line="240" w:lineRule="auto"/>
              <w:ind w:firstLine="0" w:firstLineChars="0"/>
              <w:jc w:val="center"/>
              <w:rPr>
                <w:rFonts w:ascii="仿宋" w:hAnsi="仿宋"/>
                <w:b/>
                <w:bCs/>
                <w:color w:val="auto"/>
                <w:sz w:val="24"/>
              </w:rPr>
            </w:pPr>
          </w:p>
        </w:tc>
        <w:tc>
          <w:tcPr>
            <w:tcW w:w="394" w:type="pct"/>
            <w:vMerge w:val="continue"/>
            <w:shd w:val="clear" w:color="auto" w:fill="D9D9D9"/>
            <w:vAlign w:val="center"/>
          </w:tcPr>
          <w:p>
            <w:pPr>
              <w:pStyle w:val="94"/>
              <w:spacing w:line="240" w:lineRule="auto"/>
              <w:ind w:firstLine="0"/>
              <w:jc w:val="center"/>
              <w:rPr>
                <w:rFonts w:ascii="仿宋" w:hAnsi="仿宋" w:eastAsia="仿宋" w:cs="等线"/>
                <w:b/>
                <w:bCs/>
                <w:color w:val="auto"/>
                <w:sz w:val="24"/>
                <w:szCs w:val="24"/>
              </w:rPr>
            </w:pPr>
          </w:p>
        </w:tc>
        <w:tc>
          <w:tcPr>
            <w:tcW w:w="577"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事故确认</w:t>
            </w:r>
          </w:p>
        </w:tc>
        <w:tc>
          <w:tcPr>
            <w:tcW w:w="758"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断源</w:t>
            </w:r>
          </w:p>
        </w:tc>
        <w:tc>
          <w:tcPr>
            <w:tcW w:w="759"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val="en-US" w:eastAsia="zh-CN"/>
              </w:rPr>
            </w:pPr>
            <w:r>
              <w:rPr>
                <w:rFonts w:hint="eastAsia" w:ascii="仿宋" w:hAnsi="仿宋" w:eastAsia="仿宋" w:cs="等线"/>
                <w:b/>
                <w:bCs/>
                <w:color w:val="auto"/>
                <w:sz w:val="24"/>
                <w:szCs w:val="24"/>
                <w:lang w:eastAsia="zh-CN"/>
              </w:rPr>
              <w:t>截流</w:t>
            </w:r>
          </w:p>
        </w:tc>
        <w:tc>
          <w:tcPr>
            <w:tcW w:w="1463" w:type="pct"/>
            <w:shd w:val="clear" w:color="auto" w:fill="D9D9D9"/>
            <w:vAlign w:val="center"/>
          </w:tcPr>
          <w:p>
            <w:pPr>
              <w:pStyle w:val="94"/>
              <w:spacing w:line="240" w:lineRule="auto"/>
              <w:ind w:firstLine="0"/>
              <w:jc w:val="center"/>
              <w:rPr>
                <w:rFonts w:ascii="仿宋" w:hAnsi="仿宋" w:eastAsia="仿宋" w:cs="等线"/>
                <w:b/>
                <w:bCs/>
                <w:color w:val="auto"/>
                <w:sz w:val="24"/>
                <w:szCs w:val="24"/>
              </w:rPr>
            </w:pPr>
            <w:r>
              <w:rPr>
                <w:rFonts w:hint="eastAsia" w:ascii="仿宋" w:hAnsi="仿宋" w:eastAsia="仿宋" w:cs="等线"/>
                <w:b/>
                <w:bCs/>
                <w:color w:val="auto"/>
                <w:sz w:val="24"/>
                <w:szCs w:val="24"/>
              </w:rPr>
              <w:t>污染控制</w:t>
            </w:r>
          </w:p>
        </w:tc>
        <w:tc>
          <w:tcPr>
            <w:tcW w:w="803" w:type="pct"/>
            <w:shd w:val="clear" w:color="auto" w:fill="D9D9D9"/>
            <w:vAlign w:val="center"/>
          </w:tcPr>
          <w:p>
            <w:pPr>
              <w:pStyle w:val="94"/>
              <w:spacing w:line="240" w:lineRule="auto"/>
              <w:ind w:firstLine="0"/>
              <w:jc w:val="center"/>
              <w:rPr>
                <w:rFonts w:ascii="仿宋" w:hAnsi="仿宋" w:eastAsia="仿宋"/>
                <w:b/>
                <w:bCs/>
                <w:color w:val="auto"/>
                <w:sz w:val="24"/>
                <w:szCs w:val="24"/>
              </w:rPr>
            </w:pPr>
            <w:r>
              <w:rPr>
                <w:rFonts w:hint="eastAsia" w:ascii="仿宋" w:hAnsi="仿宋" w:eastAsia="仿宋" w:cs="等线"/>
                <w:b/>
                <w:bCs/>
                <w:color w:val="auto"/>
                <w:sz w:val="24"/>
                <w:szCs w:val="24"/>
                <w:lang w:eastAsia="zh-CN"/>
              </w:rPr>
              <w:t>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7067" w:hRule="atLeast"/>
          <w:jc w:val="center"/>
        </w:trPr>
        <w:tc>
          <w:tcPr>
            <w:tcW w:w="246" w:type="pc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危险废物泄漏</w:t>
            </w:r>
          </w:p>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lang w:eastAsia="zh-CN"/>
              </w:rPr>
              <w:t>事故</w:t>
            </w:r>
          </w:p>
        </w:tc>
        <w:tc>
          <w:tcPr>
            <w:tcW w:w="394" w:type="pc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废催化剂、废矿物油、废石棉、废铅蓄电池</w:t>
            </w:r>
          </w:p>
        </w:tc>
        <w:tc>
          <w:tcPr>
            <w:tcW w:w="577"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明确泄漏点位、泄漏原因和具体泄漏物质</w:t>
            </w:r>
          </w:p>
        </w:tc>
        <w:tc>
          <w:tcPr>
            <w:tcW w:w="1517" w:type="pct"/>
            <w:gridSpan w:val="2"/>
            <w:shd w:val="clear" w:color="auto" w:fill="FFFFFF"/>
            <w:vAlign w:val="center"/>
          </w:tcPr>
          <w:p>
            <w:pPr>
              <w:pStyle w:val="94"/>
              <w:spacing w:line="240" w:lineRule="auto"/>
              <w:ind w:firstLine="0"/>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切断雨水排口；</w:t>
            </w:r>
          </w:p>
          <w:p>
            <w:pPr>
              <w:pStyle w:val="94"/>
              <w:spacing w:line="240" w:lineRule="auto"/>
              <w:ind w:firstLine="0"/>
              <w:rPr>
                <w:rFonts w:ascii="仿宋" w:hAnsi="仿宋" w:eastAsia="PMingLiU"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对泄漏部位进行断源截污工作，并将泄漏物料收集至专门的容器内暂存</w:t>
            </w:r>
            <w:r>
              <w:rPr>
                <w:rFonts w:hint="eastAsia" w:ascii="仿宋" w:hAnsi="仿宋" w:eastAsia="仿宋" w:cs="等线"/>
                <w:color w:val="auto"/>
                <w:sz w:val="24"/>
                <w:szCs w:val="24"/>
                <w:lang w:val="en-US" w:eastAsia="zh-CN"/>
              </w:rPr>
              <w:t>；</w:t>
            </w:r>
          </w:p>
        </w:tc>
        <w:tc>
          <w:tcPr>
            <w:tcW w:w="1463" w:type="pct"/>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泄漏物的处置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未污染的泄漏物应回收</w:t>
            </w:r>
            <w:r>
              <w:rPr>
                <w:rFonts w:hint="eastAsia" w:ascii="仿宋" w:hAnsi="仿宋" w:eastAsia="仿宋" w:cs="等线"/>
                <w:color w:val="auto"/>
                <w:sz w:val="24"/>
                <w:szCs w:val="24"/>
                <w:lang w:val="zh-CN" w:eastAsia="zh-CN"/>
              </w:rPr>
              <w:t>利用。</w:t>
            </w:r>
            <w:r>
              <w:rPr>
                <w:rFonts w:hint="eastAsia" w:ascii="仿宋" w:hAnsi="仿宋" w:eastAsia="仿宋" w:cs="等线"/>
                <w:color w:val="auto"/>
                <w:sz w:val="24"/>
                <w:szCs w:val="24"/>
              </w:rPr>
              <w:t>被污染的泄漏物收集后运至具有资质的专业危险废物处理机构进行无害化处理；</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覆盖物的处置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对处理事故时使用的所有覆盖物（包括吸附物）进行彻底清理，将覆盖物转移到专用容器中，交给相关单位进行处理，或运至具有资质的专业危险废物处理机构</w:t>
            </w:r>
            <w:r>
              <w:rPr>
                <w:rFonts w:hint="eastAsia" w:ascii="仿宋" w:hAnsi="仿宋" w:eastAsia="仿宋" w:cs="等线"/>
                <w:color w:val="auto"/>
                <w:sz w:val="24"/>
                <w:szCs w:val="24"/>
                <w:lang w:eastAsia="zh-CN"/>
              </w:rPr>
              <w:t>进行</w:t>
            </w:r>
            <w:r>
              <w:rPr>
                <w:rFonts w:hint="eastAsia" w:ascii="仿宋" w:hAnsi="仿宋" w:eastAsia="仿宋" w:cs="等线"/>
                <w:color w:val="auto"/>
                <w:sz w:val="24"/>
                <w:szCs w:val="24"/>
              </w:rPr>
              <w:t>处理；</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污染物的处置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对被污染的机器、设备、设施、工具、器材及防护用品等，由救援人员用开花或喷雾水流进行集中洗消，再用水进行冲洗，冲洗的水统一收集再进行处置，防止造成二次污染。</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4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⑷</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泄漏区的处置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对泄漏区的路面等用大量水进行冲洗，冲洗的水统一收集再进行</w:t>
            </w:r>
            <w:r>
              <w:rPr>
                <w:rFonts w:hint="eastAsia" w:ascii="仿宋" w:hAnsi="仿宋" w:eastAsia="仿宋" w:cs="等线"/>
                <w:color w:val="auto"/>
                <w:sz w:val="24"/>
                <w:szCs w:val="24"/>
                <w:lang w:val="zh-CN" w:eastAsia="zh-CN"/>
              </w:rPr>
              <w:t>处理。</w:t>
            </w:r>
            <w:r>
              <w:rPr>
                <w:rFonts w:hint="eastAsia" w:ascii="仿宋" w:hAnsi="仿宋" w:eastAsia="仿宋" w:cs="等线"/>
                <w:color w:val="auto"/>
                <w:sz w:val="24"/>
                <w:szCs w:val="24"/>
              </w:rPr>
              <w:t>现场处理完毕后，对环境进行检测和评估，不应留下任何隐患。</w:t>
            </w:r>
          </w:p>
        </w:tc>
        <w:tc>
          <w:tcPr>
            <w:tcW w:w="803" w:type="pct"/>
            <w:shd w:val="clear" w:color="auto" w:fill="FFFFFF"/>
            <w:vAlign w:val="center"/>
          </w:tcPr>
          <w:p>
            <w:pPr>
              <w:pStyle w:val="94"/>
              <w:spacing w:line="240" w:lineRule="auto"/>
              <w:ind w:firstLine="0"/>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若在雨天天气下发生泄漏，须做好分区控制，尽量避免和雨水混合。</w:t>
            </w:r>
          </w:p>
        </w:tc>
      </w:tr>
    </w:tbl>
    <w:p>
      <w:pPr>
        <w:pStyle w:val="38"/>
        <w:ind w:firstLine="240"/>
        <w:rPr>
          <w:rFonts w:hint="default"/>
          <w:color w:val="auto"/>
          <w:lang w:eastAsia="zh-CN"/>
        </w:rPr>
        <w:sectPr>
          <w:pgSz w:w="16838" w:h="11906" w:orient="landscape"/>
          <w:pgMar w:top="1418" w:right="1418" w:bottom="1418" w:left="1418" w:header="851" w:footer="992" w:gutter="0"/>
          <w:pgNumType w:fmt="numberInDash"/>
          <w:cols w:space="720" w:num="1"/>
          <w:docGrid w:linePitch="381" w:charSpace="0"/>
        </w:sectPr>
      </w:pPr>
    </w:p>
    <w:p>
      <w:pPr>
        <w:pStyle w:val="5"/>
        <w:ind w:firstLine="0" w:firstLineChars="0"/>
        <w:rPr>
          <w:color w:val="auto"/>
          <w:kern w:val="0"/>
        </w:rPr>
      </w:pPr>
      <w:bookmarkStart w:id="157" w:name="_Toc22677"/>
      <w:r>
        <w:rPr>
          <w:color w:val="auto"/>
          <w:kern w:val="0"/>
        </w:rPr>
        <w:t>6.5.4 污废水排放异常事故情景处置方案</w:t>
      </w:r>
      <w:bookmarkEnd w:id="157"/>
    </w:p>
    <w:p>
      <w:pPr>
        <w:ind w:firstLine="482"/>
        <w:jc w:val="center"/>
        <w:rPr>
          <w:rFonts w:ascii="仿宋" w:hAnsi="仿宋"/>
          <w:b/>
          <w:bCs/>
          <w:color w:val="auto"/>
          <w:sz w:val="24"/>
        </w:rPr>
      </w:pPr>
      <w:r>
        <w:rPr>
          <w:rFonts w:hint="eastAsia" w:ascii="仿宋" w:hAnsi="仿宋"/>
          <w:b/>
          <w:bCs/>
          <w:color w:val="auto"/>
          <w:sz w:val="24"/>
        </w:rPr>
        <w:t>表6-</w:t>
      </w:r>
      <w:r>
        <w:rPr>
          <w:rFonts w:ascii="仿宋" w:hAnsi="仿宋"/>
          <w:b/>
          <w:bCs/>
          <w:color w:val="auto"/>
          <w:sz w:val="24"/>
        </w:rPr>
        <w:t xml:space="preserve">5   </w:t>
      </w:r>
      <w:r>
        <w:rPr>
          <w:rFonts w:hint="eastAsia" w:ascii="仿宋" w:hAnsi="仿宋"/>
          <w:b/>
          <w:bCs/>
          <w:color w:val="auto"/>
          <w:sz w:val="24"/>
        </w:rPr>
        <w:t xml:space="preserve"> 污废水排放异常事故情景处置方案</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690"/>
        <w:gridCol w:w="1304"/>
        <w:gridCol w:w="1559"/>
        <w:gridCol w:w="3259"/>
        <w:gridCol w:w="2527"/>
        <w:gridCol w:w="2431"/>
        <w:gridCol w:w="2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97" w:hRule="exact"/>
          <w:jc w:val="center"/>
        </w:trPr>
        <w:tc>
          <w:tcPr>
            <w:tcW w:w="246"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情景设置</w:t>
            </w:r>
          </w:p>
        </w:tc>
        <w:tc>
          <w:tcPr>
            <w:tcW w:w="465"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环境风险物质</w:t>
            </w:r>
          </w:p>
        </w:tc>
        <w:tc>
          <w:tcPr>
            <w:tcW w:w="4289" w:type="pct"/>
            <w:gridSpan w:val="5"/>
            <w:shd w:val="clear" w:color="auto" w:fill="D9D9D9"/>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处置措施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57" w:hRule="exact"/>
          <w:jc w:val="center"/>
        </w:trPr>
        <w:tc>
          <w:tcPr>
            <w:tcW w:w="246" w:type="pct"/>
            <w:vMerge w:val="continue"/>
            <w:shd w:val="clear" w:color="auto" w:fill="D9D9D9"/>
            <w:vAlign w:val="center"/>
          </w:tcPr>
          <w:p>
            <w:pPr>
              <w:adjustRightInd/>
              <w:snapToGrid/>
              <w:spacing w:line="240" w:lineRule="auto"/>
              <w:ind w:firstLine="0" w:firstLineChars="0"/>
              <w:jc w:val="center"/>
              <w:rPr>
                <w:rFonts w:ascii="仿宋" w:hAnsi="仿宋"/>
                <w:b/>
                <w:bCs/>
                <w:color w:val="auto"/>
                <w:sz w:val="24"/>
              </w:rPr>
            </w:pPr>
          </w:p>
        </w:tc>
        <w:tc>
          <w:tcPr>
            <w:tcW w:w="465" w:type="pct"/>
            <w:vMerge w:val="continue"/>
            <w:shd w:val="clear" w:color="auto" w:fill="D9D9D9"/>
            <w:vAlign w:val="center"/>
          </w:tcPr>
          <w:p>
            <w:pPr>
              <w:pStyle w:val="94"/>
              <w:spacing w:line="240" w:lineRule="auto"/>
              <w:ind w:firstLine="0"/>
              <w:jc w:val="center"/>
              <w:rPr>
                <w:rFonts w:ascii="仿宋" w:hAnsi="仿宋" w:eastAsia="仿宋" w:cs="等线"/>
                <w:b/>
                <w:bCs/>
                <w:color w:val="auto"/>
                <w:sz w:val="24"/>
                <w:szCs w:val="24"/>
              </w:rPr>
            </w:pPr>
          </w:p>
        </w:tc>
        <w:tc>
          <w:tcPr>
            <w:tcW w:w="556" w:type="pct"/>
            <w:shd w:val="clear" w:color="auto" w:fill="D9D9D9"/>
          </w:tcPr>
          <w:p>
            <w:pPr>
              <w:pStyle w:val="94"/>
              <w:spacing w:line="240" w:lineRule="auto"/>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rPr>
              <w:t>事故确认</w:t>
            </w:r>
          </w:p>
        </w:tc>
        <w:tc>
          <w:tcPr>
            <w:tcW w:w="1162"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断源</w:t>
            </w:r>
          </w:p>
        </w:tc>
        <w:tc>
          <w:tcPr>
            <w:tcW w:w="901"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val="en-US" w:eastAsia="zh-CN"/>
              </w:rPr>
            </w:pPr>
            <w:r>
              <w:rPr>
                <w:rFonts w:hint="eastAsia" w:ascii="仿宋" w:hAnsi="仿宋" w:eastAsia="仿宋" w:cs="等线"/>
                <w:b/>
                <w:bCs/>
                <w:color w:val="auto"/>
                <w:sz w:val="24"/>
                <w:szCs w:val="24"/>
                <w:lang w:eastAsia="zh-CN"/>
              </w:rPr>
              <w:t>截流</w:t>
            </w:r>
          </w:p>
        </w:tc>
        <w:tc>
          <w:tcPr>
            <w:tcW w:w="867" w:type="pct"/>
            <w:shd w:val="clear" w:color="auto" w:fill="D9D9D9"/>
            <w:vAlign w:val="center"/>
          </w:tcPr>
          <w:p>
            <w:pPr>
              <w:pStyle w:val="94"/>
              <w:spacing w:line="240" w:lineRule="auto"/>
              <w:ind w:firstLine="0"/>
              <w:jc w:val="center"/>
              <w:rPr>
                <w:rFonts w:ascii="仿宋" w:hAnsi="仿宋" w:eastAsia="仿宋" w:cs="等线"/>
                <w:b/>
                <w:bCs/>
                <w:color w:val="auto"/>
                <w:sz w:val="24"/>
                <w:szCs w:val="24"/>
              </w:rPr>
            </w:pPr>
            <w:r>
              <w:rPr>
                <w:rFonts w:hint="eastAsia" w:ascii="仿宋" w:hAnsi="仿宋" w:eastAsia="仿宋" w:cs="等线"/>
                <w:b/>
                <w:bCs/>
                <w:color w:val="auto"/>
                <w:sz w:val="24"/>
                <w:szCs w:val="24"/>
              </w:rPr>
              <w:t>污染消除</w:t>
            </w:r>
          </w:p>
        </w:tc>
        <w:tc>
          <w:tcPr>
            <w:tcW w:w="802" w:type="pct"/>
            <w:shd w:val="clear" w:color="auto" w:fill="D9D9D9"/>
            <w:vAlign w:val="center"/>
          </w:tcPr>
          <w:p>
            <w:pPr>
              <w:pStyle w:val="94"/>
              <w:spacing w:line="240" w:lineRule="auto"/>
              <w:ind w:firstLine="0"/>
              <w:jc w:val="center"/>
              <w:rPr>
                <w:rFonts w:ascii="仿宋" w:hAnsi="仿宋" w:eastAsia="仿宋"/>
                <w:b/>
                <w:bCs/>
                <w:color w:val="auto"/>
                <w:sz w:val="24"/>
                <w:szCs w:val="24"/>
              </w:rPr>
            </w:pPr>
            <w:r>
              <w:rPr>
                <w:rFonts w:hint="eastAsia" w:ascii="仿宋" w:hAnsi="仿宋" w:eastAsia="仿宋" w:cs="等线"/>
                <w:b/>
                <w:bCs/>
                <w:color w:val="auto"/>
                <w:sz w:val="24"/>
                <w:szCs w:val="24"/>
                <w:lang w:eastAsia="zh-CN"/>
              </w:rPr>
              <w:t>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2288" w:hRule="exact"/>
          <w:jc w:val="center"/>
        </w:trPr>
        <w:tc>
          <w:tcPr>
            <w:tcW w:w="246" w:type="pc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工业废水排放异常</w:t>
            </w:r>
          </w:p>
        </w:tc>
        <w:tc>
          <w:tcPr>
            <w:tcW w:w="465"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悬浮物、pH值、汞、铜、铅、砷、氟、钙、镁、铝、铁等</w:t>
            </w:r>
          </w:p>
        </w:tc>
        <w:tc>
          <w:tcPr>
            <w:tcW w:w="556" w:type="pct"/>
            <w:vMerge w:val="restar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排查废水超标的原因</w:t>
            </w:r>
          </w:p>
        </w:tc>
        <w:tc>
          <w:tcPr>
            <w:tcW w:w="1162" w:type="pct"/>
            <w:vMerge w:val="restart"/>
            <w:shd w:val="clear" w:color="auto" w:fill="FFFFFF"/>
            <w:vAlign w:val="center"/>
          </w:tcPr>
          <w:p>
            <w:pPr>
              <w:pStyle w:val="94"/>
              <w:spacing w:line="240" w:lineRule="auto"/>
              <w:ind w:firstLine="0"/>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eastAsia="zh-CN"/>
              </w:rPr>
              <w:t>采取措施调整参数正常；</w:t>
            </w:r>
          </w:p>
          <w:p>
            <w:pPr>
              <w:pStyle w:val="94"/>
              <w:spacing w:line="240" w:lineRule="auto"/>
              <w:ind w:firstLine="0"/>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eastAsia="zh-CN"/>
              </w:rPr>
              <w:t>切换运行不正常的设备；</w:t>
            </w:r>
          </w:p>
          <w:p>
            <w:pPr>
              <w:pStyle w:val="94"/>
              <w:spacing w:line="240" w:lineRule="auto"/>
              <w:ind w:firstLine="0"/>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3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⑶</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eastAsia="zh-CN"/>
              </w:rPr>
              <w:t>减少各污废水产生量。机组减负荷，甚至停机查找原因；</w:t>
            </w:r>
          </w:p>
          <w:p>
            <w:pPr>
              <w:pStyle w:val="94"/>
              <w:spacing w:line="240" w:lineRule="auto"/>
              <w:ind w:firstLine="0"/>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4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⑷</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val="en-US" w:eastAsia="zh-CN"/>
              </w:rPr>
              <w:t>对污废水加强取样化验，连续监测。</w:t>
            </w:r>
          </w:p>
        </w:tc>
        <w:tc>
          <w:tcPr>
            <w:tcW w:w="901" w:type="pct"/>
            <w:vMerge w:val="restart"/>
            <w:shd w:val="clear" w:color="auto" w:fill="FFFFFF"/>
            <w:vAlign w:val="center"/>
          </w:tcPr>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eastAsia="zh-CN"/>
              </w:rPr>
              <w:t>堵住废水排口，减少废水排；</w:t>
            </w:r>
          </w:p>
          <w:p>
            <w:pPr>
              <w:pStyle w:val="94"/>
              <w:spacing w:line="240" w:lineRule="auto"/>
              <w:ind w:firstLine="0"/>
              <w:jc w:val="left"/>
              <w:rPr>
                <w:rFonts w:ascii="仿宋" w:hAnsi="仿宋" w:eastAsia="仿宋" w:cs="等线"/>
                <w:color w:val="auto"/>
                <w:sz w:val="24"/>
                <w:szCs w:val="24"/>
                <w:lang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eastAsia="zh-CN"/>
              </w:rPr>
              <w:t>将需要排放的废水引入可进行存储的设施中暂存，待处理合格后再排放。</w:t>
            </w:r>
          </w:p>
        </w:tc>
        <w:tc>
          <w:tcPr>
            <w:tcW w:w="867" w:type="pct"/>
            <w:vMerge w:val="restart"/>
            <w:shd w:val="clear" w:color="auto" w:fill="FFFFFF"/>
            <w:vAlign w:val="center"/>
          </w:tcPr>
          <w:p>
            <w:pPr>
              <w:adjustRightInd/>
              <w:snapToGrid/>
              <w:spacing w:line="240" w:lineRule="auto"/>
              <w:ind w:firstLine="0" w:firstLineChars="0"/>
              <w:jc w:val="left"/>
              <w:rPr>
                <w:rFonts w:ascii="仿宋" w:hAnsi="仿宋"/>
                <w:color w:val="auto"/>
                <w:sz w:val="24"/>
              </w:rPr>
            </w:pPr>
            <w:r>
              <w:rPr>
                <w:rFonts w:ascii="仿宋" w:hAnsi="仿宋" w:cs="等线"/>
                <w:color w:val="auto"/>
                <w:sz w:val="24"/>
              </w:rPr>
              <w:fldChar w:fldCharType="begin"/>
            </w:r>
            <w:r>
              <w:rPr>
                <w:rFonts w:ascii="仿宋" w:hAnsi="仿宋" w:cs="等线"/>
                <w:color w:val="auto"/>
                <w:sz w:val="24"/>
              </w:rPr>
              <w:instrText xml:space="preserve"> </w:instrText>
            </w:r>
            <w:r>
              <w:rPr>
                <w:rFonts w:hint="eastAsia" w:ascii="仿宋" w:hAnsi="仿宋" w:cs="等线"/>
                <w:color w:val="auto"/>
                <w:sz w:val="24"/>
              </w:rPr>
              <w:instrText xml:space="preserve">= 1 \* GB2</w:instrText>
            </w:r>
            <w:r>
              <w:rPr>
                <w:rFonts w:ascii="仿宋" w:hAnsi="仿宋" w:cs="等线"/>
                <w:color w:val="auto"/>
                <w:sz w:val="24"/>
              </w:rPr>
              <w:instrText xml:space="preserve"> </w:instrText>
            </w:r>
            <w:r>
              <w:rPr>
                <w:rFonts w:ascii="仿宋" w:hAnsi="仿宋" w:cs="等线"/>
                <w:color w:val="auto"/>
                <w:sz w:val="24"/>
              </w:rPr>
              <w:fldChar w:fldCharType="separate"/>
            </w:r>
            <w:r>
              <w:rPr>
                <w:rFonts w:hint="eastAsia" w:ascii="仿宋" w:hAnsi="仿宋" w:cs="等线"/>
                <w:color w:val="auto"/>
                <w:sz w:val="24"/>
              </w:rPr>
              <w:t>⑴</w:t>
            </w:r>
            <w:r>
              <w:rPr>
                <w:rFonts w:ascii="仿宋" w:hAnsi="仿宋" w:cs="等线"/>
                <w:color w:val="auto"/>
                <w:sz w:val="24"/>
              </w:rPr>
              <w:fldChar w:fldCharType="end"/>
            </w:r>
            <w:r>
              <w:rPr>
                <w:rFonts w:ascii="仿宋" w:hAnsi="仿宋"/>
                <w:color w:val="auto"/>
                <w:sz w:val="24"/>
              </w:rPr>
              <w:t>当值值班人员要第一时间汇报当班班长、值长、</w:t>
            </w:r>
            <w:r>
              <w:rPr>
                <w:rFonts w:hint="eastAsia" w:ascii="仿宋" w:hAnsi="仿宋"/>
                <w:color w:val="auto"/>
                <w:sz w:val="24"/>
              </w:rPr>
              <w:t>辅控中心</w:t>
            </w:r>
            <w:r>
              <w:rPr>
                <w:rFonts w:ascii="仿宋" w:hAnsi="仿宋"/>
                <w:color w:val="auto"/>
                <w:sz w:val="24"/>
              </w:rPr>
              <w:t>、</w:t>
            </w:r>
            <w:r>
              <w:rPr>
                <w:rFonts w:hint="eastAsia" w:ascii="仿宋" w:hAnsi="仿宋"/>
                <w:color w:val="auto"/>
                <w:sz w:val="24"/>
              </w:rPr>
              <w:t>生技部</w:t>
            </w:r>
            <w:r>
              <w:rPr>
                <w:rFonts w:ascii="仿宋" w:hAnsi="仿宋"/>
                <w:color w:val="auto"/>
                <w:sz w:val="24"/>
              </w:rPr>
              <w:t>灰硫</w:t>
            </w:r>
            <w:r>
              <w:rPr>
                <w:rFonts w:hint="eastAsia" w:ascii="仿宋" w:hAnsi="仿宋"/>
                <w:color w:val="auto"/>
                <w:sz w:val="24"/>
              </w:rPr>
              <w:t>、化学专工，及时分析采取措施；</w:t>
            </w:r>
          </w:p>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2 \* GB2</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⑵</w:t>
            </w:r>
            <w:r>
              <w:rPr>
                <w:rFonts w:ascii="仿宋" w:hAnsi="仿宋"/>
                <w:color w:val="auto"/>
                <w:sz w:val="24"/>
              </w:rPr>
              <w:fldChar w:fldCharType="end"/>
            </w:r>
            <w:r>
              <w:rPr>
                <w:rFonts w:hint="eastAsia" w:ascii="仿宋" w:hAnsi="仿宋"/>
                <w:color w:val="auto"/>
                <w:sz w:val="24"/>
              </w:rPr>
              <w:t>立即汇报至安环部，安环部要及时向上级</w:t>
            </w:r>
            <w:r>
              <w:rPr>
                <w:rFonts w:hint="eastAsia" w:ascii="仿宋" w:hAnsi="仿宋" w:eastAsia="仿宋" w:cs="等线"/>
                <w:color w:val="auto"/>
                <w:sz w:val="24"/>
                <w:szCs w:val="24"/>
                <w:lang w:val="en-US" w:eastAsia="zh-CN"/>
              </w:rPr>
              <w:t>生态环境</w:t>
            </w:r>
            <w:r>
              <w:rPr>
                <w:rFonts w:hint="eastAsia" w:ascii="仿宋" w:hAnsi="仿宋"/>
                <w:color w:val="auto"/>
                <w:sz w:val="24"/>
              </w:rPr>
              <w:t>部门报告。</w:t>
            </w:r>
          </w:p>
          <w:p>
            <w:pPr>
              <w:adjustRightInd/>
              <w:snapToGrid/>
              <w:spacing w:line="240" w:lineRule="auto"/>
              <w:ind w:firstLine="0" w:firstLineChars="0"/>
              <w:jc w:val="left"/>
              <w:rPr>
                <w:rFonts w:ascii="仿宋" w:hAnsi="仿宋"/>
                <w:color w:val="auto"/>
                <w:sz w:val="24"/>
              </w:rPr>
            </w:pPr>
            <w:r>
              <w:rPr>
                <w:rFonts w:ascii="仿宋" w:hAnsi="仿宋"/>
                <w:color w:val="auto"/>
                <w:sz w:val="24"/>
              </w:rPr>
              <w:fldChar w:fldCharType="begin"/>
            </w:r>
            <w:r>
              <w:rPr>
                <w:rFonts w:ascii="仿宋" w:hAnsi="仿宋"/>
                <w:color w:val="auto"/>
                <w:sz w:val="24"/>
              </w:rPr>
              <w:instrText xml:space="preserve"> </w:instrText>
            </w:r>
            <w:r>
              <w:rPr>
                <w:rFonts w:hint="eastAsia" w:ascii="仿宋" w:hAnsi="仿宋"/>
                <w:color w:val="auto"/>
                <w:sz w:val="24"/>
              </w:rPr>
              <w:instrText xml:space="preserve">= 3 \* GB2</w:instrText>
            </w:r>
            <w:r>
              <w:rPr>
                <w:rFonts w:ascii="仿宋" w:hAnsi="仿宋"/>
                <w:color w:val="auto"/>
                <w:sz w:val="24"/>
              </w:rPr>
              <w:instrText xml:space="preserve"> </w:instrText>
            </w:r>
            <w:r>
              <w:rPr>
                <w:rFonts w:ascii="仿宋" w:hAnsi="仿宋"/>
                <w:color w:val="auto"/>
                <w:sz w:val="24"/>
              </w:rPr>
              <w:fldChar w:fldCharType="separate"/>
            </w:r>
            <w:r>
              <w:rPr>
                <w:rFonts w:hint="eastAsia" w:ascii="仿宋" w:hAnsi="仿宋"/>
                <w:color w:val="auto"/>
                <w:sz w:val="24"/>
              </w:rPr>
              <w:t>⑶</w:t>
            </w:r>
            <w:r>
              <w:rPr>
                <w:rFonts w:ascii="仿宋" w:hAnsi="仿宋"/>
                <w:color w:val="auto"/>
                <w:sz w:val="24"/>
              </w:rPr>
              <w:fldChar w:fldCharType="end"/>
            </w:r>
            <w:r>
              <w:rPr>
                <w:rFonts w:ascii="仿宋" w:hAnsi="仿宋"/>
                <w:color w:val="auto"/>
                <w:sz w:val="24"/>
              </w:rPr>
              <w:t>通知相关检修</w:t>
            </w:r>
            <w:r>
              <w:rPr>
                <w:rFonts w:hint="eastAsia" w:ascii="仿宋" w:hAnsi="仿宋"/>
                <w:color w:val="auto"/>
                <w:sz w:val="24"/>
              </w:rPr>
              <w:t>人员</w:t>
            </w:r>
            <w:r>
              <w:rPr>
                <w:rFonts w:ascii="仿宋" w:hAnsi="仿宋"/>
                <w:color w:val="auto"/>
                <w:sz w:val="24"/>
              </w:rPr>
              <w:t>，</w:t>
            </w:r>
            <w:r>
              <w:rPr>
                <w:rFonts w:hint="eastAsia" w:ascii="仿宋" w:hAnsi="仿宋"/>
                <w:color w:val="auto"/>
                <w:sz w:val="24"/>
              </w:rPr>
              <w:t>对工业废水、生活污水和脱硫废水系统进行检查，</w:t>
            </w:r>
            <w:r>
              <w:rPr>
                <w:rFonts w:ascii="仿宋" w:hAnsi="仿宋"/>
                <w:color w:val="auto"/>
                <w:sz w:val="24"/>
              </w:rPr>
              <w:t>采取有效措施，使废水排放指标恢复正常。</w:t>
            </w:r>
          </w:p>
        </w:tc>
        <w:tc>
          <w:tcPr>
            <w:tcW w:w="802" w:type="pct"/>
            <w:vMerge w:val="restart"/>
            <w:shd w:val="clear" w:color="auto" w:fill="FFFFFF"/>
            <w:vAlign w:val="center"/>
          </w:tcPr>
          <w:p>
            <w:pPr>
              <w:pStyle w:val="94"/>
              <w:spacing w:line="240" w:lineRule="auto"/>
              <w:ind w:firstLine="0"/>
              <w:rPr>
                <w:rFonts w:ascii="仿宋" w:hAnsi="仿宋" w:eastAsia="仿宋" w:cs="等线"/>
                <w:color w:val="auto"/>
                <w:sz w:val="24"/>
                <w:szCs w:val="24"/>
                <w:lang w:val="en-US" w:eastAsia="zh-CN"/>
              </w:rPr>
            </w:pPr>
            <w:r>
              <w:rPr>
                <w:rFonts w:ascii="仿宋" w:hAnsi="仿宋" w:eastAsia="仿宋" w:cs="等线"/>
                <w:color w:val="auto"/>
                <w:sz w:val="24"/>
                <w:szCs w:val="24"/>
                <w:lang w:eastAsia="zh-CN"/>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lang w:eastAsia="zh-CN"/>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lang w:eastAsia="zh-CN"/>
              </w:rPr>
              <w:fldChar w:fldCharType="end"/>
            </w:r>
            <w:r>
              <w:rPr>
                <w:rFonts w:hint="eastAsia" w:ascii="仿宋" w:hAnsi="仿宋" w:eastAsia="仿宋" w:cs="等线"/>
                <w:color w:val="auto"/>
                <w:sz w:val="24"/>
                <w:szCs w:val="24"/>
                <w:lang w:val="en-US" w:eastAsia="zh-CN"/>
              </w:rPr>
              <w:t>发现异常，要及时采取措施调整系统运行正常，否则采取措施减少排污水量的产生，严重时甚至停机查找原因，进行消缺。</w:t>
            </w:r>
          </w:p>
          <w:p>
            <w:pPr>
              <w:pStyle w:val="94"/>
              <w:spacing w:line="240" w:lineRule="auto"/>
              <w:ind w:firstLine="0"/>
              <w:rPr>
                <w:rFonts w:ascii="仿宋" w:hAnsi="仿宋" w:eastAsia="仿宋" w:cs="等线"/>
                <w:color w:val="auto"/>
                <w:sz w:val="24"/>
                <w:szCs w:val="24"/>
                <w:lang w:val="en-US" w:eastAsia="zh-CN"/>
              </w:rPr>
            </w:pPr>
            <w:r>
              <w:rPr>
                <w:rFonts w:ascii="仿宋" w:hAnsi="仿宋" w:eastAsia="仿宋"/>
                <w:color w:val="auto"/>
                <w:sz w:val="24"/>
              </w:rPr>
              <w:fldChar w:fldCharType="begin"/>
            </w:r>
            <w:r>
              <w:rPr>
                <w:rFonts w:ascii="仿宋" w:hAnsi="仿宋" w:eastAsia="仿宋"/>
                <w:color w:val="auto"/>
                <w:sz w:val="24"/>
                <w:lang w:eastAsia="zh-CN"/>
              </w:rPr>
              <w:instrText xml:space="preserve"> </w:instrText>
            </w:r>
            <w:r>
              <w:rPr>
                <w:rFonts w:hint="eastAsia" w:ascii="仿宋" w:hAnsi="仿宋" w:eastAsia="仿宋"/>
                <w:color w:val="auto"/>
                <w:sz w:val="24"/>
                <w:lang w:eastAsia="zh-CN"/>
              </w:rPr>
              <w:instrText xml:space="preserve">= 2 \* GB2</w:instrText>
            </w:r>
            <w:r>
              <w:rPr>
                <w:rFonts w:ascii="仿宋" w:hAnsi="仿宋" w:eastAsia="仿宋"/>
                <w:color w:val="auto"/>
                <w:sz w:val="24"/>
                <w:lang w:eastAsia="zh-CN"/>
              </w:rPr>
              <w:instrText xml:space="preserve"> </w:instrText>
            </w:r>
            <w:r>
              <w:rPr>
                <w:rFonts w:ascii="仿宋" w:hAnsi="仿宋" w:eastAsia="仿宋"/>
                <w:color w:val="auto"/>
                <w:sz w:val="24"/>
              </w:rPr>
              <w:fldChar w:fldCharType="separate"/>
            </w:r>
            <w:r>
              <w:rPr>
                <w:rFonts w:hint="eastAsia" w:ascii="仿宋" w:hAnsi="仿宋" w:eastAsia="仿宋"/>
                <w:color w:val="auto"/>
                <w:sz w:val="24"/>
                <w:lang w:eastAsia="zh-CN"/>
              </w:rPr>
              <w:t>⑵</w:t>
            </w:r>
            <w:r>
              <w:rPr>
                <w:rFonts w:ascii="仿宋" w:hAnsi="仿宋" w:eastAsia="仿宋"/>
                <w:color w:val="auto"/>
                <w:sz w:val="24"/>
              </w:rPr>
              <w:fldChar w:fldCharType="end"/>
            </w:r>
            <w:r>
              <w:rPr>
                <w:rFonts w:hint="eastAsia" w:ascii="仿宋" w:hAnsi="仿宋" w:eastAsia="仿宋" w:cs="等线"/>
                <w:color w:val="auto"/>
                <w:sz w:val="24"/>
                <w:szCs w:val="24"/>
                <w:lang w:val="en-US" w:eastAsia="zh-CN"/>
              </w:rPr>
              <w:t>发生排放异常事故，除及时、如实向辖区</w:t>
            </w:r>
            <w:r>
              <w:rPr>
                <w:rFonts w:hint="eastAsia" w:ascii="仿宋" w:hAnsi="仿宋" w:eastAsia="仿宋" w:cs="等线"/>
                <w:color w:val="auto"/>
                <w:sz w:val="24"/>
                <w:szCs w:val="24"/>
                <w:lang w:val="en-US" w:eastAsia="zh-CN"/>
              </w:rPr>
              <w:t>生态环境</w:t>
            </w:r>
            <w:r>
              <w:rPr>
                <w:rFonts w:hint="eastAsia" w:ascii="仿宋" w:hAnsi="仿宋" w:eastAsia="仿宋" w:cs="等线"/>
                <w:color w:val="auto"/>
                <w:sz w:val="24"/>
                <w:szCs w:val="24"/>
                <w:lang w:val="en-US" w:eastAsia="zh-CN"/>
              </w:rPr>
              <w:t>部门汇报外，仍应加强对受影响区域加强取样监测，并及时上报相应数据。超过16小时应停止外排。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2041" w:hRule="exact"/>
          <w:jc w:val="center"/>
        </w:trPr>
        <w:tc>
          <w:tcPr>
            <w:tcW w:w="246" w:type="pct"/>
            <w:shd w:val="clear" w:color="auto" w:fill="FFFFFF"/>
            <w:vAlign w:val="center"/>
          </w:tcPr>
          <w:p>
            <w:pPr>
              <w:pStyle w:val="94"/>
              <w:spacing w:line="240" w:lineRule="auto"/>
              <w:ind w:firstLine="0"/>
              <w:jc w:val="center"/>
              <w:rPr>
                <w:rFonts w:ascii="仿宋" w:hAnsi="仿宋" w:eastAsia="仿宋" w:cs="Times New Roman"/>
                <w:color w:val="auto"/>
                <w:sz w:val="24"/>
                <w:szCs w:val="24"/>
                <w:lang w:val="en-US" w:eastAsia="zh-CN" w:bidi="ar-SA"/>
              </w:rPr>
            </w:pPr>
            <w:r>
              <w:rPr>
                <w:rFonts w:hint="eastAsia" w:ascii="仿宋" w:hAnsi="仿宋" w:eastAsia="仿宋" w:cs="Times New Roman"/>
                <w:color w:val="auto"/>
                <w:sz w:val="24"/>
                <w:szCs w:val="24"/>
                <w:lang w:val="en-US" w:eastAsia="zh-CN" w:bidi="ar-SA"/>
              </w:rPr>
              <w:t>脱硫废水超标</w:t>
            </w:r>
          </w:p>
        </w:tc>
        <w:tc>
          <w:tcPr>
            <w:tcW w:w="465"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556" w:type="pct"/>
            <w:vMerge w:val="continue"/>
            <w:shd w:val="clear" w:color="auto" w:fill="FFFFFF"/>
          </w:tcPr>
          <w:p>
            <w:pPr>
              <w:pStyle w:val="94"/>
              <w:spacing w:line="240" w:lineRule="auto"/>
              <w:ind w:firstLine="0"/>
              <w:jc w:val="center"/>
              <w:rPr>
                <w:rFonts w:ascii="仿宋" w:hAnsi="仿宋" w:eastAsia="仿宋" w:cs="等线"/>
                <w:color w:val="auto"/>
                <w:sz w:val="24"/>
                <w:szCs w:val="24"/>
                <w:lang w:val="en-US" w:eastAsia="zh-CN"/>
              </w:rPr>
            </w:pPr>
          </w:p>
        </w:tc>
        <w:tc>
          <w:tcPr>
            <w:tcW w:w="1162"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p>
        </w:tc>
        <w:tc>
          <w:tcPr>
            <w:tcW w:w="901"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867"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802"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2041" w:hRule="exact"/>
          <w:jc w:val="center"/>
        </w:trPr>
        <w:tc>
          <w:tcPr>
            <w:tcW w:w="246" w:type="pct"/>
            <w:shd w:val="clear" w:color="auto" w:fill="FFFFFF"/>
            <w:vAlign w:val="center"/>
          </w:tcPr>
          <w:p>
            <w:pPr>
              <w:pStyle w:val="94"/>
              <w:spacing w:line="240" w:lineRule="auto"/>
              <w:ind w:firstLine="0"/>
              <w:jc w:val="center"/>
              <w:rPr>
                <w:rFonts w:ascii="仿宋" w:hAnsi="仿宋" w:eastAsia="仿宋" w:cs="Times New Roman"/>
                <w:color w:val="auto"/>
                <w:sz w:val="24"/>
                <w:szCs w:val="24"/>
                <w:lang w:val="en-US" w:eastAsia="zh-CN" w:bidi="ar-SA"/>
              </w:rPr>
            </w:pPr>
            <w:r>
              <w:rPr>
                <w:rFonts w:hint="eastAsia" w:ascii="仿宋" w:hAnsi="仿宋" w:eastAsia="仿宋" w:cs="Times New Roman"/>
                <w:color w:val="auto"/>
                <w:sz w:val="24"/>
                <w:szCs w:val="24"/>
                <w:lang w:val="en-US" w:eastAsia="zh-CN" w:bidi="ar-SA"/>
              </w:rPr>
              <w:t>生活污水排放异常</w:t>
            </w:r>
          </w:p>
        </w:tc>
        <w:tc>
          <w:tcPr>
            <w:tcW w:w="465" w:type="pct"/>
            <w:shd w:val="clear" w:color="auto" w:fill="FFFFFF"/>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COD、BOD</w:t>
            </w:r>
            <w:r>
              <w:rPr>
                <w:rFonts w:ascii="仿宋" w:hAnsi="仿宋"/>
                <w:color w:val="auto"/>
                <w:sz w:val="24"/>
                <w:vertAlign w:val="subscript"/>
              </w:rPr>
              <w:t>5</w:t>
            </w:r>
            <w:r>
              <w:rPr>
                <w:rFonts w:hint="eastAsia" w:ascii="仿宋" w:hAnsi="仿宋"/>
                <w:color w:val="auto"/>
                <w:sz w:val="24"/>
              </w:rPr>
              <w:t>、氨氮、动植物油、SS</w:t>
            </w:r>
          </w:p>
        </w:tc>
        <w:tc>
          <w:tcPr>
            <w:tcW w:w="556" w:type="pct"/>
            <w:vMerge w:val="continue"/>
            <w:shd w:val="clear" w:color="auto" w:fill="FFFFFF"/>
          </w:tcPr>
          <w:p>
            <w:pPr>
              <w:pStyle w:val="94"/>
              <w:spacing w:line="240" w:lineRule="auto"/>
              <w:ind w:firstLine="0"/>
              <w:jc w:val="center"/>
              <w:rPr>
                <w:rFonts w:ascii="仿宋" w:hAnsi="仿宋" w:eastAsia="仿宋" w:cs="等线"/>
                <w:color w:val="auto"/>
                <w:sz w:val="24"/>
                <w:szCs w:val="24"/>
                <w:lang w:val="en-US" w:eastAsia="zh-CN"/>
              </w:rPr>
            </w:pPr>
          </w:p>
        </w:tc>
        <w:tc>
          <w:tcPr>
            <w:tcW w:w="1162" w:type="pct"/>
            <w:vMerge w:val="continue"/>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p>
        </w:tc>
        <w:tc>
          <w:tcPr>
            <w:tcW w:w="901"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867"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c>
          <w:tcPr>
            <w:tcW w:w="802" w:type="pct"/>
            <w:vMerge w:val="continue"/>
            <w:shd w:val="clear" w:color="auto" w:fill="FFFFFF"/>
            <w:vAlign w:val="center"/>
          </w:tcPr>
          <w:p>
            <w:pPr>
              <w:adjustRightInd/>
              <w:snapToGrid/>
              <w:spacing w:line="240" w:lineRule="auto"/>
              <w:ind w:firstLine="0" w:firstLineChars="0"/>
              <w:jc w:val="center"/>
              <w:rPr>
                <w:rFonts w:ascii="仿宋" w:hAnsi="仿宋"/>
                <w:color w:val="auto"/>
                <w:sz w:val="24"/>
              </w:rPr>
            </w:pPr>
          </w:p>
        </w:tc>
      </w:tr>
    </w:tbl>
    <w:p>
      <w:pPr>
        <w:pStyle w:val="38"/>
        <w:ind w:firstLine="0" w:firstLineChars="0"/>
        <w:rPr>
          <w:rFonts w:hint="default"/>
          <w:color w:val="auto"/>
          <w:lang w:eastAsia="zh-CN"/>
        </w:rPr>
        <w:sectPr>
          <w:pgSz w:w="16838" w:h="11906" w:orient="landscape"/>
          <w:pgMar w:top="1418" w:right="1418" w:bottom="1418" w:left="1418" w:header="851" w:footer="992" w:gutter="0"/>
          <w:pgNumType w:fmt="numberInDash"/>
          <w:cols w:space="720" w:num="1"/>
          <w:docGrid w:linePitch="381" w:charSpace="0"/>
        </w:sectPr>
      </w:pPr>
    </w:p>
    <w:p>
      <w:pPr>
        <w:pStyle w:val="5"/>
        <w:ind w:firstLine="0" w:firstLineChars="0"/>
        <w:rPr>
          <w:color w:val="auto"/>
          <w:kern w:val="0"/>
        </w:rPr>
      </w:pPr>
      <w:bookmarkStart w:id="158" w:name="_Toc29174"/>
      <w:r>
        <w:rPr>
          <w:color w:val="auto"/>
          <w:kern w:val="0"/>
        </w:rPr>
        <w:t>6.5.5 制氢站氢气泄漏事故情景处置方案</w:t>
      </w:r>
      <w:bookmarkEnd w:id="158"/>
    </w:p>
    <w:p>
      <w:pPr>
        <w:ind w:firstLine="482"/>
        <w:jc w:val="center"/>
        <w:rPr>
          <w:rFonts w:ascii="仿宋" w:hAnsi="仿宋"/>
          <w:b/>
          <w:bCs/>
          <w:color w:val="auto"/>
          <w:sz w:val="24"/>
        </w:rPr>
      </w:pPr>
      <w:r>
        <w:rPr>
          <w:rFonts w:hint="eastAsia" w:ascii="仿宋" w:hAnsi="仿宋" w:cs="等线"/>
          <w:b/>
          <w:bCs/>
          <w:color w:val="auto"/>
          <w:sz w:val="24"/>
        </w:rPr>
        <w:t>表6-</w:t>
      </w:r>
      <w:r>
        <w:rPr>
          <w:rFonts w:ascii="仿宋" w:hAnsi="仿宋" w:cs="等线"/>
          <w:b/>
          <w:bCs/>
          <w:color w:val="auto"/>
          <w:sz w:val="24"/>
        </w:rPr>
        <w:t>6</w:t>
      </w:r>
      <w:r>
        <w:rPr>
          <w:rFonts w:hint="eastAsia" w:ascii="仿宋" w:hAnsi="仿宋" w:cs="等线"/>
          <w:b/>
          <w:bCs/>
          <w:color w:val="auto"/>
          <w:sz w:val="24"/>
        </w:rPr>
        <w:t xml:space="preserve"> </w:t>
      </w:r>
      <w:r>
        <w:rPr>
          <w:rFonts w:ascii="仿宋" w:hAnsi="仿宋" w:cs="等线"/>
          <w:b/>
          <w:bCs/>
          <w:color w:val="auto"/>
          <w:sz w:val="24"/>
        </w:rPr>
        <w:t xml:space="preserve">   </w:t>
      </w:r>
      <w:r>
        <w:rPr>
          <w:rFonts w:hint="eastAsia" w:ascii="仿宋" w:hAnsi="仿宋"/>
          <w:b/>
          <w:bCs/>
          <w:color w:val="auto"/>
          <w:sz w:val="24"/>
        </w:rPr>
        <w:t>制氢站氢气泄漏事故情景处置方案</w:t>
      </w:r>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144"/>
        <w:gridCol w:w="850"/>
        <w:gridCol w:w="2695"/>
        <w:gridCol w:w="1559"/>
        <w:gridCol w:w="3685"/>
        <w:gridCol w:w="1845"/>
        <w:gridCol w:w="22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49" w:hRule="exact"/>
          <w:jc w:val="center"/>
        </w:trPr>
        <w:tc>
          <w:tcPr>
            <w:tcW w:w="408"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情景设置</w:t>
            </w:r>
          </w:p>
        </w:tc>
        <w:tc>
          <w:tcPr>
            <w:tcW w:w="303" w:type="pct"/>
            <w:vMerge w:val="restar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环境风险物质</w:t>
            </w:r>
          </w:p>
        </w:tc>
        <w:tc>
          <w:tcPr>
            <w:tcW w:w="4289" w:type="pct"/>
            <w:gridSpan w:val="5"/>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处置措施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64" w:hRule="exact"/>
          <w:jc w:val="center"/>
        </w:trPr>
        <w:tc>
          <w:tcPr>
            <w:tcW w:w="408" w:type="pct"/>
            <w:vMerge w:val="continue"/>
            <w:shd w:val="clear" w:color="auto" w:fill="D9D9D9"/>
            <w:vAlign w:val="center"/>
          </w:tcPr>
          <w:p>
            <w:pPr>
              <w:adjustRightInd/>
              <w:snapToGrid/>
              <w:spacing w:line="240" w:lineRule="auto"/>
              <w:ind w:firstLine="0" w:firstLineChars="0"/>
              <w:jc w:val="center"/>
              <w:rPr>
                <w:rFonts w:ascii="仿宋" w:hAnsi="仿宋"/>
                <w:b/>
                <w:bCs/>
                <w:color w:val="auto"/>
                <w:sz w:val="24"/>
              </w:rPr>
            </w:pPr>
          </w:p>
        </w:tc>
        <w:tc>
          <w:tcPr>
            <w:tcW w:w="303" w:type="pct"/>
            <w:vMerge w:val="continue"/>
            <w:shd w:val="clear" w:color="auto" w:fill="D9D9D9"/>
            <w:vAlign w:val="center"/>
          </w:tcPr>
          <w:p>
            <w:pPr>
              <w:pStyle w:val="94"/>
              <w:spacing w:line="240" w:lineRule="auto"/>
              <w:ind w:firstLine="0"/>
              <w:jc w:val="center"/>
              <w:rPr>
                <w:rFonts w:ascii="仿宋" w:hAnsi="仿宋" w:eastAsia="仿宋" w:cs="等线"/>
                <w:b/>
                <w:bCs/>
                <w:color w:val="auto"/>
                <w:sz w:val="24"/>
                <w:szCs w:val="24"/>
              </w:rPr>
            </w:pPr>
          </w:p>
        </w:tc>
        <w:tc>
          <w:tcPr>
            <w:tcW w:w="961"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事故确认</w:t>
            </w:r>
          </w:p>
        </w:tc>
        <w:tc>
          <w:tcPr>
            <w:tcW w:w="556"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断源</w:t>
            </w:r>
          </w:p>
        </w:tc>
        <w:tc>
          <w:tcPr>
            <w:tcW w:w="1314" w:type="pct"/>
            <w:shd w:val="clear" w:color="auto" w:fill="D9D9D9"/>
            <w:vAlign w:val="center"/>
          </w:tcPr>
          <w:p>
            <w:pPr>
              <w:pStyle w:val="94"/>
              <w:spacing w:line="240" w:lineRule="auto"/>
              <w:ind w:firstLine="0"/>
              <w:jc w:val="center"/>
              <w:rPr>
                <w:rFonts w:ascii="仿宋" w:hAnsi="仿宋" w:eastAsia="仿宋" w:cs="等线"/>
                <w:b/>
                <w:bCs/>
                <w:color w:val="auto"/>
                <w:sz w:val="24"/>
                <w:szCs w:val="24"/>
                <w:lang w:val="en-US" w:eastAsia="zh-CN"/>
              </w:rPr>
            </w:pPr>
            <w:r>
              <w:rPr>
                <w:rFonts w:hint="eastAsia" w:ascii="仿宋" w:hAnsi="仿宋" w:eastAsia="仿宋" w:cs="等线"/>
                <w:b/>
                <w:bCs/>
                <w:color w:val="auto"/>
                <w:sz w:val="24"/>
                <w:szCs w:val="24"/>
                <w:lang w:eastAsia="zh-CN"/>
              </w:rPr>
              <w:t>截流</w:t>
            </w:r>
          </w:p>
        </w:tc>
        <w:tc>
          <w:tcPr>
            <w:tcW w:w="658" w:type="pct"/>
            <w:shd w:val="clear" w:color="auto" w:fill="D9D9D9"/>
            <w:vAlign w:val="center"/>
          </w:tcPr>
          <w:p>
            <w:pPr>
              <w:pStyle w:val="94"/>
              <w:spacing w:line="240" w:lineRule="auto"/>
              <w:ind w:firstLine="0"/>
              <w:jc w:val="center"/>
              <w:rPr>
                <w:rFonts w:ascii="仿宋" w:hAnsi="仿宋" w:eastAsia="仿宋" w:cs="等线"/>
                <w:b/>
                <w:bCs/>
                <w:color w:val="auto"/>
                <w:sz w:val="24"/>
                <w:szCs w:val="24"/>
              </w:rPr>
            </w:pPr>
            <w:r>
              <w:rPr>
                <w:rFonts w:hint="eastAsia" w:ascii="仿宋" w:hAnsi="仿宋" w:eastAsia="仿宋" w:cs="等线"/>
                <w:b/>
                <w:bCs/>
                <w:color w:val="auto"/>
                <w:sz w:val="24"/>
                <w:szCs w:val="24"/>
              </w:rPr>
              <w:t>污染消除</w:t>
            </w:r>
          </w:p>
        </w:tc>
        <w:tc>
          <w:tcPr>
            <w:tcW w:w="800" w:type="pct"/>
            <w:shd w:val="clear" w:color="auto" w:fill="D9D9D9"/>
            <w:vAlign w:val="center"/>
          </w:tcPr>
          <w:p>
            <w:pPr>
              <w:pStyle w:val="94"/>
              <w:spacing w:line="240" w:lineRule="auto"/>
              <w:ind w:firstLine="0"/>
              <w:jc w:val="center"/>
              <w:rPr>
                <w:rFonts w:ascii="仿宋" w:hAnsi="仿宋" w:eastAsia="仿宋"/>
                <w:b/>
                <w:bCs/>
                <w:color w:val="auto"/>
                <w:sz w:val="24"/>
                <w:szCs w:val="24"/>
              </w:rPr>
            </w:pPr>
            <w:r>
              <w:rPr>
                <w:rFonts w:hint="eastAsia" w:ascii="仿宋" w:hAnsi="仿宋" w:eastAsia="仿宋" w:cs="等线"/>
                <w:b/>
                <w:bCs/>
                <w:color w:val="auto"/>
                <w:sz w:val="24"/>
                <w:szCs w:val="24"/>
                <w:lang w:eastAsia="zh-CN"/>
              </w:rPr>
              <w:t>注意事项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297" w:hRule="atLeast"/>
          <w:jc w:val="center"/>
        </w:trPr>
        <w:tc>
          <w:tcPr>
            <w:tcW w:w="408"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制氢站氢气泄漏（原则上氢气泄漏对环境不会直接影响，只是易发生爆炸的次生环境事件）</w:t>
            </w:r>
          </w:p>
        </w:tc>
        <w:tc>
          <w:tcPr>
            <w:tcW w:w="303" w:type="pct"/>
            <w:shd w:val="clear" w:color="auto" w:fill="FFFFFF"/>
            <w:vAlign w:val="center"/>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氢气</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泄漏后火灾爆炸烟气</w:t>
            </w:r>
          </w:p>
        </w:tc>
        <w:tc>
          <w:tcPr>
            <w:tcW w:w="961" w:type="pc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装置出现故障或发生火灾、爆炸事故，设备、管道损坏，会</w:t>
            </w:r>
            <w:r>
              <w:rPr>
                <w:rFonts w:hint="eastAsia" w:ascii="仿宋" w:hAnsi="仿宋" w:eastAsia="仿宋" w:cs="等线"/>
                <w:color w:val="auto"/>
                <w:sz w:val="24"/>
                <w:szCs w:val="24"/>
              </w:rPr>
              <w:t>造成氢气泄</w:t>
            </w:r>
            <w:r>
              <w:rPr>
                <w:rFonts w:hint="eastAsia" w:ascii="仿宋" w:hAnsi="仿宋" w:eastAsia="仿宋" w:cs="等线"/>
                <w:color w:val="auto"/>
                <w:sz w:val="24"/>
                <w:szCs w:val="24"/>
                <w:lang w:eastAsia="zh-CN"/>
              </w:rPr>
              <w:t>漏， 需迅速查明泄漏点和原因，实施切断气源或倒槽（罐）等处理措施。</w:t>
            </w:r>
          </w:p>
        </w:tc>
        <w:tc>
          <w:tcPr>
            <w:tcW w:w="556" w:type="pct"/>
            <w:shd w:val="clear" w:color="auto" w:fill="FFFFFF"/>
            <w:vAlign w:val="center"/>
          </w:tcPr>
          <w:p>
            <w:pPr>
              <w:pStyle w:val="94"/>
              <w:spacing w:line="240" w:lineRule="auto"/>
              <w:ind w:firstLine="0"/>
              <w:jc w:val="center"/>
              <w:rPr>
                <w:rFonts w:ascii="仿宋" w:hAnsi="仿宋" w:eastAsia="仿宋" w:cs="等线"/>
                <w:color w:val="auto"/>
                <w:sz w:val="24"/>
                <w:szCs w:val="24"/>
                <w:lang w:eastAsia="zh-CN"/>
              </w:rPr>
            </w:pPr>
            <w:r>
              <w:rPr>
                <w:rFonts w:hint="eastAsia" w:ascii="仿宋" w:hAnsi="仿宋" w:eastAsia="仿宋" w:cs="等线"/>
                <w:color w:val="auto"/>
                <w:sz w:val="24"/>
                <w:szCs w:val="24"/>
                <w:lang w:eastAsia="zh-CN"/>
              </w:rPr>
              <w:t>切断气源，保持管路微正压，通入惰性气体。</w:t>
            </w:r>
          </w:p>
        </w:tc>
        <w:tc>
          <w:tcPr>
            <w:tcW w:w="1314" w:type="pct"/>
            <w:shd w:val="clear" w:color="auto" w:fill="FFFFFF"/>
            <w:vAlign w:val="center"/>
          </w:tcPr>
          <w:p>
            <w:pPr>
              <w:pStyle w:val="94"/>
              <w:tabs>
                <w:tab w:val="left" w:pos="322"/>
              </w:tabs>
              <w:spacing w:line="240" w:lineRule="auto"/>
              <w:ind w:firstLine="0"/>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根据气象条件和实际泄漏情况，明确可能受影响区域及区域环境状况；</w:t>
            </w:r>
          </w:p>
          <w:p>
            <w:pPr>
              <w:pStyle w:val="94"/>
              <w:tabs>
                <w:tab w:val="left" w:pos="322"/>
              </w:tabs>
              <w:spacing w:line="240" w:lineRule="auto"/>
              <w:ind w:firstLine="0"/>
              <w:rPr>
                <w:rFonts w:ascii="仿宋" w:hAnsi="仿宋" w:eastAsia="仿宋" w:cs="等线"/>
                <w:color w:val="auto"/>
                <w:sz w:val="24"/>
                <w:szCs w:val="24"/>
                <w:lang w:val="en-US"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lang w:val="en-US" w:eastAsia="zh-CN"/>
              </w:rPr>
              <w:t>根据氢气泄漏的扩散情况及火焰辐射热所涉及到的范围尽快划定环境安全距离，建立警戒区，并在通往事故现场的主干道施行交通管制，设立警示标志，并有专人警戒，如氢气小量泄漏，则警戒隔离150m，如大量泄漏，则警戒隔离450m，同时对可能受影响区域企业、单位、社区人员的疏散的方式和路线、基本保护措施和个人防护方法提出建议。</w:t>
            </w:r>
          </w:p>
        </w:tc>
        <w:tc>
          <w:tcPr>
            <w:tcW w:w="658" w:type="pct"/>
            <w:shd w:val="clear" w:color="auto" w:fill="FFFFFF"/>
            <w:vAlign w:val="center"/>
          </w:tcPr>
          <w:p>
            <w:pPr>
              <w:pStyle w:val="94"/>
              <w:spacing w:line="240" w:lineRule="auto"/>
              <w:ind w:firstLine="0"/>
              <w:rPr>
                <w:rFonts w:ascii="仿宋" w:hAnsi="仿宋" w:eastAsia="PMingLiU"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应急处理人员戴自给正压式呼吸器，穿防静电工作服，</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采用防爆型照明、通风设施。禁止使用易产生火花的机械设备和工具。运行中避免与氧化剂、卤素接触。</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3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⑶</w:t>
            </w:r>
            <w:r>
              <w:rPr>
                <w:rFonts w:ascii="仿宋" w:hAnsi="仿宋" w:eastAsia="仿宋" w:cs="等线"/>
                <w:color w:val="auto"/>
                <w:sz w:val="24"/>
                <w:szCs w:val="24"/>
              </w:rPr>
              <w:fldChar w:fldCharType="end"/>
            </w:r>
            <w:r>
              <w:rPr>
                <w:rFonts w:hint="eastAsia" w:ascii="仿宋" w:hAnsi="仿宋" w:eastAsia="仿宋" w:cs="等线"/>
                <w:color w:val="auto"/>
                <w:sz w:val="24"/>
                <w:szCs w:val="24"/>
              </w:rPr>
              <w:t>合理通风，加速扩</w:t>
            </w:r>
          </w:p>
        </w:tc>
        <w:tc>
          <w:tcPr>
            <w:tcW w:w="800" w:type="pct"/>
            <w:shd w:val="clear" w:color="auto" w:fill="FFFFFF"/>
            <w:vAlign w:val="center"/>
          </w:tcPr>
          <w:p>
            <w:pPr>
              <w:pStyle w:val="94"/>
              <w:spacing w:line="240" w:lineRule="auto"/>
              <w:ind w:firstLine="0"/>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若出现超出企业应急能力的情况，及时向外部请求支援，并根据当地</w:t>
            </w:r>
            <w:r>
              <w:rPr>
                <w:rFonts w:hint="eastAsia" w:ascii="仿宋" w:hAnsi="仿宋" w:eastAsia="仿宋" w:cs="等线"/>
                <w:color w:val="auto"/>
                <w:sz w:val="24"/>
                <w:szCs w:val="24"/>
                <w:lang w:val="en-US" w:eastAsia="zh-CN"/>
              </w:rPr>
              <w:t>生态环境</w:t>
            </w:r>
            <w:r>
              <w:rPr>
                <w:rFonts w:hint="eastAsia" w:ascii="仿宋" w:hAnsi="仿宋" w:eastAsia="仿宋" w:cs="等线"/>
                <w:color w:val="auto"/>
                <w:sz w:val="24"/>
                <w:szCs w:val="24"/>
                <w:lang w:val="en-US" w:eastAsia="zh-CN"/>
              </w:rPr>
              <w:t>部门的要求及专家的意见对事态进行控制，在外部救援力量抵达现场时，全力配合应急抢险工作。</w:t>
            </w:r>
          </w:p>
        </w:tc>
      </w:tr>
    </w:tbl>
    <w:p>
      <w:pPr>
        <w:pStyle w:val="38"/>
        <w:ind w:firstLine="240"/>
        <w:rPr>
          <w:rFonts w:hint="default"/>
          <w:color w:val="auto"/>
          <w:lang w:eastAsia="zh-CN"/>
        </w:rPr>
        <w:sectPr>
          <w:pgSz w:w="16838" w:h="11906" w:orient="landscape"/>
          <w:pgMar w:top="1418" w:right="1418" w:bottom="1418" w:left="1418" w:header="851" w:footer="992" w:gutter="0"/>
          <w:pgNumType w:fmt="numberInDash"/>
          <w:cols w:space="720" w:num="1"/>
          <w:docGrid w:linePitch="381" w:charSpace="0"/>
        </w:sectPr>
      </w:pPr>
    </w:p>
    <w:p>
      <w:pPr>
        <w:pStyle w:val="5"/>
        <w:ind w:firstLine="0" w:firstLineChars="0"/>
        <w:rPr>
          <w:color w:val="auto"/>
          <w:kern w:val="0"/>
        </w:rPr>
      </w:pPr>
      <w:bookmarkStart w:id="159" w:name="_Toc17700"/>
      <w:r>
        <w:rPr>
          <w:color w:val="auto"/>
          <w:kern w:val="0"/>
        </w:rPr>
        <w:t>6.5.6 盐酸、硫酸、氢氧化钠泄漏事故情景处置方案</w:t>
      </w:r>
      <w:bookmarkEnd w:id="159"/>
    </w:p>
    <w:p>
      <w:pPr>
        <w:ind w:firstLine="560"/>
        <w:rPr>
          <w:rFonts w:ascii="仿宋" w:hAnsi="仿宋"/>
          <w:color w:val="auto"/>
          <w:szCs w:val="28"/>
        </w:rPr>
      </w:pPr>
      <w:r>
        <w:rPr>
          <w:rFonts w:hint="eastAsia" w:ascii="仿宋" w:hAnsi="仿宋"/>
          <w:color w:val="auto"/>
          <w:szCs w:val="28"/>
        </w:rPr>
        <w:t>我公司水处理装置区设置盐酸、氢氧化南储罐，分别设有围堰和中和池，若发生泄漏，泄漏液体可收集至围堰，经中和处理后排至污水处理设施。冷却塔区设置浓硫酸储罐，设有围堰。酸碱泄漏事故处置方案见表6-</w:t>
      </w:r>
      <w:r>
        <w:rPr>
          <w:rFonts w:ascii="仿宋" w:hAnsi="仿宋"/>
          <w:color w:val="auto"/>
          <w:szCs w:val="28"/>
        </w:rPr>
        <w:t>7</w:t>
      </w:r>
      <w:r>
        <w:rPr>
          <w:rFonts w:hint="eastAsia" w:ascii="仿宋" w:hAnsi="仿宋"/>
          <w:color w:val="auto"/>
          <w:szCs w:val="28"/>
        </w:rPr>
        <w:t>。</w:t>
      </w:r>
    </w:p>
    <w:p>
      <w:pPr>
        <w:pStyle w:val="38"/>
        <w:ind w:firstLine="240"/>
        <w:rPr>
          <w:rFonts w:hint="default"/>
          <w:color w:val="auto"/>
          <w:lang w:eastAsia="zh-CN"/>
        </w:rPr>
        <w:sectPr>
          <w:pgSz w:w="11906" w:h="16838"/>
          <w:pgMar w:top="1418" w:right="1418" w:bottom="1418" w:left="1418" w:header="851" w:footer="992" w:gutter="0"/>
          <w:pgNumType w:fmt="numberInDash"/>
          <w:cols w:space="720" w:num="1"/>
          <w:docGrid w:linePitch="326" w:charSpace="0"/>
        </w:sectPr>
      </w:pPr>
    </w:p>
    <w:p>
      <w:pPr>
        <w:ind w:firstLine="482"/>
        <w:jc w:val="center"/>
        <w:rPr>
          <w:rFonts w:ascii="仿宋" w:hAnsi="仿宋"/>
          <w:b/>
          <w:bCs/>
          <w:color w:val="auto"/>
          <w:sz w:val="24"/>
        </w:rPr>
      </w:pPr>
      <w:r>
        <w:rPr>
          <w:rFonts w:hint="eastAsia" w:ascii="仿宋" w:hAnsi="仿宋"/>
          <w:b/>
          <w:bCs/>
          <w:color w:val="auto"/>
          <w:sz w:val="24"/>
        </w:rPr>
        <w:t>表6-</w:t>
      </w:r>
      <w:r>
        <w:rPr>
          <w:rFonts w:ascii="仿宋" w:hAnsi="仿宋"/>
          <w:b/>
          <w:bCs/>
          <w:color w:val="auto"/>
          <w:sz w:val="24"/>
        </w:rPr>
        <w:t>7</w:t>
      </w:r>
      <w:r>
        <w:rPr>
          <w:rFonts w:hint="eastAsia" w:ascii="仿宋" w:hAnsi="仿宋"/>
          <w:b/>
          <w:bCs/>
          <w:color w:val="auto"/>
          <w:sz w:val="24"/>
        </w:rPr>
        <w:t xml:space="preserve"> </w:t>
      </w:r>
      <w:r>
        <w:rPr>
          <w:rFonts w:ascii="仿宋" w:hAnsi="仿宋"/>
          <w:b/>
          <w:bCs/>
          <w:color w:val="auto"/>
          <w:sz w:val="24"/>
        </w:rPr>
        <w:t xml:space="preserve">   </w:t>
      </w:r>
      <w:r>
        <w:rPr>
          <w:rFonts w:hint="eastAsia" w:ascii="仿宋" w:hAnsi="仿宋"/>
          <w:b/>
          <w:bCs/>
          <w:color w:val="auto"/>
          <w:sz w:val="24"/>
        </w:rPr>
        <w:t>盐酸、硫酸泄漏事故处置方案</w:t>
      </w:r>
    </w:p>
    <w:tbl>
      <w:tblPr>
        <w:tblStyle w:val="40"/>
        <w:tblW w:w="5000" w:type="pct"/>
        <w:tblInd w:w="0" w:type="dxa"/>
        <w:tblLayout w:type="autofit"/>
        <w:tblCellMar>
          <w:top w:w="0" w:type="dxa"/>
          <w:left w:w="10" w:type="dxa"/>
          <w:bottom w:w="0" w:type="dxa"/>
          <w:right w:w="10" w:type="dxa"/>
        </w:tblCellMar>
      </w:tblPr>
      <w:tblGrid>
        <w:gridCol w:w="690"/>
        <w:gridCol w:w="855"/>
        <w:gridCol w:w="1099"/>
        <w:gridCol w:w="2611"/>
        <w:gridCol w:w="1559"/>
        <w:gridCol w:w="3402"/>
        <w:gridCol w:w="3806"/>
      </w:tblGrid>
      <w:tr>
        <w:tblPrEx>
          <w:tblCellMar>
            <w:top w:w="0" w:type="dxa"/>
            <w:left w:w="10" w:type="dxa"/>
            <w:bottom w:w="0" w:type="dxa"/>
            <w:right w:w="10" w:type="dxa"/>
          </w:tblCellMar>
        </w:tblPrEx>
        <w:trPr>
          <w:trHeight w:val="274" w:hRule="exact"/>
        </w:trPr>
        <w:tc>
          <w:tcPr>
            <w:tcW w:w="246" w:type="pct"/>
            <w:vMerge w:val="restart"/>
            <w:tcBorders>
              <w:top w:val="single" w:color="auto" w:sz="4" w:space="0"/>
              <w:left w:val="single" w:color="auto" w:sz="4" w:space="0"/>
            </w:tcBorders>
            <w:shd w:val="clear" w:color="auto" w:fill="D9D9D9"/>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情景设置</w:t>
            </w:r>
          </w:p>
        </w:tc>
        <w:tc>
          <w:tcPr>
            <w:tcW w:w="305" w:type="pct"/>
            <w:vMerge w:val="restart"/>
            <w:tcBorders>
              <w:top w:val="single" w:color="auto" w:sz="4" w:space="0"/>
              <w:left w:val="single" w:color="auto" w:sz="4" w:space="0"/>
            </w:tcBorders>
            <w:shd w:val="clear" w:color="auto" w:fill="D9D9D9"/>
            <w:vAlign w:val="bottom"/>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环境风险物质</w:t>
            </w:r>
          </w:p>
        </w:tc>
        <w:tc>
          <w:tcPr>
            <w:tcW w:w="4449" w:type="pct"/>
            <w:gridSpan w:val="5"/>
            <w:tcBorders>
              <w:top w:val="single" w:color="auto" w:sz="4" w:space="0"/>
              <w:left w:val="single" w:color="auto" w:sz="4" w:space="0"/>
              <w:bottom w:val="single" w:color="auto" w:sz="4" w:space="0"/>
              <w:right w:val="single" w:color="auto" w:sz="4" w:space="0"/>
            </w:tcBorders>
            <w:shd w:val="clear" w:color="auto" w:fill="D9D9D9"/>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现场处置措施</w:t>
            </w:r>
          </w:p>
        </w:tc>
      </w:tr>
      <w:tr>
        <w:tblPrEx>
          <w:tblCellMar>
            <w:top w:w="0" w:type="dxa"/>
            <w:left w:w="10" w:type="dxa"/>
            <w:bottom w:w="0" w:type="dxa"/>
            <w:right w:w="10" w:type="dxa"/>
          </w:tblCellMar>
        </w:tblPrEx>
        <w:trPr>
          <w:trHeight w:val="317" w:hRule="exact"/>
        </w:trPr>
        <w:tc>
          <w:tcPr>
            <w:tcW w:w="246" w:type="pct"/>
            <w:vMerge w:val="continue"/>
            <w:tcBorders>
              <w:left w:val="single" w:color="auto" w:sz="4" w:space="0"/>
            </w:tcBorders>
            <w:shd w:val="clear" w:color="auto" w:fill="D9D9D9"/>
          </w:tcPr>
          <w:p>
            <w:pPr>
              <w:snapToGrid/>
              <w:spacing w:line="240" w:lineRule="auto"/>
              <w:ind w:firstLine="0" w:firstLineChars="0"/>
              <w:jc w:val="center"/>
              <w:rPr>
                <w:rFonts w:ascii="仿宋" w:hAnsi="仿宋"/>
                <w:b/>
                <w:bCs/>
                <w:color w:val="auto"/>
                <w:sz w:val="24"/>
              </w:rPr>
            </w:pPr>
          </w:p>
        </w:tc>
        <w:tc>
          <w:tcPr>
            <w:tcW w:w="305" w:type="pct"/>
            <w:vMerge w:val="continue"/>
            <w:tcBorders>
              <w:left w:val="single" w:color="auto" w:sz="4" w:space="0"/>
            </w:tcBorders>
            <w:shd w:val="clear" w:color="auto" w:fill="D9D9D9"/>
            <w:vAlign w:val="bottom"/>
          </w:tcPr>
          <w:p>
            <w:pPr>
              <w:pStyle w:val="94"/>
              <w:spacing w:line="240" w:lineRule="auto"/>
              <w:ind w:firstLine="0"/>
              <w:jc w:val="center"/>
              <w:rPr>
                <w:rFonts w:ascii="仿宋" w:hAnsi="仿宋" w:eastAsia="仿宋" w:cs="等线"/>
                <w:b/>
                <w:bCs/>
                <w:color w:val="auto"/>
                <w:sz w:val="24"/>
                <w:szCs w:val="24"/>
              </w:rPr>
            </w:pPr>
          </w:p>
        </w:tc>
        <w:tc>
          <w:tcPr>
            <w:tcW w:w="392" w:type="pct"/>
            <w:tcBorders>
              <w:top w:val="single" w:color="auto" w:sz="4" w:space="0"/>
              <w:left w:val="single" w:color="auto" w:sz="4" w:space="0"/>
              <w:right w:val="single" w:color="auto" w:sz="4" w:space="0"/>
            </w:tcBorders>
            <w:shd w:val="clear" w:color="auto" w:fill="D9D9D9"/>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事故确认</w:t>
            </w:r>
          </w:p>
        </w:tc>
        <w:tc>
          <w:tcPr>
            <w:tcW w:w="931" w:type="pct"/>
            <w:tcBorders>
              <w:top w:val="single" w:color="auto" w:sz="4" w:space="0"/>
              <w:left w:val="single" w:color="auto" w:sz="4" w:space="0"/>
            </w:tcBorders>
            <w:shd w:val="clear" w:color="auto" w:fill="D9D9D9"/>
          </w:tcPr>
          <w:p>
            <w:pPr>
              <w:pStyle w:val="94"/>
              <w:spacing w:line="240" w:lineRule="auto"/>
              <w:ind w:firstLine="0"/>
              <w:jc w:val="center"/>
              <w:rPr>
                <w:rFonts w:ascii="仿宋" w:hAnsi="仿宋" w:eastAsia="仿宋" w:cs="等线"/>
                <w:b/>
                <w:bCs/>
                <w:color w:val="auto"/>
                <w:sz w:val="24"/>
                <w:szCs w:val="24"/>
                <w:lang w:eastAsia="zh-CN"/>
              </w:rPr>
            </w:pPr>
            <w:r>
              <w:rPr>
                <w:rFonts w:hint="eastAsia" w:ascii="仿宋" w:hAnsi="仿宋" w:eastAsia="仿宋" w:cs="等线"/>
                <w:b/>
                <w:bCs/>
                <w:color w:val="auto"/>
                <w:sz w:val="24"/>
                <w:szCs w:val="24"/>
                <w:lang w:eastAsia="zh-CN"/>
              </w:rPr>
              <w:t>断源</w:t>
            </w:r>
          </w:p>
        </w:tc>
        <w:tc>
          <w:tcPr>
            <w:tcW w:w="556" w:type="pct"/>
            <w:tcBorders>
              <w:top w:val="single" w:color="auto" w:sz="4" w:space="0"/>
              <w:left w:val="single" w:color="auto" w:sz="4" w:space="0"/>
            </w:tcBorders>
            <w:shd w:val="clear" w:color="auto" w:fill="D9D9D9"/>
          </w:tcPr>
          <w:p>
            <w:pPr>
              <w:pStyle w:val="94"/>
              <w:spacing w:line="240" w:lineRule="auto"/>
              <w:ind w:firstLine="0"/>
              <w:jc w:val="center"/>
              <w:rPr>
                <w:rFonts w:ascii="仿宋" w:hAnsi="仿宋" w:eastAsia="仿宋" w:cs="等线"/>
                <w:b/>
                <w:bCs/>
                <w:color w:val="auto"/>
                <w:sz w:val="24"/>
                <w:szCs w:val="24"/>
                <w:lang w:val="en-US" w:eastAsia="zh-CN"/>
              </w:rPr>
            </w:pPr>
            <w:r>
              <w:rPr>
                <w:rFonts w:hint="eastAsia" w:ascii="仿宋" w:hAnsi="仿宋" w:eastAsia="仿宋" w:cs="等线"/>
                <w:b/>
                <w:bCs/>
                <w:color w:val="auto"/>
                <w:sz w:val="24"/>
                <w:szCs w:val="24"/>
                <w:lang w:eastAsia="zh-CN"/>
              </w:rPr>
              <w:t>截流</w:t>
            </w:r>
          </w:p>
        </w:tc>
        <w:tc>
          <w:tcPr>
            <w:tcW w:w="1213" w:type="pct"/>
            <w:tcBorders>
              <w:top w:val="single" w:color="auto" w:sz="4" w:space="0"/>
              <w:left w:val="single" w:color="auto" w:sz="4" w:space="0"/>
            </w:tcBorders>
            <w:shd w:val="clear" w:color="auto" w:fill="D9D9D9"/>
          </w:tcPr>
          <w:p>
            <w:pPr>
              <w:pStyle w:val="94"/>
              <w:spacing w:line="240" w:lineRule="auto"/>
              <w:ind w:firstLine="0"/>
              <w:jc w:val="center"/>
              <w:rPr>
                <w:rFonts w:ascii="仿宋" w:hAnsi="仿宋" w:eastAsia="仿宋" w:cs="等线"/>
                <w:b/>
                <w:bCs/>
                <w:color w:val="auto"/>
                <w:sz w:val="24"/>
                <w:szCs w:val="24"/>
              </w:rPr>
            </w:pPr>
            <w:r>
              <w:rPr>
                <w:rFonts w:hint="eastAsia" w:ascii="仿宋" w:hAnsi="仿宋" w:eastAsia="仿宋" w:cs="等线"/>
                <w:b/>
                <w:bCs/>
                <w:color w:val="auto"/>
                <w:sz w:val="24"/>
                <w:szCs w:val="24"/>
              </w:rPr>
              <w:t>污染控制</w:t>
            </w:r>
          </w:p>
        </w:tc>
        <w:tc>
          <w:tcPr>
            <w:tcW w:w="1357" w:type="pct"/>
            <w:tcBorders>
              <w:top w:val="single" w:color="auto" w:sz="4" w:space="0"/>
              <w:left w:val="single" w:color="auto" w:sz="4" w:space="0"/>
              <w:right w:val="single" w:color="auto" w:sz="4" w:space="0"/>
            </w:tcBorders>
            <w:shd w:val="clear" w:color="auto" w:fill="D9D9D9"/>
          </w:tcPr>
          <w:p>
            <w:pPr>
              <w:pStyle w:val="94"/>
              <w:spacing w:line="240" w:lineRule="auto"/>
              <w:ind w:firstLine="0"/>
              <w:jc w:val="center"/>
              <w:rPr>
                <w:rFonts w:ascii="仿宋" w:hAnsi="仿宋" w:eastAsia="仿宋"/>
                <w:b/>
                <w:bCs/>
                <w:color w:val="auto"/>
                <w:sz w:val="24"/>
                <w:szCs w:val="24"/>
              </w:rPr>
            </w:pPr>
            <w:r>
              <w:rPr>
                <w:rFonts w:hint="eastAsia" w:ascii="仿宋" w:hAnsi="仿宋" w:eastAsia="仿宋" w:cs="等线"/>
                <w:b/>
                <w:bCs/>
                <w:color w:val="auto"/>
                <w:sz w:val="24"/>
                <w:szCs w:val="24"/>
                <w:lang w:eastAsia="zh-CN"/>
              </w:rPr>
              <w:t>注意事项</w:t>
            </w:r>
          </w:p>
        </w:tc>
      </w:tr>
      <w:tr>
        <w:tblPrEx>
          <w:tblCellMar>
            <w:top w:w="0" w:type="dxa"/>
            <w:left w:w="10" w:type="dxa"/>
            <w:bottom w:w="0" w:type="dxa"/>
            <w:right w:w="10" w:type="dxa"/>
          </w:tblCellMar>
        </w:tblPrEx>
        <w:trPr>
          <w:trHeight w:val="4401" w:hRule="exact"/>
        </w:trPr>
        <w:tc>
          <w:tcPr>
            <w:tcW w:w="246" w:type="pct"/>
            <w:vMerge w:val="restart"/>
            <w:tcBorders>
              <w:top w:val="single" w:color="auto" w:sz="4" w:space="0"/>
              <w:left w:val="single" w:color="auto" w:sz="4" w:space="0"/>
            </w:tcBorders>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液态危险化学品泄漏事故</w:t>
            </w:r>
          </w:p>
        </w:tc>
        <w:tc>
          <w:tcPr>
            <w:tcW w:w="305" w:type="pct"/>
            <w:vMerge w:val="restart"/>
            <w:tcBorders>
              <w:top w:val="single" w:color="auto" w:sz="4" w:space="0"/>
              <w:left w:val="single" w:color="auto" w:sz="4" w:space="0"/>
            </w:tcBorders>
            <w:shd w:val="clear" w:color="auto" w:fill="FFFFFF"/>
            <w:vAlign w:val="center"/>
          </w:tcPr>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盐酸、</w:t>
            </w:r>
          </w:p>
          <w:p>
            <w:pPr>
              <w:pStyle w:val="94"/>
              <w:spacing w:line="240" w:lineRule="auto"/>
              <w:ind w:firstLine="0"/>
              <w:jc w:val="center"/>
              <w:rPr>
                <w:rFonts w:ascii="仿宋" w:hAnsi="仿宋" w:eastAsia="仿宋" w:cs="等线"/>
                <w:color w:val="auto"/>
                <w:sz w:val="24"/>
                <w:szCs w:val="24"/>
              </w:rPr>
            </w:pPr>
            <w:r>
              <w:rPr>
                <w:rFonts w:hint="eastAsia" w:ascii="仿宋" w:hAnsi="仿宋" w:eastAsia="仿宋" w:cs="等线"/>
                <w:color w:val="auto"/>
                <w:sz w:val="24"/>
                <w:szCs w:val="24"/>
              </w:rPr>
              <w:t>硫酸、氢氧化钠</w:t>
            </w:r>
          </w:p>
        </w:tc>
        <w:tc>
          <w:tcPr>
            <w:tcW w:w="392" w:type="pct"/>
            <w:tcBorders>
              <w:top w:val="single" w:color="auto" w:sz="4" w:space="0"/>
              <w:left w:val="single" w:color="auto" w:sz="4" w:space="0"/>
              <w:right w:val="single" w:color="auto" w:sz="4" w:space="0"/>
            </w:tcBorders>
            <w:shd w:val="clear" w:color="auto" w:fill="FFFFFF"/>
          </w:tcPr>
          <w:p>
            <w:pPr>
              <w:pStyle w:val="94"/>
              <w:spacing w:line="240" w:lineRule="auto"/>
              <w:ind w:firstLine="0"/>
              <w:jc w:val="center"/>
              <w:rPr>
                <w:rFonts w:ascii="仿宋" w:hAnsi="仿宋" w:eastAsia="仿宋" w:cs="等线"/>
                <w:color w:val="auto"/>
                <w:sz w:val="24"/>
                <w:szCs w:val="24"/>
                <w:lang w:val="en-US" w:eastAsia="zh-CN"/>
              </w:rPr>
            </w:pPr>
          </w:p>
        </w:tc>
        <w:tc>
          <w:tcPr>
            <w:tcW w:w="931" w:type="pct"/>
            <w:vMerge w:val="restart"/>
            <w:tcBorders>
              <w:top w:val="single" w:color="auto" w:sz="4" w:space="0"/>
              <w:left w:val="single" w:color="auto" w:sz="4" w:space="0"/>
            </w:tcBorders>
            <w:shd w:val="clear" w:color="auto" w:fill="FFFFFF"/>
            <w:vAlign w:val="center"/>
          </w:tcPr>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1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⑴</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关闭前置阀门，切断泄漏源；</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回收，用耐酸碱泵将泄漏物转移到收集容器中进行回收。</w:t>
            </w:r>
          </w:p>
          <w:p>
            <w:pPr>
              <w:pStyle w:val="94"/>
              <w:spacing w:line="240" w:lineRule="auto"/>
              <w:ind w:firstLine="0"/>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3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⑶</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可借助现场环境，通过、围堵或引流等方式使泄漏物汇聚至低洼处并收容起来，坑内应覆上塑料膜防止液体渗漏；</w:t>
            </w:r>
          </w:p>
          <w:p>
            <w:pPr>
              <w:pStyle w:val="94"/>
              <w:spacing w:line="240" w:lineRule="auto"/>
              <w:ind w:firstLine="0"/>
              <w:rPr>
                <w:rFonts w:ascii="仿宋" w:hAnsi="仿宋" w:eastAsia="仿宋" w:cs="等线"/>
                <w:color w:val="auto"/>
                <w:sz w:val="24"/>
                <w:szCs w:val="24"/>
                <w:lang w:val="zh-CN" w:eastAsia="zh-CN"/>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4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⑷</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中和，使用适量的砂土、粉状氧化钙（生石灰，</w:t>
            </w:r>
            <w:r>
              <w:rPr>
                <w:rFonts w:hint="eastAsia" w:ascii="仿宋" w:hAnsi="仿宋" w:eastAsia="仿宋" w:cs="等线"/>
                <w:color w:val="auto"/>
                <w:sz w:val="24"/>
                <w:szCs w:val="24"/>
                <w:lang w:val="en-US" w:eastAsia="zh-CN"/>
              </w:rPr>
              <w:t>CaO）等</w:t>
            </w:r>
            <w:r>
              <w:rPr>
                <w:rFonts w:hint="eastAsia" w:ascii="仿宋" w:hAnsi="仿宋" w:eastAsia="仿宋" w:cs="等线"/>
                <w:color w:val="auto"/>
                <w:sz w:val="24"/>
                <w:szCs w:val="24"/>
              </w:rPr>
              <w:t>与泄漏物混合，将吸附泄物的物质收集至专用容器中进行集中处置。向</w:t>
            </w:r>
            <w:r>
              <w:rPr>
                <w:rFonts w:hint="eastAsia" w:ascii="仿宋" w:hAnsi="仿宋" w:eastAsia="仿宋" w:cs="等线"/>
                <w:color w:val="auto"/>
                <w:sz w:val="24"/>
                <w:szCs w:val="24"/>
                <w:lang w:val="zh-CN" w:eastAsia="zh-CN"/>
              </w:rPr>
              <w:t>路面微</w:t>
            </w:r>
            <w:r>
              <w:rPr>
                <w:rFonts w:hint="eastAsia" w:ascii="仿宋" w:hAnsi="仿宋" w:eastAsia="仿宋" w:cs="等线"/>
                <w:color w:val="auto"/>
                <w:sz w:val="24"/>
                <w:szCs w:val="24"/>
              </w:rPr>
              <w:t>粉状氧化钙（生石灰，</w:t>
            </w:r>
            <w:r>
              <w:rPr>
                <w:rFonts w:hint="eastAsia" w:ascii="仿宋" w:hAnsi="仿宋" w:eastAsia="仿宋" w:cs="等线"/>
                <w:color w:val="auto"/>
                <w:sz w:val="24"/>
                <w:szCs w:val="24"/>
                <w:lang w:val="en-US" w:eastAsia="zh-CN"/>
              </w:rPr>
              <w:t>CaO）</w:t>
            </w:r>
            <w:r>
              <w:rPr>
                <w:rFonts w:hint="eastAsia" w:ascii="仿宋" w:hAnsi="仿宋" w:eastAsia="仿宋" w:cs="等线"/>
                <w:color w:val="auto"/>
                <w:sz w:val="24"/>
                <w:szCs w:val="24"/>
              </w:rPr>
              <w:t>等中和可能残留的泄漏物，再用大量</w:t>
            </w:r>
            <w:r>
              <w:rPr>
                <w:rFonts w:hint="eastAsia" w:ascii="仿宋" w:hAnsi="仿宋" w:eastAsia="仿宋" w:cs="等线"/>
                <w:color w:val="auto"/>
                <w:sz w:val="24"/>
                <w:szCs w:val="24"/>
                <w:lang w:eastAsia="zh-CN"/>
              </w:rPr>
              <w:t>清</w:t>
            </w:r>
            <w:r>
              <w:rPr>
                <w:rFonts w:hint="eastAsia" w:ascii="仿宋" w:hAnsi="仿宋" w:eastAsia="仿宋" w:cs="等线"/>
                <w:color w:val="auto"/>
                <w:sz w:val="24"/>
                <w:szCs w:val="24"/>
              </w:rPr>
              <w:t>水冲洗路面，冲洗水收集至事故应</w:t>
            </w:r>
            <w:r>
              <w:rPr>
                <w:rFonts w:hint="eastAsia" w:ascii="仿宋" w:hAnsi="仿宋" w:eastAsia="仿宋" w:cs="等线"/>
                <w:color w:val="auto"/>
                <w:sz w:val="24"/>
                <w:szCs w:val="24"/>
                <w:lang w:val="zh-CN" w:eastAsia="zh-CN"/>
              </w:rPr>
              <w:t>急池。</w:t>
            </w:r>
          </w:p>
        </w:tc>
        <w:tc>
          <w:tcPr>
            <w:tcW w:w="556" w:type="pct"/>
            <w:vMerge w:val="restart"/>
            <w:tcBorders>
              <w:top w:val="single" w:color="auto" w:sz="4" w:space="0"/>
              <w:left w:val="single" w:color="auto" w:sz="4" w:space="0"/>
            </w:tcBorders>
            <w:shd w:val="clear" w:color="auto" w:fill="FFFFFF"/>
            <w:vAlign w:val="center"/>
          </w:tcPr>
          <w:p>
            <w:pPr>
              <w:autoSpaceDE w:val="0"/>
              <w:autoSpaceDN w:val="0"/>
              <w:snapToGrid/>
              <w:spacing w:line="240" w:lineRule="auto"/>
              <w:ind w:firstLine="0" w:firstLineChars="0"/>
              <w:jc w:val="left"/>
              <w:rPr>
                <w:rFonts w:ascii="仿宋" w:hAnsi="仿宋" w:cs="宋体"/>
                <w:color w:val="auto"/>
                <w:kern w:val="0"/>
                <w:sz w:val="24"/>
              </w:rPr>
            </w:pPr>
            <w:r>
              <w:rPr>
                <w:rFonts w:ascii="仿宋" w:hAnsi="仿宋" w:cs="宋体"/>
                <w:color w:val="auto"/>
                <w:kern w:val="0"/>
                <w:sz w:val="24"/>
              </w:rPr>
              <w:fldChar w:fldCharType="begin"/>
            </w:r>
            <w:r>
              <w:rPr>
                <w:rFonts w:ascii="仿宋" w:hAnsi="仿宋" w:cs="宋体"/>
                <w:color w:val="auto"/>
                <w:kern w:val="0"/>
                <w:sz w:val="24"/>
              </w:rPr>
              <w:instrText xml:space="preserve"> </w:instrText>
            </w:r>
            <w:r>
              <w:rPr>
                <w:rFonts w:hint="eastAsia" w:ascii="仿宋" w:hAnsi="仿宋" w:cs="宋体"/>
                <w:color w:val="auto"/>
                <w:kern w:val="0"/>
                <w:sz w:val="24"/>
              </w:rPr>
              <w:instrText xml:space="preserve">= 1 \* GB2</w:instrText>
            </w:r>
            <w:r>
              <w:rPr>
                <w:rFonts w:ascii="仿宋" w:hAnsi="仿宋" w:cs="宋体"/>
                <w:color w:val="auto"/>
                <w:kern w:val="0"/>
                <w:sz w:val="24"/>
              </w:rPr>
              <w:instrText xml:space="preserve"> </w:instrText>
            </w:r>
            <w:r>
              <w:rPr>
                <w:rFonts w:ascii="仿宋" w:hAnsi="仿宋" w:cs="宋体"/>
                <w:color w:val="auto"/>
                <w:kern w:val="0"/>
                <w:sz w:val="24"/>
              </w:rPr>
              <w:fldChar w:fldCharType="separate"/>
            </w:r>
            <w:r>
              <w:rPr>
                <w:rFonts w:hint="eastAsia" w:ascii="仿宋" w:hAnsi="仿宋" w:cs="宋体"/>
                <w:color w:val="auto"/>
                <w:kern w:val="0"/>
                <w:sz w:val="24"/>
              </w:rPr>
              <w:t>⑴</w:t>
            </w:r>
            <w:r>
              <w:rPr>
                <w:rFonts w:ascii="仿宋" w:hAnsi="仿宋" w:cs="宋体"/>
                <w:color w:val="auto"/>
                <w:kern w:val="0"/>
                <w:sz w:val="24"/>
              </w:rPr>
              <w:fldChar w:fldCharType="end"/>
            </w:r>
            <w:r>
              <w:rPr>
                <w:rFonts w:hint="eastAsia" w:ascii="仿宋" w:hAnsi="仿宋" w:cs="宋体"/>
                <w:color w:val="auto"/>
                <w:kern w:val="0"/>
                <w:sz w:val="24"/>
              </w:rPr>
              <w:t>切断雨水排口；</w:t>
            </w:r>
          </w:p>
          <w:p>
            <w:pPr>
              <w:autoSpaceDE w:val="0"/>
              <w:autoSpaceDN w:val="0"/>
              <w:snapToGrid/>
              <w:spacing w:line="240" w:lineRule="auto"/>
              <w:ind w:firstLine="0" w:firstLineChars="0"/>
              <w:jc w:val="left"/>
              <w:rPr>
                <w:rFonts w:ascii="宋体" w:hAnsi="Calibri" w:eastAsia="宋体" w:cs="宋体"/>
                <w:color w:val="auto"/>
                <w:kern w:val="0"/>
                <w:sz w:val="21"/>
                <w:szCs w:val="21"/>
              </w:rPr>
            </w:pPr>
            <w:r>
              <w:rPr>
                <w:rFonts w:ascii="仿宋" w:hAnsi="仿宋" w:cs="宋体"/>
                <w:color w:val="auto"/>
                <w:kern w:val="0"/>
                <w:sz w:val="24"/>
              </w:rPr>
              <w:fldChar w:fldCharType="begin"/>
            </w:r>
            <w:r>
              <w:rPr>
                <w:rFonts w:ascii="仿宋" w:hAnsi="仿宋" w:cs="宋体"/>
                <w:color w:val="auto"/>
                <w:kern w:val="0"/>
                <w:sz w:val="24"/>
              </w:rPr>
              <w:instrText xml:space="preserve"> </w:instrText>
            </w:r>
            <w:r>
              <w:rPr>
                <w:rFonts w:hint="eastAsia" w:ascii="仿宋" w:hAnsi="仿宋" w:cs="宋体"/>
                <w:color w:val="auto"/>
                <w:kern w:val="0"/>
                <w:sz w:val="24"/>
              </w:rPr>
              <w:instrText xml:space="preserve">= 2 \* GB2</w:instrText>
            </w:r>
            <w:r>
              <w:rPr>
                <w:rFonts w:ascii="仿宋" w:hAnsi="仿宋" w:cs="宋体"/>
                <w:color w:val="auto"/>
                <w:kern w:val="0"/>
                <w:sz w:val="24"/>
              </w:rPr>
              <w:instrText xml:space="preserve"> </w:instrText>
            </w:r>
            <w:r>
              <w:rPr>
                <w:rFonts w:ascii="仿宋" w:hAnsi="仿宋" w:cs="宋体"/>
                <w:color w:val="auto"/>
                <w:kern w:val="0"/>
                <w:sz w:val="24"/>
              </w:rPr>
              <w:fldChar w:fldCharType="separate"/>
            </w:r>
            <w:r>
              <w:rPr>
                <w:rFonts w:hint="eastAsia" w:ascii="仿宋" w:hAnsi="仿宋" w:cs="宋体"/>
                <w:color w:val="auto"/>
                <w:kern w:val="0"/>
                <w:sz w:val="24"/>
              </w:rPr>
              <w:t>⑵</w:t>
            </w:r>
            <w:r>
              <w:rPr>
                <w:rFonts w:ascii="仿宋" w:hAnsi="仿宋" w:cs="宋体"/>
                <w:color w:val="auto"/>
                <w:kern w:val="0"/>
                <w:sz w:val="24"/>
              </w:rPr>
              <w:fldChar w:fldCharType="end"/>
            </w:r>
            <w:r>
              <w:rPr>
                <w:rFonts w:hint="eastAsia" w:ascii="仿宋" w:hAnsi="仿宋" w:cs="宋体"/>
                <w:color w:val="auto"/>
                <w:kern w:val="0"/>
                <w:sz w:val="24"/>
              </w:rPr>
              <w:t>利用已有围堰，对泄漏物进行截流，并将泄漏物料导流（转移）至应急储存设施（设备）进行暂存或废水处理系统进行处理。</w:t>
            </w:r>
          </w:p>
        </w:tc>
        <w:tc>
          <w:tcPr>
            <w:tcW w:w="1213" w:type="pct"/>
            <w:vMerge w:val="restart"/>
            <w:tcBorders>
              <w:top w:val="single" w:color="auto" w:sz="4" w:space="0"/>
              <w:left w:val="single" w:color="auto" w:sz="4" w:space="0"/>
            </w:tcBorders>
            <w:shd w:val="clear" w:color="auto" w:fill="FFFFFF"/>
            <w:vAlign w:val="center"/>
          </w:tcPr>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1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泄漏物的处置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未污染的泄漏物应回收</w:t>
            </w:r>
            <w:r>
              <w:rPr>
                <w:rFonts w:hint="eastAsia" w:ascii="仿宋" w:hAnsi="仿宋" w:eastAsia="仿宋" w:cs="等线"/>
                <w:color w:val="auto"/>
                <w:sz w:val="24"/>
                <w:szCs w:val="24"/>
                <w:lang w:val="zh-CN" w:eastAsia="zh-CN"/>
              </w:rPr>
              <w:t>利用。</w:t>
            </w:r>
            <w:r>
              <w:rPr>
                <w:rFonts w:hint="eastAsia" w:ascii="仿宋" w:hAnsi="仿宋" w:eastAsia="仿宋" w:cs="等线"/>
                <w:color w:val="auto"/>
                <w:sz w:val="24"/>
                <w:szCs w:val="24"/>
              </w:rPr>
              <w:t>被污染的泄漏物收集后运至具有资质的专业危险废物处理机构进行无害化处理；</w:t>
            </w:r>
          </w:p>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lang w:val="en-US" w:eastAsia="zh-CN"/>
              </w:rPr>
              <w:fldChar w:fldCharType="begin"/>
            </w:r>
            <w:r>
              <w:rPr>
                <w:rFonts w:ascii="仿宋" w:hAnsi="仿宋" w:eastAsia="仿宋" w:cs="等线"/>
                <w:color w:val="auto"/>
                <w:sz w:val="24"/>
                <w:szCs w:val="24"/>
                <w:lang w:val="en-US" w:eastAsia="zh-CN"/>
              </w:rPr>
              <w:instrText xml:space="preserve"> </w:instrText>
            </w:r>
            <w:r>
              <w:rPr>
                <w:rFonts w:hint="eastAsia" w:ascii="仿宋" w:hAnsi="仿宋" w:eastAsia="仿宋" w:cs="等线"/>
                <w:color w:val="auto"/>
                <w:sz w:val="24"/>
                <w:szCs w:val="24"/>
                <w:lang w:val="en-US" w:eastAsia="zh-CN"/>
              </w:rPr>
              <w:instrText xml:space="preserve">= 2 \* GB2</w:instrText>
            </w:r>
            <w:r>
              <w:rPr>
                <w:rFonts w:ascii="仿宋" w:hAnsi="仿宋" w:eastAsia="仿宋" w:cs="等线"/>
                <w:color w:val="auto"/>
                <w:sz w:val="24"/>
                <w:szCs w:val="24"/>
                <w:lang w:val="en-US" w:eastAsia="zh-CN"/>
              </w:rPr>
              <w:instrText xml:space="preserve"> </w:instrText>
            </w:r>
            <w:r>
              <w:rPr>
                <w:rFonts w:ascii="仿宋" w:hAnsi="仿宋" w:eastAsia="仿宋" w:cs="等线"/>
                <w:color w:val="auto"/>
                <w:sz w:val="24"/>
                <w:szCs w:val="24"/>
                <w:lang w:val="en-US" w:eastAsia="zh-CN"/>
              </w:rPr>
              <w:fldChar w:fldCharType="separate"/>
            </w:r>
            <w:r>
              <w:rPr>
                <w:rFonts w:hint="eastAsia" w:ascii="仿宋" w:hAnsi="仿宋" w:eastAsia="仿宋" w:cs="等线"/>
                <w:color w:val="auto"/>
                <w:sz w:val="24"/>
                <w:szCs w:val="24"/>
                <w:lang w:val="en-US" w:eastAsia="zh-CN"/>
              </w:rPr>
              <w:t>⑵</w:t>
            </w:r>
            <w:r>
              <w:rPr>
                <w:rFonts w:ascii="仿宋" w:hAnsi="仿宋" w:eastAsia="仿宋" w:cs="等线"/>
                <w:color w:val="auto"/>
                <w:sz w:val="24"/>
                <w:szCs w:val="24"/>
                <w:lang w:val="en-US" w:eastAsia="zh-CN"/>
              </w:rPr>
              <w:fldChar w:fldCharType="end"/>
            </w:r>
            <w:r>
              <w:rPr>
                <w:rFonts w:hint="eastAsia" w:ascii="仿宋" w:hAnsi="仿宋" w:eastAsia="仿宋" w:cs="等线"/>
                <w:color w:val="auto"/>
                <w:sz w:val="24"/>
                <w:szCs w:val="24"/>
              </w:rPr>
              <w:t>覆盖物的处置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对处理事故时使用的所有覆盖物（包括吸附物）进行彻底清理，将覆盖物转移到专用容器中，交给相关单位进行处理， 或运至具有资质的专业危险废物处理机构</w:t>
            </w:r>
            <w:r>
              <w:rPr>
                <w:rFonts w:hint="eastAsia" w:ascii="仿宋" w:hAnsi="仿宋" w:eastAsia="仿宋" w:cs="等线"/>
                <w:color w:val="auto"/>
                <w:sz w:val="24"/>
                <w:szCs w:val="24"/>
                <w:lang w:eastAsia="zh-CN"/>
              </w:rPr>
              <w:t>进行</w:t>
            </w:r>
            <w:r>
              <w:rPr>
                <w:rFonts w:hint="eastAsia" w:ascii="仿宋" w:hAnsi="仿宋" w:eastAsia="仿宋" w:cs="等线"/>
                <w:color w:val="auto"/>
                <w:sz w:val="24"/>
                <w:szCs w:val="24"/>
              </w:rPr>
              <w:t>处理；</w:t>
            </w:r>
          </w:p>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3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⑶</w:t>
            </w:r>
            <w:r>
              <w:rPr>
                <w:rFonts w:ascii="仿宋" w:hAnsi="仿宋" w:eastAsia="仿宋" w:cs="等线"/>
                <w:color w:val="auto"/>
                <w:sz w:val="24"/>
                <w:szCs w:val="24"/>
              </w:rPr>
              <w:fldChar w:fldCharType="end"/>
            </w:r>
            <w:r>
              <w:rPr>
                <w:rFonts w:hint="eastAsia" w:ascii="仿宋" w:hAnsi="仿宋" w:eastAsia="仿宋" w:cs="等线"/>
                <w:color w:val="auto"/>
                <w:sz w:val="24"/>
                <w:szCs w:val="24"/>
              </w:rPr>
              <w:t>污染物的处置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对被污染的机器、设备、设施、工具、器材及防护用品等，由救援人员用开花或喷雾水流进行集中洗消，再用水进行冲洗，冲洗的水统一收集再进行处置，防止造成二次污染。</w:t>
            </w:r>
          </w:p>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4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⑷</w:t>
            </w:r>
            <w:r>
              <w:rPr>
                <w:rFonts w:ascii="仿宋" w:hAnsi="仿宋" w:eastAsia="仿宋" w:cs="等线"/>
                <w:color w:val="auto"/>
                <w:sz w:val="24"/>
                <w:szCs w:val="24"/>
              </w:rPr>
              <w:fldChar w:fldCharType="end"/>
            </w:r>
            <w:r>
              <w:rPr>
                <w:rFonts w:hint="eastAsia" w:ascii="仿宋" w:hAnsi="仿宋" w:eastAsia="仿宋" w:cs="等线"/>
                <w:color w:val="auto"/>
                <w:sz w:val="24"/>
                <w:szCs w:val="24"/>
              </w:rPr>
              <w:t>泄漏区的处置</w:t>
            </w:r>
            <w:r>
              <w:rPr>
                <w:rFonts w:hint="eastAsia" w:ascii="仿宋" w:hAnsi="仿宋" w:eastAsia="仿宋" w:cs="等线"/>
                <w:color w:val="auto"/>
                <w:sz w:val="24"/>
                <w:szCs w:val="24"/>
                <w:lang w:eastAsia="zh-CN"/>
              </w:rPr>
              <w:t>。</w:t>
            </w:r>
            <w:r>
              <w:rPr>
                <w:rFonts w:hint="eastAsia" w:ascii="仿宋" w:hAnsi="仿宋" w:eastAsia="仿宋" w:cs="等线"/>
                <w:color w:val="auto"/>
                <w:sz w:val="24"/>
                <w:szCs w:val="24"/>
              </w:rPr>
              <w:t>对泄漏区的路面等用大量水进行冲洗，冲洗的水统一收集再进行</w:t>
            </w:r>
            <w:r>
              <w:rPr>
                <w:rFonts w:hint="eastAsia" w:ascii="仿宋" w:hAnsi="仿宋" w:eastAsia="仿宋" w:cs="等线"/>
                <w:color w:val="auto"/>
                <w:sz w:val="24"/>
                <w:szCs w:val="24"/>
                <w:lang w:val="zh-CN" w:eastAsia="zh-CN"/>
              </w:rPr>
              <w:t>处理。</w:t>
            </w:r>
            <w:r>
              <w:rPr>
                <w:rFonts w:hint="eastAsia" w:ascii="仿宋" w:hAnsi="仿宋" w:eastAsia="仿宋" w:cs="等线"/>
                <w:color w:val="auto"/>
                <w:sz w:val="24"/>
                <w:szCs w:val="24"/>
              </w:rPr>
              <w:t>现场处理完毕后，对环境进行检测和评估，不应留下任何隐患。</w:t>
            </w:r>
          </w:p>
        </w:tc>
        <w:tc>
          <w:tcPr>
            <w:tcW w:w="1357" w:type="pct"/>
            <w:vMerge w:val="restart"/>
            <w:tcBorders>
              <w:top w:val="single" w:color="auto" w:sz="4" w:space="0"/>
              <w:left w:val="single" w:color="auto" w:sz="4" w:space="0"/>
              <w:right w:val="single" w:color="auto" w:sz="4" w:space="0"/>
            </w:tcBorders>
            <w:shd w:val="clear" w:color="auto" w:fill="FFFFFF"/>
            <w:vAlign w:val="center"/>
          </w:tcPr>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rPr>
              <w:instrText xml:space="preserve"> </w:instrText>
            </w:r>
            <w:r>
              <w:rPr>
                <w:rFonts w:hint="eastAsia" w:ascii="仿宋" w:hAnsi="仿宋" w:eastAsia="仿宋" w:cs="等线"/>
                <w:color w:val="auto"/>
                <w:sz w:val="24"/>
                <w:szCs w:val="24"/>
              </w:rPr>
              <w:instrText xml:space="preserve">= 1 \* GB2</w:instrText>
            </w:r>
            <w:r>
              <w:rPr>
                <w:rFonts w:ascii="仿宋" w:hAnsi="仿宋" w:eastAsia="仿宋" w:cs="等线"/>
                <w:color w:val="auto"/>
                <w:sz w:val="24"/>
                <w:szCs w:val="24"/>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rPr>
              <w:t>⑴</w:t>
            </w:r>
            <w:r>
              <w:rPr>
                <w:rFonts w:ascii="仿宋" w:hAnsi="仿宋" w:eastAsia="仿宋" w:cs="等线"/>
                <w:color w:val="auto"/>
                <w:sz w:val="24"/>
                <w:szCs w:val="24"/>
              </w:rPr>
              <w:fldChar w:fldCharType="end"/>
            </w:r>
            <w:r>
              <w:rPr>
                <w:rFonts w:hint="eastAsia" w:ascii="仿宋" w:hAnsi="仿宋" w:eastAsia="仿宋" w:cs="等线"/>
                <w:color w:val="auto"/>
                <w:sz w:val="24"/>
                <w:szCs w:val="24"/>
              </w:rPr>
              <w:t>进行泄漏现场处理、处置时应做好个体防护。进入重度区，人员实施一级防护（内置式重型防化服、全棉防静电的内外衣、手套、袜子、正压式空气呼吸器或全防型滤毒罐），进入轻度区，人员实施二级防护（封闭式防化服、全棉防静电的内外衣、手套、袜子、正压式空气呼吸器或全防型滤毒罐）。凡在现场参与处置人员，最低防护不得低于三级（简易防化服、战斗服、简易滤毒罐、面罩或口罩、毛巾等防护器材），在没有防护的情况下，任何人不应暴露在能够或可能危害健康的环境中；</w:t>
            </w:r>
          </w:p>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2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⑵</w:t>
            </w:r>
            <w:r>
              <w:rPr>
                <w:rFonts w:ascii="仿宋" w:hAnsi="仿宋" w:eastAsia="仿宋" w:cs="等线"/>
                <w:color w:val="auto"/>
                <w:sz w:val="24"/>
                <w:szCs w:val="24"/>
              </w:rPr>
              <w:fldChar w:fldCharType="end"/>
            </w:r>
            <w:r>
              <w:rPr>
                <w:rFonts w:hint="eastAsia" w:ascii="仿宋" w:hAnsi="仿宋" w:eastAsia="仿宋" w:cs="等线"/>
                <w:color w:val="auto"/>
                <w:sz w:val="24"/>
                <w:szCs w:val="24"/>
              </w:rPr>
              <w:t>现场救险人员在进入泄漏现场应穿戴符合国家标准要求的防护用具，撤离泄漏现场并经洗消后方可解除护；</w:t>
            </w:r>
          </w:p>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3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⑶</w:t>
            </w:r>
            <w:r>
              <w:rPr>
                <w:rFonts w:ascii="仿宋" w:hAnsi="仿宋" w:eastAsia="仿宋" w:cs="等线"/>
                <w:color w:val="auto"/>
                <w:sz w:val="24"/>
                <w:szCs w:val="24"/>
              </w:rPr>
              <w:fldChar w:fldCharType="end"/>
            </w:r>
            <w:r>
              <w:rPr>
                <w:rFonts w:hint="eastAsia" w:ascii="仿宋" w:hAnsi="仿宋" w:eastAsia="仿宋" w:cs="等线"/>
                <w:color w:val="auto"/>
                <w:sz w:val="24"/>
                <w:szCs w:val="24"/>
              </w:rPr>
              <w:t>避免水流冲击物品，以免遇水会放出大量热量发生喷溅而灼伤皮肤。</w:t>
            </w:r>
          </w:p>
          <w:p>
            <w:pPr>
              <w:pStyle w:val="94"/>
              <w:spacing w:line="240" w:lineRule="auto"/>
              <w:ind w:firstLine="0"/>
              <w:jc w:val="left"/>
              <w:rPr>
                <w:rFonts w:ascii="仿宋" w:hAnsi="仿宋" w:eastAsia="仿宋" w:cs="等线"/>
                <w:color w:val="auto"/>
                <w:sz w:val="24"/>
                <w:szCs w:val="24"/>
              </w:rPr>
            </w:pPr>
            <w:r>
              <w:rPr>
                <w:rFonts w:ascii="仿宋" w:hAnsi="仿宋" w:eastAsia="仿宋" w:cs="等线"/>
                <w:color w:val="auto"/>
                <w:sz w:val="24"/>
                <w:szCs w:val="24"/>
              </w:rPr>
              <w:fldChar w:fldCharType="begin"/>
            </w:r>
            <w:r>
              <w:rPr>
                <w:rFonts w:ascii="仿宋" w:hAnsi="仿宋" w:eastAsia="仿宋" w:cs="等线"/>
                <w:color w:val="auto"/>
                <w:sz w:val="24"/>
                <w:szCs w:val="24"/>
                <w:lang w:eastAsia="zh-CN"/>
              </w:rPr>
              <w:instrText xml:space="preserve"> </w:instrText>
            </w:r>
            <w:r>
              <w:rPr>
                <w:rFonts w:hint="eastAsia" w:ascii="仿宋" w:hAnsi="仿宋" w:eastAsia="仿宋" w:cs="等线"/>
                <w:color w:val="auto"/>
                <w:sz w:val="24"/>
                <w:szCs w:val="24"/>
                <w:lang w:eastAsia="zh-CN"/>
              </w:rPr>
              <w:instrText xml:space="preserve">= 4 \* GB2</w:instrText>
            </w:r>
            <w:r>
              <w:rPr>
                <w:rFonts w:ascii="仿宋" w:hAnsi="仿宋" w:eastAsia="仿宋" w:cs="等线"/>
                <w:color w:val="auto"/>
                <w:sz w:val="24"/>
                <w:szCs w:val="24"/>
                <w:lang w:eastAsia="zh-CN"/>
              </w:rPr>
              <w:instrText xml:space="preserve"> </w:instrText>
            </w:r>
            <w:r>
              <w:rPr>
                <w:rFonts w:ascii="仿宋" w:hAnsi="仿宋" w:eastAsia="仿宋" w:cs="等线"/>
                <w:color w:val="auto"/>
                <w:sz w:val="24"/>
                <w:szCs w:val="24"/>
              </w:rPr>
              <w:fldChar w:fldCharType="separate"/>
            </w:r>
            <w:r>
              <w:rPr>
                <w:rFonts w:hint="eastAsia" w:ascii="仿宋" w:hAnsi="仿宋" w:eastAsia="仿宋" w:cs="等线"/>
                <w:color w:val="auto"/>
                <w:sz w:val="24"/>
                <w:szCs w:val="24"/>
                <w:lang w:eastAsia="zh-CN"/>
              </w:rPr>
              <w:t>⑷</w:t>
            </w:r>
            <w:r>
              <w:rPr>
                <w:rFonts w:ascii="仿宋" w:hAnsi="仿宋" w:eastAsia="仿宋" w:cs="等线"/>
                <w:color w:val="auto"/>
                <w:sz w:val="24"/>
                <w:szCs w:val="24"/>
              </w:rPr>
              <w:fldChar w:fldCharType="end"/>
            </w:r>
            <w:r>
              <w:rPr>
                <w:rFonts w:hint="eastAsia" w:ascii="仿宋" w:hAnsi="仿宋" w:eastAsia="仿宋" w:cs="等线"/>
                <w:color w:val="auto"/>
                <w:sz w:val="24"/>
                <w:szCs w:val="24"/>
              </w:rPr>
              <w:t>制定监测方案，开展应急监测。</w:t>
            </w:r>
          </w:p>
        </w:tc>
      </w:tr>
      <w:tr>
        <w:trPr>
          <w:trHeight w:val="3412" w:hRule="exact"/>
        </w:trPr>
        <w:tc>
          <w:tcPr>
            <w:tcW w:w="246" w:type="pct"/>
            <w:vMerge w:val="continue"/>
            <w:tcBorders>
              <w:left w:val="single" w:color="auto" w:sz="4" w:space="0"/>
              <w:bottom w:val="single" w:color="auto" w:sz="4" w:space="0"/>
            </w:tcBorders>
            <w:shd w:val="clear" w:color="auto" w:fill="FFFFFF"/>
            <w:vAlign w:val="center"/>
          </w:tcPr>
          <w:p>
            <w:pPr>
              <w:pStyle w:val="94"/>
              <w:spacing w:line="240" w:lineRule="auto"/>
              <w:ind w:firstLine="0"/>
              <w:jc w:val="center"/>
              <w:rPr>
                <w:rFonts w:ascii="仿宋" w:hAnsi="仿宋" w:eastAsia="仿宋"/>
                <w:color w:val="auto"/>
                <w:sz w:val="24"/>
                <w:szCs w:val="24"/>
              </w:rPr>
            </w:pPr>
          </w:p>
        </w:tc>
        <w:tc>
          <w:tcPr>
            <w:tcW w:w="305" w:type="pct"/>
            <w:vMerge w:val="continue"/>
            <w:tcBorders>
              <w:left w:val="single" w:color="auto" w:sz="4" w:space="0"/>
              <w:bottom w:val="single" w:color="auto" w:sz="4" w:space="0"/>
            </w:tcBorders>
            <w:shd w:val="clear" w:color="auto" w:fill="FFFFFF"/>
            <w:vAlign w:val="center"/>
          </w:tcPr>
          <w:p>
            <w:pPr>
              <w:snapToGrid/>
              <w:spacing w:line="240" w:lineRule="auto"/>
              <w:ind w:firstLine="0" w:firstLineChars="0"/>
              <w:jc w:val="center"/>
              <w:rPr>
                <w:rFonts w:ascii="仿宋" w:hAnsi="仿宋"/>
                <w:color w:val="auto"/>
                <w:sz w:val="24"/>
              </w:rPr>
            </w:pPr>
          </w:p>
        </w:tc>
        <w:tc>
          <w:tcPr>
            <w:tcW w:w="392" w:type="pct"/>
            <w:tcBorders>
              <w:left w:val="single" w:color="auto" w:sz="4" w:space="0"/>
              <w:bottom w:val="single" w:color="auto" w:sz="4" w:space="0"/>
              <w:right w:val="single" w:color="auto" w:sz="4" w:space="0"/>
            </w:tcBorders>
            <w:shd w:val="clear" w:color="auto" w:fill="FFFFFF"/>
          </w:tcPr>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明确泄漏</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点位和具</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体泄漏物</w:t>
            </w:r>
          </w:p>
          <w:p>
            <w:pPr>
              <w:pStyle w:val="94"/>
              <w:spacing w:line="240" w:lineRule="auto"/>
              <w:ind w:firstLine="0"/>
              <w:jc w:val="center"/>
              <w:rPr>
                <w:rFonts w:ascii="仿宋" w:hAnsi="仿宋" w:eastAsia="仿宋" w:cs="等线"/>
                <w:color w:val="auto"/>
                <w:sz w:val="24"/>
                <w:szCs w:val="24"/>
                <w:lang w:val="en-US" w:eastAsia="zh-CN"/>
              </w:rPr>
            </w:pPr>
            <w:r>
              <w:rPr>
                <w:rFonts w:hint="eastAsia" w:ascii="仿宋" w:hAnsi="仿宋" w:eastAsia="仿宋" w:cs="等线"/>
                <w:color w:val="auto"/>
                <w:sz w:val="24"/>
                <w:szCs w:val="24"/>
                <w:lang w:val="en-US" w:eastAsia="zh-CN"/>
              </w:rPr>
              <w:t>质。</w:t>
            </w:r>
          </w:p>
        </w:tc>
        <w:tc>
          <w:tcPr>
            <w:tcW w:w="931" w:type="pct"/>
            <w:vMerge w:val="continue"/>
            <w:tcBorders>
              <w:left w:val="single" w:color="auto" w:sz="4" w:space="0"/>
              <w:bottom w:val="single" w:color="auto" w:sz="4" w:space="0"/>
            </w:tcBorders>
            <w:shd w:val="clear" w:color="auto" w:fill="FFFFFF"/>
          </w:tcPr>
          <w:p>
            <w:pPr>
              <w:pStyle w:val="94"/>
              <w:spacing w:line="240" w:lineRule="auto"/>
              <w:ind w:firstLine="0"/>
              <w:jc w:val="center"/>
              <w:rPr>
                <w:rFonts w:ascii="仿宋" w:hAnsi="仿宋" w:eastAsia="仿宋" w:cs="等线"/>
                <w:color w:val="auto"/>
                <w:sz w:val="24"/>
                <w:szCs w:val="24"/>
              </w:rPr>
            </w:pPr>
          </w:p>
        </w:tc>
        <w:tc>
          <w:tcPr>
            <w:tcW w:w="556" w:type="pct"/>
            <w:vMerge w:val="continue"/>
            <w:tcBorders>
              <w:left w:val="single" w:color="auto" w:sz="4" w:space="0"/>
              <w:bottom w:val="single" w:color="auto" w:sz="4" w:space="0"/>
            </w:tcBorders>
            <w:shd w:val="clear" w:color="auto" w:fill="FFFFFF"/>
            <w:vAlign w:val="center"/>
          </w:tcPr>
          <w:p>
            <w:pPr>
              <w:snapToGrid/>
              <w:spacing w:line="240" w:lineRule="auto"/>
              <w:ind w:firstLine="0" w:firstLineChars="0"/>
              <w:jc w:val="center"/>
              <w:rPr>
                <w:rFonts w:ascii="仿宋" w:hAnsi="仿宋"/>
                <w:color w:val="auto"/>
                <w:sz w:val="24"/>
              </w:rPr>
            </w:pPr>
          </w:p>
        </w:tc>
        <w:tc>
          <w:tcPr>
            <w:tcW w:w="1213" w:type="pct"/>
            <w:vMerge w:val="continue"/>
            <w:tcBorders>
              <w:left w:val="single" w:color="auto" w:sz="4" w:space="0"/>
              <w:bottom w:val="single" w:color="auto" w:sz="4" w:space="0"/>
            </w:tcBorders>
            <w:shd w:val="clear" w:color="auto" w:fill="FFFFFF"/>
            <w:vAlign w:val="center"/>
          </w:tcPr>
          <w:p>
            <w:pPr>
              <w:snapToGrid/>
              <w:spacing w:line="240" w:lineRule="auto"/>
              <w:ind w:firstLine="0" w:firstLineChars="0"/>
              <w:jc w:val="center"/>
              <w:rPr>
                <w:rFonts w:ascii="仿宋" w:hAnsi="仿宋"/>
                <w:color w:val="auto"/>
                <w:sz w:val="24"/>
              </w:rPr>
            </w:pPr>
          </w:p>
        </w:tc>
        <w:tc>
          <w:tcPr>
            <w:tcW w:w="1357" w:type="pct"/>
            <w:vMerge w:val="continue"/>
            <w:tcBorders>
              <w:left w:val="single" w:color="auto" w:sz="4" w:space="0"/>
              <w:bottom w:val="single" w:color="auto" w:sz="4" w:space="0"/>
              <w:right w:val="single" w:color="auto" w:sz="4" w:space="0"/>
            </w:tcBorders>
            <w:shd w:val="clear" w:color="auto" w:fill="FFFFFF"/>
            <w:vAlign w:val="center"/>
          </w:tcPr>
          <w:p>
            <w:pPr>
              <w:snapToGrid/>
              <w:spacing w:line="240" w:lineRule="auto"/>
              <w:ind w:firstLine="0" w:firstLineChars="0"/>
              <w:jc w:val="center"/>
              <w:rPr>
                <w:rFonts w:ascii="仿宋" w:hAnsi="仿宋" w:cs="等线"/>
                <w:color w:val="auto"/>
                <w:sz w:val="24"/>
                <w:lang w:val="zh-TW" w:eastAsia="zh-TW" w:bidi="zh-TW"/>
              </w:rPr>
            </w:pPr>
          </w:p>
        </w:tc>
      </w:tr>
    </w:tbl>
    <w:p>
      <w:pPr>
        <w:pStyle w:val="38"/>
        <w:ind w:firstLine="240"/>
        <w:rPr>
          <w:rFonts w:hint="default"/>
          <w:color w:val="auto"/>
          <w:lang w:eastAsia="zh-CN"/>
        </w:rPr>
        <w:sectPr>
          <w:pgSz w:w="16838" w:h="11906" w:orient="landscape"/>
          <w:pgMar w:top="1418" w:right="1418" w:bottom="1418" w:left="1418" w:header="851" w:footer="992" w:gutter="0"/>
          <w:pgNumType w:fmt="numberInDash"/>
          <w:cols w:space="720" w:num="1"/>
          <w:docGrid w:linePitch="381" w:charSpace="0"/>
        </w:sectPr>
      </w:pPr>
    </w:p>
    <w:p>
      <w:pPr>
        <w:pStyle w:val="5"/>
        <w:ind w:firstLine="0" w:firstLineChars="0"/>
        <w:rPr>
          <w:color w:val="auto"/>
          <w:kern w:val="0"/>
        </w:rPr>
      </w:pPr>
      <w:bookmarkStart w:id="160" w:name="_Toc7389"/>
      <w:bookmarkStart w:id="161" w:name="_Toc7001"/>
      <w:r>
        <w:rPr>
          <w:color w:val="auto"/>
          <w:kern w:val="0"/>
        </w:rPr>
        <w:t xml:space="preserve">6.5.6 </w:t>
      </w:r>
      <w:r>
        <w:rPr>
          <w:rFonts w:hint="eastAsia"/>
          <w:color w:val="auto"/>
          <w:kern w:val="0"/>
        </w:rPr>
        <w:t>现场人员的撤离</w:t>
      </w:r>
    </w:p>
    <w:p>
      <w:pPr>
        <w:ind w:firstLine="560"/>
        <w:rPr>
          <w:color w:val="auto"/>
          <w:szCs w:val="28"/>
        </w:rPr>
      </w:pPr>
      <w:r>
        <w:rPr>
          <w:color w:val="auto"/>
          <w:szCs w:val="28"/>
        </w:rPr>
        <w:t>当发生火灾后，严重威胁现场人员生命安全条件下，事故现场最高指挥有权做出与事故处理无关人员的撤离，或全部人员撤离的命令。</w:t>
      </w:r>
    </w:p>
    <w:p>
      <w:pPr>
        <w:ind w:firstLine="560"/>
        <w:rPr>
          <w:color w:val="auto"/>
          <w:szCs w:val="28"/>
        </w:rPr>
      </w:pPr>
      <w:r>
        <w:rPr>
          <w:color w:val="auto"/>
          <w:szCs w:val="28"/>
        </w:rPr>
        <w:t>公司指定要求公司</w:t>
      </w:r>
      <w:r>
        <w:rPr>
          <w:rFonts w:hint="eastAsia"/>
          <w:color w:val="auto"/>
          <w:szCs w:val="28"/>
        </w:rPr>
        <w:t>厂区</w:t>
      </w:r>
      <w:r>
        <w:rPr>
          <w:color w:val="auto"/>
          <w:szCs w:val="28"/>
        </w:rPr>
        <w:t>大门作为公司紧急集合地点，在发生严重的火灾事故时，应依据当时的风向选择确定上风向的一侧作为紧急集合地点，撤离人员先在该处集合登记，等待进一步的指令，撤离的信号为公司警报系统发出的报警声：持续时间为30秒（预先通知的系统测试根据通知要求进行响应）。</w:t>
      </w:r>
    </w:p>
    <w:p>
      <w:pPr>
        <w:ind w:firstLine="560"/>
        <w:rPr>
          <w:color w:val="auto"/>
          <w:szCs w:val="28"/>
        </w:rPr>
      </w:pPr>
      <w:r>
        <w:rPr>
          <w:color w:val="auto"/>
          <w:szCs w:val="28"/>
        </w:rPr>
        <w:t>在发生事故时，公司派专人对非应急人员（客户、外单位作业人员、本单位非应急人员等）进行引导疏散并撤离至安全地带。</w:t>
      </w:r>
    </w:p>
    <w:p>
      <w:pPr>
        <w:ind w:firstLine="560"/>
        <w:rPr>
          <w:color w:val="auto"/>
          <w:szCs w:val="28"/>
        </w:rPr>
      </w:pPr>
      <w:r>
        <w:rPr>
          <w:color w:val="auto"/>
          <w:szCs w:val="28"/>
        </w:rPr>
        <w:t>各部门负责人或安全员负责清点本部门人员，并及时向总指挥报告。各部门所接待的来访者</w:t>
      </w:r>
      <w:r>
        <w:rPr>
          <w:rFonts w:hint="eastAsia"/>
          <w:color w:val="auto"/>
          <w:szCs w:val="28"/>
        </w:rPr>
        <w:t>级其他人员</w:t>
      </w:r>
      <w:r>
        <w:rPr>
          <w:color w:val="auto"/>
          <w:szCs w:val="28"/>
        </w:rPr>
        <w:t>，由各部门负责清点，门卫负责携带公司员工名册及来访人员登记，交应急总指挥，各部门核对。集合清点完毕后，在总指挥的指挥下，向安全区域疏散。</w:t>
      </w:r>
    </w:p>
    <w:p>
      <w:pPr>
        <w:ind w:firstLine="560"/>
        <w:rPr>
          <w:color w:val="auto"/>
          <w:szCs w:val="28"/>
        </w:rPr>
      </w:pPr>
      <w:r>
        <w:rPr>
          <w:color w:val="auto"/>
          <w:szCs w:val="28"/>
        </w:rPr>
        <w:t>对可能威胁到厂外居民安全时，指挥部应立即和地方有关部门联系，并应迅速组织有关人员协助友邻单位、厂区外过往行人在</w:t>
      </w:r>
      <w:r>
        <w:rPr>
          <w:rFonts w:hint="eastAsia"/>
          <w:color w:val="auto"/>
          <w:szCs w:val="28"/>
        </w:rPr>
        <w:t>新城</w:t>
      </w:r>
      <w:r>
        <w:rPr>
          <w:color w:val="auto"/>
          <w:szCs w:val="28"/>
        </w:rPr>
        <w:t>指挥部指挥协调下，指挥引导居民迅速撤离到安全地点。撤离路线见附</w:t>
      </w:r>
      <w:r>
        <w:rPr>
          <w:rFonts w:hint="eastAsia"/>
          <w:color w:val="auto"/>
          <w:szCs w:val="28"/>
        </w:rPr>
        <w:t>件</w:t>
      </w:r>
      <w:r>
        <w:rPr>
          <w:color w:val="auto"/>
          <w:szCs w:val="28"/>
        </w:rPr>
        <w:t>6紧急疏散路线。</w:t>
      </w:r>
    </w:p>
    <w:p>
      <w:pPr>
        <w:pStyle w:val="5"/>
        <w:ind w:firstLine="0" w:firstLineChars="0"/>
        <w:rPr>
          <w:color w:val="auto"/>
          <w:kern w:val="0"/>
        </w:rPr>
      </w:pPr>
      <w:r>
        <w:rPr>
          <w:rFonts w:hint="eastAsia"/>
          <w:color w:val="auto"/>
          <w:kern w:val="0"/>
        </w:rPr>
        <w:t xml:space="preserve">6.5.7 </w:t>
      </w:r>
      <w:r>
        <w:rPr>
          <w:color w:val="auto"/>
          <w:kern w:val="0"/>
        </w:rPr>
        <w:t>人员救治措施</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皮外小伤：对伤员作相应的消毒、包扎后安排人员护送至</w:t>
      </w:r>
      <w:r>
        <w:rPr>
          <w:rFonts w:hint="eastAsia"/>
          <w:color w:val="auto"/>
          <w:szCs w:val="28"/>
        </w:rPr>
        <w:t>崔家村卫生室或咸阳市第一</w:t>
      </w:r>
      <w:r>
        <w:rPr>
          <w:color w:val="auto"/>
          <w:szCs w:val="28"/>
        </w:rPr>
        <w:t>人民医院进行进一步治疗。</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骨折出血的伤员：应作相应的包扎，固定处理，并安排人员护送至</w:t>
      </w:r>
      <w:r>
        <w:rPr>
          <w:rFonts w:hint="eastAsia"/>
          <w:color w:val="auto"/>
          <w:szCs w:val="28"/>
        </w:rPr>
        <w:t>咸阳市第一</w:t>
      </w:r>
      <w:r>
        <w:rPr>
          <w:color w:val="auto"/>
          <w:szCs w:val="28"/>
        </w:rPr>
        <w:t>人民医院进行进一步治疗。搬运伤员时，以不压迫伤面和不引起呼吸困难为原则。</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中毒人员：安排人员、车辆，或通过120急救车送往医院救治。</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GB2</w:instrText>
      </w:r>
      <w:r>
        <w:rPr>
          <w:color w:val="auto"/>
          <w:szCs w:val="28"/>
        </w:rPr>
        <w:instrText xml:space="preserve"> </w:instrText>
      </w:r>
      <w:r>
        <w:rPr>
          <w:color w:val="auto"/>
          <w:szCs w:val="28"/>
        </w:rPr>
        <w:fldChar w:fldCharType="separate"/>
      </w:r>
      <w:r>
        <w:rPr>
          <w:rFonts w:hint="eastAsia"/>
          <w:color w:val="auto"/>
          <w:szCs w:val="28"/>
        </w:rPr>
        <w:t>⑷</w:t>
      </w:r>
      <w:r>
        <w:rPr>
          <w:color w:val="auto"/>
          <w:szCs w:val="28"/>
        </w:rPr>
        <w:fldChar w:fldCharType="end"/>
      </w:r>
      <w:r>
        <w:rPr>
          <w:color w:val="auto"/>
          <w:szCs w:val="28"/>
        </w:rPr>
        <w:t xml:space="preserve"> 重伤或昏迷人员：进行必要急救后，通过120急救车送往医院救治。重伤或昏迷伤员在送往医院救治前应提前联系医院作好救治准备，</w:t>
      </w:r>
      <w:r>
        <w:rPr>
          <w:rFonts w:hint="eastAsia"/>
          <w:color w:val="auto"/>
          <w:szCs w:val="28"/>
        </w:rPr>
        <w:t>市级</w:t>
      </w:r>
      <w:r>
        <w:rPr>
          <w:color w:val="auto"/>
          <w:szCs w:val="28"/>
        </w:rPr>
        <w:t>医院不具备能力的情况下可直接通过高速公路送往省级医院。</w:t>
      </w:r>
    </w:p>
    <w:p>
      <w:pPr>
        <w:pStyle w:val="5"/>
        <w:ind w:firstLine="0" w:firstLineChars="0"/>
        <w:rPr>
          <w:color w:val="auto"/>
          <w:kern w:val="0"/>
        </w:rPr>
      </w:pPr>
      <w:r>
        <w:rPr>
          <w:rFonts w:hint="eastAsia"/>
          <w:color w:val="auto"/>
          <w:kern w:val="0"/>
        </w:rPr>
        <w:t>6.</w:t>
      </w:r>
      <w:r>
        <w:rPr>
          <w:color w:val="auto"/>
          <w:kern w:val="0"/>
        </w:rPr>
        <w:t>5.8</w:t>
      </w:r>
      <w:r>
        <w:rPr>
          <w:rFonts w:hint="eastAsia"/>
          <w:color w:val="auto"/>
          <w:kern w:val="0"/>
        </w:rPr>
        <w:t xml:space="preserve"> 应急监测</w:t>
      </w:r>
      <w:bookmarkEnd w:id="160"/>
      <w:bookmarkEnd w:id="161"/>
    </w:p>
    <w:p>
      <w:pPr>
        <w:ind w:firstLine="560"/>
        <w:rPr>
          <w:color w:val="auto"/>
          <w:szCs w:val="28"/>
        </w:rPr>
      </w:pPr>
      <w:r>
        <w:rPr>
          <w:rFonts w:hint="eastAsia"/>
          <w:color w:val="auto"/>
          <w:szCs w:val="28"/>
        </w:rPr>
        <w:t>应急监测主要依靠企业内部监测和有资质的第三方监测单位。发生突发环境事件时，如果污染物可能对外界环境造成污染，应急办公室迅速上报秦汉新城生态环境局，请求并配合第三方监测单位开展应急监测。</w:t>
      </w:r>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1 \* GB2</w:instrText>
      </w:r>
      <w:r>
        <w:rPr>
          <w:color w:val="auto"/>
        </w:rPr>
        <w:instrText xml:space="preserve"> </w:instrText>
      </w:r>
      <w:r>
        <w:rPr>
          <w:color w:val="auto"/>
        </w:rPr>
        <w:fldChar w:fldCharType="separate"/>
      </w:r>
      <w:r>
        <w:rPr>
          <w:rFonts w:hint="eastAsia"/>
          <w:color w:val="auto"/>
        </w:rPr>
        <w:t>⑴</w:t>
      </w:r>
      <w:r>
        <w:rPr>
          <w:color w:val="auto"/>
        </w:rPr>
        <w:fldChar w:fldCharType="end"/>
      </w:r>
      <w:r>
        <w:rPr>
          <w:color w:val="auto"/>
        </w:rPr>
        <w:t xml:space="preserve"> </w:t>
      </w:r>
      <w:r>
        <w:rPr>
          <w:rFonts w:hint="eastAsia"/>
          <w:color w:val="auto"/>
        </w:rPr>
        <w:t>一般原则</w:t>
      </w:r>
    </w:p>
    <w:p>
      <w:pPr>
        <w:pStyle w:val="61"/>
        <w:ind w:firstLine="560"/>
        <w:rPr>
          <w:color w:val="auto"/>
        </w:rPr>
      </w:pPr>
      <w:r>
        <w:rPr>
          <w:color w:val="auto"/>
        </w:rPr>
        <w:t>根据突发环境事件污染物的扩散速度和事件发生地</w:t>
      </w:r>
      <w:r>
        <w:rPr>
          <w:rFonts w:hint="eastAsia"/>
          <w:color w:val="auto"/>
        </w:rPr>
        <w:t>当时</w:t>
      </w:r>
      <w:r>
        <w:rPr>
          <w:color w:val="auto"/>
        </w:rPr>
        <w:t>气象和地域特点，确定污染物扩散范围与速度。</w:t>
      </w:r>
      <w:r>
        <w:rPr>
          <w:rFonts w:hint="eastAsia"/>
          <w:color w:val="auto"/>
        </w:rPr>
        <w:t>监测断面（点）一般设置的突发环境事件发生地及其附近区域为主，同时必须注重人群和生活环境，重点关注对饮用水源地、人群活动区域的空气、农田土壤等区域的影响。</w:t>
      </w:r>
      <w:r>
        <w:rPr>
          <w:color w:val="auto"/>
        </w:rPr>
        <w:t>事件发生初期，根据事件发生地的监测能力和突发环境事件的严重程度，按照从多从密的原则进行监测，随着污染物的扩散情况、监测结果的变化趋势，适当调整监测频次和监测点位。</w:t>
      </w:r>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2 \* GB2</w:instrText>
      </w:r>
      <w:r>
        <w:rPr>
          <w:color w:val="auto"/>
        </w:rPr>
        <w:instrText xml:space="preserve"> </w:instrText>
      </w:r>
      <w:r>
        <w:rPr>
          <w:color w:val="auto"/>
        </w:rPr>
        <w:fldChar w:fldCharType="separate"/>
      </w:r>
      <w:r>
        <w:rPr>
          <w:rFonts w:hint="eastAsia"/>
          <w:color w:val="auto"/>
        </w:rPr>
        <w:t>⑵</w:t>
      </w:r>
      <w:r>
        <w:rPr>
          <w:color w:val="auto"/>
        </w:rPr>
        <w:fldChar w:fldCharType="end"/>
      </w:r>
      <w:r>
        <w:rPr>
          <w:color w:val="auto"/>
        </w:rPr>
        <w:t xml:space="preserve"> 根据监测结果，综合分析突发环境事件污染变化趋势，并通过专家分析和研究，预测并报告突发环境事件的发展情况和污染物的变化情况，作为突发环境事件应急决策的依据。</w:t>
      </w:r>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3 \* GB2</w:instrText>
      </w:r>
      <w:r>
        <w:rPr>
          <w:color w:val="auto"/>
        </w:rPr>
        <w:instrText xml:space="preserve"> </w:instrText>
      </w:r>
      <w:r>
        <w:rPr>
          <w:color w:val="auto"/>
        </w:rPr>
        <w:fldChar w:fldCharType="separate"/>
      </w:r>
      <w:r>
        <w:rPr>
          <w:rFonts w:hint="eastAsia"/>
          <w:color w:val="auto"/>
        </w:rPr>
        <w:t>⑶</w:t>
      </w:r>
      <w:r>
        <w:rPr>
          <w:color w:val="auto"/>
        </w:rPr>
        <w:fldChar w:fldCharType="end"/>
      </w:r>
      <w:r>
        <w:rPr>
          <w:color w:val="auto"/>
        </w:rPr>
        <w:t xml:space="preserve"> </w:t>
      </w:r>
      <w:r>
        <w:rPr>
          <w:color w:val="auto"/>
          <w:szCs w:val="28"/>
        </w:rPr>
        <w:t>环境</w:t>
      </w:r>
      <w:r>
        <w:rPr>
          <w:rFonts w:hint="eastAsia"/>
          <w:color w:val="auto"/>
          <w:szCs w:val="28"/>
        </w:rPr>
        <w:t>应急</w:t>
      </w:r>
      <w:r>
        <w:rPr>
          <w:color w:val="auto"/>
          <w:szCs w:val="28"/>
        </w:rPr>
        <w:t>监测</w:t>
      </w:r>
      <w:r>
        <w:rPr>
          <w:rFonts w:hint="eastAsia"/>
          <w:color w:val="auto"/>
          <w:szCs w:val="28"/>
        </w:rPr>
        <w:t>内容</w:t>
      </w:r>
    </w:p>
    <w:p>
      <w:pPr>
        <w:ind w:firstLine="560"/>
        <w:rPr>
          <w:color w:val="auto"/>
          <w:szCs w:val="28"/>
        </w:rPr>
      </w:pPr>
      <w:r>
        <w:rPr>
          <w:color w:val="auto"/>
          <w:szCs w:val="28"/>
        </w:rPr>
        <w:t>环境应急监测的监测因子、时间和频次、测点布设见下表</w:t>
      </w:r>
    </w:p>
    <w:p>
      <w:pPr>
        <w:ind w:firstLine="482"/>
        <w:jc w:val="center"/>
        <w:rPr>
          <w:b/>
          <w:color w:val="auto"/>
          <w:sz w:val="24"/>
        </w:rPr>
      </w:pPr>
      <w:r>
        <w:rPr>
          <w:b/>
          <w:color w:val="auto"/>
          <w:sz w:val="24"/>
        </w:rPr>
        <w:t>表6-8    应急监测计划表</w:t>
      </w:r>
    </w:p>
    <w:tbl>
      <w:tblPr>
        <w:tblStyle w:val="40"/>
        <w:tblW w:w="5000"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454"/>
        <w:gridCol w:w="906"/>
        <w:gridCol w:w="2035"/>
        <w:gridCol w:w="2526"/>
        <w:gridCol w:w="236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40" w:hRule="atLeast"/>
          <w:tblHeader/>
          <w:jc w:val="center"/>
        </w:trPr>
        <w:tc>
          <w:tcPr>
            <w:tcW w:w="1271" w:type="pct"/>
            <w:gridSpan w:val="2"/>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类别</w:t>
            </w:r>
          </w:p>
        </w:tc>
        <w:tc>
          <w:tcPr>
            <w:tcW w:w="1096" w:type="pct"/>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监测项目</w:t>
            </w:r>
          </w:p>
        </w:tc>
        <w:tc>
          <w:tcPr>
            <w:tcW w:w="1360" w:type="pct"/>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监测点位</w:t>
            </w:r>
          </w:p>
        </w:tc>
        <w:tc>
          <w:tcPr>
            <w:tcW w:w="1273" w:type="pct"/>
            <w:shd w:val="clear" w:color="auto" w:fill="D9D9D9"/>
            <w:vAlign w:val="center"/>
          </w:tcPr>
          <w:p>
            <w:pPr>
              <w:adjustRightInd/>
              <w:snapToGrid/>
              <w:spacing w:line="240" w:lineRule="auto"/>
              <w:ind w:firstLine="0" w:firstLineChars="0"/>
              <w:jc w:val="center"/>
              <w:rPr>
                <w:rFonts w:ascii="仿宋" w:hAnsi="仿宋"/>
                <w:b/>
                <w:color w:val="auto"/>
                <w:sz w:val="24"/>
              </w:rPr>
            </w:pPr>
            <w:r>
              <w:rPr>
                <w:rFonts w:ascii="仿宋" w:hAnsi="仿宋"/>
                <w:b/>
                <w:color w:val="auto"/>
                <w:sz w:val="24"/>
              </w:rPr>
              <w:t>监测时间和频次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700" w:hRule="atLeast"/>
          <w:jc w:val="center"/>
        </w:trPr>
        <w:tc>
          <w:tcPr>
            <w:tcW w:w="783" w:type="pct"/>
            <w:vMerge w:val="restar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柴油</w:t>
            </w:r>
            <w:r>
              <w:rPr>
                <w:rFonts w:ascii="仿宋" w:hAnsi="仿宋"/>
                <w:color w:val="auto"/>
                <w:sz w:val="24"/>
              </w:rPr>
              <w:t>储罐区</w:t>
            </w:r>
            <w:r>
              <w:rPr>
                <w:rFonts w:hint="eastAsia" w:ascii="仿宋" w:hAnsi="仿宋"/>
                <w:color w:val="auto"/>
                <w:sz w:val="24"/>
              </w:rPr>
              <w:t>发生</w:t>
            </w:r>
            <w:r>
              <w:rPr>
                <w:rFonts w:ascii="仿宋" w:hAnsi="仿宋"/>
                <w:color w:val="auto"/>
                <w:sz w:val="24"/>
              </w:rPr>
              <w:t>火灾</w:t>
            </w:r>
          </w:p>
        </w:tc>
        <w:tc>
          <w:tcPr>
            <w:tcW w:w="488" w:type="pct"/>
            <w:vMerge w:val="restar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废气</w:t>
            </w:r>
          </w:p>
        </w:tc>
        <w:tc>
          <w:tcPr>
            <w:tcW w:w="1096" w:type="pct"/>
            <w:vMerge w:val="restar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非甲烷</w:t>
            </w:r>
            <w:r>
              <w:rPr>
                <w:rFonts w:ascii="仿宋" w:hAnsi="仿宋"/>
                <w:color w:val="auto"/>
                <w:sz w:val="24"/>
              </w:rPr>
              <w:t>总</w:t>
            </w:r>
            <w:r>
              <w:rPr>
                <w:rFonts w:hint="eastAsia" w:ascii="仿宋" w:hAnsi="仿宋"/>
                <w:color w:val="auto"/>
                <w:sz w:val="24"/>
              </w:rPr>
              <w:t>烃</w:t>
            </w:r>
            <w:r>
              <w:rPr>
                <w:rFonts w:ascii="仿宋" w:hAnsi="仿宋"/>
                <w:color w:val="auto"/>
                <w:sz w:val="24"/>
              </w:rPr>
              <w:t>、CO、风速、风向</w:t>
            </w:r>
          </w:p>
        </w:tc>
        <w:tc>
          <w:tcPr>
            <w:tcW w:w="1360" w:type="pct"/>
            <w:vAlign w:val="center"/>
          </w:tcPr>
          <w:p>
            <w:pPr>
              <w:adjustRightInd/>
              <w:snapToGrid/>
              <w:spacing w:line="240" w:lineRule="auto"/>
              <w:ind w:firstLine="0" w:firstLineChars="0"/>
              <w:jc w:val="center"/>
              <w:rPr>
                <w:rFonts w:ascii="仿宋" w:hAnsi="仿宋"/>
                <w:color w:val="auto"/>
                <w:sz w:val="24"/>
              </w:rPr>
            </w:pPr>
            <w:r>
              <w:rPr>
                <w:color w:val="auto"/>
                <w:sz w:val="24"/>
              </w:rPr>
              <w:t>上风向50m范围内</w:t>
            </w:r>
          </w:p>
        </w:tc>
        <w:tc>
          <w:tcPr>
            <w:tcW w:w="1273" w:type="pct"/>
            <w:vMerge w:val="restar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初期阶段：1h/次</w:t>
            </w:r>
          </w:p>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控制阶段：2h/次</w:t>
            </w:r>
          </w:p>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跟踪阶段：1d/次，连续3d</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783" w:type="pct"/>
            <w:vMerge w:val="continue"/>
            <w:vAlign w:val="center"/>
          </w:tcPr>
          <w:p>
            <w:pPr>
              <w:adjustRightInd/>
              <w:snapToGrid/>
              <w:spacing w:line="240" w:lineRule="auto"/>
              <w:ind w:firstLine="0" w:firstLineChars="0"/>
              <w:jc w:val="center"/>
              <w:rPr>
                <w:rFonts w:ascii="仿宋" w:hAnsi="仿宋"/>
                <w:color w:val="auto"/>
                <w:sz w:val="24"/>
              </w:rPr>
            </w:pPr>
          </w:p>
        </w:tc>
        <w:tc>
          <w:tcPr>
            <w:tcW w:w="488" w:type="pct"/>
            <w:vMerge w:val="continue"/>
            <w:vAlign w:val="center"/>
          </w:tcPr>
          <w:p>
            <w:pPr>
              <w:adjustRightInd/>
              <w:snapToGrid/>
              <w:spacing w:line="240" w:lineRule="auto"/>
              <w:ind w:firstLine="0" w:firstLineChars="0"/>
              <w:jc w:val="center"/>
              <w:rPr>
                <w:rFonts w:ascii="仿宋" w:hAnsi="仿宋"/>
                <w:color w:val="auto"/>
                <w:sz w:val="24"/>
              </w:rPr>
            </w:pPr>
          </w:p>
        </w:tc>
        <w:tc>
          <w:tcPr>
            <w:tcW w:w="1096" w:type="pct"/>
            <w:vMerge w:val="continue"/>
            <w:vAlign w:val="center"/>
          </w:tcPr>
          <w:p>
            <w:pPr>
              <w:adjustRightInd/>
              <w:snapToGrid/>
              <w:spacing w:line="240" w:lineRule="auto"/>
              <w:ind w:firstLine="0" w:firstLineChars="0"/>
              <w:jc w:val="center"/>
              <w:rPr>
                <w:rFonts w:ascii="仿宋" w:hAnsi="仿宋"/>
                <w:color w:val="auto"/>
                <w:sz w:val="24"/>
              </w:rPr>
            </w:pPr>
          </w:p>
        </w:tc>
        <w:tc>
          <w:tcPr>
            <w:tcW w:w="1360" w:type="pct"/>
            <w:vAlign w:val="center"/>
          </w:tcPr>
          <w:p>
            <w:pPr>
              <w:adjustRightInd/>
              <w:snapToGrid/>
              <w:spacing w:line="240" w:lineRule="auto"/>
              <w:ind w:firstLine="0" w:firstLineChars="0"/>
              <w:jc w:val="center"/>
              <w:rPr>
                <w:rFonts w:ascii="仿宋" w:hAnsi="仿宋"/>
                <w:color w:val="auto"/>
                <w:sz w:val="24"/>
              </w:rPr>
            </w:pPr>
            <w:r>
              <w:rPr>
                <w:color w:val="auto"/>
                <w:spacing w:val="-4"/>
                <w:sz w:val="24"/>
              </w:rPr>
              <w:t>下风向</w:t>
            </w:r>
            <w:r>
              <w:rPr>
                <w:color w:val="auto"/>
                <w:sz w:val="24"/>
              </w:rPr>
              <w:t>50m、100m、500m</w:t>
            </w:r>
            <w:r>
              <w:rPr>
                <w:color w:val="auto"/>
                <w:spacing w:val="-8"/>
                <w:sz w:val="24"/>
              </w:rPr>
              <w:t>处分别设监测点，同</w:t>
            </w:r>
            <w:r>
              <w:rPr>
                <w:color w:val="auto"/>
                <w:spacing w:val="-16"/>
                <w:sz w:val="24"/>
              </w:rPr>
              <w:t>时在下风向偏上</w:t>
            </w:r>
            <w:r>
              <w:rPr>
                <w:color w:val="auto"/>
                <w:sz w:val="24"/>
              </w:rPr>
              <w:t>45</w:t>
            </w:r>
            <w:r>
              <w:rPr>
                <w:color w:val="auto"/>
                <w:spacing w:val="-13"/>
                <w:sz w:val="24"/>
              </w:rPr>
              <w:t>°和偏下</w:t>
            </w:r>
            <w:r>
              <w:rPr>
                <w:color w:val="auto"/>
                <w:sz w:val="24"/>
              </w:rPr>
              <w:t>45</w:t>
            </w:r>
            <w:r>
              <w:rPr>
                <w:color w:val="auto"/>
                <w:spacing w:val="-13"/>
                <w:sz w:val="24"/>
              </w:rPr>
              <w:t>°以扇面50m、</w:t>
            </w:r>
            <w:r>
              <w:rPr>
                <w:color w:val="auto"/>
                <w:sz w:val="24"/>
              </w:rPr>
              <w:t>100m、500m</w:t>
            </w:r>
            <w:r>
              <w:rPr>
                <w:color w:val="auto"/>
                <w:spacing w:val="-9"/>
                <w:sz w:val="24"/>
              </w:rPr>
              <w:t>处布设监测点</w:t>
            </w:r>
          </w:p>
        </w:tc>
        <w:tc>
          <w:tcPr>
            <w:tcW w:w="1273" w:type="pct"/>
            <w:vMerge w:val="continue"/>
            <w:vAlign w:val="center"/>
          </w:tcPr>
          <w:p>
            <w:pPr>
              <w:adjustRightInd/>
              <w:snapToGrid/>
              <w:spacing w:line="240" w:lineRule="auto"/>
              <w:ind w:firstLine="0" w:firstLineChars="0"/>
              <w:jc w:val="center"/>
              <w:rPr>
                <w:rFonts w:ascii="仿宋" w:hAnsi="仿宋"/>
                <w:color w:val="auto"/>
                <w:sz w:val="24"/>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340" w:hRule="atLeast"/>
          <w:jc w:val="center"/>
        </w:trPr>
        <w:tc>
          <w:tcPr>
            <w:tcW w:w="783"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发生火灾后消防废水</w:t>
            </w:r>
          </w:p>
        </w:tc>
        <w:tc>
          <w:tcPr>
            <w:tcW w:w="488"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废水</w:t>
            </w:r>
          </w:p>
        </w:tc>
        <w:tc>
          <w:tcPr>
            <w:tcW w:w="1096"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COD、NH</w:t>
            </w:r>
            <w:r>
              <w:rPr>
                <w:rFonts w:hint="eastAsia" w:ascii="仿宋" w:hAnsi="仿宋"/>
                <w:color w:val="auto"/>
                <w:sz w:val="24"/>
                <w:vertAlign w:val="subscript"/>
              </w:rPr>
              <w:t>3</w:t>
            </w:r>
            <w:r>
              <w:rPr>
                <w:rFonts w:hint="eastAsia" w:ascii="仿宋" w:hAnsi="仿宋"/>
                <w:color w:val="auto"/>
                <w:sz w:val="24"/>
              </w:rPr>
              <w:t>-N、石油类、pH</w:t>
            </w:r>
          </w:p>
        </w:tc>
        <w:tc>
          <w:tcPr>
            <w:tcW w:w="1360" w:type="pct"/>
            <w:vAlign w:val="center"/>
          </w:tcPr>
          <w:p>
            <w:pPr>
              <w:adjustRightInd/>
              <w:snapToGrid/>
              <w:spacing w:line="240" w:lineRule="auto"/>
              <w:ind w:firstLine="0" w:firstLineChars="0"/>
              <w:jc w:val="center"/>
              <w:rPr>
                <w:rFonts w:ascii="仿宋" w:hAnsi="仿宋"/>
                <w:color w:val="auto"/>
                <w:sz w:val="24"/>
              </w:rPr>
            </w:pPr>
            <w:r>
              <w:rPr>
                <w:rFonts w:hint="eastAsia" w:ascii="仿宋" w:hAnsi="仿宋"/>
                <w:color w:val="auto"/>
                <w:sz w:val="24"/>
              </w:rPr>
              <w:t>厂区雨水排放口下游500m</w:t>
            </w:r>
          </w:p>
        </w:tc>
        <w:tc>
          <w:tcPr>
            <w:tcW w:w="1273" w:type="pct"/>
            <w:vMerge w:val="continue"/>
            <w:vAlign w:val="center"/>
          </w:tcPr>
          <w:p>
            <w:pPr>
              <w:adjustRightInd/>
              <w:snapToGrid/>
              <w:spacing w:line="240" w:lineRule="auto"/>
              <w:ind w:firstLine="0" w:firstLineChars="0"/>
              <w:jc w:val="center"/>
              <w:rPr>
                <w:rFonts w:ascii="仿宋" w:hAnsi="仿宋"/>
                <w:color w:val="auto"/>
                <w:sz w:val="24"/>
              </w:rPr>
            </w:pPr>
          </w:p>
        </w:tc>
      </w:tr>
    </w:tbl>
    <w:p>
      <w:pPr>
        <w:ind w:firstLine="560"/>
        <w:rPr>
          <w:color w:val="auto"/>
          <w:szCs w:val="28"/>
        </w:rPr>
      </w:pPr>
      <w:r>
        <w:rPr>
          <w:color w:val="auto"/>
          <w:szCs w:val="28"/>
        </w:rPr>
        <w:t>环境监测质量要求：进行监测的单位及机构需具备相应的监测资质及能力，</w:t>
      </w:r>
      <w:r>
        <w:rPr>
          <w:rFonts w:hint="eastAsia"/>
          <w:color w:val="auto"/>
          <w:szCs w:val="28"/>
        </w:rPr>
        <w:t>监测</w:t>
      </w:r>
      <w:r>
        <w:rPr>
          <w:color w:val="auto"/>
          <w:szCs w:val="28"/>
        </w:rPr>
        <w:t>人员需经过专门培训。</w:t>
      </w:r>
    </w:p>
    <w:p>
      <w:pPr>
        <w:pStyle w:val="4"/>
        <w:rPr>
          <w:color w:val="auto"/>
        </w:rPr>
      </w:pPr>
      <w:bookmarkStart w:id="162" w:name="_Toc13085"/>
      <w:bookmarkStart w:id="163" w:name="_Toc24679"/>
      <w:r>
        <w:rPr>
          <w:rFonts w:hint="eastAsia"/>
          <w:color w:val="auto"/>
        </w:rPr>
        <w:t>6.</w:t>
      </w:r>
      <w:r>
        <w:rPr>
          <w:color w:val="auto"/>
        </w:rPr>
        <w:t>6</w:t>
      </w:r>
      <w:r>
        <w:rPr>
          <w:rFonts w:hint="eastAsia"/>
          <w:color w:val="auto"/>
        </w:rPr>
        <w:t xml:space="preserve"> 信息发布</w:t>
      </w:r>
      <w:bookmarkEnd w:id="162"/>
      <w:bookmarkEnd w:id="163"/>
    </w:p>
    <w:p>
      <w:pPr>
        <w:ind w:firstLine="560"/>
        <w:rPr>
          <w:color w:val="auto"/>
          <w:szCs w:val="28"/>
        </w:rPr>
      </w:pPr>
      <w:r>
        <w:rPr>
          <w:rFonts w:hint="eastAsia"/>
          <w:color w:val="auto"/>
          <w:szCs w:val="28"/>
        </w:rPr>
        <w:t>应急救援工作的所有信息均应报送应急指挥部，经应急指挥部及应急专家组成员讨论通过后，对事故的具体情况先进行内部如实发布，正确引导救援工作。然后报应急指挥部总指挥和副总指挥审批，以应急指挥部的名义由应急办公室指定人员向外界定时发布。</w:t>
      </w:r>
    </w:p>
    <w:p>
      <w:pPr>
        <w:ind w:firstLine="560"/>
        <w:rPr>
          <w:color w:val="auto"/>
          <w:szCs w:val="28"/>
        </w:rPr>
      </w:pPr>
      <w:r>
        <w:rPr>
          <w:rFonts w:hint="eastAsia"/>
          <w:color w:val="auto"/>
          <w:szCs w:val="28"/>
        </w:rPr>
        <w:t>根据突发事件演进过程，应急救援信息发布包括事前、事中和事后发布，每个阶段发布内容侧重有所不同：</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事前信息发布内容。包括告知公众可能发生突发事件的类别、预警级别、可能影响的范围、可能造成的危害程度、可能的起始时间和延续时间等，及时发布公众在突发事件爆发前应当采取的防范措施和应做好的相关准备工作。</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事中信息发布内容。包括突发事件的性质、发生和发展情况，人员伤亡和财产损失情况，已经和正在采取的应对措施，受影响的群体及行为建议等，让公众了解、监督在突发事件处置过程中的行为。对突发环境事件流传的各种谣言采用权威方式有针对性地予以澄清。</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w:t>
      </w:r>
      <w:r>
        <w:rPr>
          <w:rFonts w:hint="eastAsia"/>
          <w:color w:val="auto"/>
          <w:szCs w:val="28"/>
        </w:rPr>
        <w:t>事后信息发布内容。包括应急处置中的经验教训，相关责任人的调查处理结果，恢复重建的政策规划和执行情况，受灾群众的救济和赔偿等。信息发布的方式可以通过网络、新闻媒体等进行。</w:t>
      </w:r>
    </w:p>
    <w:p>
      <w:pPr>
        <w:pStyle w:val="4"/>
        <w:rPr>
          <w:color w:val="auto"/>
        </w:rPr>
      </w:pPr>
      <w:bookmarkStart w:id="164" w:name="_Toc21863"/>
      <w:bookmarkStart w:id="165" w:name="_Toc2355"/>
      <w:r>
        <w:rPr>
          <w:rFonts w:hint="eastAsia"/>
          <w:color w:val="auto"/>
        </w:rPr>
        <w:t>6.</w:t>
      </w:r>
      <w:r>
        <w:rPr>
          <w:color w:val="auto"/>
        </w:rPr>
        <w:t>7</w:t>
      </w:r>
      <w:r>
        <w:rPr>
          <w:rFonts w:hint="eastAsia"/>
          <w:color w:val="auto"/>
        </w:rPr>
        <w:t xml:space="preserve"> 应急终止</w:t>
      </w:r>
      <w:bookmarkEnd w:id="164"/>
      <w:bookmarkEnd w:id="165"/>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应急终止条件</w:t>
      </w:r>
    </w:p>
    <w:p>
      <w:pPr>
        <w:ind w:firstLine="560"/>
        <w:rPr>
          <w:color w:val="auto"/>
          <w:szCs w:val="28"/>
        </w:rPr>
      </w:pPr>
      <w:r>
        <w:rPr>
          <w:rFonts w:hint="eastAsia"/>
          <w:color w:val="auto"/>
          <w:szCs w:val="28"/>
        </w:rPr>
        <w:t>突发环境事件符合下列条件之一，即满足应急终止条件：</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事件现场得到控制，事件条件已经消除；</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污染源的泄漏或释放已降至规定限值以内；</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GB3</w:instrText>
      </w:r>
      <w:r>
        <w:rPr>
          <w:color w:val="auto"/>
          <w:szCs w:val="28"/>
        </w:rPr>
        <w:instrText xml:space="preserve"> </w:instrText>
      </w:r>
      <w:r>
        <w:rPr>
          <w:color w:val="auto"/>
          <w:szCs w:val="28"/>
        </w:rPr>
        <w:fldChar w:fldCharType="separate"/>
      </w:r>
      <w:r>
        <w:rPr>
          <w:rFonts w:hint="eastAsia"/>
          <w:color w:val="auto"/>
          <w:szCs w:val="28"/>
        </w:rPr>
        <w:t>③</w:t>
      </w:r>
      <w:r>
        <w:rPr>
          <w:color w:val="auto"/>
          <w:szCs w:val="28"/>
        </w:rPr>
        <w:fldChar w:fldCharType="end"/>
      </w:r>
      <w:r>
        <w:rPr>
          <w:color w:val="auto"/>
          <w:szCs w:val="28"/>
        </w:rPr>
        <w:t xml:space="preserve"> </w:t>
      </w:r>
      <w:r>
        <w:rPr>
          <w:rFonts w:hint="eastAsia"/>
          <w:color w:val="auto"/>
          <w:szCs w:val="28"/>
        </w:rPr>
        <w:t>事件所造成的危害已经被彻底消除，无继发可能；</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GB3</w:instrText>
      </w:r>
      <w:r>
        <w:rPr>
          <w:color w:val="auto"/>
          <w:szCs w:val="28"/>
        </w:rPr>
        <w:instrText xml:space="preserve"> </w:instrText>
      </w:r>
      <w:r>
        <w:rPr>
          <w:color w:val="auto"/>
          <w:szCs w:val="28"/>
        </w:rPr>
        <w:fldChar w:fldCharType="separate"/>
      </w:r>
      <w:r>
        <w:rPr>
          <w:rFonts w:hint="eastAsia"/>
          <w:color w:val="auto"/>
          <w:szCs w:val="28"/>
        </w:rPr>
        <w:t>④</w:t>
      </w:r>
      <w:r>
        <w:rPr>
          <w:color w:val="auto"/>
          <w:szCs w:val="28"/>
        </w:rPr>
        <w:fldChar w:fldCharType="end"/>
      </w:r>
      <w:r>
        <w:rPr>
          <w:color w:val="auto"/>
          <w:szCs w:val="28"/>
        </w:rPr>
        <w:t xml:space="preserve"> </w:t>
      </w:r>
      <w:r>
        <w:rPr>
          <w:rFonts w:hint="eastAsia"/>
          <w:color w:val="auto"/>
          <w:szCs w:val="28"/>
        </w:rPr>
        <w:t>事件现场的各种专业应急处置行动已无继续的必要；</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5 \* GB3</w:instrText>
      </w:r>
      <w:r>
        <w:rPr>
          <w:color w:val="auto"/>
          <w:szCs w:val="28"/>
        </w:rPr>
        <w:instrText xml:space="preserve"> </w:instrText>
      </w:r>
      <w:r>
        <w:rPr>
          <w:color w:val="auto"/>
          <w:szCs w:val="28"/>
        </w:rPr>
        <w:fldChar w:fldCharType="separate"/>
      </w:r>
      <w:r>
        <w:rPr>
          <w:rFonts w:hint="eastAsia"/>
          <w:color w:val="auto"/>
          <w:szCs w:val="28"/>
        </w:rPr>
        <w:t>⑤</w:t>
      </w:r>
      <w:r>
        <w:rPr>
          <w:color w:val="auto"/>
          <w:szCs w:val="28"/>
        </w:rPr>
        <w:fldChar w:fldCharType="end"/>
      </w:r>
      <w:r>
        <w:rPr>
          <w:color w:val="auto"/>
          <w:szCs w:val="28"/>
        </w:rPr>
        <w:t xml:space="preserve"> </w:t>
      </w:r>
      <w:r>
        <w:rPr>
          <w:rFonts w:hint="eastAsia"/>
          <w:color w:val="auto"/>
          <w:szCs w:val="28"/>
        </w:rPr>
        <w:t>采取了必要的防护措施以保护公众免受再次危害，并使事件可能引起的中长期影响趋于合理且尽量低的水平。</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应急终止程序</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应急指挥部确认终止时机，或事件责任部门提出，经应急指挥部批准。</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应急指挥部向所属各专业应急救援队伍下达应急终止命令。</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GB3</w:instrText>
      </w:r>
      <w:r>
        <w:rPr>
          <w:color w:val="auto"/>
          <w:szCs w:val="28"/>
        </w:rPr>
        <w:instrText xml:space="preserve"> </w:instrText>
      </w:r>
      <w:r>
        <w:rPr>
          <w:color w:val="auto"/>
          <w:szCs w:val="28"/>
        </w:rPr>
        <w:fldChar w:fldCharType="separate"/>
      </w:r>
      <w:r>
        <w:rPr>
          <w:rFonts w:hint="eastAsia"/>
          <w:color w:val="auto"/>
          <w:szCs w:val="28"/>
        </w:rPr>
        <w:t>③</w:t>
      </w:r>
      <w:r>
        <w:rPr>
          <w:color w:val="auto"/>
          <w:szCs w:val="28"/>
        </w:rPr>
        <w:fldChar w:fldCharType="end"/>
      </w:r>
      <w:r>
        <w:rPr>
          <w:color w:val="auto"/>
          <w:szCs w:val="28"/>
        </w:rPr>
        <w:t xml:space="preserve"> </w:t>
      </w:r>
      <w:r>
        <w:rPr>
          <w:rFonts w:hint="eastAsia"/>
          <w:color w:val="auto"/>
          <w:szCs w:val="28"/>
        </w:rPr>
        <w:t>应急状态终止后，应根据有关指示和实际情况，继续进行环境监测和评价工作。</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GB2</w:instrText>
      </w:r>
      <w:r>
        <w:rPr>
          <w:color w:val="auto"/>
          <w:szCs w:val="28"/>
        </w:rPr>
        <w:instrText xml:space="preserve"> </w:instrText>
      </w:r>
      <w:r>
        <w:rPr>
          <w:color w:val="auto"/>
          <w:szCs w:val="28"/>
        </w:rPr>
        <w:fldChar w:fldCharType="separate"/>
      </w:r>
      <w:r>
        <w:rPr>
          <w:rFonts w:hint="eastAsia"/>
          <w:color w:val="auto"/>
          <w:szCs w:val="28"/>
        </w:rPr>
        <w:t>⑶</w:t>
      </w:r>
      <w:r>
        <w:rPr>
          <w:color w:val="auto"/>
          <w:szCs w:val="28"/>
        </w:rPr>
        <w:fldChar w:fldCharType="end"/>
      </w:r>
      <w:r>
        <w:rPr>
          <w:color w:val="auto"/>
          <w:szCs w:val="28"/>
        </w:rPr>
        <w:t xml:space="preserve"> </w:t>
      </w:r>
      <w:r>
        <w:rPr>
          <w:rFonts w:hint="eastAsia"/>
          <w:color w:val="auto"/>
          <w:szCs w:val="28"/>
        </w:rPr>
        <w:t>应急终止后行动</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w:t>
      </w:r>
      <w:r>
        <w:rPr>
          <w:rFonts w:hint="eastAsia"/>
          <w:color w:val="auto"/>
          <w:szCs w:val="28"/>
        </w:rPr>
        <w:t>应急解除后要通知本公司及相关部门事故危险已解除。应急人员撤回原岗位，进入正常生产阶段。通过电话和新闻媒体通知周边村、镇和有关单位本次危险已正式解除。</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GB3</w:instrText>
      </w:r>
      <w:r>
        <w:rPr>
          <w:color w:val="auto"/>
          <w:szCs w:val="28"/>
        </w:rPr>
        <w:instrText xml:space="preserve"> </w:instrText>
      </w:r>
      <w:r>
        <w:rPr>
          <w:color w:val="auto"/>
          <w:szCs w:val="28"/>
        </w:rPr>
        <w:fldChar w:fldCharType="separate"/>
      </w:r>
      <w:r>
        <w:rPr>
          <w:rFonts w:hint="eastAsia"/>
          <w:color w:val="auto"/>
          <w:szCs w:val="28"/>
        </w:rPr>
        <w:t>②</w:t>
      </w:r>
      <w:r>
        <w:rPr>
          <w:color w:val="auto"/>
          <w:szCs w:val="28"/>
        </w:rPr>
        <w:fldChar w:fldCharType="end"/>
      </w:r>
      <w:r>
        <w:rPr>
          <w:color w:val="auto"/>
          <w:szCs w:val="28"/>
        </w:rPr>
        <w:t xml:space="preserve"> </w:t>
      </w:r>
      <w:r>
        <w:rPr>
          <w:rFonts w:hint="eastAsia"/>
          <w:color w:val="auto"/>
          <w:szCs w:val="28"/>
        </w:rPr>
        <w:t>应急解除后，需要对环境应急设备彻底检查。及时组织人员收整器材。特别是在应急过程中使用过的设备，按照应急设备储备管理处提供的设备清单，清点数量，检查设备的性能和质量。数量不足的要补齐，性能和质量不能满足要求的必须更换新的设备。对于能够使用的设备，要根据该设备的维护保养说明进行适时的维护保养。</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3 \* GB3</w:instrText>
      </w:r>
      <w:r>
        <w:rPr>
          <w:color w:val="auto"/>
          <w:szCs w:val="28"/>
        </w:rPr>
        <w:instrText xml:space="preserve"> </w:instrText>
      </w:r>
      <w:r>
        <w:rPr>
          <w:color w:val="auto"/>
          <w:szCs w:val="28"/>
        </w:rPr>
        <w:fldChar w:fldCharType="separate"/>
      </w:r>
      <w:r>
        <w:rPr>
          <w:rFonts w:hint="eastAsia"/>
          <w:color w:val="auto"/>
          <w:szCs w:val="28"/>
        </w:rPr>
        <w:t>③</w:t>
      </w:r>
      <w:r>
        <w:rPr>
          <w:color w:val="auto"/>
          <w:szCs w:val="28"/>
        </w:rPr>
        <w:fldChar w:fldCharType="end"/>
      </w:r>
      <w:r>
        <w:rPr>
          <w:color w:val="auto"/>
          <w:szCs w:val="28"/>
        </w:rPr>
        <w:t xml:space="preserve"> </w:t>
      </w:r>
      <w:r>
        <w:rPr>
          <w:rFonts w:hint="eastAsia"/>
          <w:color w:val="auto"/>
          <w:szCs w:val="28"/>
        </w:rPr>
        <w:t>突发性环境污染事件应急处理工作结束后，应组织相关部门认真总结、分析，编写事故分级记录报告，并进行存档；吸取事件教训，及时对生产环节及管理制度进行整改。</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4 \* GB3</w:instrText>
      </w:r>
      <w:r>
        <w:rPr>
          <w:color w:val="auto"/>
          <w:szCs w:val="28"/>
        </w:rPr>
        <w:instrText xml:space="preserve"> </w:instrText>
      </w:r>
      <w:r>
        <w:rPr>
          <w:color w:val="auto"/>
          <w:szCs w:val="28"/>
        </w:rPr>
        <w:fldChar w:fldCharType="separate"/>
      </w:r>
      <w:r>
        <w:rPr>
          <w:rFonts w:hint="eastAsia"/>
          <w:color w:val="auto"/>
          <w:szCs w:val="28"/>
        </w:rPr>
        <w:t>④</w:t>
      </w:r>
      <w:r>
        <w:rPr>
          <w:color w:val="auto"/>
          <w:szCs w:val="28"/>
        </w:rPr>
        <w:fldChar w:fldCharType="end"/>
      </w:r>
      <w:r>
        <w:rPr>
          <w:color w:val="auto"/>
          <w:szCs w:val="28"/>
        </w:rPr>
        <w:t xml:space="preserve"> </w:t>
      </w:r>
      <w:r>
        <w:rPr>
          <w:rFonts w:hint="eastAsia"/>
          <w:color w:val="auto"/>
          <w:szCs w:val="28"/>
        </w:rPr>
        <w:t>组织各专业组对应急计划、实施程序有效性、应急装备可行性、应急人员的素质和反应速度等作出评价，并提出对应急预案的修改意见。</w:t>
      </w:r>
    </w:p>
    <w:p>
      <w:pPr>
        <w:ind w:firstLine="560"/>
        <w:rPr>
          <w:color w:val="auto"/>
          <w:szCs w:val="28"/>
        </w:rPr>
        <w:sectPr>
          <w:pgSz w:w="11906" w:h="16838"/>
          <w:pgMar w:top="1418" w:right="1418" w:bottom="1418" w:left="1418" w:header="851" w:footer="992" w:gutter="0"/>
          <w:pgNumType w:fmt="numberInDash"/>
          <w:cols w:space="720" w:num="1"/>
          <w:docGrid w:linePitch="326" w:charSpace="0"/>
        </w:sectPr>
      </w:pPr>
      <w:r>
        <w:rPr>
          <w:color w:val="auto"/>
          <w:szCs w:val="28"/>
        </w:rPr>
        <w:fldChar w:fldCharType="begin"/>
      </w:r>
      <w:r>
        <w:rPr>
          <w:color w:val="auto"/>
          <w:szCs w:val="28"/>
        </w:rPr>
        <w:instrText xml:space="preserve"> </w:instrText>
      </w:r>
      <w:r>
        <w:rPr>
          <w:rFonts w:hint="eastAsia"/>
          <w:color w:val="auto"/>
          <w:szCs w:val="28"/>
        </w:rPr>
        <w:instrText xml:space="preserve">= 5 \* GB3</w:instrText>
      </w:r>
      <w:r>
        <w:rPr>
          <w:color w:val="auto"/>
          <w:szCs w:val="28"/>
        </w:rPr>
        <w:instrText xml:space="preserve"> </w:instrText>
      </w:r>
      <w:r>
        <w:rPr>
          <w:color w:val="auto"/>
          <w:szCs w:val="28"/>
        </w:rPr>
        <w:fldChar w:fldCharType="separate"/>
      </w:r>
      <w:r>
        <w:rPr>
          <w:rFonts w:hint="eastAsia"/>
          <w:color w:val="auto"/>
          <w:szCs w:val="28"/>
        </w:rPr>
        <w:t>⑤</w:t>
      </w:r>
      <w:r>
        <w:rPr>
          <w:color w:val="auto"/>
          <w:szCs w:val="28"/>
        </w:rPr>
        <w:fldChar w:fldCharType="end"/>
      </w:r>
      <w:r>
        <w:rPr>
          <w:color w:val="auto"/>
          <w:szCs w:val="28"/>
        </w:rPr>
        <w:t xml:space="preserve"> </w:t>
      </w:r>
      <w:r>
        <w:rPr>
          <w:rFonts w:hint="eastAsia"/>
          <w:color w:val="auto"/>
          <w:szCs w:val="28"/>
        </w:rPr>
        <w:t>积极开展事故后的生产恢复工作。应急响应流程图见附件3。</w:t>
      </w:r>
    </w:p>
    <w:bookmarkEnd w:id="123"/>
    <w:p>
      <w:pPr>
        <w:pStyle w:val="3"/>
        <w:rPr>
          <w:color w:val="auto"/>
        </w:rPr>
      </w:pPr>
      <w:bookmarkStart w:id="166" w:name="_Toc473217290"/>
      <w:bookmarkStart w:id="167" w:name="_Toc408566550"/>
      <w:bookmarkStart w:id="168" w:name="_Toc365671811"/>
      <w:bookmarkStart w:id="169" w:name="_Toc490845210"/>
      <w:bookmarkStart w:id="170" w:name="_Toc6238"/>
      <w:bookmarkStart w:id="171" w:name="_Toc373756829"/>
      <w:bookmarkStart w:id="172" w:name="_Toc373756835"/>
      <w:bookmarkStart w:id="173" w:name="_Toc365671817"/>
      <w:bookmarkStart w:id="174" w:name="_Toc408566556"/>
      <w:r>
        <w:rPr>
          <w:color w:val="auto"/>
        </w:rPr>
        <w:t>7 后期处置</w:t>
      </w:r>
      <w:bookmarkEnd w:id="166"/>
      <w:bookmarkEnd w:id="167"/>
      <w:bookmarkEnd w:id="168"/>
      <w:bookmarkEnd w:id="169"/>
      <w:bookmarkEnd w:id="170"/>
      <w:bookmarkEnd w:id="171"/>
    </w:p>
    <w:p>
      <w:pPr>
        <w:pStyle w:val="4"/>
        <w:rPr>
          <w:color w:val="auto"/>
          <w:szCs w:val="28"/>
        </w:rPr>
      </w:pPr>
      <w:bookmarkStart w:id="175" w:name="_Toc373756830"/>
      <w:bookmarkStart w:id="176" w:name="_Toc365671812"/>
      <w:bookmarkStart w:id="177" w:name="_Toc408566551"/>
      <w:bookmarkStart w:id="178" w:name="_Toc24135"/>
      <w:bookmarkStart w:id="179" w:name="_Toc490845211"/>
      <w:bookmarkStart w:id="180" w:name="_Toc473217291"/>
      <w:r>
        <w:rPr>
          <w:color w:val="auto"/>
          <w:szCs w:val="28"/>
        </w:rPr>
        <w:t>7.1 善后</w:t>
      </w:r>
      <w:bookmarkEnd w:id="175"/>
      <w:bookmarkEnd w:id="176"/>
      <w:bookmarkEnd w:id="177"/>
      <w:r>
        <w:rPr>
          <w:color w:val="auto"/>
          <w:szCs w:val="28"/>
        </w:rPr>
        <w:t>处置</w:t>
      </w:r>
      <w:bookmarkEnd w:id="178"/>
      <w:bookmarkEnd w:id="179"/>
      <w:bookmarkEnd w:id="180"/>
    </w:p>
    <w:p>
      <w:pPr>
        <w:autoSpaceDE w:val="0"/>
        <w:autoSpaceDN w:val="0"/>
        <w:ind w:firstLine="560"/>
        <w:rPr>
          <w:color w:val="auto"/>
          <w:szCs w:val="28"/>
        </w:rPr>
      </w:pPr>
      <w:r>
        <w:rPr>
          <w:color w:val="auto"/>
          <w:szCs w:val="28"/>
        </w:rPr>
        <w:t>应急监测</w:t>
      </w:r>
      <w:r>
        <w:rPr>
          <w:rFonts w:hint="eastAsia"/>
          <w:color w:val="auto"/>
          <w:szCs w:val="28"/>
        </w:rPr>
        <w:t>组</w:t>
      </w:r>
      <w:r>
        <w:rPr>
          <w:color w:val="auto"/>
          <w:szCs w:val="28"/>
        </w:rPr>
        <w:t>及</w:t>
      </w:r>
      <w:r>
        <w:rPr>
          <w:rFonts w:hint="eastAsia"/>
          <w:color w:val="auto"/>
          <w:szCs w:val="28"/>
        </w:rPr>
        <w:t>后勤保障组</w:t>
      </w:r>
      <w:r>
        <w:rPr>
          <w:color w:val="auto"/>
          <w:szCs w:val="28"/>
        </w:rPr>
        <w:t>要积极稳妥、深入细致地做好善后处置工作。。</w:t>
      </w:r>
      <w:r>
        <w:rPr>
          <w:rFonts w:hint="eastAsia"/>
          <w:color w:val="auto"/>
          <w:szCs w:val="28"/>
        </w:rPr>
        <w:t>善后处理工作包括人员安置、补偿、征用物资补偿、污染物收集、清理与处理等工作。对突发事件中的伤亡人员，要按照规定给与补助或补偿。如果物资、通讯等组的善后处理力量不足，应在总指挥领导下，抽调人员统一处置。相关部门要按照规定及时调拨救助物资，做好疫病防治和环境污染消除等后续工作。</w:t>
      </w:r>
    </w:p>
    <w:p>
      <w:pPr>
        <w:pStyle w:val="4"/>
        <w:rPr>
          <w:color w:val="auto"/>
          <w:szCs w:val="28"/>
        </w:rPr>
      </w:pPr>
      <w:bookmarkStart w:id="181" w:name="_Toc473217292"/>
      <w:bookmarkStart w:id="182" w:name="_Toc490845212"/>
      <w:bookmarkStart w:id="183" w:name="_Toc16909"/>
      <w:r>
        <w:rPr>
          <w:color w:val="auto"/>
          <w:szCs w:val="28"/>
        </w:rPr>
        <w:t xml:space="preserve">7.2 </w:t>
      </w:r>
      <w:bookmarkEnd w:id="181"/>
      <w:bookmarkEnd w:id="182"/>
      <w:r>
        <w:rPr>
          <w:rFonts w:hint="eastAsia"/>
          <w:color w:val="auto"/>
          <w:szCs w:val="28"/>
        </w:rPr>
        <w:t>警戒与治安</w:t>
      </w:r>
      <w:bookmarkEnd w:id="183"/>
    </w:p>
    <w:p>
      <w:pPr>
        <w:ind w:firstLine="560"/>
        <w:rPr>
          <w:color w:val="auto"/>
          <w:szCs w:val="28"/>
        </w:rPr>
      </w:pPr>
      <w:bookmarkStart w:id="184" w:name="_Toc408566554"/>
      <w:bookmarkStart w:id="185" w:name="_Toc373756833"/>
      <w:bookmarkStart w:id="186" w:name="_Toc365671815"/>
      <w:r>
        <w:rPr>
          <w:rFonts w:hint="eastAsia"/>
          <w:color w:val="auto"/>
          <w:szCs w:val="28"/>
        </w:rPr>
        <w:t>应急处置过程中，现场救援的同时必须做好事故现场保护工作，迅速采取必要措施，抢救人员和财产。因抢救伤员、防止事故扩大以及疏通交通等原因需要移动现场物件时，应当尽可能做出标志、拍照、详细记录和绘制事故现场图，妥善保存现场重要痕迹、物证等。</w:t>
      </w:r>
    </w:p>
    <w:p>
      <w:pPr>
        <w:ind w:firstLine="560"/>
        <w:rPr>
          <w:color w:val="auto"/>
          <w:szCs w:val="28"/>
        </w:rPr>
      </w:pPr>
      <w:r>
        <w:rPr>
          <w:rFonts w:hint="eastAsia"/>
          <w:color w:val="auto"/>
          <w:szCs w:val="28"/>
        </w:rPr>
        <w:t>突发事件发生后，现场指挥人员应保持镇静，现场救援本着“先控制、后处置、救人第一、减少损失”的原则，果断处理，积极抢救，指导现场人员离开危险区域，维护好现场秩序，组织有序疏散，防止惊慌造成挤伤、踩伤等事故。疏散较为困难时，更应沉着冷静，不可采取莽撞措施。</w:t>
      </w:r>
    </w:p>
    <w:p>
      <w:pPr>
        <w:ind w:firstLine="560"/>
        <w:rPr>
          <w:color w:val="auto"/>
          <w:szCs w:val="28"/>
        </w:rPr>
      </w:pPr>
      <w:r>
        <w:rPr>
          <w:rFonts w:hint="eastAsia"/>
          <w:color w:val="auto"/>
          <w:kern w:val="0"/>
          <w:szCs w:val="28"/>
          <w:lang w:bidi="ar"/>
        </w:rPr>
        <w:t>通讯联络组</w:t>
      </w:r>
      <w:r>
        <w:rPr>
          <w:rFonts w:hint="eastAsia"/>
          <w:color w:val="auto"/>
          <w:szCs w:val="28"/>
        </w:rPr>
        <w:t>负责或协助当地公安部门、应急救援部门、医疗救护部门等维持警戒，协助当地公安、交通部门维持疏导交通或实施管制；禁止无关人员靠近突发事件发生地点。</w:t>
      </w:r>
    </w:p>
    <w:p>
      <w:pPr>
        <w:pStyle w:val="4"/>
        <w:rPr>
          <w:color w:val="auto"/>
        </w:rPr>
      </w:pPr>
      <w:bookmarkStart w:id="187" w:name="_Toc4201"/>
      <w:r>
        <w:rPr>
          <w:rFonts w:hint="eastAsia"/>
          <w:color w:val="auto"/>
        </w:rPr>
        <w:t>7.3 二次生灾害防范</w:t>
      </w:r>
      <w:bookmarkEnd w:id="187"/>
    </w:p>
    <w:p>
      <w:pPr>
        <w:ind w:firstLine="560"/>
        <w:rPr>
          <w:color w:val="auto"/>
          <w:szCs w:val="28"/>
        </w:rPr>
      </w:pPr>
      <w:r>
        <w:rPr>
          <w:rFonts w:hint="eastAsia"/>
          <w:color w:val="auto"/>
          <w:szCs w:val="28"/>
        </w:rPr>
        <w:t>为防止大气污染造成次生灾害，应采取以下措施：</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w:t>
      </w:r>
      <w:r>
        <w:rPr>
          <w:rFonts w:hint="eastAsia"/>
          <w:color w:val="auto"/>
          <w:szCs w:val="28"/>
        </w:rPr>
        <w:t>对受污染影响村民点进行大气监测，直到污染影响完全消除之后恢复正常生产生活。</w:t>
      </w:r>
    </w:p>
    <w:p>
      <w:pPr>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2 \* GB2</w:instrText>
      </w:r>
      <w:r>
        <w:rPr>
          <w:color w:val="auto"/>
          <w:szCs w:val="28"/>
        </w:rPr>
        <w:instrText xml:space="preserve"> </w:instrText>
      </w:r>
      <w:r>
        <w:rPr>
          <w:color w:val="auto"/>
          <w:szCs w:val="28"/>
        </w:rPr>
        <w:fldChar w:fldCharType="separate"/>
      </w:r>
      <w:r>
        <w:rPr>
          <w:rFonts w:hint="eastAsia"/>
          <w:color w:val="auto"/>
          <w:szCs w:val="28"/>
        </w:rPr>
        <w:t>⑵</w:t>
      </w:r>
      <w:r>
        <w:rPr>
          <w:color w:val="auto"/>
          <w:szCs w:val="28"/>
        </w:rPr>
        <w:fldChar w:fldCharType="end"/>
      </w:r>
      <w:r>
        <w:rPr>
          <w:color w:val="auto"/>
          <w:szCs w:val="28"/>
        </w:rPr>
        <w:t xml:space="preserve"> </w:t>
      </w:r>
      <w:r>
        <w:rPr>
          <w:rFonts w:hint="eastAsia"/>
          <w:color w:val="auto"/>
          <w:szCs w:val="28"/>
        </w:rPr>
        <w:t>对火灾事故现场进行除险加固和密切监控，防止灭火过程中处置不当发生二次事故。</w:t>
      </w:r>
    </w:p>
    <w:p>
      <w:pPr>
        <w:pStyle w:val="39"/>
        <w:snapToGrid/>
        <w:spacing w:after="0"/>
        <w:ind w:left="0" w:leftChars="0" w:firstLine="560"/>
        <w:rPr>
          <w:color w:val="auto"/>
          <w:sz w:val="28"/>
          <w:szCs w:val="28"/>
        </w:rPr>
      </w:pPr>
      <w:r>
        <w:rPr>
          <w:rFonts w:hint="eastAsia"/>
          <w:color w:val="auto"/>
          <w:sz w:val="28"/>
          <w:szCs w:val="28"/>
        </w:rPr>
        <w:t>公司发生突发性环境污染事件后，应急救援指挥部应组织人员制定次生灾害防范措施，并制定监测方案、现场人员撤离方案，防止人员中毒或引发次生环境污染事件。</w:t>
      </w:r>
    </w:p>
    <w:p>
      <w:pPr>
        <w:pStyle w:val="4"/>
        <w:rPr>
          <w:color w:val="auto"/>
          <w:szCs w:val="28"/>
        </w:rPr>
      </w:pPr>
      <w:bookmarkStart w:id="188" w:name="_Toc490845213"/>
      <w:bookmarkStart w:id="189" w:name="_Toc10685"/>
      <w:bookmarkStart w:id="190" w:name="_Toc473217293"/>
      <w:r>
        <w:rPr>
          <w:color w:val="auto"/>
          <w:szCs w:val="28"/>
        </w:rPr>
        <w:t>7.</w:t>
      </w:r>
      <w:r>
        <w:rPr>
          <w:rFonts w:hint="eastAsia"/>
          <w:color w:val="auto"/>
          <w:szCs w:val="28"/>
        </w:rPr>
        <w:t>4</w:t>
      </w:r>
      <w:r>
        <w:rPr>
          <w:color w:val="auto"/>
          <w:szCs w:val="28"/>
        </w:rPr>
        <w:t>调查与评估</w:t>
      </w:r>
      <w:bookmarkEnd w:id="184"/>
      <w:bookmarkEnd w:id="185"/>
      <w:bookmarkEnd w:id="186"/>
      <w:bookmarkEnd w:id="188"/>
      <w:bookmarkEnd w:id="189"/>
      <w:bookmarkEnd w:id="190"/>
    </w:p>
    <w:p>
      <w:pPr>
        <w:ind w:firstLine="560"/>
        <w:rPr>
          <w:color w:val="auto"/>
          <w:szCs w:val="28"/>
        </w:rPr>
      </w:pPr>
      <w:r>
        <w:rPr>
          <w:rFonts w:hint="eastAsia"/>
          <w:color w:val="auto"/>
          <w:szCs w:val="28"/>
        </w:rPr>
        <w:t>⑴</w:t>
      </w:r>
      <w:r>
        <w:rPr>
          <w:color w:val="auto"/>
          <w:szCs w:val="28"/>
        </w:rPr>
        <w:t>发生环境污染事故后，总指挥应组织对事故起因、性质、影响、责任、经验教训或恢复运营等问题进行调查，并在宣布应急结束后及时向当地人民政府及当地</w:t>
      </w:r>
      <w:r>
        <w:rPr>
          <w:rFonts w:hint="eastAsia"/>
          <w:color w:val="auto"/>
          <w:szCs w:val="28"/>
        </w:rPr>
        <w:t>生态环境部门</w:t>
      </w:r>
      <w:r>
        <w:rPr>
          <w:color w:val="auto"/>
          <w:szCs w:val="28"/>
        </w:rPr>
        <w:t>等相关应急部门提交事件调查报告。</w:t>
      </w:r>
    </w:p>
    <w:p>
      <w:pPr>
        <w:autoSpaceDE w:val="0"/>
        <w:autoSpaceDN w:val="0"/>
        <w:ind w:firstLine="560"/>
        <w:rPr>
          <w:b/>
          <w:color w:val="auto"/>
          <w:szCs w:val="28"/>
        </w:rPr>
      </w:pPr>
      <w:r>
        <w:rPr>
          <w:rFonts w:hint="eastAsia"/>
          <w:color w:val="auto"/>
          <w:szCs w:val="28"/>
        </w:rPr>
        <w:t>⑵</w:t>
      </w:r>
      <w:r>
        <w:rPr>
          <w:color w:val="auto"/>
          <w:szCs w:val="28"/>
        </w:rPr>
        <w:t>总指挥组织召开事件现场会，深刻反思，认真吸取事故教训，举一反三，开展环境、安全大检查，立即对环境、安全隐患进行整改，采取强有力措施，确保安全运行。</w:t>
      </w:r>
    </w:p>
    <w:p>
      <w:pPr>
        <w:pStyle w:val="4"/>
        <w:rPr>
          <w:color w:val="auto"/>
          <w:szCs w:val="28"/>
        </w:rPr>
      </w:pPr>
      <w:bookmarkStart w:id="191" w:name="_Toc473217294"/>
      <w:bookmarkStart w:id="192" w:name="_Toc373756834"/>
      <w:bookmarkStart w:id="193" w:name="_Toc15419"/>
      <w:bookmarkStart w:id="194" w:name="_Toc408566555"/>
      <w:bookmarkStart w:id="195" w:name="_Toc365671816"/>
      <w:bookmarkStart w:id="196" w:name="_Toc490845214"/>
      <w:r>
        <w:rPr>
          <w:color w:val="auto"/>
          <w:szCs w:val="28"/>
        </w:rPr>
        <w:t>7.</w:t>
      </w:r>
      <w:r>
        <w:rPr>
          <w:rFonts w:hint="eastAsia"/>
          <w:color w:val="auto"/>
          <w:szCs w:val="28"/>
        </w:rPr>
        <w:t>5</w:t>
      </w:r>
      <w:r>
        <w:rPr>
          <w:color w:val="auto"/>
          <w:szCs w:val="28"/>
        </w:rPr>
        <w:t xml:space="preserve"> 生产秩序恢复重建</w:t>
      </w:r>
      <w:bookmarkEnd w:id="191"/>
      <w:bookmarkEnd w:id="192"/>
      <w:bookmarkEnd w:id="193"/>
      <w:bookmarkEnd w:id="194"/>
      <w:bookmarkEnd w:id="195"/>
      <w:bookmarkEnd w:id="196"/>
    </w:p>
    <w:p>
      <w:pPr>
        <w:autoSpaceDE w:val="0"/>
        <w:autoSpaceDN w:val="0"/>
        <w:ind w:firstLine="560"/>
        <w:rPr>
          <w:color w:val="auto"/>
          <w:szCs w:val="28"/>
        </w:rPr>
      </w:pPr>
      <w:r>
        <w:rPr>
          <w:color w:val="auto"/>
          <w:szCs w:val="28"/>
        </w:rPr>
        <w:t>应急救援结束后，</w:t>
      </w:r>
      <w:r>
        <w:rPr>
          <w:rFonts w:hint="eastAsia"/>
          <w:color w:val="auto"/>
          <w:szCs w:val="28"/>
        </w:rPr>
        <w:t>应急救援指挥部成立设施恢复小组，，制定设施恢复方案，</w:t>
      </w:r>
      <w:r>
        <w:rPr>
          <w:color w:val="auto"/>
          <w:szCs w:val="28"/>
        </w:rPr>
        <w:t>负责具体实施生产秩序恢复，并按照当地</w:t>
      </w:r>
      <w:r>
        <w:rPr>
          <w:rFonts w:hint="eastAsia"/>
          <w:color w:val="auto"/>
          <w:szCs w:val="28"/>
          <w:lang w:eastAsia="zh-CN"/>
        </w:rPr>
        <w:t>管委会</w:t>
      </w:r>
      <w:r>
        <w:rPr>
          <w:color w:val="auto"/>
          <w:szCs w:val="28"/>
        </w:rPr>
        <w:t>和当地</w:t>
      </w:r>
      <w:r>
        <w:rPr>
          <w:rFonts w:hint="eastAsia"/>
          <w:color w:val="auto"/>
          <w:szCs w:val="28"/>
        </w:rPr>
        <w:t>生态环境部门</w:t>
      </w:r>
      <w:r>
        <w:rPr>
          <w:color w:val="auto"/>
          <w:szCs w:val="28"/>
        </w:rPr>
        <w:t>的要求开展恢复重建工作。</w:t>
      </w:r>
    </w:p>
    <w:p>
      <w:pPr>
        <w:autoSpaceDE w:val="0"/>
        <w:autoSpaceDN w:val="0"/>
        <w:ind w:firstLine="560"/>
        <w:rPr>
          <w:color w:val="auto"/>
          <w:szCs w:val="28"/>
        </w:rPr>
        <w:sectPr>
          <w:pgSz w:w="11906" w:h="16838"/>
          <w:pgMar w:top="1440" w:right="1440" w:bottom="1440" w:left="1440" w:header="851" w:footer="992" w:gutter="0"/>
          <w:pgNumType w:fmt="numberInDash"/>
          <w:cols w:space="720" w:num="1"/>
          <w:docGrid w:linePitch="381" w:charSpace="0"/>
        </w:sectPr>
      </w:pPr>
      <w:r>
        <w:rPr>
          <w:color w:val="auto"/>
          <w:szCs w:val="28"/>
        </w:rPr>
        <w:t>针对突发环境事件的污染特征，应急监测及</w:t>
      </w:r>
      <w:r>
        <w:rPr>
          <w:rFonts w:hint="eastAsia"/>
          <w:color w:val="auto"/>
          <w:szCs w:val="28"/>
        </w:rPr>
        <w:t>后勤保障组</w:t>
      </w:r>
      <w:r>
        <w:rPr>
          <w:color w:val="auto"/>
          <w:szCs w:val="28"/>
        </w:rPr>
        <w:t>对污染场地进行清理净化、排放的废物进行处理处置，恢复受影响区域的环境质量和生态功能；对损坏的环保设施和相关设备进行维修，经检测检验合格后方可恢复投入使用；根据事故对环境造成的影响程度，制定环境监测计划，进行环境的跟踪监测。</w:t>
      </w:r>
    </w:p>
    <w:bookmarkEnd w:id="172"/>
    <w:bookmarkEnd w:id="173"/>
    <w:bookmarkEnd w:id="174"/>
    <w:p>
      <w:pPr>
        <w:pStyle w:val="3"/>
        <w:rPr>
          <w:bCs/>
          <w:color w:val="auto"/>
          <w:szCs w:val="30"/>
        </w:rPr>
      </w:pPr>
      <w:bookmarkStart w:id="197" w:name="_Toc490845215"/>
      <w:bookmarkStart w:id="198" w:name="_Toc483323724"/>
      <w:bookmarkStart w:id="199" w:name="_Toc26176"/>
      <w:bookmarkStart w:id="200" w:name="_Toc373756844"/>
      <w:bookmarkStart w:id="201" w:name="_Toc408566565"/>
      <w:bookmarkStart w:id="202" w:name="_Toc365671826"/>
      <w:r>
        <w:rPr>
          <w:bCs/>
          <w:color w:val="auto"/>
          <w:szCs w:val="30"/>
        </w:rPr>
        <w:t>8 应急保障</w:t>
      </w:r>
      <w:bookmarkEnd w:id="197"/>
      <w:bookmarkEnd w:id="198"/>
      <w:bookmarkEnd w:id="199"/>
    </w:p>
    <w:p>
      <w:pPr>
        <w:pStyle w:val="4"/>
        <w:rPr>
          <w:color w:val="auto"/>
          <w:szCs w:val="28"/>
        </w:rPr>
      </w:pPr>
      <w:bookmarkStart w:id="203" w:name="_Toc483323725"/>
      <w:bookmarkStart w:id="204" w:name="_Toc373756836"/>
      <w:bookmarkStart w:id="205" w:name="_Toc365671818"/>
      <w:bookmarkStart w:id="206" w:name="_Toc490845216"/>
      <w:bookmarkStart w:id="207" w:name="_Toc475104571"/>
      <w:bookmarkStart w:id="208" w:name="_Toc3295"/>
      <w:bookmarkStart w:id="209" w:name="_Toc458699566"/>
      <w:bookmarkStart w:id="210" w:name="_Toc474770021"/>
      <w:bookmarkStart w:id="211" w:name="_Toc408566557"/>
      <w:r>
        <w:rPr>
          <w:color w:val="auto"/>
          <w:szCs w:val="28"/>
        </w:rPr>
        <w:t>8.1 人力资源保障</w:t>
      </w:r>
      <w:bookmarkEnd w:id="203"/>
      <w:bookmarkEnd w:id="204"/>
      <w:bookmarkEnd w:id="205"/>
      <w:bookmarkEnd w:id="206"/>
      <w:bookmarkEnd w:id="207"/>
      <w:bookmarkEnd w:id="208"/>
      <w:bookmarkEnd w:id="209"/>
      <w:bookmarkEnd w:id="210"/>
      <w:bookmarkEnd w:id="211"/>
    </w:p>
    <w:p>
      <w:pPr>
        <w:ind w:firstLine="560"/>
        <w:rPr>
          <w:color w:val="auto"/>
          <w:szCs w:val="28"/>
        </w:rPr>
      </w:pPr>
      <w:r>
        <w:rPr>
          <w:color w:val="auto"/>
          <w:szCs w:val="28"/>
        </w:rPr>
        <w:t>应急指挥部会同应急办公室指导协调各部门加强应急救援队伍的业务培训和应急演练，建立联动协调机制，提高装备水平；加强职工群众应急队伍建设。</w:t>
      </w:r>
    </w:p>
    <w:p>
      <w:pPr>
        <w:ind w:firstLine="560"/>
        <w:rPr>
          <w:b/>
          <w:color w:val="auto"/>
          <w:szCs w:val="28"/>
        </w:rPr>
      </w:pPr>
      <w:r>
        <w:rPr>
          <w:color w:val="auto"/>
          <w:szCs w:val="28"/>
        </w:rPr>
        <w:t>以现有生产单位为主体，充分发挥基层单位应急救援第一响应者的作用，将日常生产、应急演练与应急救援工作相结合。充分利用现有专业救援力量，引导、鼓励实现一队多能，一人多长，培育和发挥辅助应急救援力量的作用。经过每年的应急演练及日常生产中的锻炼，使各部门具备较强的事故应急处置能力。</w:t>
      </w:r>
    </w:p>
    <w:p>
      <w:pPr>
        <w:pStyle w:val="4"/>
        <w:rPr>
          <w:color w:val="auto"/>
          <w:szCs w:val="28"/>
        </w:rPr>
      </w:pPr>
      <w:bookmarkStart w:id="212" w:name="_Toc474770022"/>
      <w:bookmarkStart w:id="213" w:name="_Toc458699567"/>
      <w:bookmarkStart w:id="214" w:name="_Toc475104572"/>
      <w:bookmarkStart w:id="215" w:name="_Toc3944"/>
      <w:bookmarkStart w:id="216" w:name="_Toc365671819"/>
      <w:bookmarkStart w:id="217" w:name="_Toc408566558"/>
      <w:bookmarkStart w:id="218" w:name="_Toc490845217"/>
      <w:bookmarkStart w:id="219" w:name="_Toc373756837"/>
      <w:bookmarkStart w:id="220" w:name="_Toc483323726"/>
      <w:r>
        <w:rPr>
          <w:color w:val="auto"/>
          <w:szCs w:val="28"/>
        </w:rPr>
        <w:t>8.2 资金保障</w:t>
      </w:r>
      <w:bookmarkEnd w:id="212"/>
      <w:bookmarkEnd w:id="213"/>
      <w:bookmarkEnd w:id="214"/>
      <w:bookmarkEnd w:id="215"/>
      <w:bookmarkEnd w:id="216"/>
      <w:bookmarkEnd w:id="217"/>
      <w:bookmarkEnd w:id="218"/>
      <w:bookmarkEnd w:id="219"/>
      <w:bookmarkEnd w:id="220"/>
    </w:p>
    <w:p>
      <w:pPr>
        <w:ind w:firstLine="560"/>
        <w:rPr>
          <w:color w:val="auto"/>
          <w:szCs w:val="28"/>
        </w:rPr>
      </w:pPr>
      <w:r>
        <w:rPr>
          <w:color w:val="auto"/>
          <w:szCs w:val="28"/>
        </w:rPr>
        <w:t>突发环境事件的应急处理所需经费，包括仪器装备、交通车辆、应急咨询、应急演练、人员防护设备等的配置的</w:t>
      </w:r>
      <w:r>
        <w:rPr>
          <w:rFonts w:hint="eastAsia"/>
          <w:color w:val="auto"/>
          <w:szCs w:val="28"/>
        </w:rPr>
        <w:t>运行</w:t>
      </w:r>
      <w:r>
        <w:rPr>
          <w:color w:val="auto"/>
          <w:szCs w:val="28"/>
        </w:rPr>
        <w:t>经费，由会计支出解决，专款专用，所需经费列入预算，保障应急状态时应急经费的及时到位。</w:t>
      </w:r>
      <w:r>
        <w:rPr>
          <w:rFonts w:hint="eastAsia"/>
          <w:color w:val="auto"/>
          <w:szCs w:val="28"/>
        </w:rPr>
        <w:t>发生突发环境事件时，总指挥有权调动应急经费，</w:t>
      </w:r>
      <w:r>
        <w:rPr>
          <w:color w:val="auto"/>
          <w:szCs w:val="28"/>
        </w:rPr>
        <w:t>专职领导要对应急保障资金使用和效果进行监督。</w:t>
      </w:r>
    </w:p>
    <w:p>
      <w:pPr>
        <w:pStyle w:val="4"/>
        <w:rPr>
          <w:color w:val="auto"/>
          <w:szCs w:val="28"/>
        </w:rPr>
      </w:pPr>
      <w:bookmarkStart w:id="221" w:name="_Toc490845218"/>
      <w:bookmarkStart w:id="222" w:name="_Toc365671820"/>
      <w:bookmarkStart w:id="223" w:name="_Toc14158"/>
      <w:bookmarkStart w:id="224" w:name="_Toc408566559"/>
      <w:bookmarkStart w:id="225" w:name="_Toc474770023"/>
      <w:bookmarkStart w:id="226" w:name="_Toc475104573"/>
      <w:bookmarkStart w:id="227" w:name="_Toc458699568"/>
      <w:bookmarkStart w:id="228" w:name="_Toc373756838"/>
      <w:bookmarkStart w:id="229" w:name="_Toc483323727"/>
      <w:r>
        <w:rPr>
          <w:color w:val="auto"/>
          <w:szCs w:val="28"/>
        </w:rPr>
        <w:t>8.3 物资保障</w:t>
      </w:r>
      <w:bookmarkEnd w:id="221"/>
      <w:bookmarkEnd w:id="222"/>
      <w:bookmarkEnd w:id="223"/>
      <w:bookmarkEnd w:id="224"/>
      <w:bookmarkEnd w:id="225"/>
      <w:bookmarkEnd w:id="226"/>
      <w:bookmarkEnd w:id="227"/>
      <w:bookmarkEnd w:id="228"/>
      <w:bookmarkEnd w:id="229"/>
    </w:p>
    <w:p>
      <w:pPr>
        <w:ind w:firstLine="560"/>
        <w:rPr>
          <w:color w:val="auto"/>
          <w:szCs w:val="28"/>
        </w:rPr>
      </w:pPr>
      <w:r>
        <w:rPr>
          <w:color w:val="auto"/>
          <w:szCs w:val="28"/>
        </w:rPr>
        <w:t>按照应急需要，建立科学规划、统一建设、平时分开管理、用时统一调度的应急物资储备保障体系，由</w:t>
      </w:r>
      <w:r>
        <w:rPr>
          <w:rFonts w:hint="eastAsia"/>
          <w:color w:val="auto"/>
          <w:szCs w:val="28"/>
        </w:rPr>
        <w:t>后勤保障组</w:t>
      </w:r>
      <w:r>
        <w:rPr>
          <w:color w:val="auto"/>
          <w:szCs w:val="28"/>
        </w:rPr>
        <w:t>具体负责应急物资储备的综合管理工作。要完善应急工作程序，确保应急所需物资的及时供应，并加强对物资储备的监督管理，及时进行补充和更新。</w:t>
      </w:r>
    </w:p>
    <w:p>
      <w:pPr>
        <w:ind w:firstLine="560"/>
        <w:rPr>
          <w:color w:val="auto"/>
          <w:szCs w:val="28"/>
        </w:rPr>
      </w:pPr>
      <w:r>
        <w:rPr>
          <w:color w:val="auto"/>
          <w:szCs w:val="28"/>
        </w:rPr>
        <w:t>应急物资应采用靠近原则放置，在可能发生事故的场所专门划定区域存放，保证现场应急处理的人员在第一时间内启用。</w:t>
      </w:r>
    </w:p>
    <w:p>
      <w:pPr>
        <w:ind w:firstLine="560"/>
        <w:rPr>
          <w:color w:val="auto"/>
          <w:szCs w:val="28"/>
        </w:rPr>
      </w:pPr>
      <w:r>
        <w:rPr>
          <w:color w:val="auto"/>
          <w:szCs w:val="28"/>
        </w:rPr>
        <w:t>突发环境事件应急救援设施（备）包括医疗救护仪器药品、个人防护装备器材、堵漏器材和应急交通工具等。应急物资储备清单及分布图见附件</w:t>
      </w:r>
      <w:r>
        <w:rPr>
          <w:rFonts w:hint="eastAsia"/>
          <w:color w:val="auto"/>
          <w:szCs w:val="28"/>
        </w:rPr>
        <w:t>8</w:t>
      </w:r>
      <w:r>
        <w:rPr>
          <w:color w:val="auto"/>
          <w:szCs w:val="28"/>
        </w:rPr>
        <w:t>。</w:t>
      </w:r>
    </w:p>
    <w:p>
      <w:pPr>
        <w:pStyle w:val="4"/>
        <w:rPr>
          <w:color w:val="auto"/>
          <w:szCs w:val="28"/>
        </w:rPr>
      </w:pPr>
      <w:bookmarkStart w:id="230" w:name="_Toc458699569"/>
      <w:bookmarkStart w:id="231" w:name="_Toc408566560"/>
      <w:bookmarkStart w:id="232" w:name="_Toc373756839"/>
      <w:bookmarkStart w:id="233" w:name="_Toc475104574"/>
      <w:bookmarkStart w:id="234" w:name="_Toc365671821"/>
      <w:bookmarkStart w:id="235" w:name="_Toc483323728"/>
      <w:bookmarkStart w:id="236" w:name="_Toc490845219"/>
      <w:bookmarkStart w:id="237" w:name="_Toc14601"/>
      <w:bookmarkStart w:id="238" w:name="_Toc474770024"/>
      <w:r>
        <w:rPr>
          <w:color w:val="auto"/>
          <w:szCs w:val="28"/>
        </w:rPr>
        <w:t>8.4 医疗卫生保障</w:t>
      </w:r>
      <w:bookmarkEnd w:id="230"/>
      <w:bookmarkEnd w:id="231"/>
      <w:bookmarkEnd w:id="232"/>
      <w:bookmarkEnd w:id="233"/>
      <w:bookmarkEnd w:id="234"/>
      <w:bookmarkEnd w:id="235"/>
      <w:bookmarkEnd w:id="236"/>
      <w:bookmarkEnd w:id="237"/>
      <w:bookmarkEnd w:id="238"/>
    </w:p>
    <w:p>
      <w:pPr>
        <w:ind w:firstLine="560"/>
        <w:rPr>
          <w:color w:val="auto"/>
          <w:szCs w:val="28"/>
        </w:rPr>
      </w:pPr>
      <w:bookmarkStart w:id="239" w:name="_Toc408566561"/>
      <w:bookmarkStart w:id="240" w:name="_Toc373756840"/>
      <w:bookmarkStart w:id="241" w:name="_Toc474770025"/>
      <w:bookmarkStart w:id="242" w:name="_Toc458699570"/>
      <w:bookmarkStart w:id="243" w:name="_Toc365671822"/>
      <w:r>
        <w:rPr>
          <w:rFonts w:hint="eastAsia"/>
          <w:color w:val="auto"/>
          <w:kern w:val="0"/>
          <w:szCs w:val="28"/>
          <w:lang w:bidi="ar"/>
        </w:rPr>
        <w:t>后勤保障组</w:t>
      </w:r>
      <w:r>
        <w:rPr>
          <w:color w:val="auto"/>
          <w:szCs w:val="28"/>
        </w:rPr>
        <w:t>必须根据应急预案，建立完善医疗卫生应急保障系统，根据需要及时赶赴现场开展医疗救治、疾病预防控制等卫生应急工作。企业医疗救护任务依托医院及附近乡镇医院负责事故伤员的急救工作，为事件应急救援提供医疗救护方面的技术支持，并定期请医疗专家对人员进行医疗救护知识专项培训工作。</w:t>
      </w:r>
    </w:p>
    <w:bookmarkEnd w:id="239"/>
    <w:bookmarkEnd w:id="240"/>
    <w:bookmarkEnd w:id="241"/>
    <w:bookmarkEnd w:id="242"/>
    <w:bookmarkEnd w:id="243"/>
    <w:p>
      <w:pPr>
        <w:pStyle w:val="4"/>
        <w:rPr>
          <w:color w:val="auto"/>
          <w:szCs w:val="28"/>
        </w:rPr>
      </w:pPr>
      <w:bookmarkStart w:id="244" w:name="_Toc469996962"/>
      <w:bookmarkStart w:id="245" w:name="_Toc475104575"/>
      <w:bookmarkStart w:id="246" w:name="_Toc490845220"/>
      <w:bookmarkStart w:id="247" w:name="_Toc483323729"/>
      <w:bookmarkStart w:id="248" w:name="_Toc28612"/>
      <w:r>
        <w:rPr>
          <w:color w:val="auto"/>
          <w:szCs w:val="28"/>
        </w:rPr>
        <w:t>8.5 交通运输保障</w:t>
      </w:r>
      <w:bookmarkEnd w:id="244"/>
      <w:bookmarkEnd w:id="245"/>
      <w:bookmarkEnd w:id="246"/>
      <w:bookmarkEnd w:id="247"/>
      <w:bookmarkEnd w:id="248"/>
    </w:p>
    <w:p>
      <w:pPr>
        <w:topLinePunct/>
        <w:autoSpaceDN w:val="0"/>
        <w:ind w:firstLine="560"/>
        <w:rPr>
          <w:color w:val="auto"/>
          <w:szCs w:val="28"/>
        </w:rPr>
      </w:pPr>
      <w:r>
        <w:rPr>
          <w:color w:val="auto"/>
          <w:szCs w:val="28"/>
        </w:rPr>
        <w:t>必须保证运送人员和救援物资的运输车辆的应急使用。</w:t>
      </w:r>
      <w:r>
        <w:rPr>
          <w:color w:val="auto"/>
          <w:kern w:val="0"/>
          <w:szCs w:val="28"/>
          <w:lang w:bidi="ar"/>
        </w:rPr>
        <w:t>发生特别重大事件后，应</w:t>
      </w:r>
      <w:r>
        <w:rPr>
          <w:rFonts w:hint="eastAsia"/>
          <w:color w:val="auto"/>
          <w:kern w:val="0"/>
          <w:szCs w:val="28"/>
          <w:lang w:bidi="ar"/>
        </w:rPr>
        <w:t>上报</w:t>
      </w:r>
      <w:r>
        <w:rPr>
          <w:color w:val="auto"/>
          <w:kern w:val="0"/>
          <w:szCs w:val="28"/>
          <w:lang w:bidi="ar"/>
        </w:rPr>
        <w:t>地方政府及时协调对事件现场进行交通管制，开设应急救援特别通道，最大限度的赢得抢险救援时间。</w:t>
      </w:r>
    </w:p>
    <w:p>
      <w:pPr>
        <w:pStyle w:val="4"/>
        <w:rPr>
          <w:color w:val="auto"/>
          <w:szCs w:val="28"/>
        </w:rPr>
      </w:pPr>
      <w:bookmarkStart w:id="249" w:name="_Toc475104576"/>
      <w:bookmarkStart w:id="250" w:name="_Toc373756841"/>
      <w:bookmarkStart w:id="251" w:name="_Toc365671823"/>
      <w:bookmarkStart w:id="252" w:name="_Toc469996963"/>
      <w:bookmarkStart w:id="253" w:name="_Toc408566562"/>
      <w:bookmarkStart w:id="254" w:name="_Toc490845221"/>
      <w:bookmarkStart w:id="255" w:name="_Toc483323730"/>
      <w:bookmarkStart w:id="256" w:name="_Toc24383"/>
      <w:r>
        <w:rPr>
          <w:color w:val="auto"/>
          <w:szCs w:val="28"/>
        </w:rPr>
        <w:t>8.6 治安维护</w:t>
      </w:r>
      <w:bookmarkEnd w:id="249"/>
      <w:bookmarkEnd w:id="250"/>
      <w:bookmarkEnd w:id="251"/>
      <w:bookmarkEnd w:id="252"/>
      <w:bookmarkEnd w:id="253"/>
      <w:bookmarkEnd w:id="254"/>
      <w:bookmarkEnd w:id="255"/>
      <w:bookmarkEnd w:id="256"/>
    </w:p>
    <w:p>
      <w:pPr>
        <w:topLinePunct/>
        <w:autoSpaceDN w:val="0"/>
        <w:ind w:firstLine="560"/>
        <w:jc w:val="left"/>
        <w:rPr>
          <w:color w:val="auto"/>
          <w:szCs w:val="28"/>
        </w:rPr>
      </w:pPr>
      <w:bookmarkStart w:id="257" w:name="_Toc469996964"/>
      <w:bookmarkStart w:id="258" w:name="_Toc483323731"/>
      <w:bookmarkStart w:id="259" w:name="_Toc475104577"/>
      <w:bookmarkStart w:id="260" w:name="_Toc373756842"/>
      <w:bookmarkStart w:id="261" w:name="_Toc365671824"/>
      <w:bookmarkStart w:id="262" w:name="_Toc490845222"/>
      <w:bookmarkStart w:id="263" w:name="_Toc408566563"/>
      <w:r>
        <w:rPr>
          <w:color w:val="auto"/>
          <w:kern w:val="0"/>
          <w:szCs w:val="28"/>
          <w:lang w:bidi="ar"/>
        </w:rPr>
        <w:t>治安维护工作由</w:t>
      </w:r>
      <w:r>
        <w:rPr>
          <w:rFonts w:hint="eastAsia"/>
          <w:color w:val="auto"/>
          <w:kern w:val="0"/>
          <w:szCs w:val="28"/>
          <w:lang w:bidi="ar"/>
        </w:rPr>
        <w:t>后勤保障组</w:t>
      </w:r>
      <w:r>
        <w:rPr>
          <w:color w:val="auto"/>
          <w:kern w:val="0"/>
          <w:szCs w:val="28"/>
          <w:lang w:bidi="ar"/>
        </w:rPr>
        <w:t>承担，确保抢险过程中的警戒与治安维护工作。同时，与</w:t>
      </w:r>
      <w:r>
        <w:rPr>
          <w:rFonts w:hint="eastAsia"/>
          <w:color w:val="auto"/>
          <w:kern w:val="0"/>
          <w:szCs w:val="28"/>
          <w:lang w:bidi="ar"/>
        </w:rPr>
        <w:t>附近公安、交通</w:t>
      </w:r>
      <w:r>
        <w:rPr>
          <w:color w:val="auto"/>
          <w:kern w:val="0"/>
          <w:szCs w:val="28"/>
          <w:lang w:bidi="ar"/>
        </w:rPr>
        <w:t>建立联系，必要时请求支援现场，维护治安。</w:t>
      </w:r>
    </w:p>
    <w:p>
      <w:pPr>
        <w:pStyle w:val="4"/>
        <w:rPr>
          <w:color w:val="auto"/>
          <w:szCs w:val="28"/>
        </w:rPr>
      </w:pPr>
      <w:bookmarkStart w:id="264" w:name="_Toc16242"/>
      <w:r>
        <w:rPr>
          <w:color w:val="auto"/>
          <w:szCs w:val="28"/>
        </w:rPr>
        <w:t>8.7 通信保障</w:t>
      </w:r>
      <w:bookmarkEnd w:id="257"/>
      <w:bookmarkEnd w:id="258"/>
      <w:bookmarkEnd w:id="259"/>
      <w:bookmarkEnd w:id="260"/>
      <w:bookmarkEnd w:id="261"/>
      <w:bookmarkEnd w:id="262"/>
      <w:bookmarkEnd w:id="263"/>
      <w:bookmarkEnd w:id="264"/>
    </w:p>
    <w:p>
      <w:pPr>
        <w:ind w:firstLine="560"/>
        <w:rPr>
          <w:color w:val="auto"/>
          <w:kern w:val="0"/>
          <w:szCs w:val="28"/>
          <w:lang w:bidi="ar"/>
        </w:rPr>
      </w:pPr>
      <w:bookmarkStart w:id="265" w:name="_Toc483323732"/>
      <w:bookmarkStart w:id="266" w:name="_Toc490845223"/>
      <w:bookmarkStart w:id="267" w:name="_Toc365671825"/>
      <w:bookmarkStart w:id="268" w:name="_Toc373756843"/>
      <w:bookmarkStart w:id="269" w:name="_Toc469996965"/>
      <w:bookmarkStart w:id="270" w:name="_Toc475104578"/>
      <w:bookmarkStart w:id="271" w:name="_Toc408566564"/>
      <w:r>
        <w:rPr>
          <w:color w:val="auto"/>
          <w:kern w:val="0"/>
          <w:szCs w:val="28"/>
          <w:lang w:bidi="ar"/>
        </w:rPr>
        <w:t>应急救援办公室负责建立应急通讯保障工作体系，完善信息通信网络，明确应急保障工作中各自的职责，确保紧急情况下的协同运作。应急状态下，必须根据实际需要安排有关人员实行24小时值班制度，确保系统畅通。调度值班电话必须保证24小时值守。有关人员和部门的联系方式必须保证随时取得联系。各相关人员手机号码见附件1。</w:t>
      </w:r>
    </w:p>
    <w:p>
      <w:pPr>
        <w:pStyle w:val="4"/>
        <w:rPr>
          <w:color w:val="auto"/>
          <w:szCs w:val="28"/>
        </w:rPr>
      </w:pPr>
      <w:bookmarkStart w:id="272" w:name="_Toc5598"/>
      <w:r>
        <w:rPr>
          <w:color w:val="auto"/>
          <w:szCs w:val="28"/>
        </w:rPr>
        <w:t>8.8 科技支撑</w:t>
      </w:r>
      <w:bookmarkEnd w:id="265"/>
      <w:bookmarkEnd w:id="266"/>
      <w:bookmarkEnd w:id="267"/>
      <w:bookmarkEnd w:id="268"/>
      <w:bookmarkEnd w:id="269"/>
      <w:bookmarkEnd w:id="270"/>
      <w:bookmarkEnd w:id="271"/>
      <w:bookmarkEnd w:id="272"/>
    </w:p>
    <w:p>
      <w:pPr>
        <w:ind w:firstLine="560"/>
        <w:rPr>
          <w:color w:val="auto"/>
          <w:szCs w:val="28"/>
        </w:rPr>
      </w:pPr>
      <w:r>
        <w:rPr>
          <w:color w:val="auto"/>
          <w:szCs w:val="28"/>
        </w:rPr>
        <w:t>应急专家组要充分利用的技术力量，建立健全应急技术平台，充分利用现有有线、无线、图像监控、内部网站等指挥和调度信息能力的资源，保证应急指挥救援迅速有效。</w:t>
      </w:r>
    </w:p>
    <w:p>
      <w:pPr>
        <w:ind w:firstLine="560"/>
        <w:rPr>
          <w:color w:val="auto"/>
          <w:szCs w:val="28"/>
        </w:rPr>
      </w:pPr>
      <w:r>
        <w:rPr>
          <w:color w:val="auto"/>
          <w:szCs w:val="28"/>
        </w:rPr>
        <w:t>同时加大安全</w:t>
      </w:r>
      <w:r>
        <w:rPr>
          <w:rFonts w:hint="eastAsia"/>
          <w:color w:val="auto"/>
          <w:szCs w:val="28"/>
        </w:rPr>
        <w:t>检查</w:t>
      </w:r>
      <w:r>
        <w:rPr>
          <w:color w:val="auto"/>
          <w:szCs w:val="28"/>
        </w:rPr>
        <w:t>、预测、预防和应急处置</w:t>
      </w:r>
      <w:r>
        <w:rPr>
          <w:rFonts w:hint="eastAsia"/>
          <w:color w:val="auto"/>
          <w:szCs w:val="28"/>
        </w:rPr>
        <w:t>新技术的应用</w:t>
      </w:r>
      <w:r>
        <w:rPr>
          <w:color w:val="auto"/>
          <w:szCs w:val="28"/>
        </w:rPr>
        <w:t>，不断提高技术装备水平，要通过技术进步提高应对突发事件的能力和水平。</w:t>
      </w:r>
    </w:p>
    <w:p>
      <w:pPr>
        <w:ind w:firstLine="560"/>
        <w:rPr>
          <w:color w:val="auto"/>
          <w:szCs w:val="28"/>
        </w:rPr>
      </w:pPr>
      <w:r>
        <w:rPr>
          <w:color w:val="auto"/>
          <w:szCs w:val="28"/>
        </w:rPr>
        <w:t>本预案未列出的应急救援工作保障，由</w:t>
      </w:r>
      <w:r>
        <w:rPr>
          <w:rFonts w:hint="eastAsia"/>
          <w:color w:val="auto"/>
          <w:szCs w:val="28"/>
        </w:rPr>
        <w:t>应急办公室</w:t>
      </w:r>
      <w:r>
        <w:rPr>
          <w:color w:val="auto"/>
          <w:szCs w:val="28"/>
        </w:rPr>
        <w:t>根据灾害的特殊要求制定相应的临时保障方案。</w:t>
      </w:r>
    </w:p>
    <w:p>
      <w:pPr>
        <w:pStyle w:val="4"/>
        <w:rPr>
          <w:color w:val="auto"/>
          <w:szCs w:val="28"/>
        </w:rPr>
      </w:pPr>
      <w:bookmarkStart w:id="273" w:name="_Toc483323733"/>
      <w:bookmarkStart w:id="274" w:name="_Toc475104579"/>
      <w:bookmarkStart w:id="275" w:name="_Toc469996966"/>
      <w:bookmarkStart w:id="276" w:name="_Toc490845224"/>
      <w:bookmarkStart w:id="277" w:name="_Toc25792"/>
      <w:r>
        <w:rPr>
          <w:color w:val="auto"/>
          <w:szCs w:val="28"/>
        </w:rPr>
        <w:t>8.9应急联动机制</w:t>
      </w:r>
      <w:bookmarkEnd w:id="273"/>
      <w:bookmarkEnd w:id="274"/>
      <w:bookmarkEnd w:id="275"/>
      <w:bookmarkEnd w:id="276"/>
      <w:bookmarkEnd w:id="277"/>
    </w:p>
    <w:p>
      <w:pPr>
        <w:ind w:firstLine="560"/>
        <w:rPr>
          <w:color w:val="auto"/>
          <w:szCs w:val="28"/>
        </w:rPr>
      </w:pPr>
      <w:r>
        <w:rPr>
          <w:color w:val="auto"/>
          <w:szCs w:val="28"/>
        </w:rPr>
        <w:t>建立应急联动中心，由</w:t>
      </w:r>
      <w:r>
        <w:rPr>
          <w:color w:val="auto"/>
          <w:kern w:val="0"/>
          <w:szCs w:val="28"/>
          <w:lang w:bidi="ar"/>
        </w:rPr>
        <w:t>应急救援办公室</w:t>
      </w:r>
      <w:r>
        <w:rPr>
          <w:color w:val="auto"/>
          <w:szCs w:val="28"/>
        </w:rPr>
        <w:t>担任应急联动任务，与附近企业、村庄及政府部门进行应急联动，人员提高对建立健全事故应急处置联动机制的重要性的认识；准确把握重点，掌握应急处置的主导权，做到事故报告及时、联动响应迅速、现场处置科学果断；加强配合联动，确保工作落到实处，实现各部门在应对处置突发事件过程中反应迅速、密切协同，有效整合各类资源，提高应急管理工作水平。</w:t>
      </w:r>
    </w:p>
    <w:p>
      <w:pPr>
        <w:ind w:firstLine="560"/>
        <w:rPr>
          <w:color w:val="auto"/>
          <w:szCs w:val="28"/>
        </w:rPr>
      </w:pPr>
      <w:r>
        <w:rPr>
          <w:color w:val="auto"/>
          <w:szCs w:val="28"/>
        </w:rPr>
        <w:t>在突发环境事件处置过程中，应急联动中心应当收集、汇总突发环境事件的有关情况，根据现场实际或征询有关专家意见，对突发环境事件进行综合判断，需要进行联动的，应急联动中心直接组织、协调、指挥、调度有关联动单位开展应急联动，突发事件扩大到不可控，需要政府、公安局、</w:t>
      </w:r>
      <w:r>
        <w:rPr>
          <w:rFonts w:hint="eastAsia"/>
          <w:color w:val="auto"/>
          <w:szCs w:val="28"/>
        </w:rPr>
        <w:t>应急救援</w:t>
      </w:r>
      <w:r>
        <w:rPr>
          <w:color w:val="auto"/>
          <w:szCs w:val="28"/>
        </w:rPr>
        <w:t>队等有关单位联动时，由</w:t>
      </w:r>
      <w:r>
        <w:rPr>
          <w:color w:val="auto"/>
          <w:kern w:val="0"/>
          <w:szCs w:val="28"/>
          <w:lang w:bidi="ar"/>
        </w:rPr>
        <w:t>应急救援办公室</w:t>
      </w:r>
      <w:r>
        <w:rPr>
          <w:color w:val="auto"/>
          <w:szCs w:val="28"/>
        </w:rPr>
        <w:t>负责联动，联系电话见附件</w:t>
      </w:r>
      <w:r>
        <w:rPr>
          <w:rFonts w:hint="eastAsia"/>
          <w:color w:val="auto"/>
          <w:szCs w:val="28"/>
        </w:rPr>
        <w:t>1</w:t>
      </w:r>
      <w:r>
        <w:rPr>
          <w:color w:val="auto"/>
          <w:szCs w:val="28"/>
        </w:rPr>
        <w:t>。</w:t>
      </w:r>
    </w:p>
    <w:p>
      <w:pPr>
        <w:ind w:firstLine="560"/>
        <w:rPr>
          <w:color w:val="auto"/>
          <w:szCs w:val="28"/>
        </w:rPr>
      </w:pPr>
      <w:r>
        <w:rPr>
          <w:color w:val="auto"/>
          <w:szCs w:val="28"/>
        </w:rPr>
        <w:t>根据加强突发事件应急处置信息资源的交流与共享原则，事件发生后需要进行物资、人力等联动支援时，请求附近企业及村庄进行支援。</w:t>
      </w:r>
    </w:p>
    <w:p>
      <w:pPr>
        <w:ind w:firstLine="560"/>
        <w:rPr>
          <w:color w:val="auto"/>
          <w:szCs w:val="28"/>
        </w:rPr>
      </w:pPr>
      <w:r>
        <w:rPr>
          <w:color w:val="auto"/>
          <w:szCs w:val="28"/>
        </w:rPr>
        <w:t>应急联动工作终止后，应急联动单位应当向应急联动中心报告处置情况和有关信息。应急联动中心汇总后，上报给应急办公室，</w:t>
      </w:r>
      <w:r>
        <w:rPr>
          <w:rFonts w:hint="eastAsia"/>
          <w:color w:val="auto"/>
          <w:szCs w:val="28"/>
        </w:rPr>
        <w:t>根据事件大小，决定</w:t>
      </w:r>
      <w:r>
        <w:rPr>
          <w:color w:val="auto"/>
          <w:szCs w:val="28"/>
        </w:rPr>
        <w:t>上报政府部门。</w:t>
      </w:r>
    </w:p>
    <w:p>
      <w:pPr>
        <w:pStyle w:val="3"/>
        <w:rPr>
          <w:color w:val="auto"/>
          <w:kern w:val="0"/>
          <w:szCs w:val="30"/>
        </w:rPr>
      </w:pPr>
      <w:r>
        <w:rPr>
          <w:color w:val="auto"/>
          <w:kern w:val="0"/>
          <w:sz w:val="28"/>
          <w:szCs w:val="28"/>
        </w:rPr>
        <w:br w:type="page"/>
      </w:r>
      <w:bookmarkEnd w:id="200"/>
      <w:bookmarkEnd w:id="201"/>
      <w:bookmarkEnd w:id="202"/>
      <w:bookmarkStart w:id="278" w:name="_Toc473217300"/>
      <w:bookmarkStart w:id="279" w:name="_Toc490845225"/>
      <w:bookmarkStart w:id="280" w:name="_Toc7197"/>
      <w:bookmarkStart w:id="281" w:name="_Toc408566570"/>
      <w:bookmarkStart w:id="282" w:name="_Toc373756849"/>
      <w:bookmarkStart w:id="283" w:name="_Toc365671831"/>
      <w:r>
        <w:rPr>
          <w:bCs/>
          <w:color w:val="auto"/>
          <w:szCs w:val="30"/>
        </w:rPr>
        <w:t>9 监督与管理</w:t>
      </w:r>
      <w:bookmarkEnd w:id="278"/>
      <w:bookmarkEnd w:id="279"/>
      <w:bookmarkEnd w:id="280"/>
    </w:p>
    <w:p>
      <w:pPr>
        <w:pStyle w:val="4"/>
        <w:rPr>
          <w:color w:val="auto"/>
          <w:szCs w:val="28"/>
        </w:rPr>
      </w:pPr>
      <w:bookmarkStart w:id="284" w:name="_Toc373756846"/>
      <w:bookmarkStart w:id="285" w:name="_Toc365671828"/>
      <w:bookmarkStart w:id="286" w:name="_Toc490845226"/>
      <w:bookmarkStart w:id="287" w:name="_Toc408566567"/>
      <w:bookmarkStart w:id="288" w:name="_Toc473217301"/>
      <w:bookmarkStart w:id="289" w:name="_Toc31401"/>
      <w:r>
        <w:rPr>
          <w:color w:val="auto"/>
          <w:szCs w:val="28"/>
        </w:rPr>
        <w:t>9.1 应急预案演练</w:t>
      </w:r>
      <w:bookmarkEnd w:id="284"/>
      <w:bookmarkEnd w:id="285"/>
      <w:bookmarkEnd w:id="286"/>
      <w:bookmarkEnd w:id="287"/>
      <w:bookmarkEnd w:id="288"/>
      <w:bookmarkEnd w:id="289"/>
    </w:p>
    <w:p>
      <w:pPr>
        <w:pStyle w:val="5"/>
        <w:ind w:firstLine="0" w:firstLineChars="0"/>
        <w:rPr>
          <w:color w:val="auto"/>
        </w:rPr>
      </w:pPr>
      <w:bookmarkStart w:id="290" w:name="_Toc16141"/>
      <w:bookmarkStart w:id="291" w:name="_Toc490845227"/>
      <w:r>
        <w:rPr>
          <w:color w:val="auto"/>
        </w:rPr>
        <w:t>9.1.1演练准备</w:t>
      </w:r>
      <w:bookmarkEnd w:id="290"/>
      <w:bookmarkEnd w:id="291"/>
      <w:r>
        <w:rPr>
          <w:color w:val="auto"/>
        </w:rPr>
        <w:t xml:space="preserve"> </w:t>
      </w:r>
    </w:p>
    <w:p>
      <w:pPr>
        <w:ind w:firstLine="560"/>
        <w:rPr>
          <w:color w:val="auto"/>
          <w:szCs w:val="28"/>
        </w:rPr>
      </w:pPr>
      <w:r>
        <w:rPr>
          <w:color w:val="auto"/>
          <w:szCs w:val="28"/>
        </w:rPr>
        <w:t>针对应急预案的基本要求，定期组织全体</w:t>
      </w:r>
      <w:r>
        <w:rPr>
          <w:rFonts w:hint="eastAsia"/>
          <w:color w:val="auto"/>
          <w:szCs w:val="28"/>
        </w:rPr>
        <w:t>员工</w:t>
      </w:r>
      <w:r>
        <w:rPr>
          <w:color w:val="auto"/>
          <w:szCs w:val="28"/>
        </w:rPr>
        <w:t>进行演练，发生突发环境事件时报警、请求支援、紧急处置、应急监测、警戒、逃生、个体防护、急救、紧急疏散、善后处置等程序的基本要求。</w:t>
      </w:r>
    </w:p>
    <w:p>
      <w:pPr>
        <w:ind w:firstLine="560"/>
        <w:rPr>
          <w:color w:val="auto"/>
          <w:szCs w:val="28"/>
        </w:rPr>
      </w:pPr>
      <w:r>
        <w:rPr>
          <w:color w:val="auto"/>
          <w:szCs w:val="28"/>
        </w:rPr>
        <w:t>演练前应当制定详细的计划：</w:t>
      </w:r>
    </w:p>
    <w:p>
      <w:pPr>
        <w:ind w:firstLine="560" w:firstLineChars="0"/>
        <w:rPr>
          <w:color w:val="auto"/>
          <w:szCs w:val="28"/>
        </w:rPr>
      </w:pPr>
      <w:r>
        <w:rPr>
          <w:rFonts w:hint="eastAsia"/>
          <w:color w:val="auto"/>
          <w:szCs w:val="28"/>
        </w:rPr>
        <w:t xml:space="preserve">⑴ </w:t>
      </w:r>
      <w:r>
        <w:rPr>
          <w:color w:val="auto"/>
          <w:szCs w:val="28"/>
        </w:rPr>
        <w:t>演练紧急事件的类型，演练地点、日期、时间；</w:t>
      </w:r>
    </w:p>
    <w:p>
      <w:pPr>
        <w:ind w:firstLine="560"/>
        <w:rPr>
          <w:color w:val="auto"/>
          <w:szCs w:val="28"/>
        </w:rPr>
      </w:pPr>
      <w:r>
        <w:rPr>
          <w:rFonts w:hint="eastAsia"/>
          <w:color w:val="auto"/>
          <w:szCs w:val="28"/>
        </w:rPr>
        <w:t>⑵</w:t>
      </w:r>
      <w:r>
        <w:rPr>
          <w:color w:val="auto"/>
          <w:szCs w:val="28"/>
        </w:rPr>
        <w:t xml:space="preserve"> 参加的人员及其责任内容；</w:t>
      </w:r>
    </w:p>
    <w:p>
      <w:pPr>
        <w:ind w:firstLine="560"/>
        <w:rPr>
          <w:color w:val="auto"/>
          <w:szCs w:val="28"/>
        </w:rPr>
      </w:pPr>
      <w:r>
        <w:rPr>
          <w:rFonts w:hint="eastAsia"/>
          <w:color w:val="auto"/>
          <w:szCs w:val="28"/>
        </w:rPr>
        <w:t xml:space="preserve">⑶ </w:t>
      </w:r>
      <w:r>
        <w:rPr>
          <w:color w:val="auto"/>
          <w:szCs w:val="28"/>
        </w:rPr>
        <w:t>演练步骤</w:t>
      </w:r>
      <w:r>
        <w:rPr>
          <w:rFonts w:hint="eastAsia"/>
          <w:color w:val="auto"/>
          <w:szCs w:val="28"/>
        </w:rPr>
        <w:t>；</w:t>
      </w:r>
    </w:p>
    <w:p>
      <w:pPr>
        <w:ind w:firstLine="560"/>
        <w:rPr>
          <w:color w:val="auto"/>
          <w:szCs w:val="28"/>
        </w:rPr>
      </w:pPr>
      <w:r>
        <w:rPr>
          <w:rFonts w:hint="eastAsia"/>
          <w:color w:val="auto"/>
          <w:szCs w:val="28"/>
        </w:rPr>
        <w:t xml:space="preserve">⑷ </w:t>
      </w:r>
      <w:r>
        <w:rPr>
          <w:color w:val="auto"/>
          <w:szCs w:val="28"/>
        </w:rPr>
        <w:t>演练场地的布置，参加人员的选用；</w:t>
      </w:r>
    </w:p>
    <w:p>
      <w:pPr>
        <w:ind w:firstLine="560"/>
        <w:rPr>
          <w:color w:val="auto"/>
          <w:szCs w:val="28"/>
        </w:rPr>
      </w:pPr>
      <w:r>
        <w:rPr>
          <w:rFonts w:hint="eastAsia"/>
          <w:color w:val="auto"/>
          <w:szCs w:val="28"/>
        </w:rPr>
        <w:t xml:space="preserve">⑸ </w:t>
      </w:r>
      <w:r>
        <w:rPr>
          <w:color w:val="auto"/>
          <w:szCs w:val="28"/>
        </w:rPr>
        <w:t>进出演练现场的路线；</w:t>
      </w:r>
    </w:p>
    <w:p>
      <w:pPr>
        <w:ind w:firstLine="560"/>
        <w:rPr>
          <w:color w:val="auto"/>
          <w:szCs w:val="28"/>
        </w:rPr>
      </w:pPr>
      <w:r>
        <w:rPr>
          <w:rFonts w:hint="eastAsia"/>
          <w:color w:val="auto"/>
          <w:szCs w:val="28"/>
        </w:rPr>
        <w:t xml:space="preserve">⑹ </w:t>
      </w:r>
      <w:r>
        <w:rPr>
          <w:color w:val="auto"/>
          <w:szCs w:val="28"/>
        </w:rPr>
        <w:t>演练结束的通知程序及终止演练的程序；</w:t>
      </w:r>
    </w:p>
    <w:p>
      <w:pPr>
        <w:ind w:firstLine="560"/>
        <w:rPr>
          <w:color w:val="auto"/>
          <w:szCs w:val="28"/>
        </w:rPr>
      </w:pPr>
      <w:r>
        <w:rPr>
          <w:rFonts w:hint="eastAsia"/>
          <w:color w:val="auto"/>
          <w:szCs w:val="28"/>
        </w:rPr>
        <w:t xml:space="preserve">⑺ </w:t>
      </w:r>
      <w:r>
        <w:rPr>
          <w:color w:val="auto"/>
          <w:szCs w:val="28"/>
        </w:rPr>
        <w:t>演练的讲评方式。</w:t>
      </w:r>
    </w:p>
    <w:p>
      <w:pPr>
        <w:ind w:firstLine="560"/>
        <w:rPr>
          <w:color w:val="auto"/>
          <w:szCs w:val="28"/>
        </w:rPr>
      </w:pPr>
      <w:r>
        <w:rPr>
          <w:color w:val="auto"/>
          <w:szCs w:val="28"/>
        </w:rPr>
        <w:t>演习过程中应准备的资料及设备如下：</w:t>
      </w:r>
    </w:p>
    <w:p>
      <w:pPr>
        <w:pStyle w:val="61"/>
        <w:ind w:firstLine="560"/>
        <w:rPr>
          <w:color w:val="auto"/>
        </w:rPr>
      </w:pPr>
      <w:bookmarkStart w:id="292" w:name="_Toc490845228"/>
      <w:r>
        <w:rPr>
          <w:color w:val="auto"/>
        </w:rPr>
        <w:fldChar w:fldCharType="begin"/>
      </w:r>
      <w:r>
        <w:rPr>
          <w:color w:val="auto"/>
        </w:rPr>
        <w:instrText xml:space="preserve"> </w:instrText>
      </w:r>
      <w:r>
        <w:rPr>
          <w:rFonts w:hint="eastAsia"/>
          <w:color w:val="auto"/>
        </w:rPr>
        <w:instrText xml:space="preserve">= 1 \* GB2</w:instrText>
      </w:r>
      <w:r>
        <w:rPr>
          <w:color w:val="auto"/>
        </w:rPr>
        <w:instrText xml:space="preserve"> </w:instrText>
      </w:r>
      <w:r>
        <w:rPr>
          <w:color w:val="auto"/>
        </w:rPr>
        <w:fldChar w:fldCharType="separate"/>
      </w:r>
      <w:r>
        <w:rPr>
          <w:rFonts w:hint="eastAsia"/>
          <w:color w:val="auto"/>
        </w:rPr>
        <w:t>⑴</w:t>
      </w:r>
      <w:r>
        <w:rPr>
          <w:color w:val="auto"/>
        </w:rPr>
        <w:fldChar w:fldCharType="end"/>
      </w:r>
      <w:r>
        <w:rPr>
          <w:color w:val="auto"/>
        </w:rPr>
        <w:t xml:space="preserve"> </w:t>
      </w:r>
      <w:r>
        <w:rPr>
          <w:rFonts w:hint="eastAsia"/>
          <w:color w:val="auto"/>
        </w:rPr>
        <w:t>场区平面布置图、污染源分布图、疏散线路图。</w:t>
      </w:r>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2 \* GB2</w:instrText>
      </w:r>
      <w:r>
        <w:rPr>
          <w:color w:val="auto"/>
        </w:rPr>
        <w:instrText xml:space="preserve"> </w:instrText>
      </w:r>
      <w:r>
        <w:rPr>
          <w:color w:val="auto"/>
        </w:rPr>
        <w:fldChar w:fldCharType="separate"/>
      </w:r>
      <w:r>
        <w:rPr>
          <w:rFonts w:hint="eastAsia"/>
          <w:color w:val="auto"/>
        </w:rPr>
        <w:t>⑵</w:t>
      </w:r>
      <w:r>
        <w:rPr>
          <w:color w:val="auto"/>
        </w:rPr>
        <w:fldChar w:fldCharType="end"/>
      </w:r>
      <w:r>
        <w:rPr>
          <w:color w:val="auto"/>
        </w:rPr>
        <w:t xml:space="preserve"> </w:t>
      </w:r>
      <w:r>
        <w:rPr>
          <w:rFonts w:hint="eastAsia"/>
          <w:color w:val="auto"/>
        </w:rPr>
        <w:t>准备好各种应急设备、物资及救援工具。</w:t>
      </w:r>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3 \* GB2</w:instrText>
      </w:r>
      <w:r>
        <w:rPr>
          <w:color w:val="auto"/>
        </w:rPr>
        <w:instrText xml:space="preserve"> </w:instrText>
      </w:r>
      <w:r>
        <w:rPr>
          <w:color w:val="auto"/>
        </w:rPr>
        <w:fldChar w:fldCharType="separate"/>
      </w:r>
      <w:r>
        <w:rPr>
          <w:rFonts w:hint="eastAsia"/>
          <w:color w:val="auto"/>
        </w:rPr>
        <w:t>⑶</w:t>
      </w:r>
      <w:r>
        <w:rPr>
          <w:color w:val="auto"/>
        </w:rPr>
        <w:fldChar w:fldCharType="end"/>
      </w:r>
      <w:r>
        <w:rPr>
          <w:color w:val="auto"/>
        </w:rPr>
        <w:t xml:space="preserve"> </w:t>
      </w:r>
      <w:r>
        <w:rPr>
          <w:rFonts w:hint="eastAsia"/>
          <w:color w:val="auto"/>
        </w:rPr>
        <w:t>准备监测器械。</w:t>
      </w:r>
    </w:p>
    <w:p>
      <w:pPr>
        <w:pStyle w:val="61"/>
        <w:ind w:firstLine="560"/>
        <w:rPr>
          <w:color w:val="auto"/>
        </w:rPr>
      </w:pPr>
      <w:r>
        <w:rPr>
          <w:color w:val="auto"/>
        </w:rPr>
        <w:fldChar w:fldCharType="begin"/>
      </w:r>
      <w:r>
        <w:rPr>
          <w:color w:val="auto"/>
        </w:rPr>
        <w:instrText xml:space="preserve"> </w:instrText>
      </w:r>
      <w:r>
        <w:rPr>
          <w:rFonts w:hint="eastAsia"/>
          <w:color w:val="auto"/>
        </w:rPr>
        <w:instrText xml:space="preserve">= 4 \* GB2</w:instrText>
      </w:r>
      <w:r>
        <w:rPr>
          <w:color w:val="auto"/>
        </w:rPr>
        <w:instrText xml:space="preserve"> </w:instrText>
      </w:r>
      <w:r>
        <w:rPr>
          <w:color w:val="auto"/>
        </w:rPr>
        <w:fldChar w:fldCharType="separate"/>
      </w:r>
      <w:r>
        <w:rPr>
          <w:rFonts w:hint="eastAsia"/>
          <w:color w:val="auto"/>
        </w:rPr>
        <w:t>⑷</w:t>
      </w:r>
      <w:r>
        <w:rPr>
          <w:color w:val="auto"/>
        </w:rPr>
        <w:fldChar w:fldCharType="end"/>
      </w:r>
      <w:r>
        <w:rPr>
          <w:color w:val="auto"/>
        </w:rPr>
        <w:t xml:space="preserve"> </w:t>
      </w:r>
      <w:r>
        <w:rPr>
          <w:rFonts w:hint="eastAsia"/>
          <w:color w:val="auto"/>
        </w:rPr>
        <w:t>准备环境事件中所需的相关文件及资料。</w:t>
      </w:r>
    </w:p>
    <w:p>
      <w:pPr>
        <w:pStyle w:val="5"/>
        <w:ind w:firstLine="0" w:firstLineChars="0"/>
        <w:rPr>
          <w:color w:val="auto"/>
        </w:rPr>
      </w:pPr>
      <w:bookmarkStart w:id="293" w:name="_Toc18425"/>
      <w:r>
        <w:rPr>
          <w:color w:val="auto"/>
        </w:rPr>
        <w:t>9.1.2演练范围与频次</w:t>
      </w:r>
      <w:bookmarkEnd w:id="292"/>
      <w:bookmarkEnd w:id="293"/>
    </w:p>
    <w:p>
      <w:pPr>
        <w:ind w:firstLine="560"/>
        <w:rPr>
          <w:color w:val="auto"/>
          <w:szCs w:val="28"/>
        </w:rPr>
      </w:pPr>
      <w:r>
        <w:rPr>
          <w:color w:val="auto"/>
          <w:szCs w:val="28"/>
        </w:rPr>
        <w:t>演练范围：在本</w:t>
      </w:r>
      <w:r>
        <w:rPr>
          <w:rFonts w:hint="eastAsia"/>
          <w:color w:val="auto"/>
          <w:szCs w:val="28"/>
        </w:rPr>
        <w:t>公司</w:t>
      </w:r>
      <w:r>
        <w:rPr>
          <w:color w:val="auto"/>
          <w:szCs w:val="28"/>
        </w:rPr>
        <w:t xml:space="preserve">内有可能发生环境风险的场所。 </w:t>
      </w:r>
    </w:p>
    <w:p>
      <w:pPr>
        <w:ind w:firstLine="560"/>
        <w:rPr>
          <w:color w:val="auto"/>
          <w:szCs w:val="28"/>
        </w:rPr>
      </w:pPr>
      <w:r>
        <w:rPr>
          <w:color w:val="auto"/>
          <w:szCs w:val="28"/>
        </w:rPr>
        <w:t>演练频次：</w:t>
      </w:r>
      <w:bookmarkStart w:id="294" w:name="_Toc490845229"/>
      <w:bookmarkStart w:id="295" w:name="_Toc408566568"/>
      <w:bookmarkStart w:id="296" w:name="_Toc365671829"/>
      <w:bookmarkStart w:id="297" w:name="_Toc373756847"/>
      <w:r>
        <w:rPr>
          <w:rFonts w:hint="eastAsia"/>
          <w:color w:val="auto"/>
          <w:szCs w:val="28"/>
        </w:rPr>
        <w:t>公司针对不同的环境事件，按类型每年至少进行一次应急处置演练。班组应根据本班组作业特点，每年至少组织两次班组应急演练。</w:t>
      </w:r>
    </w:p>
    <w:p>
      <w:pPr>
        <w:ind w:firstLine="0" w:firstLineChars="0"/>
        <w:rPr>
          <w:b/>
          <w:bCs/>
          <w:color w:val="auto"/>
          <w:szCs w:val="32"/>
        </w:rPr>
      </w:pPr>
      <w:r>
        <w:rPr>
          <w:b/>
          <w:bCs/>
          <w:color w:val="auto"/>
          <w:szCs w:val="32"/>
        </w:rPr>
        <w:t>9.1.3演练</w:t>
      </w:r>
      <w:bookmarkEnd w:id="294"/>
      <w:r>
        <w:rPr>
          <w:rFonts w:hint="eastAsia"/>
          <w:b/>
          <w:bCs/>
          <w:color w:val="auto"/>
          <w:szCs w:val="32"/>
        </w:rPr>
        <w:t>组织</w:t>
      </w:r>
    </w:p>
    <w:p>
      <w:pPr>
        <w:ind w:firstLine="560"/>
        <w:rPr>
          <w:color w:val="auto"/>
          <w:szCs w:val="28"/>
        </w:rPr>
      </w:pPr>
      <w:r>
        <w:rPr>
          <w:rFonts w:hint="eastAsia"/>
          <w:color w:val="auto"/>
          <w:szCs w:val="28"/>
        </w:rPr>
        <w:t>演练情况设置应根据真实现场的基本情况，尽量与实际相符，并考虑突发情况，即与现场发生的事故类型、各种可能的后果、现场的硬件设置相符；保证每一个参加救援的人员都有机会参加演练，有重大事故潜在危险的场所，还应保证场所中的其他人员也参加演练。熟悉疏散的路线和各种指挥信号，减少事件发生时的恐惧心理；确保演练在绝对安全的条件下进行，如模拟剂的施放、洗消用水的排放、交通控制、防护措施等要考虑周全，并事先告知在演练影响范围内的公众，以免引起不必要的惊慌。</w:t>
      </w:r>
    </w:p>
    <w:p>
      <w:pPr>
        <w:pStyle w:val="5"/>
        <w:ind w:firstLine="0" w:firstLineChars="0"/>
        <w:rPr>
          <w:color w:val="auto"/>
        </w:rPr>
      </w:pPr>
      <w:bookmarkStart w:id="298" w:name="_Toc490845230"/>
      <w:bookmarkStart w:id="299" w:name="_Toc2138"/>
      <w:r>
        <w:rPr>
          <w:color w:val="auto"/>
        </w:rPr>
        <w:t>9.1.4</w:t>
      </w:r>
      <w:r>
        <w:rPr>
          <w:rFonts w:hint="eastAsia"/>
          <w:color w:val="auto"/>
        </w:rPr>
        <w:t>应急</w:t>
      </w:r>
      <w:r>
        <w:rPr>
          <w:color w:val="auto"/>
        </w:rPr>
        <w:t>演练</w:t>
      </w:r>
      <w:bookmarkEnd w:id="298"/>
      <w:r>
        <w:rPr>
          <w:rFonts w:hint="eastAsia"/>
          <w:color w:val="auto"/>
        </w:rPr>
        <w:t>的评价、总结与追踪</w:t>
      </w:r>
      <w:bookmarkEnd w:id="299"/>
    </w:p>
    <w:p>
      <w:pPr>
        <w:ind w:firstLine="560"/>
        <w:rPr>
          <w:color w:val="auto"/>
          <w:szCs w:val="28"/>
        </w:rPr>
      </w:pPr>
      <w:r>
        <w:rPr>
          <w:rFonts w:hint="eastAsia"/>
          <w:color w:val="auto"/>
          <w:szCs w:val="28"/>
        </w:rPr>
        <w:t>指挥系统是否有效，寻找预案中存在的战略及战术缺陷；各应急救援小组能否及时参与事故救援，相互之间的协调能力如何；在事故演练期间通讯是否畅通；配置的器材和人员数目是否与事故规模匹配，救援装备是否满足要求；人员是否安全撤离；现实情况是否与预案制定情况相符；对演练中发现的问题提出解决方案，并组织对应急预案进行修订；将应急预案修订的详细内容及时通知所有与事故应急预案有关的单位、部门和人员。</w:t>
      </w:r>
    </w:p>
    <w:p>
      <w:pPr>
        <w:pStyle w:val="4"/>
        <w:rPr>
          <w:color w:val="auto"/>
          <w:szCs w:val="28"/>
        </w:rPr>
      </w:pPr>
      <w:bookmarkStart w:id="300" w:name="_Toc490845232"/>
      <w:bookmarkStart w:id="301" w:name="_Toc23925"/>
      <w:bookmarkStart w:id="302" w:name="_Toc473217302"/>
      <w:r>
        <w:rPr>
          <w:color w:val="auto"/>
          <w:szCs w:val="28"/>
        </w:rPr>
        <w:t>9.2 宣教培训</w:t>
      </w:r>
      <w:bookmarkEnd w:id="295"/>
      <w:bookmarkEnd w:id="296"/>
      <w:bookmarkEnd w:id="297"/>
      <w:bookmarkEnd w:id="300"/>
      <w:bookmarkEnd w:id="301"/>
      <w:bookmarkEnd w:id="302"/>
    </w:p>
    <w:p>
      <w:pPr>
        <w:snapToGrid/>
        <w:ind w:firstLine="560"/>
        <w:rPr>
          <w:color w:val="auto"/>
        </w:rPr>
      </w:pPr>
      <w:r>
        <w:rPr>
          <w:rFonts w:hint="eastAsia"/>
          <w:color w:val="auto"/>
        </w:rPr>
        <w:t>至少每年组织1次宣传教育，包括：① 应急救援队员的专业培训内容和方法；② 本单位员工应急救援基本知识培训的内容和方法；③ 外部公众应急救援基本知识培训的内容和方法；④ 运输司机等培训内容和方法；⑤ 应急培训内容、方式、记录表。</w:t>
      </w:r>
    </w:p>
    <w:p>
      <w:pPr>
        <w:pStyle w:val="5"/>
        <w:snapToGrid/>
        <w:ind w:firstLine="0" w:firstLineChars="0"/>
        <w:rPr>
          <w:color w:val="auto"/>
        </w:rPr>
      </w:pPr>
      <w:bookmarkStart w:id="303" w:name="_Toc490845234"/>
      <w:bookmarkStart w:id="304" w:name="_Toc25694"/>
      <w:bookmarkStart w:id="305" w:name="_Toc365671830"/>
      <w:bookmarkStart w:id="306" w:name="_Toc408566569"/>
      <w:bookmarkStart w:id="307" w:name="_Toc373756848"/>
      <w:r>
        <w:rPr>
          <w:color w:val="auto"/>
        </w:rPr>
        <w:t>9.2.1 应急救援队伍的培训</w:t>
      </w:r>
      <w:bookmarkEnd w:id="303"/>
      <w:bookmarkEnd w:id="304"/>
    </w:p>
    <w:p>
      <w:pPr>
        <w:snapToGrid/>
        <w:ind w:firstLine="560"/>
        <w:rPr>
          <w:color w:val="auto"/>
          <w:szCs w:val="28"/>
        </w:rPr>
      </w:pPr>
      <w:r>
        <w:rPr>
          <w:color w:val="auto"/>
          <w:szCs w:val="28"/>
        </w:rPr>
        <w:t>对应急救援队伍的队员进行应急救援专业培训。</w:t>
      </w:r>
    </w:p>
    <w:p>
      <w:pPr>
        <w:snapToGrid/>
        <w:ind w:firstLineChars="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培训主要内容</w:t>
      </w:r>
    </w:p>
    <w:p>
      <w:pPr>
        <w:snapToGrid/>
        <w:ind w:firstLine="0" w:firstLineChars="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了解、掌握事故应急救援预案内容；</w:t>
      </w:r>
    </w:p>
    <w:p>
      <w:pPr>
        <w:snapToGrid/>
        <w:ind w:firstLine="560"/>
        <w:rPr>
          <w:color w:val="auto"/>
          <w:szCs w:val="28"/>
        </w:rPr>
      </w:pPr>
      <w:r>
        <w:rPr>
          <w:rFonts w:hint="eastAsia"/>
          <w:color w:val="auto"/>
          <w:szCs w:val="28"/>
        </w:rPr>
        <w:t xml:space="preserve">② </w:t>
      </w:r>
      <w:r>
        <w:rPr>
          <w:color w:val="auto"/>
          <w:szCs w:val="28"/>
        </w:rPr>
        <w:t>熟悉使用各类防护器具；</w:t>
      </w:r>
    </w:p>
    <w:p>
      <w:pPr>
        <w:snapToGrid/>
        <w:ind w:firstLine="560"/>
        <w:rPr>
          <w:color w:val="auto"/>
          <w:szCs w:val="28"/>
        </w:rPr>
      </w:pPr>
      <w:r>
        <w:rPr>
          <w:rFonts w:hint="eastAsia"/>
          <w:color w:val="auto"/>
          <w:szCs w:val="28"/>
        </w:rPr>
        <w:t xml:space="preserve">③ </w:t>
      </w:r>
      <w:r>
        <w:rPr>
          <w:color w:val="auto"/>
          <w:szCs w:val="28"/>
        </w:rPr>
        <w:t>如何展开事故现场抢救、救援及事故处置；</w:t>
      </w:r>
    </w:p>
    <w:p>
      <w:pPr>
        <w:snapToGrid/>
        <w:ind w:firstLine="560"/>
        <w:rPr>
          <w:color w:val="auto"/>
          <w:szCs w:val="28"/>
        </w:rPr>
      </w:pPr>
      <w:r>
        <w:rPr>
          <w:rFonts w:hint="eastAsia"/>
          <w:color w:val="auto"/>
          <w:szCs w:val="28"/>
        </w:rPr>
        <w:t xml:space="preserve">④ </w:t>
      </w:r>
      <w:r>
        <w:rPr>
          <w:color w:val="auto"/>
          <w:szCs w:val="28"/>
        </w:rPr>
        <w:t>事故现场自我防护及监护措施。</w:t>
      </w:r>
    </w:p>
    <w:p>
      <w:pPr>
        <w:snapToGrid/>
        <w:ind w:firstLine="560"/>
        <w:rPr>
          <w:color w:val="auto"/>
          <w:szCs w:val="28"/>
        </w:rPr>
      </w:pPr>
      <w:r>
        <w:rPr>
          <w:rFonts w:hint="eastAsia"/>
          <w:color w:val="auto"/>
          <w:szCs w:val="28"/>
        </w:rPr>
        <w:t xml:space="preserve">⑵ </w:t>
      </w:r>
      <w:r>
        <w:rPr>
          <w:color w:val="auto"/>
          <w:szCs w:val="28"/>
        </w:rPr>
        <w:t>采取的方式</w:t>
      </w:r>
    </w:p>
    <w:p>
      <w:pPr>
        <w:snapToGrid/>
        <w:ind w:firstLine="560"/>
        <w:rPr>
          <w:color w:val="auto"/>
          <w:szCs w:val="28"/>
        </w:rPr>
      </w:pPr>
      <w:r>
        <w:rPr>
          <w:color w:val="auto"/>
          <w:szCs w:val="28"/>
        </w:rPr>
        <w:t>课堂教学、综合讨论、现场讲解、模拟事故发生等。</w:t>
      </w:r>
    </w:p>
    <w:p>
      <w:pPr>
        <w:snapToGrid/>
        <w:ind w:firstLine="560"/>
        <w:rPr>
          <w:color w:val="auto"/>
          <w:szCs w:val="28"/>
        </w:rPr>
      </w:pPr>
      <w:r>
        <w:rPr>
          <w:rFonts w:hint="eastAsia"/>
          <w:color w:val="auto"/>
          <w:szCs w:val="28"/>
        </w:rPr>
        <w:t xml:space="preserve">⑶ </w:t>
      </w:r>
      <w:r>
        <w:rPr>
          <w:color w:val="auto"/>
          <w:szCs w:val="28"/>
        </w:rPr>
        <w:t>培训时间</w:t>
      </w:r>
    </w:p>
    <w:p>
      <w:pPr>
        <w:snapToGrid/>
        <w:ind w:firstLine="560"/>
        <w:rPr>
          <w:color w:val="auto"/>
          <w:szCs w:val="28"/>
        </w:rPr>
      </w:pPr>
      <w:r>
        <w:rPr>
          <w:color w:val="auto"/>
          <w:szCs w:val="28"/>
        </w:rPr>
        <w:t>每</w:t>
      </w:r>
      <w:r>
        <w:rPr>
          <w:rFonts w:hint="eastAsia"/>
          <w:color w:val="auto"/>
          <w:szCs w:val="28"/>
        </w:rPr>
        <w:t>年</w:t>
      </w:r>
      <w:r>
        <w:rPr>
          <w:color w:val="auto"/>
          <w:szCs w:val="28"/>
        </w:rPr>
        <w:t>不少于6</w:t>
      </w:r>
      <w:r>
        <w:rPr>
          <w:rFonts w:hint="eastAsia"/>
          <w:color w:val="auto"/>
          <w:szCs w:val="28"/>
        </w:rPr>
        <w:t>4</w:t>
      </w:r>
      <w:r>
        <w:rPr>
          <w:color w:val="auto"/>
          <w:szCs w:val="28"/>
        </w:rPr>
        <w:t>小时。</w:t>
      </w:r>
    </w:p>
    <w:p>
      <w:pPr>
        <w:pStyle w:val="5"/>
        <w:snapToGrid/>
        <w:ind w:firstLine="0" w:firstLineChars="0"/>
        <w:rPr>
          <w:color w:val="auto"/>
        </w:rPr>
      </w:pPr>
      <w:bookmarkStart w:id="308" w:name="_Toc490845235"/>
      <w:bookmarkStart w:id="309" w:name="_Toc8748"/>
      <w:r>
        <w:rPr>
          <w:color w:val="auto"/>
        </w:rPr>
        <w:t>9.2.2操作人员的培训</w:t>
      </w:r>
      <w:bookmarkEnd w:id="308"/>
      <w:bookmarkEnd w:id="309"/>
    </w:p>
    <w:p>
      <w:pPr>
        <w:snapToGrid/>
        <w:ind w:firstLine="560"/>
        <w:rPr>
          <w:color w:val="auto"/>
          <w:szCs w:val="28"/>
        </w:rPr>
      </w:pPr>
      <w:r>
        <w:rPr>
          <w:color w:val="auto"/>
          <w:szCs w:val="28"/>
        </w:rPr>
        <w:t>针对应急救援的基本要求，系统培训操作人员，发生突发环境事件时报警、紧急处置、逃生、个体防护、急救、紧急疏散等程序的基本要求。</w:t>
      </w:r>
    </w:p>
    <w:p>
      <w:pPr>
        <w:snapToGrid/>
        <w:ind w:firstLineChars="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培训主要内容</w:t>
      </w:r>
    </w:p>
    <w:p>
      <w:pPr>
        <w:snapToGrid/>
        <w:ind w:firstLine="56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GB3</w:instrText>
      </w:r>
      <w:r>
        <w:rPr>
          <w:color w:val="auto"/>
          <w:szCs w:val="28"/>
        </w:rPr>
        <w:instrText xml:space="preserve"> </w:instrText>
      </w:r>
      <w:r>
        <w:rPr>
          <w:color w:val="auto"/>
          <w:szCs w:val="28"/>
        </w:rPr>
        <w:fldChar w:fldCharType="separate"/>
      </w:r>
      <w:r>
        <w:rPr>
          <w:rFonts w:hint="eastAsia"/>
          <w:color w:val="auto"/>
          <w:szCs w:val="28"/>
        </w:rPr>
        <w:t>①</w:t>
      </w:r>
      <w:r>
        <w:rPr>
          <w:color w:val="auto"/>
          <w:szCs w:val="28"/>
        </w:rPr>
        <w:fldChar w:fldCharType="end"/>
      </w:r>
      <w:r>
        <w:rPr>
          <w:color w:val="auto"/>
          <w:szCs w:val="28"/>
        </w:rPr>
        <w:t xml:space="preserve"> 安全生产规章制度、安全操作规程；</w:t>
      </w:r>
    </w:p>
    <w:p>
      <w:pPr>
        <w:snapToGrid/>
        <w:ind w:firstLine="560"/>
        <w:rPr>
          <w:color w:val="auto"/>
          <w:szCs w:val="28"/>
        </w:rPr>
      </w:pPr>
      <w:r>
        <w:rPr>
          <w:rFonts w:hint="eastAsia"/>
          <w:color w:val="auto"/>
          <w:szCs w:val="28"/>
        </w:rPr>
        <w:t xml:space="preserve">② </w:t>
      </w:r>
      <w:r>
        <w:rPr>
          <w:color w:val="auto"/>
          <w:szCs w:val="28"/>
        </w:rPr>
        <w:t>防火、防</w:t>
      </w:r>
      <w:r>
        <w:rPr>
          <w:rFonts w:hint="eastAsia"/>
          <w:color w:val="auto"/>
          <w:szCs w:val="28"/>
        </w:rPr>
        <w:t>尘</w:t>
      </w:r>
      <w:r>
        <w:rPr>
          <w:color w:val="auto"/>
          <w:szCs w:val="28"/>
        </w:rPr>
        <w:t>的基本知识；</w:t>
      </w:r>
    </w:p>
    <w:p>
      <w:pPr>
        <w:snapToGrid/>
        <w:ind w:firstLine="560"/>
        <w:rPr>
          <w:color w:val="auto"/>
          <w:szCs w:val="28"/>
        </w:rPr>
      </w:pPr>
      <w:r>
        <w:rPr>
          <w:rFonts w:hint="eastAsia"/>
          <w:color w:val="auto"/>
          <w:szCs w:val="28"/>
        </w:rPr>
        <w:t xml:space="preserve">③ </w:t>
      </w:r>
      <w:r>
        <w:rPr>
          <w:color w:val="auto"/>
          <w:szCs w:val="28"/>
        </w:rPr>
        <w:t>异常情况的排除、处理方法；</w:t>
      </w:r>
    </w:p>
    <w:p>
      <w:pPr>
        <w:snapToGrid/>
        <w:ind w:firstLine="560"/>
        <w:rPr>
          <w:color w:val="auto"/>
          <w:szCs w:val="28"/>
        </w:rPr>
      </w:pPr>
      <w:r>
        <w:rPr>
          <w:rFonts w:hint="eastAsia"/>
          <w:color w:val="auto"/>
          <w:szCs w:val="28"/>
        </w:rPr>
        <w:t xml:space="preserve">④ </w:t>
      </w:r>
      <w:r>
        <w:rPr>
          <w:color w:val="auto"/>
          <w:szCs w:val="28"/>
        </w:rPr>
        <w:t>事故发生后如何开展自救和互救；</w:t>
      </w:r>
    </w:p>
    <w:p>
      <w:pPr>
        <w:snapToGrid/>
        <w:ind w:firstLine="560"/>
        <w:rPr>
          <w:color w:val="auto"/>
          <w:szCs w:val="28"/>
        </w:rPr>
      </w:pPr>
      <w:r>
        <w:rPr>
          <w:rFonts w:hint="eastAsia"/>
          <w:color w:val="auto"/>
          <w:szCs w:val="28"/>
        </w:rPr>
        <w:t xml:space="preserve">⑤ </w:t>
      </w:r>
      <w:r>
        <w:rPr>
          <w:color w:val="auto"/>
          <w:szCs w:val="28"/>
        </w:rPr>
        <w:t>事故发生后的撤离和疏散方法。</w:t>
      </w:r>
    </w:p>
    <w:p>
      <w:pPr>
        <w:snapToGrid/>
        <w:ind w:firstLine="560"/>
        <w:rPr>
          <w:color w:val="auto"/>
          <w:szCs w:val="28"/>
        </w:rPr>
      </w:pPr>
      <w:r>
        <w:rPr>
          <w:rFonts w:hint="eastAsia"/>
          <w:color w:val="auto"/>
          <w:szCs w:val="28"/>
        </w:rPr>
        <w:t xml:space="preserve">⑵ </w:t>
      </w:r>
      <w:r>
        <w:rPr>
          <w:color w:val="auto"/>
          <w:szCs w:val="28"/>
        </w:rPr>
        <w:t>采取的方式</w:t>
      </w:r>
    </w:p>
    <w:p>
      <w:pPr>
        <w:snapToGrid/>
        <w:ind w:firstLine="560"/>
        <w:rPr>
          <w:color w:val="auto"/>
          <w:szCs w:val="28"/>
        </w:rPr>
      </w:pPr>
      <w:r>
        <w:rPr>
          <w:color w:val="auto"/>
          <w:szCs w:val="28"/>
        </w:rPr>
        <w:t>课堂教学、综合讨论、现场讲解等。</w:t>
      </w:r>
    </w:p>
    <w:p>
      <w:pPr>
        <w:snapToGrid/>
        <w:ind w:firstLine="560"/>
        <w:rPr>
          <w:color w:val="auto"/>
          <w:szCs w:val="28"/>
        </w:rPr>
      </w:pPr>
      <w:r>
        <w:rPr>
          <w:rFonts w:hint="eastAsia"/>
          <w:color w:val="auto"/>
          <w:szCs w:val="28"/>
        </w:rPr>
        <w:t xml:space="preserve">⑶ </w:t>
      </w:r>
      <w:r>
        <w:rPr>
          <w:color w:val="auto"/>
          <w:szCs w:val="28"/>
        </w:rPr>
        <w:t>培训时间</w:t>
      </w:r>
    </w:p>
    <w:p>
      <w:pPr>
        <w:snapToGrid/>
        <w:ind w:firstLine="560"/>
        <w:rPr>
          <w:color w:val="auto"/>
          <w:szCs w:val="28"/>
        </w:rPr>
      </w:pPr>
      <w:r>
        <w:rPr>
          <w:color w:val="auto"/>
          <w:szCs w:val="28"/>
        </w:rPr>
        <w:t>每季度不少于4小时。</w:t>
      </w:r>
    </w:p>
    <w:p>
      <w:pPr>
        <w:pStyle w:val="39"/>
        <w:snapToGrid/>
        <w:spacing w:after="0"/>
        <w:ind w:left="0" w:leftChars="0" w:firstLine="0" w:firstLineChars="0"/>
        <w:rPr>
          <w:b/>
          <w:bCs/>
          <w:color w:val="auto"/>
          <w:sz w:val="28"/>
          <w:szCs w:val="32"/>
        </w:rPr>
      </w:pPr>
      <w:r>
        <w:rPr>
          <w:b/>
          <w:bCs/>
          <w:color w:val="auto"/>
          <w:sz w:val="28"/>
          <w:szCs w:val="32"/>
        </w:rPr>
        <w:t xml:space="preserve">9.2.3 </w:t>
      </w:r>
      <w:r>
        <w:rPr>
          <w:rFonts w:hint="eastAsia"/>
          <w:b/>
          <w:bCs/>
          <w:color w:val="auto"/>
          <w:sz w:val="28"/>
          <w:szCs w:val="32"/>
        </w:rPr>
        <w:t>现场指挥人员的培训</w:t>
      </w:r>
    </w:p>
    <w:p>
      <w:pPr>
        <w:pStyle w:val="39"/>
        <w:snapToGrid/>
        <w:spacing w:after="0"/>
        <w:ind w:left="0" w:leftChars="0" w:firstLine="560"/>
        <w:rPr>
          <w:color w:val="auto"/>
          <w:sz w:val="28"/>
          <w:szCs w:val="28"/>
        </w:rPr>
      </w:pPr>
      <w:r>
        <w:rPr>
          <w:rFonts w:hint="eastAsia"/>
          <w:color w:val="auto"/>
          <w:sz w:val="28"/>
          <w:szCs w:val="28"/>
        </w:rPr>
        <w:t>包括应急救援组织机构的职责分工、事故现场的平面图和实际位置、区域布局、撤离路线、危险源的位置、指挥的手势、旗语信号、与上级联络方法等。</w:t>
      </w:r>
    </w:p>
    <w:p>
      <w:pPr>
        <w:pStyle w:val="39"/>
        <w:snapToGrid/>
        <w:spacing w:after="0"/>
        <w:ind w:left="0" w:leftChars="0" w:firstLine="0" w:firstLineChars="0"/>
        <w:rPr>
          <w:b/>
          <w:bCs/>
          <w:color w:val="auto"/>
          <w:sz w:val="28"/>
          <w:szCs w:val="32"/>
        </w:rPr>
      </w:pPr>
      <w:r>
        <w:rPr>
          <w:rFonts w:hint="eastAsia"/>
          <w:b/>
          <w:bCs/>
          <w:color w:val="auto"/>
          <w:sz w:val="28"/>
          <w:szCs w:val="32"/>
        </w:rPr>
        <w:t>9</w:t>
      </w:r>
      <w:r>
        <w:rPr>
          <w:b/>
          <w:bCs/>
          <w:color w:val="auto"/>
          <w:sz w:val="28"/>
          <w:szCs w:val="32"/>
        </w:rPr>
        <w:t xml:space="preserve">.2.4 </w:t>
      </w:r>
      <w:r>
        <w:rPr>
          <w:rFonts w:hint="eastAsia"/>
          <w:b/>
          <w:bCs/>
          <w:color w:val="auto"/>
          <w:sz w:val="28"/>
          <w:szCs w:val="32"/>
        </w:rPr>
        <w:t>应急救援、救护人员的培训</w:t>
      </w:r>
    </w:p>
    <w:p>
      <w:pPr>
        <w:pStyle w:val="39"/>
        <w:snapToGrid/>
        <w:spacing w:after="0"/>
        <w:ind w:left="0" w:leftChars="0" w:firstLine="560"/>
        <w:rPr>
          <w:color w:val="auto"/>
          <w:sz w:val="28"/>
          <w:szCs w:val="28"/>
        </w:rPr>
      </w:pPr>
      <w:r>
        <w:rPr>
          <w:rFonts w:hint="eastAsia"/>
          <w:color w:val="auto"/>
          <w:sz w:val="28"/>
          <w:szCs w:val="28"/>
        </w:rPr>
        <w:t>严格组织管理加强业务训练、深入可能发生事故的地域熟悉情况、救护器材的布置储存情况、自救互救教育、掌握救灾器材的使用方法、使用范围。</w:t>
      </w:r>
    </w:p>
    <w:p>
      <w:pPr>
        <w:pStyle w:val="39"/>
        <w:snapToGrid/>
        <w:spacing w:after="0"/>
        <w:ind w:left="0" w:leftChars="0" w:firstLine="0" w:firstLineChars="0"/>
        <w:rPr>
          <w:b/>
          <w:bCs/>
          <w:color w:val="auto"/>
          <w:sz w:val="28"/>
          <w:szCs w:val="32"/>
        </w:rPr>
      </w:pPr>
      <w:r>
        <w:rPr>
          <w:b/>
          <w:bCs/>
          <w:color w:val="auto"/>
          <w:sz w:val="28"/>
          <w:szCs w:val="32"/>
        </w:rPr>
        <w:t xml:space="preserve">9.2.5 </w:t>
      </w:r>
      <w:r>
        <w:rPr>
          <w:rFonts w:hint="eastAsia"/>
          <w:b/>
          <w:bCs/>
          <w:color w:val="auto"/>
          <w:sz w:val="28"/>
          <w:szCs w:val="32"/>
        </w:rPr>
        <w:t>社区及周边人群的应急知识宣传</w:t>
      </w:r>
    </w:p>
    <w:p>
      <w:pPr>
        <w:pStyle w:val="39"/>
        <w:snapToGrid/>
        <w:spacing w:after="0"/>
        <w:ind w:left="0" w:leftChars="0" w:firstLine="560"/>
        <w:rPr>
          <w:color w:val="auto"/>
          <w:sz w:val="28"/>
          <w:szCs w:val="28"/>
        </w:rPr>
      </w:pPr>
      <w:r>
        <w:rPr>
          <w:rFonts w:hint="eastAsia"/>
          <w:color w:val="auto"/>
          <w:sz w:val="28"/>
          <w:szCs w:val="28"/>
        </w:rPr>
        <w:t>本区域可能发生的事件类型及可能带来的危害、发生事故时的应对措施、自救与互救知识、疏散路线。</w:t>
      </w:r>
    </w:p>
    <w:p>
      <w:pPr>
        <w:pStyle w:val="38"/>
        <w:snapToGrid/>
        <w:spacing w:after="0"/>
        <w:ind w:firstLine="0" w:firstLineChars="0"/>
        <w:rPr>
          <w:rFonts w:hint="default" w:ascii="Times New Roman" w:hAnsi="Times New Roman" w:eastAsia="仿宋"/>
          <w:b/>
          <w:bCs/>
          <w:color w:val="auto"/>
          <w:kern w:val="2"/>
          <w:sz w:val="28"/>
          <w:szCs w:val="32"/>
          <w:lang w:eastAsia="zh-CN"/>
        </w:rPr>
      </w:pPr>
      <w:r>
        <w:rPr>
          <w:rFonts w:ascii="Times New Roman" w:hAnsi="Times New Roman" w:eastAsia="仿宋"/>
          <w:b/>
          <w:bCs/>
          <w:color w:val="auto"/>
          <w:kern w:val="2"/>
          <w:sz w:val="28"/>
          <w:szCs w:val="32"/>
          <w:lang w:eastAsia="zh-CN"/>
        </w:rPr>
        <w:t>9</w:t>
      </w:r>
      <w:r>
        <w:rPr>
          <w:rFonts w:hint="default" w:ascii="Times New Roman" w:hAnsi="Times New Roman" w:eastAsia="仿宋"/>
          <w:b/>
          <w:bCs/>
          <w:color w:val="auto"/>
          <w:kern w:val="2"/>
          <w:sz w:val="28"/>
          <w:szCs w:val="32"/>
          <w:lang w:eastAsia="zh-CN"/>
        </w:rPr>
        <w:t xml:space="preserve">.2.6 </w:t>
      </w:r>
      <w:r>
        <w:rPr>
          <w:rFonts w:ascii="Times New Roman" w:hAnsi="Times New Roman" w:eastAsia="仿宋"/>
          <w:b/>
          <w:bCs/>
          <w:color w:val="auto"/>
          <w:kern w:val="2"/>
          <w:sz w:val="28"/>
          <w:szCs w:val="32"/>
          <w:lang w:eastAsia="zh-CN"/>
        </w:rPr>
        <w:t>应急培训内容、方式、记录表</w:t>
      </w:r>
    </w:p>
    <w:p>
      <w:pPr>
        <w:pStyle w:val="38"/>
        <w:snapToGrid/>
        <w:spacing w:after="0"/>
        <w:ind w:firstLine="562" w:firstLineChars="200"/>
        <w:rPr>
          <w:rFonts w:hint="default" w:ascii="Times New Roman" w:hAnsi="Times New Roman" w:eastAsia="仿宋"/>
          <w:color w:val="auto"/>
          <w:kern w:val="2"/>
          <w:sz w:val="28"/>
          <w:szCs w:val="28"/>
          <w:lang w:eastAsia="zh-CN"/>
        </w:rPr>
      </w:pPr>
      <w:r>
        <w:rPr>
          <w:rFonts w:ascii="Times New Roman" w:hAnsi="Times New Roman" w:eastAsia="仿宋"/>
          <w:b/>
          <w:bCs/>
          <w:color w:val="auto"/>
          <w:kern w:val="2"/>
          <w:sz w:val="28"/>
          <w:szCs w:val="28"/>
          <w:lang w:eastAsia="zh-CN"/>
        </w:rPr>
        <w:t>应急培训内容：</w:t>
      </w:r>
      <w:r>
        <w:rPr>
          <w:rFonts w:ascii="Times New Roman" w:hAnsi="Times New Roman" w:eastAsia="仿宋"/>
          <w:color w:val="auto"/>
          <w:kern w:val="2"/>
          <w:sz w:val="28"/>
          <w:szCs w:val="28"/>
          <w:lang w:eastAsia="zh-CN"/>
        </w:rPr>
        <w:t>基本应急培训是指对参与应急行动所有相关人员进行的最低程度的应急培训，要求应急人员了解和掌握如何识别危险、如何采取必要的应急措施、如何启动紧急警报系统、如何安全疏散人群等基本操作，尤其是火灾应急培训以及危险物质事故应急的培训，因为火灾和危险品事故是常见的事故类型。因此，培训中要加强与灭火操作有关的训练，强调危险物质事故的不同应急水平和注意事故等内容。</w:t>
      </w:r>
    </w:p>
    <w:p>
      <w:pPr>
        <w:pStyle w:val="38"/>
        <w:snapToGrid/>
        <w:spacing w:after="0"/>
        <w:ind w:firstLine="562" w:firstLineChars="200"/>
        <w:rPr>
          <w:rFonts w:hint="default" w:ascii="Times New Roman" w:hAnsi="Times New Roman" w:eastAsia="仿宋"/>
          <w:color w:val="auto"/>
          <w:kern w:val="2"/>
          <w:sz w:val="28"/>
          <w:szCs w:val="28"/>
          <w:lang w:eastAsia="zh-CN"/>
        </w:rPr>
      </w:pPr>
      <w:r>
        <w:rPr>
          <w:rFonts w:ascii="Times New Roman" w:hAnsi="Times New Roman" w:eastAsia="仿宋"/>
          <w:b/>
          <w:bCs/>
          <w:color w:val="auto"/>
          <w:kern w:val="2"/>
          <w:sz w:val="28"/>
          <w:szCs w:val="28"/>
          <w:lang w:eastAsia="zh-CN"/>
        </w:rPr>
        <w:t>培训方式：</w:t>
      </w:r>
      <w:r>
        <w:rPr>
          <w:rFonts w:ascii="Times New Roman" w:hAnsi="Times New Roman" w:eastAsia="仿宋"/>
          <w:color w:val="auto"/>
          <w:kern w:val="2"/>
          <w:sz w:val="28"/>
          <w:szCs w:val="28"/>
          <w:lang w:eastAsia="zh-CN"/>
        </w:rPr>
        <w:t>综合讨论、专家讲座等。</w:t>
      </w:r>
    </w:p>
    <w:p>
      <w:pPr>
        <w:pStyle w:val="38"/>
        <w:snapToGrid/>
        <w:spacing w:after="0"/>
        <w:ind w:firstLine="562" w:firstLineChars="200"/>
        <w:rPr>
          <w:rFonts w:hint="default" w:ascii="Times New Roman" w:hAnsi="Times New Roman" w:eastAsia="仿宋"/>
          <w:color w:val="auto"/>
          <w:kern w:val="2"/>
          <w:sz w:val="28"/>
          <w:szCs w:val="28"/>
          <w:lang w:eastAsia="zh-CN"/>
        </w:rPr>
      </w:pPr>
      <w:r>
        <w:rPr>
          <w:rFonts w:ascii="Times New Roman" w:hAnsi="Times New Roman" w:eastAsia="仿宋"/>
          <w:b/>
          <w:bCs/>
          <w:color w:val="auto"/>
          <w:kern w:val="2"/>
          <w:sz w:val="28"/>
          <w:szCs w:val="28"/>
          <w:lang w:eastAsia="zh-CN"/>
        </w:rPr>
        <w:t>记录表：</w:t>
      </w:r>
      <w:r>
        <w:rPr>
          <w:rFonts w:ascii="Times New Roman" w:hAnsi="Times New Roman" w:eastAsia="仿宋"/>
          <w:color w:val="auto"/>
          <w:kern w:val="2"/>
          <w:sz w:val="28"/>
          <w:szCs w:val="28"/>
          <w:lang w:eastAsia="zh-CN"/>
        </w:rPr>
        <w:t>每次应急培训应做好培训记录表。</w:t>
      </w:r>
    </w:p>
    <w:p>
      <w:pPr>
        <w:pStyle w:val="4"/>
        <w:rPr>
          <w:color w:val="auto"/>
          <w:szCs w:val="28"/>
        </w:rPr>
      </w:pPr>
      <w:bookmarkStart w:id="310" w:name="_Toc405"/>
      <w:bookmarkStart w:id="311" w:name="_Toc473217303"/>
      <w:bookmarkStart w:id="312" w:name="_Toc490845236"/>
      <w:r>
        <w:rPr>
          <w:color w:val="auto"/>
          <w:szCs w:val="28"/>
        </w:rPr>
        <w:t>9.3责任与奖励</w:t>
      </w:r>
      <w:bookmarkEnd w:id="305"/>
      <w:bookmarkEnd w:id="306"/>
      <w:bookmarkEnd w:id="307"/>
      <w:bookmarkEnd w:id="310"/>
      <w:bookmarkEnd w:id="311"/>
      <w:bookmarkEnd w:id="312"/>
    </w:p>
    <w:p>
      <w:pPr>
        <w:ind w:firstLine="560"/>
        <w:rPr>
          <w:color w:val="auto"/>
          <w:szCs w:val="28"/>
        </w:rPr>
      </w:pPr>
      <w:r>
        <w:rPr>
          <w:color w:val="auto"/>
          <w:szCs w:val="28"/>
        </w:rPr>
        <w:t>突发环境事件应急处置工作实行主要领导负责制和责任追究制。总指挥对在应急工作中做出突出贡献的先进集体和先进个人，要给予表彰和奖励。对迟报、慌报、瞒报和漏报突发事件重要情况或者在应急管理工作中有其他失职、渎职行为的予以追责。</w:t>
      </w:r>
    </w:p>
    <w:p>
      <w:pPr>
        <w:pStyle w:val="5"/>
        <w:ind w:firstLine="0" w:firstLineChars="0"/>
        <w:rPr>
          <w:color w:val="auto"/>
        </w:rPr>
      </w:pPr>
      <w:bookmarkStart w:id="313" w:name="_Toc490845237"/>
      <w:bookmarkStart w:id="314" w:name="_Toc10127"/>
      <w:r>
        <w:rPr>
          <w:color w:val="auto"/>
        </w:rPr>
        <w:t>9.3.1 责任追究</w:t>
      </w:r>
      <w:bookmarkEnd w:id="313"/>
      <w:bookmarkEnd w:id="314"/>
      <w:r>
        <w:rPr>
          <w:color w:val="auto"/>
        </w:rPr>
        <w:t xml:space="preserve"> </w:t>
      </w:r>
    </w:p>
    <w:p>
      <w:pPr>
        <w:ind w:firstLine="560"/>
        <w:rPr>
          <w:color w:val="auto"/>
          <w:szCs w:val="28"/>
        </w:rPr>
      </w:pPr>
      <w:r>
        <w:rPr>
          <w:color w:val="auto"/>
          <w:szCs w:val="28"/>
        </w:rPr>
        <w:t xml:space="preserve">在突发性环境污染事件应急工作中，总指挥按照有关法律和规定，对有关责任人员视情节和危害后果，追究相应的责任。 </w:t>
      </w:r>
    </w:p>
    <w:p>
      <w:pPr>
        <w:ind w:left="560" w:firstLine="0" w:firstLineChars="0"/>
        <w:rPr>
          <w:color w:val="auto"/>
          <w:szCs w:val="28"/>
        </w:rPr>
      </w:pPr>
      <w:r>
        <w:rPr>
          <w:color w:val="auto"/>
          <w:szCs w:val="28"/>
        </w:rPr>
        <w:fldChar w:fldCharType="begin"/>
      </w:r>
      <w:r>
        <w:rPr>
          <w:color w:val="auto"/>
          <w:szCs w:val="28"/>
        </w:rPr>
        <w:instrText xml:space="preserve"> </w:instrText>
      </w:r>
      <w:r>
        <w:rPr>
          <w:rFonts w:hint="eastAsia"/>
          <w:color w:val="auto"/>
          <w:szCs w:val="28"/>
        </w:rPr>
        <w:instrText xml:space="preserve">= 1 \* GB2</w:instrText>
      </w:r>
      <w:r>
        <w:rPr>
          <w:color w:val="auto"/>
          <w:szCs w:val="28"/>
        </w:rPr>
        <w:instrText xml:space="preserve"> </w:instrText>
      </w:r>
      <w:r>
        <w:rPr>
          <w:color w:val="auto"/>
          <w:szCs w:val="28"/>
        </w:rPr>
        <w:fldChar w:fldCharType="separate"/>
      </w:r>
      <w:r>
        <w:rPr>
          <w:rFonts w:hint="eastAsia"/>
          <w:color w:val="auto"/>
          <w:szCs w:val="28"/>
        </w:rPr>
        <w:t>⑴</w:t>
      </w:r>
      <w:r>
        <w:rPr>
          <w:color w:val="auto"/>
          <w:szCs w:val="28"/>
        </w:rPr>
        <w:fldChar w:fldCharType="end"/>
      </w:r>
      <w:r>
        <w:rPr>
          <w:color w:val="auto"/>
          <w:szCs w:val="28"/>
        </w:rPr>
        <w:t xml:space="preserve"> 存在工作失职、不严格执行岗位职责而引发环境事件的。 </w:t>
      </w:r>
    </w:p>
    <w:p>
      <w:pPr>
        <w:ind w:firstLine="560"/>
        <w:rPr>
          <w:color w:val="auto"/>
          <w:szCs w:val="28"/>
        </w:rPr>
      </w:pPr>
      <w:r>
        <w:rPr>
          <w:rFonts w:hint="eastAsia"/>
          <w:color w:val="auto"/>
          <w:szCs w:val="28"/>
        </w:rPr>
        <w:t>⑵</w:t>
      </w:r>
      <w:r>
        <w:rPr>
          <w:color w:val="auto"/>
          <w:szCs w:val="28"/>
        </w:rPr>
        <w:t xml:space="preserve"> 拒绝承担突发环境事件应急处置义务的。</w:t>
      </w:r>
    </w:p>
    <w:p>
      <w:pPr>
        <w:ind w:firstLine="560"/>
        <w:rPr>
          <w:color w:val="auto"/>
          <w:szCs w:val="28"/>
        </w:rPr>
      </w:pPr>
      <w:r>
        <w:rPr>
          <w:rFonts w:hint="eastAsia"/>
          <w:color w:val="auto"/>
          <w:szCs w:val="28"/>
        </w:rPr>
        <w:t xml:space="preserve">⑶ </w:t>
      </w:r>
      <w:r>
        <w:rPr>
          <w:color w:val="auto"/>
          <w:szCs w:val="28"/>
        </w:rPr>
        <w:t>不按规定报告、通报突发环境事件真实情况的。</w:t>
      </w:r>
    </w:p>
    <w:p>
      <w:pPr>
        <w:ind w:firstLine="560"/>
        <w:rPr>
          <w:color w:val="auto"/>
          <w:szCs w:val="28"/>
        </w:rPr>
      </w:pPr>
      <w:r>
        <w:rPr>
          <w:rFonts w:hint="eastAsia"/>
          <w:color w:val="auto"/>
          <w:szCs w:val="28"/>
        </w:rPr>
        <w:t xml:space="preserve">⑷ </w:t>
      </w:r>
      <w:r>
        <w:rPr>
          <w:color w:val="auto"/>
          <w:szCs w:val="28"/>
        </w:rPr>
        <w:t>拒不执行突发环境事件应急预案，不服从命令和指挥，或者在事件应急响应时临阵脱逃的。</w:t>
      </w:r>
    </w:p>
    <w:p>
      <w:pPr>
        <w:ind w:firstLine="560"/>
        <w:rPr>
          <w:color w:val="auto"/>
          <w:szCs w:val="28"/>
        </w:rPr>
      </w:pPr>
      <w:r>
        <w:rPr>
          <w:rFonts w:hint="eastAsia"/>
          <w:color w:val="auto"/>
          <w:szCs w:val="28"/>
        </w:rPr>
        <w:t xml:space="preserve">⑸ </w:t>
      </w:r>
      <w:r>
        <w:rPr>
          <w:color w:val="auto"/>
          <w:szCs w:val="28"/>
        </w:rPr>
        <w:t>盗窃、贪污、挪用突发环境事件应急资金、装备和物资的。</w:t>
      </w:r>
    </w:p>
    <w:p>
      <w:pPr>
        <w:ind w:firstLine="560"/>
        <w:rPr>
          <w:color w:val="auto"/>
          <w:szCs w:val="28"/>
        </w:rPr>
      </w:pPr>
      <w:r>
        <w:rPr>
          <w:rFonts w:hint="eastAsia"/>
          <w:color w:val="auto"/>
          <w:szCs w:val="28"/>
        </w:rPr>
        <w:t xml:space="preserve">⑹ </w:t>
      </w:r>
      <w:r>
        <w:rPr>
          <w:color w:val="auto"/>
          <w:szCs w:val="28"/>
        </w:rPr>
        <w:t>阻碍环境事件应急工作人员开展应急工作的。</w:t>
      </w:r>
    </w:p>
    <w:p>
      <w:pPr>
        <w:ind w:firstLine="560"/>
        <w:rPr>
          <w:color w:val="auto"/>
          <w:szCs w:val="28"/>
        </w:rPr>
      </w:pPr>
      <w:r>
        <w:rPr>
          <w:rFonts w:hint="eastAsia"/>
          <w:color w:val="auto"/>
          <w:szCs w:val="28"/>
        </w:rPr>
        <w:t xml:space="preserve">⑺ </w:t>
      </w:r>
      <w:r>
        <w:rPr>
          <w:color w:val="auto"/>
          <w:szCs w:val="28"/>
        </w:rPr>
        <w:t xml:space="preserve">散布谣言，扰乱社会秩序的。 </w:t>
      </w:r>
    </w:p>
    <w:p>
      <w:pPr>
        <w:ind w:firstLine="560"/>
        <w:rPr>
          <w:color w:val="auto"/>
          <w:szCs w:val="28"/>
        </w:rPr>
      </w:pPr>
      <w:r>
        <w:rPr>
          <w:rFonts w:hint="eastAsia"/>
          <w:color w:val="auto"/>
          <w:szCs w:val="28"/>
        </w:rPr>
        <w:t xml:space="preserve">⑻ </w:t>
      </w:r>
      <w:r>
        <w:rPr>
          <w:color w:val="auto"/>
          <w:szCs w:val="28"/>
        </w:rPr>
        <w:t>其他对突发环境事件应急工作造成危害行为的。</w:t>
      </w:r>
    </w:p>
    <w:p>
      <w:pPr>
        <w:pStyle w:val="5"/>
        <w:ind w:firstLine="0" w:firstLineChars="0"/>
        <w:rPr>
          <w:color w:val="auto"/>
        </w:rPr>
      </w:pPr>
      <w:bookmarkStart w:id="315" w:name="_Toc31987"/>
      <w:bookmarkStart w:id="316" w:name="_Toc490845238"/>
      <w:r>
        <w:rPr>
          <w:color w:val="auto"/>
        </w:rPr>
        <w:t>9.3.2 奖励</w:t>
      </w:r>
      <w:bookmarkEnd w:id="315"/>
      <w:bookmarkEnd w:id="316"/>
      <w:r>
        <w:rPr>
          <w:color w:val="auto"/>
        </w:rPr>
        <w:t xml:space="preserve"> </w:t>
      </w:r>
    </w:p>
    <w:p>
      <w:pPr>
        <w:ind w:firstLine="560"/>
        <w:rPr>
          <w:color w:val="auto"/>
          <w:szCs w:val="28"/>
        </w:rPr>
      </w:pPr>
      <w:r>
        <w:rPr>
          <w:color w:val="auto"/>
          <w:szCs w:val="28"/>
        </w:rPr>
        <w:t>在突发性环境污染事件应急救援工作中，总指挥应依据有关规定给予奖励。根据具体情况，制定对在突发性环境污染事件应急救援工作中有突出表现的机构和个人的奖励办法，并落实。</w:t>
      </w:r>
    </w:p>
    <w:p>
      <w:pPr>
        <w:ind w:firstLine="560"/>
        <w:rPr>
          <w:color w:val="auto"/>
          <w:szCs w:val="28"/>
        </w:rPr>
      </w:pPr>
      <w:r>
        <w:rPr>
          <w:rFonts w:hint="eastAsia"/>
          <w:color w:val="auto"/>
          <w:szCs w:val="28"/>
        </w:rPr>
        <w:t>⑴ 出色完成突发环境事件应急处置任务，成绩显著的。</w:t>
      </w:r>
    </w:p>
    <w:p>
      <w:pPr>
        <w:ind w:firstLine="560"/>
        <w:rPr>
          <w:color w:val="auto"/>
          <w:szCs w:val="28"/>
        </w:rPr>
      </w:pPr>
      <w:r>
        <w:rPr>
          <w:rFonts w:hint="eastAsia"/>
          <w:color w:val="auto"/>
          <w:szCs w:val="28"/>
        </w:rPr>
        <w:t>⑵ 对防止或挽救突发环境事件有功，使医院和人民群众的生命财产免受或者减少损失的。</w:t>
      </w:r>
    </w:p>
    <w:p>
      <w:pPr>
        <w:ind w:firstLine="560"/>
        <w:rPr>
          <w:color w:val="auto"/>
          <w:szCs w:val="28"/>
        </w:rPr>
      </w:pPr>
      <w:r>
        <w:rPr>
          <w:rFonts w:hint="eastAsia"/>
          <w:color w:val="auto"/>
          <w:szCs w:val="28"/>
        </w:rPr>
        <w:t>⑶ 对事件应急准备与响应提出重大建议，实施效果显著的。</w:t>
      </w:r>
    </w:p>
    <w:p>
      <w:pPr>
        <w:ind w:firstLine="560"/>
        <w:rPr>
          <w:color w:val="auto"/>
          <w:szCs w:val="28"/>
        </w:rPr>
      </w:pPr>
      <w:r>
        <w:rPr>
          <w:rFonts w:hint="eastAsia"/>
          <w:color w:val="auto"/>
          <w:szCs w:val="28"/>
        </w:rPr>
        <w:t>⑷ 有其他特殊贡献的。</w:t>
      </w:r>
      <w:r>
        <w:rPr>
          <w:color w:val="auto"/>
          <w:szCs w:val="28"/>
        </w:rPr>
        <w:br w:type="page"/>
      </w:r>
      <w:bookmarkStart w:id="317" w:name="_Toc490845239"/>
      <w:r>
        <w:rPr>
          <w:b/>
          <w:color w:val="auto"/>
          <w:sz w:val="30"/>
          <w:szCs w:val="30"/>
        </w:rPr>
        <w:t>10 附则</w:t>
      </w:r>
      <w:bookmarkEnd w:id="281"/>
      <w:bookmarkEnd w:id="282"/>
      <w:bookmarkEnd w:id="283"/>
      <w:bookmarkEnd w:id="317"/>
    </w:p>
    <w:p>
      <w:pPr>
        <w:pStyle w:val="4"/>
        <w:rPr>
          <w:color w:val="auto"/>
          <w:szCs w:val="28"/>
        </w:rPr>
      </w:pPr>
      <w:bookmarkStart w:id="318" w:name="_Toc490845240"/>
      <w:bookmarkStart w:id="319" w:name="_Toc373756850"/>
      <w:bookmarkStart w:id="320" w:name="_Toc365671832"/>
      <w:bookmarkStart w:id="321" w:name="_Toc11004"/>
      <w:bookmarkStart w:id="322" w:name="_Toc408566571"/>
      <w:bookmarkStart w:id="323" w:name="_Toc2"/>
      <w:r>
        <w:rPr>
          <w:color w:val="auto"/>
          <w:szCs w:val="28"/>
        </w:rPr>
        <w:t>10.1 名词术语</w:t>
      </w:r>
      <w:bookmarkEnd w:id="318"/>
      <w:bookmarkEnd w:id="319"/>
      <w:bookmarkEnd w:id="320"/>
      <w:bookmarkEnd w:id="321"/>
      <w:bookmarkEnd w:id="322"/>
      <w:bookmarkEnd w:id="323"/>
    </w:p>
    <w:p>
      <w:pPr>
        <w:ind w:firstLine="562"/>
        <w:rPr>
          <w:color w:val="auto"/>
          <w:szCs w:val="28"/>
        </w:rPr>
      </w:pPr>
      <w:bookmarkStart w:id="324" w:name="_Toc373756851"/>
      <w:bookmarkStart w:id="325" w:name="_Toc365671833"/>
      <w:bookmarkStart w:id="326" w:name="_Toc408566572"/>
      <w:r>
        <w:rPr>
          <w:b/>
          <w:color w:val="auto"/>
          <w:szCs w:val="28"/>
        </w:rPr>
        <w:t>环境事件：</w:t>
      </w:r>
      <w:r>
        <w:rPr>
          <w:color w:val="auto"/>
          <w:szCs w:val="28"/>
        </w:rPr>
        <w:t>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pPr>
        <w:ind w:firstLine="562"/>
        <w:rPr>
          <w:color w:val="auto"/>
          <w:szCs w:val="28"/>
        </w:rPr>
      </w:pPr>
      <w:r>
        <w:rPr>
          <w:b/>
          <w:color w:val="auto"/>
          <w:szCs w:val="28"/>
        </w:rPr>
        <w:t>突发环境事件：</w:t>
      </w:r>
      <w:r>
        <w:rPr>
          <w:color w:val="auto"/>
          <w:szCs w:val="28"/>
        </w:rPr>
        <w:t>是指由于污染物排放或者自然灾害、生产安全事故等因素，导致污染物或者放射性物质等有毒有害物质进入大气、水体、土壤等环境介质，突然造成或者可能造成环境质量下降，危及公众身体健康和财产安全，或者造成生态环境破坏，或者造成重大社会影响，需要采取紧急措施予以应对的事件。</w:t>
      </w:r>
    </w:p>
    <w:p>
      <w:pPr>
        <w:ind w:firstLine="562"/>
        <w:rPr>
          <w:color w:val="auto"/>
          <w:szCs w:val="28"/>
        </w:rPr>
      </w:pPr>
      <w:r>
        <w:rPr>
          <w:b/>
          <w:color w:val="auto"/>
          <w:szCs w:val="28"/>
        </w:rPr>
        <w:t>突发环境事件应急预案：</w:t>
      </w:r>
      <w:r>
        <w:rPr>
          <w:color w:val="auto"/>
          <w:szCs w:val="28"/>
        </w:rPr>
        <w:t>是指针对可能发生的突发环境事件，为确保迅速、有序、高效地开展应急处置，减少人员伤亡和经济损失而预先制定的计划或方案。</w:t>
      </w:r>
    </w:p>
    <w:p>
      <w:pPr>
        <w:ind w:firstLine="562"/>
        <w:rPr>
          <w:color w:val="auto"/>
          <w:szCs w:val="28"/>
        </w:rPr>
      </w:pPr>
      <w:r>
        <w:rPr>
          <w:b/>
          <w:color w:val="auto"/>
          <w:szCs w:val="28"/>
        </w:rPr>
        <w:t>危险源：</w:t>
      </w:r>
      <w:r>
        <w:rPr>
          <w:color w:val="auto"/>
          <w:szCs w:val="28"/>
        </w:rPr>
        <w:t>是指可能导致伤害或疾病、财产损失、环境破坏或这些情况组合的根源或状态。</w:t>
      </w:r>
    </w:p>
    <w:p>
      <w:pPr>
        <w:ind w:firstLine="562"/>
        <w:rPr>
          <w:color w:val="auto"/>
          <w:szCs w:val="28"/>
        </w:rPr>
      </w:pPr>
      <w:r>
        <w:rPr>
          <w:b/>
          <w:color w:val="auto"/>
          <w:szCs w:val="28"/>
        </w:rPr>
        <w:t>环境风险：</w:t>
      </w:r>
      <w:r>
        <w:rPr>
          <w:color w:val="auto"/>
          <w:szCs w:val="28"/>
        </w:rPr>
        <w:t>是指突发环境事件的可能性及突发环境事件造成的危害程度。</w:t>
      </w:r>
    </w:p>
    <w:p>
      <w:pPr>
        <w:ind w:firstLine="562"/>
        <w:rPr>
          <w:color w:val="auto"/>
          <w:szCs w:val="28"/>
        </w:rPr>
      </w:pPr>
      <w:r>
        <w:rPr>
          <w:b/>
          <w:color w:val="auto"/>
          <w:szCs w:val="28"/>
        </w:rPr>
        <w:t>环境风险单元：</w:t>
      </w:r>
      <w:r>
        <w:rPr>
          <w:color w:val="auto"/>
          <w:szCs w:val="28"/>
        </w:rPr>
        <w:t>指长期或临时生产、加工、使用或储存环境风险物质的一（套）生产装置、设施或场所或同属一个企业且边缘距离小于500</w:t>
      </w:r>
      <w:r>
        <w:rPr>
          <w:rFonts w:hint="eastAsia"/>
          <w:color w:val="auto"/>
          <w:szCs w:val="28"/>
        </w:rPr>
        <w:t>m</w:t>
      </w:r>
      <w:r>
        <w:rPr>
          <w:color w:val="auto"/>
          <w:szCs w:val="28"/>
        </w:rPr>
        <w:t>的几个（套）生产装置、设施或场所。</w:t>
      </w:r>
    </w:p>
    <w:p>
      <w:pPr>
        <w:ind w:firstLine="562"/>
        <w:rPr>
          <w:color w:val="auto"/>
          <w:szCs w:val="28"/>
        </w:rPr>
      </w:pPr>
      <w:r>
        <w:rPr>
          <w:b/>
          <w:bCs/>
          <w:color w:val="auto"/>
          <w:szCs w:val="28"/>
        </w:rPr>
        <w:t>环境风险受体：</w:t>
      </w:r>
      <w:r>
        <w:rPr>
          <w:color w:val="auto"/>
          <w:szCs w:val="28"/>
        </w:rPr>
        <w:t>指在突发环境事件中可能受到危害的企业外部人群、具有一定社会价值或生态环境功能的单位或区域等。</w:t>
      </w:r>
    </w:p>
    <w:p>
      <w:pPr>
        <w:ind w:firstLine="562"/>
        <w:rPr>
          <w:color w:val="auto"/>
          <w:szCs w:val="28"/>
        </w:rPr>
      </w:pPr>
      <w:r>
        <w:rPr>
          <w:b/>
          <w:color w:val="auto"/>
          <w:szCs w:val="28"/>
        </w:rPr>
        <w:t>清净下水：</w:t>
      </w:r>
      <w:r>
        <w:rPr>
          <w:color w:val="auto"/>
          <w:szCs w:val="28"/>
        </w:rPr>
        <w:t>指装置区排出的未被污染的废水，如间接冷却水的排水、溢流水等。</w:t>
      </w:r>
    </w:p>
    <w:p>
      <w:pPr>
        <w:ind w:firstLine="562"/>
        <w:rPr>
          <w:color w:val="auto"/>
          <w:szCs w:val="28"/>
        </w:rPr>
      </w:pPr>
      <w:r>
        <w:rPr>
          <w:b/>
          <w:color w:val="auto"/>
          <w:szCs w:val="28"/>
        </w:rPr>
        <w:t>事故排水：</w:t>
      </w:r>
      <w:r>
        <w:rPr>
          <w:color w:val="auto"/>
          <w:szCs w:val="28"/>
        </w:rPr>
        <w:t>指事故状态下排出的含有泄漏物，以及施救过程中产生其他物质的生产废水、清净下水、雨水或消防水等。</w:t>
      </w:r>
    </w:p>
    <w:p>
      <w:pPr>
        <w:ind w:firstLine="562"/>
        <w:rPr>
          <w:color w:val="auto"/>
          <w:szCs w:val="28"/>
        </w:rPr>
      </w:pPr>
      <w:r>
        <w:rPr>
          <w:b/>
          <w:color w:val="auto"/>
          <w:szCs w:val="28"/>
        </w:rPr>
        <w:t>应急预案：</w:t>
      </w:r>
      <w:r>
        <w:rPr>
          <w:color w:val="auto"/>
          <w:szCs w:val="28"/>
        </w:rPr>
        <w:t>指针对突发公共事件事先制定的，用以明确事前、事发、事中、事后的各个进程中，谁来做，怎样做，何时做以及用什么资源来做的应急反应工作方案。</w:t>
      </w:r>
    </w:p>
    <w:p>
      <w:pPr>
        <w:ind w:firstLine="562"/>
        <w:rPr>
          <w:color w:val="auto"/>
          <w:szCs w:val="28"/>
        </w:rPr>
      </w:pPr>
      <w:r>
        <w:rPr>
          <w:b/>
          <w:color w:val="auto"/>
          <w:szCs w:val="28"/>
        </w:rPr>
        <w:t>环境应急：</w:t>
      </w:r>
      <w:r>
        <w:rPr>
          <w:color w:val="auto"/>
          <w:szCs w:val="28"/>
        </w:rPr>
        <w:t>针对可能或已发生的突发环境事件需要立即采取某些超出正常工作程序的行动，以避免事件发生或减轻事件后果的状态，也称为紧急状态；同时也泛指立即采取超出正常工作程序的行动。</w:t>
      </w:r>
    </w:p>
    <w:p>
      <w:pPr>
        <w:ind w:firstLine="562"/>
        <w:rPr>
          <w:color w:val="auto"/>
          <w:szCs w:val="28"/>
        </w:rPr>
      </w:pPr>
      <w:r>
        <w:rPr>
          <w:b/>
          <w:color w:val="auto"/>
          <w:szCs w:val="28"/>
        </w:rPr>
        <w:t>应急监测：</w:t>
      </w:r>
      <w:r>
        <w:rPr>
          <w:color w:val="auto"/>
          <w:szCs w:val="28"/>
        </w:rPr>
        <w:t>环境应急情况下，为发现和查明环境污染情况和污染范围而进行的环境监测，包括定点监测和动态监测。</w:t>
      </w:r>
    </w:p>
    <w:p>
      <w:pPr>
        <w:ind w:firstLine="562"/>
        <w:rPr>
          <w:color w:val="auto"/>
          <w:szCs w:val="28"/>
        </w:rPr>
      </w:pPr>
      <w:r>
        <w:rPr>
          <w:b/>
          <w:color w:val="auto"/>
          <w:szCs w:val="28"/>
        </w:rPr>
        <w:t>应急演习：</w:t>
      </w:r>
      <w:r>
        <w:rPr>
          <w:color w:val="auto"/>
          <w:szCs w:val="28"/>
        </w:rPr>
        <w:t>为检验应急计划的有效性、应急准备的完善性、应急响应能力的适应性和应急人员的协同性而进行的一种模拟应急响应的实践活动，根据所涉及的内容和范围的不同，可分为单项演习、综合演习和指挥中心、现场应急组织联合进行的联合演习。</w:t>
      </w:r>
    </w:p>
    <w:p>
      <w:pPr>
        <w:ind w:firstLine="562"/>
        <w:rPr>
          <w:color w:val="auto"/>
          <w:szCs w:val="28"/>
        </w:rPr>
      </w:pPr>
      <w:r>
        <w:rPr>
          <w:b/>
          <w:color w:val="auto"/>
          <w:szCs w:val="28"/>
        </w:rPr>
        <w:t>应急准备：</w:t>
      </w:r>
      <w:r>
        <w:rPr>
          <w:color w:val="auto"/>
          <w:szCs w:val="28"/>
        </w:rPr>
        <w:t>针对可能发生的事件</w:t>
      </w:r>
      <w:r>
        <w:rPr>
          <w:rFonts w:hint="eastAsia"/>
          <w:color w:val="auto"/>
          <w:szCs w:val="28"/>
        </w:rPr>
        <w:t>，</w:t>
      </w:r>
      <w:r>
        <w:rPr>
          <w:color w:val="auto"/>
          <w:szCs w:val="28"/>
        </w:rPr>
        <w:t>为迅速、有序地开展应急行动而预先进行是组织准备和应尽保障。</w:t>
      </w:r>
    </w:p>
    <w:p>
      <w:pPr>
        <w:ind w:firstLine="562"/>
        <w:rPr>
          <w:color w:val="auto"/>
          <w:szCs w:val="28"/>
        </w:rPr>
      </w:pPr>
      <w:r>
        <w:rPr>
          <w:b/>
          <w:color w:val="auto"/>
          <w:szCs w:val="28"/>
        </w:rPr>
        <w:t>应急响应：</w:t>
      </w:r>
      <w:r>
        <w:rPr>
          <w:color w:val="auto"/>
          <w:szCs w:val="28"/>
        </w:rPr>
        <w:t>事件发生后</w:t>
      </w:r>
      <w:r>
        <w:rPr>
          <w:rFonts w:hint="eastAsia"/>
          <w:color w:val="auto"/>
          <w:szCs w:val="28"/>
        </w:rPr>
        <w:t>，</w:t>
      </w:r>
      <w:r>
        <w:rPr>
          <w:color w:val="auto"/>
          <w:szCs w:val="28"/>
        </w:rPr>
        <w:t>有关组织或人员采取的应急行动。</w:t>
      </w:r>
    </w:p>
    <w:p>
      <w:pPr>
        <w:ind w:firstLine="562"/>
        <w:rPr>
          <w:color w:val="auto"/>
          <w:szCs w:val="28"/>
        </w:rPr>
      </w:pPr>
      <w:r>
        <w:rPr>
          <w:b/>
          <w:color w:val="auto"/>
          <w:szCs w:val="28"/>
        </w:rPr>
        <w:t>应急救援：</w:t>
      </w:r>
      <w:r>
        <w:rPr>
          <w:color w:val="auto"/>
          <w:szCs w:val="28"/>
        </w:rPr>
        <w:t>在应急响应过程中</w:t>
      </w:r>
      <w:r>
        <w:rPr>
          <w:rFonts w:hint="eastAsia"/>
          <w:color w:val="auto"/>
          <w:szCs w:val="28"/>
        </w:rPr>
        <w:t>，</w:t>
      </w:r>
      <w:r>
        <w:rPr>
          <w:color w:val="auto"/>
          <w:szCs w:val="28"/>
        </w:rPr>
        <w:t>为消除、减少事故危害</w:t>
      </w:r>
      <w:r>
        <w:rPr>
          <w:rFonts w:hint="eastAsia"/>
          <w:color w:val="auto"/>
          <w:szCs w:val="28"/>
        </w:rPr>
        <w:t>，</w:t>
      </w:r>
      <w:r>
        <w:rPr>
          <w:color w:val="auto"/>
          <w:szCs w:val="28"/>
        </w:rPr>
        <w:t>防止事件扩大或恶化</w:t>
      </w:r>
      <w:r>
        <w:rPr>
          <w:rFonts w:hint="eastAsia"/>
          <w:color w:val="auto"/>
          <w:szCs w:val="28"/>
        </w:rPr>
        <w:t>，</w:t>
      </w:r>
      <w:r>
        <w:rPr>
          <w:color w:val="auto"/>
          <w:szCs w:val="28"/>
        </w:rPr>
        <w:t>最大限度地减低事件造成的损失或危害而采取的救援措施或行动。</w:t>
      </w:r>
    </w:p>
    <w:p>
      <w:pPr>
        <w:ind w:firstLine="562"/>
        <w:rPr>
          <w:color w:val="auto"/>
          <w:szCs w:val="28"/>
        </w:rPr>
      </w:pPr>
      <w:r>
        <w:rPr>
          <w:b/>
          <w:color w:val="auto"/>
          <w:szCs w:val="28"/>
        </w:rPr>
        <w:t>分级：</w:t>
      </w:r>
      <w:r>
        <w:rPr>
          <w:color w:val="auto"/>
          <w:szCs w:val="28"/>
        </w:rPr>
        <w:t>指根据事件危害程度而划分的级别。</w:t>
      </w:r>
    </w:p>
    <w:p>
      <w:pPr>
        <w:ind w:firstLine="562"/>
        <w:rPr>
          <w:color w:val="auto"/>
          <w:szCs w:val="28"/>
        </w:rPr>
      </w:pPr>
      <w:r>
        <w:rPr>
          <w:b/>
          <w:color w:val="auto"/>
          <w:szCs w:val="28"/>
        </w:rPr>
        <w:t>预警：</w:t>
      </w:r>
      <w:r>
        <w:rPr>
          <w:color w:val="auto"/>
          <w:szCs w:val="28"/>
        </w:rPr>
        <w:t>包括发生可能造成环境污染的所有事件。为控制的异常事件或容易被控制的事件。可向外部通报,但不需要援助。</w:t>
      </w:r>
    </w:p>
    <w:p>
      <w:pPr>
        <w:ind w:firstLine="562"/>
        <w:rPr>
          <w:color w:val="auto"/>
          <w:szCs w:val="28"/>
        </w:rPr>
      </w:pPr>
      <w:r>
        <w:rPr>
          <w:b/>
          <w:color w:val="auto"/>
          <w:szCs w:val="28"/>
        </w:rPr>
        <w:t>危险辨识：</w:t>
      </w:r>
      <w:r>
        <w:rPr>
          <w:color w:val="auto"/>
          <w:szCs w:val="28"/>
        </w:rPr>
        <w:t>指找出可能引发不良后果的材料、系统、生产过程的特征。</w:t>
      </w:r>
    </w:p>
    <w:p>
      <w:pPr>
        <w:ind w:firstLine="562"/>
        <w:rPr>
          <w:color w:val="auto"/>
          <w:szCs w:val="28"/>
        </w:rPr>
      </w:pPr>
      <w:r>
        <w:rPr>
          <w:b/>
          <w:color w:val="auto"/>
          <w:szCs w:val="28"/>
        </w:rPr>
        <w:t>泄漏处理：</w:t>
      </w:r>
      <w:r>
        <w:rPr>
          <w:color w:val="auto"/>
          <w:szCs w:val="28"/>
        </w:rPr>
        <w:t>泄漏处理是指对危险化学品、危险废物、放射性物质、有毒气体等污染源因事件发生泄漏时的所采取的应急处置措施。泄漏处理要及时、得当，避免重大事件的发生。泄漏处理一般分为泄漏源控制和泄漏物处置两部分。应急准备：针对可能发生的事故，为迅速、有序地开展应急行动而预先进行的组织准备和应急保障。</w:t>
      </w:r>
    </w:p>
    <w:p>
      <w:pPr>
        <w:pStyle w:val="4"/>
        <w:rPr>
          <w:color w:val="auto"/>
          <w:szCs w:val="28"/>
        </w:rPr>
      </w:pPr>
      <w:bookmarkStart w:id="327" w:name="_Toc18864"/>
      <w:bookmarkStart w:id="328" w:name="_Toc9936"/>
      <w:bookmarkStart w:id="329" w:name="_Toc490845241"/>
      <w:r>
        <w:rPr>
          <w:color w:val="auto"/>
          <w:szCs w:val="28"/>
        </w:rPr>
        <w:t xml:space="preserve">10.2 </w:t>
      </w:r>
      <w:bookmarkEnd w:id="324"/>
      <w:bookmarkEnd w:id="325"/>
      <w:bookmarkEnd w:id="326"/>
      <w:r>
        <w:rPr>
          <w:color w:val="auto"/>
          <w:szCs w:val="28"/>
        </w:rPr>
        <w:t>预案解释</w:t>
      </w:r>
      <w:bookmarkEnd w:id="327"/>
      <w:bookmarkEnd w:id="328"/>
      <w:bookmarkEnd w:id="329"/>
    </w:p>
    <w:p>
      <w:pPr>
        <w:pStyle w:val="39"/>
        <w:snapToGrid/>
        <w:spacing w:after="0"/>
        <w:ind w:left="0" w:leftChars="0" w:firstLine="560"/>
        <w:rPr>
          <w:color w:val="auto"/>
          <w:sz w:val="28"/>
          <w:szCs w:val="28"/>
        </w:rPr>
      </w:pPr>
      <w:bookmarkStart w:id="330" w:name="_Toc365671834"/>
      <w:bookmarkStart w:id="331" w:name="_Toc408566573"/>
      <w:bookmarkStart w:id="332" w:name="_Toc373756852"/>
      <w:r>
        <w:rPr>
          <w:rFonts w:hint="eastAsia"/>
          <w:color w:val="auto"/>
          <w:sz w:val="28"/>
          <w:szCs w:val="28"/>
        </w:rPr>
        <w:t>本预案由陕西渭河发电有限公司应急指挥部负责解释和组织实施，公司内各单位按照本预案的规定履行职责，并制定相应的应急预案。应急预案的修订必须根据演练发现的问题、危险设施和危险物质的变化、组织机构和人员变化、救援技术的改进等适时进行修订、补充和完善，保持持续改进，以保证预案更符合实际、更具操作性。</w:t>
      </w:r>
    </w:p>
    <w:p>
      <w:pPr>
        <w:pStyle w:val="4"/>
        <w:rPr>
          <w:color w:val="auto"/>
          <w:szCs w:val="28"/>
        </w:rPr>
      </w:pPr>
      <w:bookmarkStart w:id="333" w:name="_Toc490845242"/>
      <w:bookmarkStart w:id="334" w:name="_Toc6363"/>
      <w:bookmarkStart w:id="335" w:name="_Toc20230"/>
      <w:r>
        <w:rPr>
          <w:color w:val="auto"/>
          <w:szCs w:val="28"/>
        </w:rPr>
        <w:t>10.3 修订情况</w:t>
      </w:r>
      <w:bookmarkEnd w:id="330"/>
      <w:bookmarkEnd w:id="331"/>
      <w:bookmarkEnd w:id="332"/>
      <w:bookmarkEnd w:id="333"/>
      <w:bookmarkEnd w:id="334"/>
      <w:bookmarkEnd w:id="335"/>
    </w:p>
    <w:p>
      <w:pPr>
        <w:ind w:firstLine="560"/>
        <w:rPr>
          <w:color w:val="auto"/>
          <w:szCs w:val="28"/>
        </w:rPr>
      </w:pPr>
      <w:r>
        <w:rPr>
          <w:rFonts w:hint="eastAsia"/>
          <w:color w:val="auto"/>
          <w:szCs w:val="28"/>
        </w:rPr>
        <w:t>为保证本公司《突发环境事件应急预案》的科学性、符合性及可操作性，有以下特殊情况，应急指挥部应随时组织人员进行修订：</w:t>
      </w:r>
    </w:p>
    <w:p>
      <w:pPr>
        <w:ind w:firstLine="560"/>
        <w:rPr>
          <w:color w:val="auto"/>
          <w:szCs w:val="28"/>
        </w:rPr>
      </w:pPr>
      <w:r>
        <w:rPr>
          <w:rFonts w:hint="eastAsia"/>
          <w:color w:val="auto"/>
          <w:szCs w:val="28"/>
        </w:rPr>
        <w:t>⑴ 生产经营单位因兼并、重组、转制等导致隶属关系、经营方式、法定代表人发生变化的；</w:t>
      </w:r>
    </w:p>
    <w:p>
      <w:pPr>
        <w:ind w:firstLine="560"/>
        <w:rPr>
          <w:color w:val="auto"/>
          <w:szCs w:val="28"/>
        </w:rPr>
      </w:pPr>
      <w:r>
        <w:rPr>
          <w:rFonts w:hint="eastAsia"/>
          <w:color w:val="auto"/>
          <w:szCs w:val="28"/>
        </w:rPr>
        <w:t>⑵ 生产工艺和技术发生变化的；</w:t>
      </w:r>
    </w:p>
    <w:p>
      <w:pPr>
        <w:ind w:firstLine="560"/>
        <w:rPr>
          <w:color w:val="auto"/>
          <w:szCs w:val="28"/>
        </w:rPr>
      </w:pPr>
      <w:r>
        <w:rPr>
          <w:rFonts w:hint="eastAsia"/>
          <w:color w:val="auto"/>
          <w:szCs w:val="28"/>
        </w:rPr>
        <w:t>⑶ 周围环境发生变化，形成新的重大危险源的；</w:t>
      </w:r>
    </w:p>
    <w:p>
      <w:pPr>
        <w:ind w:firstLine="560"/>
        <w:rPr>
          <w:color w:val="auto"/>
          <w:szCs w:val="28"/>
        </w:rPr>
      </w:pPr>
      <w:r>
        <w:rPr>
          <w:rFonts w:hint="eastAsia"/>
          <w:color w:val="auto"/>
          <w:szCs w:val="28"/>
        </w:rPr>
        <w:t>⑷ 应急组织指挥体系或者职责已经调整的；</w:t>
      </w:r>
    </w:p>
    <w:p>
      <w:pPr>
        <w:ind w:firstLine="560"/>
        <w:rPr>
          <w:color w:val="auto"/>
          <w:szCs w:val="28"/>
        </w:rPr>
      </w:pPr>
      <w:r>
        <w:rPr>
          <w:rFonts w:hint="eastAsia"/>
          <w:color w:val="auto"/>
          <w:szCs w:val="28"/>
        </w:rPr>
        <w:t>⑸ 依据的法律、法规、规章和标准发生变化的；</w:t>
      </w:r>
    </w:p>
    <w:p>
      <w:pPr>
        <w:ind w:firstLine="560"/>
        <w:rPr>
          <w:color w:val="auto"/>
          <w:szCs w:val="28"/>
        </w:rPr>
      </w:pPr>
      <w:r>
        <w:rPr>
          <w:rFonts w:hint="eastAsia"/>
          <w:color w:val="auto"/>
          <w:szCs w:val="28"/>
        </w:rPr>
        <w:t>⑹ 演练机构变化的；</w:t>
      </w:r>
    </w:p>
    <w:p>
      <w:pPr>
        <w:ind w:firstLine="560"/>
        <w:rPr>
          <w:color w:val="auto"/>
          <w:szCs w:val="28"/>
        </w:rPr>
      </w:pPr>
      <w:r>
        <w:rPr>
          <w:rFonts w:hint="eastAsia"/>
          <w:color w:val="auto"/>
          <w:szCs w:val="28"/>
        </w:rPr>
        <w:t>⑺ 应急预案演练评估报告要求修订的；</w:t>
      </w:r>
    </w:p>
    <w:p>
      <w:pPr>
        <w:ind w:firstLine="560"/>
        <w:rPr>
          <w:color w:val="auto"/>
          <w:szCs w:val="28"/>
        </w:rPr>
      </w:pPr>
      <w:r>
        <w:rPr>
          <w:rFonts w:hint="eastAsia"/>
          <w:color w:val="auto"/>
          <w:szCs w:val="28"/>
        </w:rPr>
        <w:t>⑻ 应急预案管理部门要求修订的。</w:t>
      </w:r>
    </w:p>
    <w:p>
      <w:pPr>
        <w:ind w:firstLine="560"/>
        <w:rPr>
          <w:color w:val="auto"/>
          <w:szCs w:val="28"/>
        </w:rPr>
      </w:pPr>
      <w:r>
        <w:rPr>
          <w:rFonts w:hint="eastAsia"/>
          <w:color w:val="auto"/>
          <w:szCs w:val="28"/>
        </w:rPr>
        <w:t>本应急预案每三年至少修订一次；环境应急预案修订后30日内将新修订的预案报原预案备案管理部门重新备案。</w:t>
      </w:r>
    </w:p>
    <w:p>
      <w:pPr>
        <w:pStyle w:val="4"/>
        <w:rPr>
          <w:color w:val="auto"/>
          <w:szCs w:val="28"/>
        </w:rPr>
      </w:pPr>
      <w:bookmarkStart w:id="336" w:name="_Toc490845243"/>
      <w:bookmarkStart w:id="337" w:name="_Toc30836"/>
      <w:bookmarkStart w:id="338" w:name="_Toc408566574"/>
      <w:bookmarkStart w:id="339" w:name="_Toc365671835"/>
      <w:bookmarkStart w:id="340" w:name="_Toc373756853"/>
      <w:bookmarkStart w:id="341" w:name="_Toc18166"/>
      <w:r>
        <w:rPr>
          <w:color w:val="auto"/>
          <w:szCs w:val="28"/>
        </w:rPr>
        <w:t>10.4 实施日期</w:t>
      </w:r>
      <w:bookmarkEnd w:id="336"/>
      <w:bookmarkEnd w:id="337"/>
      <w:bookmarkEnd w:id="338"/>
      <w:bookmarkEnd w:id="339"/>
      <w:bookmarkEnd w:id="340"/>
      <w:bookmarkEnd w:id="341"/>
    </w:p>
    <w:p>
      <w:pPr>
        <w:ind w:firstLine="420" w:firstLineChars="150"/>
        <w:rPr>
          <w:color w:val="auto"/>
          <w:szCs w:val="28"/>
        </w:rPr>
        <w:sectPr>
          <w:pgSz w:w="11906" w:h="16838"/>
          <w:pgMar w:top="1418" w:right="1418" w:bottom="1418" w:left="1418" w:header="851" w:footer="992" w:gutter="0"/>
          <w:pgNumType w:fmt="numberInDash"/>
          <w:cols w:space="720" w:num="1"/>
          <w:docGrid w:linePitch="326" w:charSpace="0"/>
        </w:sectPr>
      </w:pPr>
      <w:r>
        <w:rPr>
          <w:color w:val="auto"/>
          <w:szCs w:val="28"/>
        </w:rPr>
        <w:t>自评审备案后，预案发布之日起实施。</w:t>
      </w:r>
    </w:p>
    <w:p>
      <w:pPr>
        <w:pStyle w:val="3"/>
        <w:rPr>
          <w:color w:val="auto"/>
        </w:rPr>
      </w:pPr>
      <w:bookmarkStart w:id="342" w:name="_Toc17802"/>
      <w:r>
        <w:rPr>
          <w:rFonts w:hint="eastAsia"/>
          <w:color w:val="auto"/>
        </w:rPr>
        <w:t>11 附件</w:t>
      </w:r>
      <w:bookmarkEnd w:id="342"/>
    </w:p>
    <w:p>
      <w:pPr>
        <w:autoSpaceDE w:val="0"/>
        <w:ind w:firstLine="560"/>
        <w:rPr>
          <w:color w:val="auto"/>
          <w:szCs w:val="28"/>
        </w:rPr>
      </w:pPr>
      <w:r>
        <w:rPr>
          <w:rFonts w:hint="eastAsia"/>
          <w:color w:val="auto"/>
          <w:kern w:val="0"/>
          <w:szCs w:val="28"/>
        </w:rPr>
        <w:t>附件1：</w:t>
      </w:r>
      <w:r>
        <w:rPr>
          <w:rFonts w:hint="eastAsia"/>
          <w:color w:val="auto"/>
          <w:szCs w:val="28"/>
        </w:rPr>
        <w:t>应急救援组织机构名单；</w:t>
      </w:r>
    </w:p>
    <w:p>
      <w:pPr>
        <w:autoSpaceDE w:val="0"/>
        <w:ind w:firstLine="560"/>
        <w:rPr>
          <w:color w:val="auto"/>
          <w:szCs w:val="28"/>
        </w:rPr>
      </w:pPr>
      <w:r>
        <w:rPr>
          <w:rFonts w:hint="eastAsia"/>
          <w:color w:val="auto"/>
          <w:szCs w:val="28"/>
        </w:rPr>
        <w:t>附件2：</w:t>
      </w:r>
      <w:r>
        <w:rPr>
          <w:rFonts w:hint="eastAsia"/>
          <w:color w:val="auto"/>
        </w:rPr>
        <w:t>外援单位及上级</w:t>
      </w:r>
      <w:r>
        <w:rPr>
          <w:rFonts w:hint="eastAsia"/>
          <w:color w:val="auto"/>
        </w:rPr>
        <w:t>生态环境</w:t>
      </w:r>
      <w:r>
        <w:rPr>
          <w:rFonts w:hint="eastAsia"/>
          <w:color w:val="auto"/>
        </w:rPr>
        <w:t>部门联系方式</w:t>
      </w:r>
      <w:r>
        <w:rPr>
          <w:rFonts w:hint="eastAsia"/>
          <w:color w:val="auto"/>
          <w:szCs w:val="28"/>
        </w:rPr>
        <w:t>；</w:t>
      </w:r>
    </w:p>
    <w:p>
      <w:pPr>
        <w:autoSpaceDE w:val="0"/>
        <w:ind w:firstLine="560"/>
        <w:rPr>
          <w:color w:val="auto"/>
          <w:szCs w:val="28"/>
        </w:rPr>
      </w:pPr>
      <w:r>
        <w:rPr>
          <w:rFonts w:hint="eastAsia"/>
          <w:color w:val="auto"/>
          <w:szCs w:val="28"/>
        </w:rPr>
        <w:t>附件3：应急响应流程图；</w:t>
      </w:r>
    </w:p>
    <w:p>
      <w:pPr>
        <w:autoSpaceDE w:val="0"/>
        <w:ind w:firstLine="560"/>
        <w:rPr>
          <w:color w:val="auto"/>
          <w:szCs w:val="28"/>
        </w:rPr>
      </w:pPr>
      <w:r>
        <w:rPr>
          <w:rFonts w:hint="eastAsia"/>
          <w:color w:val="auto"/>
          <w:szCs w:val="28"/>
        </w:rPr>
        <w:t>附件4：区域地理位置及周边环境敏感点分布图；</w:t>
      </w:r>
    </w:p>
    <w:p>
      <w:pPr>
        <w:autoSpaceDE w:val="0"/>
        <w:ind w:firstLine="560"/>
        <w:rPr>
          <w:color w:val="auto"/>
          <w:szCs w:val="28"/>
        </w:rPr>
      </w:pPr>
      <w:r>
        <w:rPr>
          <w:rFonts w:hint="eastAsia"/>
          <w:color w:val="auto"/>
          <w:szCs w:val="28"/>
        </w:rPr>
        <w:t>附件5：风险源分布图；</w:t>
      </w:r>
    </w:p>
    <w:p>
      <w:pPr>
        <w:autoSpaceDE w:val="0"/>
        <w:ind w:firstLine="560"/>
        <w:rPr>
          <w:color w:val="auto"/>
          <w:szCs w:val="28"/>
        </w:rPr>
      </w:pPr>
      <w:r>
        <w:rPr>
          <w:rFonts w:hint="eastAsia"/>
          <w:color w:val="auto"/>
          <w:szCs w:val="28"/>
        </w:rPr>
        <w:t>附件6：紧急疏散路线图；</w:t>
      </w:r>
    </w:p>
    <w:p>
      <w:pPr>
        <w:autoSpaceDE w:val="0"/>
        <w:ind w:firstLine="560"/>
        <w:rPr>
          <w:color w:val="auto"/>
          <w:szCs w:val="28"/>
        </w:rPr>
      </w:pPr>
      <w:r>
        <w:rPr>
          <w:rFonts w:hint="eastAsia"/>
          <w:color w:val="auto"/>
          <w:szCs w:val="28"/>
        </w:rPr>
        <w:t>附件7：应急物资分布图；</w:t>
      </w:r>
    </w:p>
    <w:p>
      <w:pPr>
        <w:autoSpaceDE w:val="0"/>
        <w:ind w:firstLine="560"/>
        <w:rPr>
          <w:color w:val="auto"/>
          <w:szCs w:val="28"/>
        </w:rPr>
      </w:pPr>
      <w:r>
        <w:rPr>
          <w:rFonts w:hint="eastAsia"/>
          <w:color w:val="auto"/>
          <w:szCs w:val="28"/>
        </w:rPr>
        <w:t>附件8：应急物资储备清单；</w:t>
      </w:r>
    </w:p>
    <w:p>
      <w:pPr>
        <w:autoSpaceDE w:val="0"/>
        <w:ind w:firstLine="560"/>
        <w:rPr>
          <w:color w:val="auto"/>
        </w:rPr>
      </w:pPr>
      <w:r>
        <w:rPr>
          <w:rFonts w:hint="eastAsia"/>
          <w:color w:val="auto"/>
          <w:szCs w:val="28"/>
        </w:rPr>
        <w:t>附件9：</w:t>
      </w:r>
      <w:r>
        <w:rPr>
          <w:rFonts w:hint="eastAsia"/>
          <w:color w:val="auto"/>
        </w:rPr>
        <w:t>事故应急处置卡</w:t>
      </w:r>
      <w:r>
        <w:rPr>
          <w:rFonts w:hint="eastAsia"/>
          <w:color w:val="auto"/>
          <w:szCs w:val="28"/>
        </w:rPr>
        <w:t>；</w:t>
      </w:r>
    </w:p>
    <w:p>
      <w:pPr>
        <w:autoSpaceDE w:val="0"/>
        <w:ind w:firstLine="560"/>
        <w:rPr>
          <w:color w:val="auto"/>
          <w:szCs w:val="28"/>
        </w:rPr>
      </w:pPr>
      <w:r>
        <w:rPr>
          <w:rFonts w:hint="eastAsia"/>
          <w:color w:val="auto"/>
          <w:szCs w:val="28"/>
        </w:rPr>
        <w:t>附件10：标准化格式文本；</w:t>
      </w:r>
    </w:p>
    <w:p>
      <w:pPr>
        <w:autoSpaceDE w:val="0"/>
        <w:ind w:firstLine="560"/>
        <w:rPr>
          <w:color w:val="auto"/>
          <w:szCs w:val="28"/>
          <w:highlight w:val="cyan"/>
        </w:rPr>
      </w:pPr>
    </w:p>
    <w:p>
      <w:pPr>
        <w:autoSpaceDE w:val="0"/>
        <w:ind w:firstLine="560"/>
        <w:rPr>
          <w:color w:val="auto"/>
          <w:szCs w:val="28"/>
          <w:highlight w:val="cyan"/>
        </w:rPr>
      </w:pPr>
    </w:p>
    <w:p>
      <w:pPr>
        <w:autoSpaceDE w:val="0"/>
        <w:ind w:firstLine="560"/>
        <w:rPr>
          <w:color w:val="auto"/>
          <w:szCs w:val="28"/>
          <w:highlight w:val="cyan"/>
        </w:rPr>
      </w:pPr>
    </w:p>
    <w:p>
      <w:pPr>
        <w:autoSpaceDE w:val="0"/>
        <w:ind w:firstLine="560"/>
        <w:rPr>
          <w:color w:val="auto"/>
          <w:szCs w:val="28"/>
          <w:highlight w:val="cyan"/>
        </w:rPr>
      </w:pPr>
    </w:p>
    <w:p>
      <w:pPr>
        <w:autoSpaceDE w:val="0"/>
        <w:ind w:firstLine="560"/>
        <w:rPr>
          <w:color w:val="auto"/>
          <w:szCs w:val="28"/>
          <w:highlight w:val="cyan"/>
        </w:rPr>
      </w:pPr>
    </w:p>
    <w:p>
      <w:pPr>
        <w:autoSpaceDE w:val="0"/>
        <w:ind w:firstLine="560"/>
        <w:rPr>
          <w:color w:val="auto"/>
          <w:szCs w:val="28"/>
          <w:highlight w:val="cyan"/>
        </w:rPr>
      </w:pPr>
    </w:p>
    <w:p>
      <w:pPr>
        <w:ind w:firstLine="560"/>
        <w:rPr>
          <w:color w:val="auto"/>
          <w:szCs w:val="28"/>
        </w:rPr>
      </w:pPr>
    </w:p>
    <w:p>
      <w:pPr>
        <w:ind w:firstLine="0" w:firstLineChars="0"/>
        <w:rPr>
          <w:color w:val="auto"/>
          <w:szCs w:val="28"/>
        </w:rPr>
      </w:pPr>
    </w:p>
    <w:p>
      <w:pPr>
        <w:pStyle w:val="39"/>
        <w:ind w:left="560" w:firstLine="560"/>
        <w:rPr>
          <w:color w:val="auto"/>
          <w:sz w:val="28"/>
          <w:szCs w:val="28"/>
        </w:rPr>
      </w:pPr>
    </w:p>
    <w:p>
      <w:pPr>
        <w:pStyle w:val="38"/>
        <w:ind w:firstLine="0" w:firstLineChars="0"/>
        <w:rPr>
          <w:rFonts w:hint="default" w:ascii="Times New Roman" w:hAnsi="Times New Roman" w:eastAsia="仿宋"/>
          <w:color w:val="auto"/>
          <w:sz w:val="28"/>
          <w:szCs w:val="28"/>
          <w:lang w:eastAsia="zh-CN"/>
        </w:rPr>
        <w:sectPr>
          <w:pgSz w:w="11906" w:h="16838"/>
          <w:pgMar w:top="1418" w:right="1418" w:bottom="1418" w:left="1418" w:header="851" w:footer="992" w:gutter="0"/>
          <w:pgNumType w:fmt="numberInDash"/>
          <w:cols w:space="720" w:num="1"/>
          <w:docGrid w:linePitch="326" w:charSpace="0"/>
        </w:sectPr>
      </w:pPr>
    </w:p>
    <w:p>
      <w:pPr>
        <w:ind w:firstLine="0" w:firstLineChars="0"/>
        <w:outlineLvl w:val="1"/>
        <w:rPr>
          <w:b/>
          <w:bCs/>
          <w:color w:val="auto"/>
          <w:szCs w:val="28"/>
        </w:rPr>
      </w:pPr>
      <w:bookmarkStart w:id="343" w:name="_Toc24859"/>
      <w:r>
        <w:rPr>
          <w:rFonts w:hint="eastAsia"/>
          <w:b/>
          <w:bCs/>
          <w:color w:val="auto"/>
          <w:szCs w:val="28"/>
        </w:rPr>
        <w:t>附件1：应急救援组织机构名单</w:t>
      </w:r>
      <w:bookmarkEnd w:id="343"/>
    </w:p>
    <w:tbl>
      <w:tblPr>
        <w:tblStyle w:val="40"/>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68"/>
        <w:gridCol w:w="1276"/>
        <w:gridCol w:w="1632"/>
        <w:gridCol w:w="1300"/>
        <w:gridCol w:w="1705"/>
        <w:gridCol w:w="17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blHeader/>
        </w:trPr>
        <w:tc>
          <w:tcPr>
            <w:tcW w:w="898" w:type="pct"/>
            <w:shd w:val="clear" w:color="auto" w:fill="D9D9D9"/>
            <w:vAlign w:val="center"/>
          </w:tcPr>
          <w:p>
            <w:pPr>
              <w:spacing w:line="240" w:lineRule="auto"/>
              <w:ind w:firstLine="0" w:firstLineChars="0"/>
              <w:rPr>
                <w:rFonts w:ascii="仿宋" w:hAnsi="仿宋"/>
                <w:b/>
                <w:bCs/>
                <w:color w:val="auto"/>
                <w:sz w:val="24"/>
              </w:rPr>
            </w:pPr>
            <w:r>
              <w:rPr>
                <w:rFonts w:hint="eastAsia" w:ascii="仿宋" w:hAnsi="仿宋"/>
                <w:b/>
                <w:bCs/>
                <w:color w:val="auto"/>
                <w:sz w:val="24"/>
              </w:rPr>
              <w:t>应急指挥部</w:t>
            </w:r>
          </w:p>
        </w:tc>
        <w:tc>
          <w:tcPr>
            <w:tcW w:w="687" w:type="pct"/>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应急职务</w:t>
            </w:r>
          </w:p>
        </w:tc>
        <w:tc>
          <w:tcPr>
            <w:tcW w:w="879" w:type="pct"/>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部门</w:t>
            </w:r>
          </w:p>
        </w:tc>
        <w:tc>
          <w:tcPr>
            <w:tcW w:w="700" w:type="pct"/>
            <w:tcBorders>
              <w:right w:val="single" w:color="auto" w:sz="8" w:space="0"/>
            </w:tcBorders>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职务</w:t>
            </w:r>
          </w:p>
        </w:tc>
        <w:tc>
          <w:tcPr>
            <w:tcW w:w="918" w:type="pct"/>
            <w:tcBorders>
              <w:left w:val="single" w:color="auto" w:sz="8" w:space="0"/>
            </w:tcBorders>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姓名</w:t>
            </w:r>
          </w:p>
        </w:tc>
        <w:tc>
          <w:tcPr>
            <w:tcW w:w="918" w:type="pct"/>
            <w:tcBorders>
              <w:left w:val="single" w:color="auto" w:sz="8" w:space="0"/>
            </w:tcBorders>
            <w:shd w:val="clear" w:color="auto" w:fill="D9D9D9"/>
            <w:vAlign w:val="center"/>
          </w:tcPr>
          <w:p>
            <w:pPr>
              <w:spacing w:line="240" w:lineRule="auto"/>
              <w:ind w:firstLine="0" w:firstLineChars="0"/>
              <w:jc w:val="center"/>
              <w:rPr>
                <w:rFonts w:ascii="仿宋" w:hAnsi="仿宋"/>
                <w:b/>
                <w:bCs/>
                <w:color w:val="auto"/>
                <w:sz w:val="24"/>
              </w:rPr>
            </w:pPr>
            <w:r>
              <w:rPr>
                <w:rFonts w:hint="eastAsia" w:ascii="仿宋" w:hAnsi="仿宋"/>
                <w:b/>
                <w:bCs/>
                <w:color w:val="auto"/>
                <w:sz w:val="24"/>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总指挥</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总指挥</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党委书记、总经理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王明川</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18992289000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副总指挥</w:t>
            </w:r>
          </w:p>
        </w:tc>
        <w:tc>
          <w:tcPr>
            <w:tcW w:w="687"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副总指挥</w:t>
            </w:r>
          </w:p>
        </w:tc>
        <w:tc>
          <w:tcPr>
            <w:tcW w:w="879"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黄卫东</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13319213339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熊立军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18792968680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王联盟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18220618103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工会主席</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孙建刚</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13891056666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Merge w:val="continue"/>
            <w:vAlign w:val="center"/>
          </w:tcPr>
          <w:p>
            <w:pPr>
              <w:spacing w:line="240" w:lineRule="auto"/>
              <w:ind w:firstLine="0" w:firstLineChars="0"/>
              <w:jc w:val="center"/>
              <w:rPr>
                <w:rFonts w:ascii="仿宋" w:hAnsi="仿宋"/>
                <w:color w:val="auto"/>
                <w:sz w:val="24"/>
              </w:rPr>
            </w:pPr>
          </w:p>
        </w:tc>
        <w:tc>
          <w:tcPr>
            <w:tcW w:w="879" w:type="pct"/>
            <w:vMerge w:val="continue"/>
            <w:vAlign w:val="center"/>
          </w:tcPr>
          <w:p>
            <w:pPr>
              <w:spacing w:line="240" w:lineRule="auto"/>
              <w:ind w:firstLine="0" w:firstLineChars="0"/>
              <w:jc w:val="center"/>
              <w:rPr>
                <w:rFonts w:ascii="仿宋" w:hAnsi="仿宋"/>
                <w:color w:val="auto"/>
                <w:sz w:val="24"/>
              </w:rPr>
            </w:pP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纪委书记</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郭向阳</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18966707922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应急办公室</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王鹏武</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13609103368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办公室主任助理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冯睿泓</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13891099959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应急专家组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安全副总监兼安环部主任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吴立功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13892959966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张科建</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13892959373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抢修抢险组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副总工程师兼发电部主任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第五维华</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13892959853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生产技术部副主任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陈波</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13572807078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发电部值长室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发电部值长室主任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孟东</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13891051233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发电部集控中心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发电部集控中心主任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田鹏康</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13892950276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尹建军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13468676659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发电部燃输中心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发电部燃输中心主任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贺海涛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13892950090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物资管理部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物资管理部主任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王刚</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18092044136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燃料管理部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燃料管理部主任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李文军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13891051298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应急监测组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发电部辅控中心主任助理</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王云</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13571028603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安全环保监察部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环保工程师兼监测站站长</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张阿虎</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13659103191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restar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后勤保障组</w:t>
            </w: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办公室主任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宋立为</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13609103368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组长</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后勤管理党支部书记</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赵海</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13892959180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工会工作部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工会工作部主任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张力</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13891058188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后勤管理部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总经理助理兼后勤管理部主任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王小勇</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13325451800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财务部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副总会计师兼财务部主任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王守勤</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15191026088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经营管理部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副总经济师兼经营管理部主任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赫荣娟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13991202010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人力资源部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人力资源部主任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门江</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13891969279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党委工作部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党委工作部主任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辜承学</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13572786217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市场营销部</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市场营销部副主任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张佐民</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13571055581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898" w:type="pct"/>
            <w:vMerge w:val="continue"/>
            <w:vAlign w:val="center"/>
          </w:tcPr>
          <w:p>
            <w:pPr>
              <w:spacing w:line="240" w:lineRule="auto"/>
              <w:ind w:firstLine="0" w:firstLineChars="0"/>
              <w:jc w:val="center"/>
              <w:rPr>
                <w:rFonts w:ascii="仿宋" w:hAnsi="仿宋"/>
                <w:color w:val="auto"/>
                <w:sz w:val="24"/>
              </w:rPr>
            </w:pPr>
          </w:p>
        </w:tc>
        <w:tc>
          <w:tcPr>
            <w:tcW w:w="687"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组员</w:t>
            </w:r>
          </w:p>
        </w:tc>
        <w:tc>
          <w:tcPr>
            <w:tcW w:w="879" w:type="pct"/>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纪律检查室</w:t>
            </w:r>
          </w:p>
        </w:tc>
        <w:tc>
          <w:tcPr>
            <w:tcW w:w="700" w:type="pct"/>
            <w:tcBorders>
              <w:righ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纪律检查室主任</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张珺</w:t>
            </w:r>
          </w:p>
        </w:tc>
        <w:tc>
          <w:tcPr>
            <w:tcW w:w="918" w:type="pct"/>
            <w:tcBorders>
              <w:left w:val="single" w:color="auto" w:sz="8" w:space="0"/>
            </w:tcBorders>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13152129808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00" w:type="pct"/>
            <w:gridSpan w:val="6"/>
            <w:vAlign w:val="center"/>
          </w:tcPr>
          <w:p>
            <w:pPr>
              <w:spacing w:line="240" w:lineRule="auto"/>
              <w:ind w:firstLine="0" w:firstLineChars="0"/>
              <w:jc w:val="center"/>
              <w:rPr>
                <w:rFonts w:ascii="仿宋" w:hAnsi="仿宋"/>
                <w:color w:val="auto"/>
                <w:sz w:val="24"/>
              </w:rPr>
            </w:pPr>
            <w:r>
              <w:rPr>
                <w:rFonts w:hint="eastAsia" w:ascii="仿宋" w:hAnsi="仿宋"/>
                <w:color w:val="auto"/>
                <w:sz w:val="24"/>
              </w:rPr>
              <w:t>公司24小时联系电话：029-33882543</w:t>
            </w:r>
          </w:p>
        </w:tc>
      </w:tr>
    </w:tbl>
    <w:p>
      <w:pPr>
        <w:pStyle w:val="38"/>
        <w:ind w:firstLine="240"/>
        <w:rPr>
          <w:rFonts w:hint="default"/>
          <w:color w:val="auto"/>
          <w:highlight w:val="cyan"/>
          <w:lang w:eastAsia="zh-CN"/>
        </w:rPr>
      </w:pPr>
    </w:p>
    <w:p>
      <w:pPr>
        <w:pStyle w:val="38"/>
        <w:ind w:firstLine="240"/>
        <w:rPr>
          <w:rFonts w:hint="default"/>
          <w:color w:val="auto"/>
          <w:lang w:eastAsia="zh-CN"/>
        </w:rPr>
      </w:pPr>
    </w:p>
    <w:p>
      <w:pPr>
        <w:pStyle w:val="38"/>
        <w:ind w:firstLine="240"/>
        <w:rPr>
          <w:rFonts w:hint="default"/>
          <w:color w:val="auto"/>
          <w:lang w:eastAsia="zh-CN"/>
        </w:rPr>
        <w:sectPr>
          <w:footerReference r:id="rId16" w:type="default"/>
          <w:pgSz w:w="11906" w:h="16838"/>
          <w:pgMar w:top="1418" w:right="1418" w:bottom="1418" w:left="1418" w:header="851" w:footer="992" w:gutter="0"/>
          <w:pgNumType w:fmt="numberInDash"/>
          <w:cols w:space="720" w:num="1"/>
          <w:docGrid w:linePitch="326" w:charSpace="0"/>
        </w:sectPr>
      </w:pPr>
    </w:p>
    <w:p>
      <w:pPr>
        <w:pStyle w:val="61"/>
        <w:ind w:firstLine="0" w:firstLineChars="0"/>
        <w:outlineLvl w:val="1"/>
        <w:rPr>
          <w:b/>
          <w:bCs/>
          <w:color w:val="auto"/>
        </w:rPr>
      </w:pPr>
      <w:bookmarkStart w:id="344" w:name="_Toc29340"/>
      <w:r>
        <w:rPr>
          <w:rFonts w:hint="eastAsia"/>
          <w:b/>
          <w:bCs/>
          <w:color w:val="auto"/>
        </w:rPr>
        <w:t>附件2：外援单位及上级</w:t>
      </w:r>
      <w:r>
        <w:rPr>
          <w:rFonts w:hint="eastAsia"/>
          <w:b/>
          <w:bCs/>
          <w:color w:val="auto"/>
        </w:rPr>
        <w:t>生态环境</w:t>
      </w:r>
      <w:r>
        <w:rPr>
          <w:rFonts w:hint="eastAsia"/>
          <w:b/>
          <w:bCs/>
          <w:color w:val="auto"/>
        </w:rPr>
        <w:t>部门联系方式</w:t>
      </w:r>
      <w:bookmarkEnd w:id="344"/>
    </w:p>
    <w:tbl>
      <w:tblPr>
        <w:tblStyle w:val="40"/>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5392"/>
        <w:gridCol w:w="3894"/>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shd w:val="clear" w:color="auto" w:fill="D7D7D7" w:themeFill="background1" w:themeFillShade="D8"/>
            <w:vAlign w:val="center"/>
          </w:tcPr>
          <w:p>
            <w:pPr>
              <w:spacing w:line="240" w:lineRule="auto"/>
              <w:ind w:firstLine="482"/>
              <w:jc w:val="center"/>
              <w:rPr>
                <w:rFonts w:hint="eastAsia" w:ascii="仿宋" w:hAnsi="仿宋" w:eastAsia="仿宋" w:cs="仿宋"/>
                <w:b/>
                <w:iCs/>
                <w:color w:val="auto"/>
                <w:sz w:val="24"/>
              </w:rPr>
            </w:pPr>
            <w:bookmarkStart w:id="345" w:name="_Hlk59021274"/>
            <w:r>
              <w:rPr>
                <w:rFonts w:hint="eastAsia" w:ascii="仿宋" w:hAnsi="仿宋" w:eastAsia="仿宋" w:cs="仿宋"/>
                <w:b/>
                <w:iCs/>
                <w:color w:val="auto"/>
                <w:sz w:val="24"/>
              </w:rPr>
              <w:t>单位</w:t>
            </w:r>
          </w:p>
        </w:tc>
        <w:tc>
          <w:tcPr>
            <w:tcW w:w="2096" w:type="pct"/>
            <w:shd w:val="clear" w:color="auto" w:fill="D7D7D7" w:themeFill="background1" w:themeFillShade="D8"/>
            <w:vAlign w:val="center"/>
          </w:tcPr>
          <w:p>
            <w:pPr>
              <w:spacing w:line="240" w:lineRule="auto"/>
              <w:ind w:firstLine="482"/>
              <w:jc w:val="center"/>
              <w:rPr>
                <w:rFonts w:hint="eastAsia" w:ascii="仿宋" w:hAnsi="仿宋" w:eastAsia="仿宋" w:cs="仿宋"/>
                <w:b/>
                <w:iCs/>
                <w:color w:val="auto"/>
                <w:sz w:val="24"/>
              </w:rPr>
            </w:pPr>
            <w:r>
              <w:rPr>
                <w:rFonts w:hint="eastAsia" w:ascii="仿宋" w:hAnsi="仿宋" w:eastAsia="仿宋" w:cs="仿宋"/>
                <w:b/>
                <w:iCs/>
                <w:color w:val="auto"/>
                <w:sz w:val="24"/>
              </w:rPr>
              <w:t>联系电话</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szCs w:val="24"/>
              </w:rPr>
            </w:pPr>
            <w:r>
              <w:rPr>
                <w:rFonts w:hint="eastAsia" w:ascii="仿宋" w:hAnsi="仿宋" w:eastAsia="仿宋" w:cs="仿宋"/>
                <w:color w:val="auto"/>
                <w:sz w:val="24"/>
              </w:rPr>
              <w:t>西咸新区秦汉新城消防大队</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119/029-33185703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pStyle w:val="36"/>
              <w:widowControl w:val="0"/>
              <w:spacing w:before="0" w:beforeAutospacing="0" w:after="0" w:afterAutospacing="0" w:line="240" w:lineRule="auto"/>
              <w:ind w:firstLine="0" w:firstLineChars="0"/>
              <w:jc w:val="center"/>
              <w:rPr>
                <w:rFonts w:hint="eastAsia" w:ascii="仿宋" w:hAnsi="仿宋" w:eastAsia="仿宋" w:cs="仿宋"/>
                <w:color w:val="auto"/>
                <w:kern w:val="2"/>
                <w:sz w:val="24"/>
                <w:szCs w:val="20"/>
                <w:lang w:val="en-US" w:eastAsia="zh-CN" w:bidi="ar-SA"/>
              </w:rPr>
            </w:pPr>
            <w:r>
              <w:rPr>
                <w:rFonts w:hint="eastAsia" w:ascii="仿宋" w:hAnsi="仿宋" w:eastAsia="仿宋" w:cs="仿宋"/>
                <w:color w:val="auto"/>
              </w:rPr>
              <w:fldChar w:fldCharType="begin"/>
            </w:r>
            <w:r>
              <w:rPr>
                <w:rFonts w:hint="eastAsia" w:ascii="仿宋" w:hAnsi="仿宋" w:eastAsia="仿宋" w:cs="仿宋"/>
                <w:color w:val="auto"/>
              </w:rPr>
              <w:instrText xml:space="preserve"> HYPERLINK "http://www.so.com/link?m=aK4JimY9OWVAhB+9VKbpO5QQ2P9icfEP2DBiUN8FM/FPohnSOKhRfNUeo2NQWXaCTXTAYxKkLfMY6LXLjKd3zzPrMNdvGio59lNfdjfHgO3M40qXV+EWp991SfukFrzaxTy5ZyRXu62DPrFBbG0E71m6XmNafLdLJvmUIOmB2xwnQpWvMh+mO7/QFmyKXdB1DAUPyONu+W3lqvh0bwLl09c3x0ZEP4HIS7L3Wg1uhTfi0iU/T3/8+Jj0L8JC5aVsSYtLllQ==" \t "https://www.so.com/_blank" </w:instrText>
            </w:r>
            <w:r>
              <w:rPr>
                <w:rFonts w:hint="eastAsia" w:ascii="仿宋" w:hAnsi="仿宋" w:eastAsia="仿宋" w:cs="仿宋"/>
                <w:color w:val="auto"/>
              </w:rPr>
              <w:fldChar w:fldCharType="separate"/>
            </w:r>
            <w:r>
              <w:rPr>
                <w:rFonts w:hint="eastAsia" w:ascii="仿宋" w:hAnsi="仿宋" w:eastAsia="仿宋" w:cs="仿宋"/>
                <w:color w:val="auto"/>
                <w:kern w:val="2"/>
                <w:szCs w:val="20"/>
              </w:rPr>
              <w:t>西咸新区秦汉新城公安分局</w:t>
            </w:r>
            <w:r>
              <w:rPr>
                <w:rFonts w:hint="eastAsia" w:ascii="仿宋" w:hAnsi="仿宋" w:eastAsia="仿宋" w:cs="仿宋"/>
                <w:color w:val="auto"/>
                <w:kern w:val="2"/>
                <w:szCs w:val="20"/>
              </w:rPr>
              <w:fldChar w:fldCharType="end"/>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110/029-33185021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adjustRightInd w:val="0"/>
              <w:snapToGrid w:val="0"/>
              <w:spacing w:line="240" w:lineRule="auto"/>
              <w:ind w:firstLine="480" w:firstLineChars="200"/>
              <w:jc w:val="center"/>
              <w:rPr>
                <w:rFonts w:hint="eastAsia" w:ascii="仿宋" w:hAnsi="仿宋" w:eastAsia="仿宋" w:cs="仿宋"/>
                <w:color w:val="auto"/>
              </w:rPr>
            </w:pPr>
            <w:r>
              <w:rPr>
                <w:rFonts w:hint="eastAsia" w:ascii="仿宋" w:hAnsi="仿宋" w:eastAsia="仿宋" w:cs="仿宋"/>
                <w:color w:val="auto"/>
                <w:sz w:val="24"/>
              </w:rPr>
              <w:t>秦汉新城交通警察支队</w:t>
            </w:r>
          </w:p>
        </w:tc>
        <w:tc>
          <w:tcPr>
            <w:tcW w:w="2096" w:type="pct"/>
            <w:vAlign w:val="center"/>
          </w:tcPr>
          <w:p>
            <w:pPr>
              <w:pStyle w:val="36"/>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color w:val="auto"/>
                <w:kern w:val="2"/>
                <w:szCs w:val="20"/>
              </w:rPr>
              <w:t>029-33556100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adjustRightInd w:val="0"/>
              <w:snapToGrid w:val="0"/>
              <w:spacing w:line="240" w:lineRule="auto"/>
              <w:ind w:firstLine="480" w:firstLineChars="200"/>
              <w:jc w:val="center"/>
              <w:rPr>
                <w:rFonts w:hint="eastAsia" w:ascii="仿宋" w:hAnsi="仿宋" w:eastAsia="仿宋" w:cs="仿宋"/>
                <w:color w:val="auto"/>
              </w:rPr>
            </w:pPr>
            <w:r>
              <w:rPr>
                <w:rFonts w:hint="eastAsia" w:ascii="仿宋" w:hAnsi="仿宋" w:eastAsia="仿宋" w:cs="仿宋"/>
                <w:color w:val="auto"/>
                <w:sz w:val="24"/>
              </w:rPr>
              <w:t>咸阳市环境监测站</w:t>
            </w:r>
          </w:p>
        </w:tc>
        <w:tc>
          <w:tcPr>
            <w:tcW w:w="2096" w:type="pct"/>
            <w:vAlign w:val="center"/>
          </w:tcPr>
          <w:p>
            <w:pPr>
              <w:pStyle w:val="36"/>
              <w:keepNext w:val="0"/>
              <w:keepLines w:val="0"/>
              <w:pageBreakBefore w:val="0"/>
              <w:widowControl w:val="0"/>
              <w:kinsoku/>
              <w:wordWrap/>
              <w:overflowPunct/>
              <w:topLinePunct w:val="0"/>
              <w:autoSpaceDE/>
              <w:autoSpaceDN/>
              <w:bidi w:val="0"/>
              <w:adjustRightInd/>
              <w:snapToGrid/>
              <w:spacing w:before="0" w:beforeAutospacing="0" w:after="0" w:afterAutospacing="0"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color w:val="auto"/>
                <w:kern w:val="2"/>
                <w:szCs w:val="20"/>
              </w:rPr>
              <w:t>029-32036557</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firstLineChars="200"/>
              <w:jc w:val="center"/>
              <w:rPr>
                <w:rFonts w:hint="eastAsia" w:ascii="仿宋" w:hAnsi="仿宋" w:eastAsia="仿宋" w:cs="仿宋"/>
                <w:bCs/>
                <w:iCs/>
                <w:color w:val="auto"/>
                <w:kern w:val="2"/>
                <w:sz w:val="24"/>
                <w:szCs w:val="24"/>
                <w:lang w:val="en-US" w:eastAsia="zh-CN" w:bidi="ar-SA"/>
              </w:rPr>
            </w:pPr>
            <w:r>
              <w:rPr>
                <w:rFonts w:hint="eastAsia" w:ascii="仿宋" w:hAnsi="仿宋" w:eastAsia="仿宋" w:cs="仿宋"/>
                <w:bCs/>
                <w:iCs/>
                <w:color w:val="auto"/>
                <w:sz w:val="24"/>
                <w:szCs w:val="24"/>
              </w:rPr>
              <w:t>秦汉新城应急管理局</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kern w:val="2"/>
                <w:sz w:val="24"/>
                <w:szCs w:val="24"/>
                <w:lang w:val="en-US" w:eastAsia="zh-CN" w:bidi="ar-SA"/>
              </w:rPr>
            </w:pPr>
            <w:r>
              <w:rPr>
                <w:rFonts w:hint="eastAsia" w:ascii="仿宋" w:hAnsi="仿宋" w:eastAsia="仿宋" w:cs="仿宋"/>
                <w:bCs/>
                <w:iCs/>
                <w:color w:val="auto"/>
                <w:sz w:val="24"/>
              </w:rPr>
              <w:t>029</w:t>
            </w:r>
            <w:r>
              <w:rPr>
                <w:rFonts w:hint="eastAsia" w:ascii="仿宋" w:hAnsi="仿宋" w:eastAsia="仿宋" w:cs="仿宋"/>
                <w:bCs/>
                <w:iCs/>
                <w:color w:val="auto"/>
                <w:sz w:val="24"/>
                <w:lang w:val="en-US" w:eastAsia="zh-CN"/>
              </w:rPr>
              <w:t>-</w:t>
            </w:r>
            <w:r>
              <w:rPr>
                <w:rFonts w:hint="eastAsia" w:ascii="仿宋" w:hAnsi="仿宋" w:eastAsia="仿宋" w:cs="仿宋"/>
                <w:bCs/>
                <w:iCs/>
                <w:color w:val="auto"/>
                <w:sz w:val="24"/>
              </w:rPr>
              <w:t>33185321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lang w:eastAsia="zh-CN"/>
              </w:rPr>
            </w:pPr>
            <w:r>
              <w:rPr>
                <w:rFonts w:hint="eastAsia" w:ascii="仿宋" w:hAnsi="仿宋" w:eastAsia="仿宋" w:cs="仿宋"/>
                <w:bCs/>
                <w:iCs/>
                <w:color w:val="auto"/>
                <w:sz w:val="24"/>
                <w:lang w:eastAsia="zh-CN"/>
              </w:rPr>
              <w:t>陕西省</w:t>
            </w:r>
            <w:r>
              <w:rPr>
                <w:rFonts w:hint="eastAsia" w:ascii="仿宋" w:hAnsi="仿宋" w:eastAsia="仿宋" w:cs="仿宋"/>
                <w:bCs/>
                <w:iCs/>
                <w:color w:val="auto"/>
                <w:sz w:val="24"/>
              </w:rPr>
              <w:t>西咸新区秦汉新城</w:t>
            </w:r>
            <w:r>
              <w:rPr>
                <w:rFonts w:hint="eastAsia" w:ascii="仿宋" w:hAnsi="仿宋" w:eastAsia="仿宋" w:cs="仿宋"/>
                <w:bCs/>
                <w:iCs/>
                <w:color w:val="auto"/>
                <w:sz w:val="24"/>
                <w:lang w:eastAsia="zh-CN"/>
              </w:rPr>
              <w:t>管理委员会</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029-33185000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rPr>
            </w:pPr>
            <w:r>
              <w:rPr>
                <w:rFonts w:hint="eastAsia" w:ascii="仿宋" w:hAnsi="仿宋" w:eastAsia="仿宋" w:cs="仿宋"/>
                <w:color w:val="auto"/>
                <w:sz w:val="24"/>
                <w:lang w:eastAsia="zh-CN"/>
              </w:rPr>
              <w:t>西咸新区</w:t>
            </w:r>
            <w:r>
              <w:rPr>
                <w:rFonts w:hint="eastAsia" w:ascii="仿宋" w:hAnsi="仿宋" w:eastAsia="仿宋" w:cs="仿宋"/>
                <w:color w:val="auto"/>
                <w:sz w:val="24"/>
              </w:rPr>
              <w:t>秦汉新城生态环境局</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029-33185039</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firstLineChars="200"/>
              <w:jc w:val="center"/>
              <w:rPr>
                <w:rFonts w:hint="eastAsia" w:ascii="仿宋" w:hAnsi="仿宋" w:eastAsia="仿宋" w:cs="仿宋"/>
                <w:bCs/>
                <w:iCs/>
                <w:color w:val="auto"/>
                <w:kern w:val="2"/>
                <w:sz w:val="24"/>
                <w:szCs w:val="24"/>
                <w:lang w:val="en-US" w:eastAsia="zh-CN" w:bidi="ar-SA"/>
              </w:rPr>
            </w:pPr>
            <w:r>
              <w:rPr>
                <w:rFonts w:hint="eastAsia" w:ascii="仿宋" w:hAnsi="仿宋" w:eastAsia="仿宋" w:cs="仿宋"/>
                <w:color w:val="auto"/>
                <w:sz w:val="24"/>
              </w:rPr>
              <w:t>正阳镇街道办事处</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kern w:val="2"/>
                <w:sz w:val="24"/>
                <w:szCs w:val="24"/>
                <w:lang w:val="en-US" w:eastAsia="zh-CN" w:bidi="ar-SA"/>
              </w:rPr>
            </w:pPr>
            <w:r>
              <w:rPr>
                <w:rFonts w:hint="eastAsia" w:ascii="仿宋" w:hAnsi="仿宋" w:eastAsia="仿宋" w:cs="仿宋"/>
                <w:color w:val="auto"/>
                <w:sz w:val="24"/>
                <w:lang w:eastAsia="en-US"/>
              </w:rPr>
              <w:t>029-3343111/112/113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rPr>
            </w:pPr>
            <w:r>
              <w:rPr>
                <w:rFonts w:hint="eastAsia" w:ascii="仿宋" w:hAnsi="仿宋" w:eastAsia="仿宋" w:cs="仿宋"/>
                <w:color w:val="auto"/>
                <w:sz w:val="24"/>
              </w:rPr>
              <w:t>秦汉新城第三医院</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lang w:val="en-US" w:eastAsia="zh-CN"/>
              </w:rPr>
            </w:pPr>
            <w:r>
              <w:rPr>
                <w:rFonts w:hint="eastAsia" w:ascii="仿宋" w:hAnsi="仿宋" w:eastAsia="仿宋" w:cs="仿宋"/>
                <w:bCs/>
                <w:iCs/>
                <w:color w:val="auto"/>
                <w:sz w:val="24"/>
              </w:rPr>
              <w:t>120</w:t>
            </w:r>
            <w:r>
              <w:rPr>
                <w:rFonts w:hint="eastAsia" w:ascii="仿宋" w:hAnsi="仿宋" w:eastAsia="仿宋" w:cs="仿宋"/>
                <w:bCs/>
                <w:iCs/>
                <w:color w:val="auto"/>
                <w:sz w:val="24"/>
                <w:lang w:val="en-US" w:eastAsia="zh-CN"/>
              </w:rPr>
              <w:t xml:space="preserve">/029-33658007 </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bCs/>
                <w:iCs/>
                <w:color w:val="auto"/>
                <w:sz w:val="24"/>
              </w:rPr>
            </w:pPr>
            <w:r>
              <w:rPr>
                <w:rFonts w:hint="eastAsia" w:ascii="仿宋" w:hAnsi="仿宋" w:eastAsia="仿宋" w:cs="仿宋"/>
                <w:color w:val="auto"/>
                <w:sz w:val="24"/>
              </w:rPr>
              <w:t>陕西省人民医院(西咸院区)</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120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hAnsi="仿宋" w:eastAsia="仿宋"/>
                <w:color w:val="auto"/>
                <w:sz w:val="24"/>
              </w:rPr>
              <w:t>咸阳市第一人民医院</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120/029-33280120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秦龙电力有限公司总值班</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color w:val="auto"/>
                <w:sz w:val="24"/>
              </w:rPr>
              <w:t>029-68982518</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bottom"/>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渭电社区</w:t>
            </w:r>
          </w:p>
        </w:tc>
        <w:tc>
          <w:tcPr>
            <w:tcW w:w="2096" w:type="pct"/>
            <w:vMerge w:val="restar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由正阳镇街道办事处通知到村委会(029-33434111/112/113)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九张村</w:t>
            </w:r>
          </w:p>
        </w:tc>
        <w:tc>
          <w:tcPr>
            <w:tcW w:w="2096" w:type="pct"/>
            <w:vMerge w:val="continue"/>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480"/>
              <w:jc w:val="center"/>
              <w:rPr>
                <w:rFonts w:hint="eastAsia" w:ascii="仿宋" w:hAnsi="仿宋" w:eastAsia="仿宋" w:cs="仿宋"/>
                <w:color w:val="auto"/>
                <w:sz w:val="24"/>
              </w:rPr>
            </w:pPr>
            <w:r>
              <w:rPr>
                <w:rFonts w:hint="eastAsia" w:ascii="仿宋" w:hAnsi="仿宋" w:eastAsia="仿宋" w:cs="仿宋"/>
                <w:color w:val="auto"/>
                <w:sz w:val="24"/>
              </w:rPr>
              <w:t>肖家村</w:t>
            </w:r>
          </w:p>
        </w:tc>
        <w:tc>
          <w:tcPr>
            <w:tcW w:w="2096" w:type="pct"/>
            <w:vMerge w:val="continue"/>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陕西泾渭新能源科技有限公司</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余婷 18391699650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正元公司铸造厂</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宋天栋 13002927116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陕西正元粉煤灰综合利用有限公司</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杨科伟 13892950760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40" w:hRule="atLeast"/>
          <w:jc w:val="center"/>
        </w:trPr>
        <w:tc>
          <w:tcPr>
            <w:tcW w:w="2903" w:type="pct"/>
            <w:vAlign w:val="center"/>
          </w:tcPr>
          <w:p>
            <w:pPr>
              <w:spacing w:line="240" w:lineRule="auto"/>
              <w:ind w:firstLine="0" w:firstLineChars="0"/>
              <w:jc w:val="center"/>
              <w:rPr>
                <w:rFonts w:hint="eastAsia" w:ascii="仿宋" w:hAnsi="仿宋" w:eastAsia="仿宋" w:cs="仿宋"/>
                <w:color w:val="auto"/>
                <w:sz w:val="24"/>
              </w:rPr>
            </w:pPr>
            <w:r>
              <w:rPr>
                <w:rFonts w:hint="eastAsia" w:ascii="仿宋" w:hAnsi="仿宋" w:eastAsia="仿宋" w:cs="仿宋"/>
                <w:color w:val="auto"/>
                <w:sz w:val="24"/>
              </w:rPr>
              <w:t>大唐陕西发电有限公司渭河热电厂</w:t>
            </w:r>
          </w:p>
        </w:tc>
        <w:tc>
          <w:tcPr>
            <w:tcW w:w="2096" w:type="pct"/>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仿宋" w:hAnsi="仿宋" w:eastAsia="仿宋" w:cs="仿宋"/>
                <w:bCs/>
                <w:iCs/>
                <w:color w:val="auto"/>
                <w:sz w:val="24"/>
              </w:rPr>
            </w:pPr>
            <w:r>
              <w:rPr>
                <w:rFonts w:hint="eastAsia" w:ascii="仿宋" w:hAnsi="仿宋" w:eastAsia="仿宋" w:cs="仿宋"/>
                <w:bCs/>
                <w:iCs/>
                <w:color w:val="auto"/>
                <w:sz w:val="24"/>
              </w:rPr>
              <w:t>张益群 18165369610</w:t>
            </w:r>
          </w:p>
        </w:tc>
      </w:tr>
      <w:bookmarkEnd w:id="345"/>
    </w:tbl>
    <w:p>
      <w:pPr>
        <w:pStyle w:val="2"/>
        <w:rPr>
          <w:color w:val="auto"/>
        </w:rPr>
        <w:sectPr>
          <w:footerReference r:id="rId17" w:type="default"/>
          <w:pgSz w:w="11906" w:h="16838"/>
          <w:pgMar w:top="1418" w:right="1418" w:bottom="1418" w:left="1418" w:header="851" w:footer="992" w:gutter="0"/>
          <w:pgNumType w:fmt="numberInDash"/>
          <w:cols w:space="720" w:num="1"/>
          <w:docGrid w:linePitch="312" w:charSpace="0"/>
        </w:sectPr>
      </w:pPr>
    </w:p>
    <w:p>
      <w:pPr>
        <w:pStyle w:val="61"/>
        <w:ind w:firstLine="0" w:firstLineChars="0"/>
        <w:outlineLvl w:val="1"/>
        <w:rPr>
          <w:b/>
          <w:bCs/>
          <w:color w:val="auto"/>
        </w:rPr>
      </w:pPr>
      <w:bookmarkStart w:id="346" w:name="_Toc2921"/>
      <w:r>
        <w:rPr>
          <w:rFonts w:hint="eastAsia"/>
          <w:b/>
          <w:bCs/>
          <w:color w:val="auto"/>
        </w:rPr>
        <w:t>附件3：应急响应流程图</w:t>
      </w:r>
      <w:bookmarkEnd w:id="346"/>
    </w:p>
    <w:p>
      <w:pPr>
        <w:ind w:firstLine="560"/>
        <w:rPr>
          <w:color w:val="auto"/>
          <w:szCs w:val="28"/>
        </w:rPr>
      </w:pPr>
      <w:r>
        <w:rPr>
          <w:rFonts w:hint="eastAsia"/>
          <w:color w:val="auto"/>
        </w:rPr>
        <w:object>
          <v:shape id="_x0000_i1027" o:spt="75" type="#_x0000_t75" style="height:615.85pt;width:444.6pt;" o:ole="t" filled="f" coordsize="21600,21600">
            <v:path/>
            <v:fill on="f" focussize="0,0"/>
            <v:stroke/>
            <v:imagedata r:id="rId36" o:title=""/>
            <o:lock v:ext="edit" aspectratio="t"/>
            <w10:wrap type="none"/>
            <w10:anchorlock/>
          </v:shape>
          <o:OLEObject Type="Embed" ProgID="Visio.Drawing.11" ShapeID="_x0000_i1027" DrawAspect="Content" ObjectID="_1468075727">
            <o:LockedField>false</o:LockedField>
          </o:OLEObject>
        </w:object>
      </w:r>
    </w:p>
    <w:p>
      <w:pPr>
        <w:ind w:firstLine="560"/>
        <w:rPr>
          <w:color w:val="auto"/>
          <w:szCs w:val="28"/>
        </w:rPr>
      </w:pPr>
    </w:p>
    <w:p>
      <w:pPr>
        <w:ind w:firstLine="560"/>
        <w:rPr>
          <w:color w:val="auto"/>
          <w:szCs w:val="28"/>
        </w:rPr>
        <w:sectPr>
          <w:pgSz w:w="11906" w:h="16838"/>
          <w:pgMar w:top="1418" w:right="1418" w:bottom="1418" w:left="1418" w:header="851" w:footer="992" w:gutter="0"/>
          <w:pgNumType w:fmt="numberInDash"/>
          <w:cols w:space="720" w:num="1"/>
          <w:docGrid w:linePitch="312" w:charSpace="0"/>
        </w:sectPr>
      </w:pPr>
    </w:p>
    <w:p>
      <w:pPr>
        <w:pStyle w:val="61"/>
        <w:ind w:firstLine="0" w:firstLineChars="0"/>
        <w:outlineLvl w:val="1"/>
        <w:rPr>
          <w:b/>
          <w:bCs/>
          <w:color w:val="auto"/>
        </w:rPr>
      </w:pPr>
      <w:bookmarkStart w:id="347" w:name="_Toc11077"/>
      <w:r>
        <w:rPr>
          <w:rFonts w:hint="eastAsia"/>
          <w:b/>
          <w:bCs/>
          <w:color w:val="auto"/>
        </w:rPr>
        <w:t>附件4：区域地理位置及周边环境敏感点分布图</w:t>
      </w:r>
      <w:bookmarkEnd w:id="347"/>
      <w:r>
        <w:rPr>
          <w:rFonts w:hint="eastAsia"/>
          <w:b/>
          <w:bCs/>
          <w:color w:val="auto"/>
        </w:rPr>
        <w:t>（一）</w:t>
      </w:r>
    </w:p>
    <w:p>
      <w:pPr>
        <w:widowControl/>
        <w:ind w:firstLine="0" w:firstLineChars="0"/>
        <w:jc w:val="center"/>
        <w:rPr>
          <w:b/>
          <w:bCs/>
          <w:color w:val="auto"/>
        </w:rPr>
      </w:pPr>
      <w:r>
        <w:rPr>
          <w:b/>
          <w:bCs/>
          <w:color w:val="auto"/>
        </w:rPr>
        <w:drawing>
          <wp:inline distT="0" distB="0" distL="0" distR="0">
            <wp:extent cx="6645275" cy="7070725"/>
            <wp:effectExtent l="0" t="0" r="317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6645275" cy="7070725"/>
                    </a:xfrm>
                    <a:prstGeom prst="rect">
                      <a:avLst/>
                    </a:prstGeom>
                    <a:noFill/>
                    <a:ln>
                      <a:noFill/>
                    </a:ln>
                  </pic:spPr>
                </pic:pic>
              </a:graphicData>
            </a:graphic>
          </wp:inline>
        </w:drawing>
      </w:r>
    </w:p>
    <w:p>
      <w:pPr>
        <w:pStyle w:val="39"/>
        <w:ind w:left="560"/>
        <w:rPr>
          <w:color w:val="auto"/>
        </w:rPr>
        <w:sectPr>
          <w:footerReference r:id="rId18" w:type="default"/>
          <w:pgSz w:w="11906" w:h="16838"/>
          <w:pgMar w:top="720" w:right="720" w:bottom="720" w:left="720" w:header="851" w:footer="992" w:gutter="0"/>
          <w:pgNumType w:fmt="numberInDash"/>
          <w:cols w:space="720" w:num="1"/>
          <w:docGrid w:linePitch="381" w:charSpace="0"/>
        </w:sectPr>
      </w:pPr>
    </w:p>
    <w:p>
      <w:pPr>
        <w:pStyle w:val="61"/>
        <w:ind w:firstLine="0" w:firstLineChars="0"/>
        <w:outlineLvl w:val="1"/>
        <w:rPr>
          <w:b/>
          <w:bCs/>
          <w:color w:val="auto"/>
        </w:rPr>
      </w:pPr>
      <w:r>
        <w:rPr>
          <w:rFonts w:hint="eastAsia"/>
          <w:b/>
          <w:bCs/>
          <w:color w:val="auto"/>
        </w:rPr>
        <w:t>附件4：区域地理位置及周边环境敏感点分布图（二）</w:t>
      </w:r>
    </w:p>
    <w:p>
      <w:pPr>
        <w:pStyle w:val="39"/>
        <w:ind w:left="0" w:leftChars="0" w:firstLine="0" w:firstLineChars="0"/>
        <w:jc w:val="center"/>
        <w:rPr>
          <w:color w:val="auto"/>
        </w:rPr>
      </w:pPr>
      <w:r>
        <w:rPr>
          <w:color w:val="auto"/>
        </w:rPr>
        <w:drawing>
          <wp:inline distT="0" distB="0" distL="0" distR="0">
            <wp:extent cx="6645275" cy="7325995"/>
            <wp:effectExtent l="0" t="0" r="3175"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6645275" cy="7325995"/>
                    </a:xfrm>
                    <a:prstGeom prst="rect">
                      <a:avLst/>
                    </a:prstGeom>
                    <a:noFill/>
                    <a:ln>
                      <a:noFill/>
                    </a:ln>
                  </pic:spPr>
                </pic:pic>
              </a:graphicData>
            </a:graphic>
          </wp:inline>
        </w:drawing>
      </w:r>
    </w:p>
    <w:p>
      <w:pPr>
        <w:pStyle w:val="38"/>
        <w:ind w:firstLine="240"/>
        <w:rPr>
          <w:rFonts w:hint="default"/>
          <w:color w:val="auto"/>
          <w:lang w:eastAsia="zh-CN"/>
        </w:rPr>
      </w:pPr>
    </w:p>
    <w:p>
      <w:pPr>
        <w:pStyle w:val="38"/>
        <w:ind w:firstLine="240"/>
        <w:rPr>
          <w:rFonts w:hint="default"/>
          <w:color w:val="auto"/>
          <w:lang w:eastAsia="zh-CN"/>
        </w:rPr>
        <w:sectPr>
          <w:pgSz w:w="11906" w:h="16838"/>
          <w:pgMar w:top="720" w:right="720" w:bottom="720" w:left="720" w:header="851" w:footer="992" w:gutter="0"/>
          <w:pgNumType w:fmt="numberInDash"/>
          <w:cols w:space="720" w:num="1"/>
          <w:docGrid w:linePitch="381" w:charSpace="0"/>
        </w:sectPr>
      </w:pPr>
    </w:p>
    <w:p>
      <w:pPr>
        <w:widowControl/>
        <w:ind w:firstLine="0" w:firstLineChars="0"/>
        <w:jc w:val="left"/>
        <w:outlineLvl w:val="1"/>
        <w:rPr>
          <w:color w:val="auto"/>
        </w:rPr>
      </w:pPr>
      <w:bookmarkStart w:id="348" w:name="_Toc22102"/>
      <w:r>
        <w:rPr>
          <w:rFonts w:hint="eastAsia"/>
          <w:b/>
          <w:bCs/>
          <w:color w:val="auto"/>
        </w:rPr>
        <w:t>附件5：风险源分布图</w:t>
      </w:r>
      <w:bookmarkEnd w:id="348"/>
    </w:p>
    <w:p>
      <w:pPr>
        <w:ind w:firstLine="0" w:firstLineChars="0"/>
        <w:jc w:val="center"/>
        <w:rPr>
          <w:rFonts w:eastAsia="微软雅黑"/>
          <w:color w:val="auto"/>
          <w:kern w:val="0"/>
          <w:sz w:val="22"/>
          <w:szCs w:val="22"/>
        </w:rPr>
      </w:pPr>
      <w:r>
        <w:rPr>
          <w:rFonts w:hint="eastAsia" w:eastAsia="微软雅黑"/>
          <w:color w:val="auto"/>
          <w:kern w:val="0"/>
          <w:sz w:val="22"/>
          <w:szCs w:val="22"/>
        </w:rPr>
        <w:drawing>
          <wp:inline distT="0" distB="0" distL="114300" distR="114300">
            <wp:extent cx="6414770" cy="5488940"/>
            <wp:effectExtent l="0" t="0" r="5080" b="16510"/>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39"/>
                    <a:stretch>
                      <a:fillRect/>
                    </a:stretch>
                  </pic:blipFill>
                  <pic:spPr>
                    <a:xfrm>
                      <a:off x="0" y="0"/>
                      <a:ext cx="6414770" cy="5488940"/>
                    </a:xfrm>
                    <a:prstGeom prst="rect">
                      <a:avLst/>
                    </a:prstGeom>
                    <a:noFill/>
                    <a:ln>
                      <a:noFill/>
                    </a:ln>
                  </pic:spPr>
                </pic:pic>
              </a:graphicData>
            </a:graphic>
          </wp:inline>
        </w:drawing>
      </w:r>
      <w:r>
        <w:rPr>
          <w:color w:val="auto"/>
        </w:rPr>
        <mc:AlternateContent>
          <mc:Choice Requires="wps">
            <w:drawing>
              <wp:anchor distT="0" distB="0" distL="114300" distR="114300" simplePos="0" relativeHeight="251661312" behindDoc="0" locked="0" layoutInCell="1" allowOverlap="1">
                <wp:simplePos x="0" y="0"/>
                <wp:positionH relativeFrom="column">
                  <wp:posOffset>7220585</wp:posOffset>
                </wp:positionH>
                <wp:positionV relativeFrom="paragraph">
                  <wp:posOffset>53975</wp:posOffset>
                </wp:positionV>
                <wp:extent cx="1202690" cy="1238250"/>
                <wp:effectExtent l="0" t="0" r="0" b="0"/>
                <wp:wrapNone/>
                <wp:docPr id="18" name="文本框 170"/>
                <wp:cNvGraphicFramePr/>
                <a:graphic xmlns:a="http://schemas.openxmlformats.org/drawingml/2006/main">
                  <a:graphicData uri="http://schemas.microsoft.com/office/word/2010/wordprocessingShape">
                    <wps:wsp>
                      <wps:cNvSpPr txBox="1"/>
                      <wps:spPr>
                        <a:xfrm>
                          <a:off x="0" y="0"/>
                          <a:ext cx="1202690" cy="1238250"/>
                        </a:xfrm>
                        <a:prstGeom prst="rect">
                          <a:avLst/>
                        </a:prstGeom>
                        <a:noFill/>
                        <a:ln>
                          <a:noFill/>
                        </a:ln>
                      </wps:spPr>
                      <wps:txbx>
                        <w:txbxContent>
                          <w:p>
                            <w:pPr>
                              <w:ind w:firstLine="0" w:firstLineChars="0"/>
                            </w:pPr>
                          </w:p>
                        </w:txbxContent>
                      </wps:txbx>
                      <wps:bodyPr wrap="square" upright="1"/>
                    </wps:wsp>
                  </a:graphicData>
                </a:graphic>
              </wp:anchor>
            </w:drawing>
          </mc:Choice>
          <mc:Fallback>
            <w:pict>
              <v:shape id="文本框 170" o:spid="_x0000_s1026" o:spt="202" type="#_x0000_t202" style="position:absolute;left:0pt;margin-left:568.55pt;margin-top:4.25pt;height:97.5pt;width:94.7pt;z-index:251661312;mso-width-relative:page;mso-height-relative:page;" filled="f" stroked="f" coordsize="21600,21600" o:gfxdata="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Vda/K9cAAAALAQAADwAAAAAAAAABACAAAAAiAAAAZHJzL2Rvd25yZXYueG1sUEsBAhQAFAAA&#10;AAgAh07iQFYI8Oi3AQAAYAMAAA4AAAAAAAAAAQAgAAAAJgEAAGRycy9lMm9Eb2MueG1sUEsFBgAA&#10;AAAGAAYAWQEAAE8FAAAAAA==&#10;">
                <v:fill on="f" focussize="0,0"/>
                <v:stroke on="f"/>
                <v:imagedata o:title=""/>
                <o:lock v:ext="edit" aspectratio="f"/>
                <v:textbox>
                  <w:txbxContent>
                    <w:p>
                      <w:pPr>
                        <w:ind w:firstLine="0" w:firstLineChars="0"/>
                      </w:pPr>
                    </w:p>
                  </w:txbxContent>
                </v:textbox>
              </v:shape>
            </w:pict>
          </mc:Fallback>
        </mc:AlternateContent>
      </w:r>
    </w:p>
    <w:p>
      <w:pPr>
        <w:pStyle w:val="39"/>
        <w:ind w:left="0" w:leftChars="0" w:firstLine="0" w:firstLineChars="0"/>
        <w:rPr>
          <w:color w:val="auto"/>
        </w:rPr>
        <w:sectPr>
          <w:pgSz w:w="16838" w:h="11906" w:orient="landscape"/>
          <w:pgMar w:top="720" w:right="720" w:bottom="720" w:left="720" w:header="851" w:footer="992" w:gutter="0"/>
          <w:pgNumType w:fmt="numberInDash"/>
          <w:cols w:space="720" w:num="1"/>
          <w:docGrid w:linePitch="381" w:charSpace="0"/>
        </w:sectPr>
      </w:pPr>
    </w:p>
    <w:p>
      <w:pPr>
        <w:pStyle w:val="61"/>
        <w:ind w:firstLine="562"/>
        <w:outlineLvl w:val="1"/>
        <w:rPr>
          <w:b/>
          <w:bCs/>
          <w:color w:val="auto"/>
          <w:szCs w:val="28"/>
        </w:rPr>
      </w:pPr>
      <w:bookmarkStart w:id="349" w:name="_Toc6373"/>
      <w:r>
        <w:rPr>
          <w:rFonts w:hint="eastAsia"/>
          <w:b/>
          <w:bCs/>
          <w:color w:val="auto"/>
        </w:rPr>
        <w:t>附件6：紧急疏散路线图</w:t>
      </w:r>
      <w:bookmarkEnd w:id="349"/>
    </w:p>
    <w:p>
      <w:pPr>
        <w:pStyle w:val="39"/>
        <w:spacing w:after="0"/>
        <w:ind w:left="0" w:leftChars="0" w:firstLine="0" w:firstLineChars="0"/>
        <w:jc w:val="center"/>
        <w:rPr>
          <w:color w:val="auto"/>
        </w:rPr>
      </w:pPr>
      <w:r>
        <w:rPr>
          <w:color w:val="auto"/>
        </w:rPr>
        <w:drawing>
          <wp:inline distT="0" distB="0" distL="114300" distR="114300">
            <wp:extent cx="7068820" cy="6063615"/>
            <wp:effectExtent l="0" t="0" r="17780" b="13335"/>
            <wp:docPr id="2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
                    <pic:cNvPicPr>
                      <a:picLocks noChangeAspect="1"/>
                    </pic:cNvPicPr>
                  </pic:nvPicPr>
                  <pic:blipFill>
                    <a:blip r:embed="rId40"/>
                    <a:stretch>
                      <a:fillRect/>
                    </a:stretch>
                  </pic:blipFill>
                  <pic:spPr>
                    <a:xfrm>
                      <a:off x="0" y="0"/>
                      <a:ext cx="7068820" cy="6063615"/>
                    </a:xfrm>
                    <a:prstGeom prst="rect">
                      <a:avLst/>
                    </a:prstGeom>
                    <a:noFill/>
                    <a:ln>
                      <a:noFill/>
                    </a:ln>
                  </pic:spPr>
                </pic:pic>
              </a:graphicData>
            </a:graphic>
          </wp:inline>
        </w:drawing>
      </w:r>
    </w:p>
    <w:p>
      <w:pPr>
        <w:pStyle w:val="38"/>
        <w:ind w:firstLine="240"/>
        <w:rPr>
          <w:rFonts w:hint="default"/>
          <w:color w:val="auto"/>
          <w:lang w:eastAsia="zh-CN"/>
        </w:rPr>
        <w:sectPr>
          <w:footerReference r:id="rId19" w:type="default"/>
          <w:pgSz w:w="16783" w:h="11850" w:orient="landscape"/>
          <w:pgMar w:top="283" w:right="720" w:bottom="283" w:left="720" w:header="283" w:footer="283" w:gutter="0"/>
          <w:pgNumType w:fmt="numberInDash"/>
          <w:cols w:space="720" w:num="1"/>
          <w:docGrid w:linePitch="326" w:charSpace="0"/>
        </w:sectPr>
      </w:pPr>
    </w:p>
    <w:p>
      <w:pPr>
        <w:pStyle w:val="61"/>
        <w:ind w:firstLine="562"/>
        <w:outlineLvl w:val="1"/>
        <w:rPr>
          <w:b/>
          <w:bCs/>
          <w:color w:val="auto"/>
          <w:szCs w:val="28"/>
        </w:rPr>
      </w:pPr>
      <w:bookmarkStart w:id="350" w:name="_Toc6887"/>
      <w:r>
        <w:rPr>
          <w:rFonts w:hint="eastAsia"/>
          <w:b/>
          <w:bCs/>
          <w:color w:val="auto"/>
        </w:rPr>
        <w:t>附件7：应急物资分布图</w:t>
      </w:r>
      <w:bookmarkEnd w:id="350"/>
    </w:p>
    <w:p>
      <w:pPr>
        <w:ind w:firstLine="0" w:firstLineChars="0"/>
        <w:jc w:val="center"/>
        <w:rPr>
          <w:color w:val="auto"/>
        </w:rPr>
      </w:pPr>
      <w:r>
        <w:rPr>
          <w:color w:val="auto"/>
        </w:rPr>
        <w:drawing>
          <wp:inline distT="0" distB="0" distL="114300" distR="114300">
            <wp:extent cx="7261860" cy="6221730"/>
            <wp:effectExtent l="0" t="0" r="15240" b="7620"/>
            <wp:docPr id="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pic:cNvPicPr>
                      <a:picLocks noChangeAspect="1"/>
                    </pic:cNvPicPr>
                  </pic:nvPicPr>
                  <pic:blipFill>
                    <a:blip r:embed="rId41"/>
                    <a:stretch>
                      <a:fillRect/>
                    </a:stretch>
                  </pic:blipFill>
                  <pic:spPr>
                    <a:xfrm>
                      <a:off x="0" y="0"/>
                      <a:ext cx="7261860" cy="6221730"/>
                    </a:xfrm>
                    <a:prstGeom prst="rect">
                      <a:avLst/>
                    </a:prstGeom>
                    <a:noFill/>
                    <a:ln>
                      <a:noFill/>
                    </a:ln>
                  </pic:spPr>
                </pic:pic>
              </a:graphicData>
            </a:graphic>
          </wp:inline>
        </w:drawing>
      </w:r>
    </w:p>
    <w:p>
      <w:pPr>
        <w:ind w:firstLine="560"/>
        <w:rPr>
          <w:color w:val="auto"/>
        </w:rPr>
        <w:sectPr>
          <w:pgSz w:w="16783" w:h="11850" w:orient="landscape"/>
          <w:pgMar w:top="283" w:right="720" w:bottom="283" w:left="720" w:header="283" w:footer="283" w:gutter="0"/>
          <w:pgNumType w:fmt="numberInDash"/>
          <w:cols w:space="720" w:num="1"/>
          <w:docGrid w:linePitch="326" w:charSpace="0"/>
        </w:sectPr>
      </w:pPr>
      <w:r>
        <w:rPr>
          <w:color w:val="auto"/>
        </w:rPr>
        <mc:AlternateContent>
          <mc:Choice Requires="wps">
            <w:drawing>
              <wp:anchor distT="0" distB="0" distL="114300" distR="114300" simplePos="0" relativeHeight="251660288" behindDoc="0" locked="0" layoutInCell="1" allowOverlap="1">
                <wp:simplePos x="0" y="0"/>
                <wp:positionH relativeFrom="column">
                  <wp:posOffset>1623695</wp:posOffset>
                </wp:positionH>
                <wp:positionV relativeFrom="paragraph">
                  <wp:posOffset>5395595</wp:posOffset>
                </wp:positionV>
                <wp:extent cx="314960" cy="314960"/>
                <wp:effectExtent l="0" t="0" r="0" b="0"/>
                <wp:wrapNone/>
                <wp:docPr id="17" name="自选图形 6307"/>
                <wp:cNvGraphicFramePr/>
                <a:graphic xmlns:a="http://schemas.openxmlformats.org/drawingml/2006/main">
                  <a:graphicData uri="http://schemas.microsoft.com/office/word/2010/wordprocessingShape">
                    <wps:wsp>
                      <wps:cNvSpPr/>
                      <wps:spPr>
                        <a:xfrm>
                          <a:off x="0" y="0"/>
                          <a:ext cx="314960" cy="314960"/>
                        </a:xfrm>
                        <a:prstGeom prst="star4">
                          <a:avLst>
                            <a:gd name="adj" fmla="val 0"/>
                          </a:avLst>
                        </a:prstGeom>
                        <a:solidFill>
                          <a:srgbClr val="FF0000"/>
                        </a:solidFill>
                        <a:ln>
                          <a:noFill/>
                        </a:ln>
                      </wps:spPr>
                      <wps:txbx>
                        <w:txbxContent>
                          <w:p>
                            <w:pPr>
                              <w:ind w:firstLine="560"/>
                            </w:pPr>
                          </w:p>
                        </w:txbxContent>
                      </wps:txbx>
                      <wps:bodyPr wrap="square" upright="1"/>
                    </wps:wsp>
                  </a:graphicData>
                </a:graphic>
              </wp:anchor>
            </w:drawing>
          </mc:Choice>
          <mc:Fallback>
            <w:pict>
              <v:shape id="自选图形 6307" o:spid="_x0000_s1026" o:spt="187" type="#_x0000_t187" style="position:absolute;left:0pt;margin-left:127.85pt;margin-top:424.85pt;height:24.8pt;width:24.8pt;z-index:251660288;mso-width-relative:page;mso-height-relative:page;" fillcolor="#FF0000" filled="t" stroked="f" coordsize="21600,21600" o:gfxdata="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Ofb+o/bAAAA&#10;CwEAAA8AAAAAAAAAAQAgAAAAIgAAAGRycy9kb3ducmV2LnhtbFBLAQIUABQAAAAIAIdO4kBxRUB3&#10;4QEAAKoDAAAOAAAAAAAAAAEAIAAAACoBAABkcnMvZTJvRG9jLnhtbFBLBQYAAAAABgAGAFkBAAB9&#10;BQAAAAA=&#10;" adj="10800">
                <v:fill on="t" focussize="0,0"/>
                <v:stroke on="f"/>
                <v:imagedata o:title=""/>
                <o:lock v:ext="edit" aspectratio="f"/>
                <v:textbox>
                  <w:txbxContent>
                    <w:p>
                      <w:pPr>
                        <w:ind w:firstLine="560"/>
                      </w:pPr>
                    </w:p>
                  </w:txbxContent>
                </v:textbox>
              </v:shape>
            </w:pict>
          </mc:Fallback>
        </mc:AlternateContent>
      </w:r>
      <w:r>
        <w:rPr>
          <w:color w:val="auto"/>
        </w:rPr>
        <mc:AlternateContent>
          <mc:Choice Requires="wps">
            <w:drawing>
              <wp:anchor distT="0" distB="0" distL="114300" distR="114300" simplePos="0" relativeHeight="251659264" behindDoc="0" locked="0" layoutInCell="1" allowOverlap="1">
                <wp:simplePos x="0" y="0"/>
                <wp:positionH relativeFrom="column">
                  <wp:posOffset>1847850</wp:posOffset>
                </wp:positionH>
                <wp:positionV relativeFrom="paragraph">
                  <wp:posOffset>5280660</wp:posOffset>
                </wp:positionV>
                <wp:extent cx="990600" cy="253365"/>
                <wp:effectExtent l="0" t="0" r="0" b="13335"/>
                <wp:wrapNone/>
                <wp:docPr id="16" name="文本框 4067"/>
                <wp:cNvGraphicFramePr/>
                <a:graphic xmlns:a="http://schemas.openxmlformats.org/drawingml/2006/main">
                  <a:graphicData uri="http://schemas.microsoft.com/office/word/2010/wordprocessingShape">
                    <wps:wsp>
                      <wps:cNvSpPr txBox="1"/>
                      <wps:spPr>
                        <a:xfrm>
                          <a:off x="0" y="0"/>
                          <a:ext cx="990600" cy="253365"/>
                        </a:xfrm>
                        <a:prstGeom prst="rect">
                          <a:avLst/>
                        </a:prstGeom>
                        <a:solidFill>
                          <a:srgbClr val="FFFFFF"/>
                        </a:solidFill>
                        <a:ln>
                          <a:noFill/>
                        </a:ln>
                      </wps:spPr>
                      <wps:txbx>
                        <w:txbxContent>
                          <w:p>
                            <w:pPr>
                              <w:ind w:firstLine="0" w:firstLineChars="0"/>
                              <w:rPr>
                                <w:rFonts w:ascii="宋体" w:hAnsi="宋体" w:eastAsia="宋体" w:cs="宋体"/>
                                <w:sz w:val="21"/>
                                <w:szCs w:val="21"/>
                              </w:rPr>
                            </w:pPr>
                          </w:p>
                        </w:txbxContent>
                      </wps:txbx>
                      <wps:bodyPr wrap="square" upright="1"/>
                    </wps:wsp>
                  </a:graphicData>
                </a:graphic>
              </wp:anchor>
            </w:drawing>
          </mc:Choice>
          <mc:Fallback>
            <w:pict>
              <v:shape id="文本框 4067" o:spid="_x0000_s1026" o:spt="202" type="#_x0000_t202" style="position:absolute;left:0pt;margin-left:145.5pt;margin-top:415.8pt;height:19.95pt;width:78pt;z-index:251659264;mso-width-relative:page;mso-height-relative:page;" fillcolor="#FFFFFF" filled="t" stroked="f" coordsize="21600,21600" o:gfxdata="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P8iNt9kAAAALAQAADwAAAAAAAAABACAAAAAiAAAA&#10;ZHJzL2Rvd25yZXYueG1sUEsBAhQAFAAAAAgAh07iQOd8vrfNAQAAiAMAAA4AAAAAAAAAAQAgAAAA&#10;KAEAAGRycy9lMm9Eb2MueG1sUEsFBgAAAAAGAAYAWQEAAGcFAAAAAA==&#10;">
                <v:fill on="t" focussize="0,0"/>
                <v:stroke on="f"/>
                <v:imagedata o:title=""/>
                <o:lock v:ext="edit" aspectratio="f"/>
                <v:textbox>
                  <w:txbxContent>
                    <w:p>
                      <w:pPr>
                        <w:ind w:firstLine="0" w:firstLineChars="0"/>
                        <w:rPr>
                          <w:rFonts w:ascii="宋体" w:hAnsi="宋体" w:eastAsia="宋体" w:cs="宋体"/>
                          <w:sz w:val="21"/>
                          <w:szCs w:val="21"/>
                        </w:rPr>
                      </w:pPr>
                    </w:p>
                  </w:txbxContent>
                </v:textbox>
              </v:shape>
            </w:pict>
          </mc:Fallback>
        </mc:AlternateContent>
      </w:r>
    </w:p>
    <w:p>
      <w:pPr>
        <w:ind w:firstLine="0" w:firstLineChars="0"/>
        <w:outlineLvl w:val="1"/>
        <w:rPr>
          <w:b/>
          <w:bCs/>
          <w:color w:val="auto"/>
          <w:szCs w:val="28"/>
        </w:rPr>
      </w:pPr>
      <w:bookmarkStart w:id="351" w:name="_Toc14596"/>
      <w:r>
        <w:rPr>
          <w:rFonts w:hint="eastAsia"/>
          <w:b/>
          <w:bCs/>
          <w:color w:val="auto"/>
          <w:szCs w:val="28"/>
        </w:rPr>
        <w:t>附件8：应急物资储备清</w:t>
      </w:r>
      <w:bookmarkEnd w:id="351"/>
    </w:p>
    <w:tbl>
      <w:tblPr>
        <w:tblStyle w:val="4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9"/>
        <w:gridCol w:w="2028"/>
        <w:gridCol w:w="817"/>
        <w:gridCol w:w="735"/>
        <w:gridCol w:w="1891"/>
        <w:gridCol w:w="1471"/>
        <w:gridCol w:w="16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398"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bookmarkStart w:id="352" w:name="_Hlk58339233"/>
            <w:r>
              <w:rPr>
                <w:rFonts w:hint="eastAsia" w:ascii="仿宋" w:hAnsi="仿宋"/>
                <w:b/>
                <w:color w:val="auto"/>
                <w:kern w:val="0"/>
                <w:sz w:val="24"/>
              </w:rPr>
              <w:t>序号</w:t>
            </w:r>
          </w:p>
        </w:tc>
        <w:tc>
          <w:tcPr>
            <w:tcW w:w="1092"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r>
              <w:rPr>
                <w:rFonts w:hint="eastAsia" w:ascii="仿宋" w:hAnsi="仿宋"/>
                <w:b/>
                <w:color w:val="auto"/>
                <w:kern w:val="0"/>
                <w:sz w:val="24"/>
              </w:rPr>
              <w:t>物资名称</w:t>
            </w:r>
          </w:p>
        </w:tc>
        <w:tc>
          <w:tcPr>
            <w:tcW w:w="440"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r>
              <w:rPr>
                <w:rFonts w:hint="eastAsia" w:ascii="仿宋" w:hAnsi="仿宋"/>
                <w:b/>
                <w:color w:val="auto"/>
                <w:kern w:val="0"/>
                <w:sz w:val="24"/>
              </w:rPr>
              <w:t>单位</w:t>
            </w:r>
          </w:p>
        </w:tc>
        <w:tc>
          <w:tcPr>
            <w:tcW w:w="396"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r>
              <w:rPr>
                <w:rFonts w:hint="eastAsia" w:ascii="仿宋" w:hAnsi="仿宋"/>
                <w:b/>
                <w:color w:val="auto"/>
                <w:kern w:val="0"/>
                <w:sz w:val="24"/>
              </w:rPr>
              <w:t>数量</w:t>
            </w:r>
          </w:p>
        </w:tc>
        <w:tc>
          <w:tcPr>
            <w:tcW w:w="1018"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r>
              <w:rPr>
                <w:rFonts w:hint="eastAsia" w:ascii="仿宋" w:hAnsi="仿宋"/>
                <w:b/>
                <w:color w:val="auto"/>
                <w:kern w:val="0"/>
                <w:sz w:val="24"/>
              </w:rPr>
              <w:t>储存地点</w:t>
            </w:r>
          </w:p>
        </w:tc>
        <w:tc>
          <w:tcPr>
            <w:tcW w:w="792"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r>
              <w:rPr>
                <w:rFonts w:hint="eastAsia" w:ascii="仿宋" w:hAnsi="仿宋"/>
                <w:b/>
                <w:color w:val="auto"/>
                <w:kern w:val="0"/>
                <w:sz w:val="24"/>
              </w:rPr>
              <w:t>保管人</w:t>
            </w:r>
          </w:p>
        </w:tc>
        <w:tc>
          <w:tcPr>
            <w:tcW w:w="864" w:type="pct"/>
            <w:shd w:val="clear" w:color="auto" w:fill="D9D9D9"/>
            <w:vAlign w:val="center"/>
          </w:tcPr>
          <w:p>
            <w:pPr>
              <w:autoSpaceDE w:val="0"/>
              <w:autoSpaceDN w:val="0"/>
              <w:adjustRightInd/>
              <w:snapToGrid/>
              <w:spacing w:line="240" w:lineRule="auto"/>
              <w:ind w:firstLine="0" w:firstLineChars="0"/>
              <w:jc w:val="center"/>
              <w:rPr>
                <w:rFonts w:ascii="仿宋" w:hAnsi="仿宋"/>
                <w:b/>
                <w:color w:val="auto"/>
                <w:kern w:val="0"/>
                <w:sz w:val="24"/>
              </w:rPr>
            </w:pPr>
            <w:r>
              <w:rPr>
                <w:rFonts w:hint="eastAsia" w:ascii="仿宋" w:hAnsi="仿宋"/>
                <w:b/>
                <w:color w:val="auto"/>
                <w:kern w:val="0"/>
                <w:sz w:val="24"/>
              </w:rPr>
              <w:t>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92"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正压式呼吸器</w:t>
            </w:r>
          </w:p>
        </w:tc>
        <w:tc>
          <w:tcPr>
            <w:tcW w:w="440"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二期集控室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440"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92"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急救箱</w:t>
            </w:r>
          </w:p>
        </w:tc>
        <w:tc>
          <w:tcPr>
            <w:tcW w:w="440"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箱</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二期集控室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440"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440"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92"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对讲机</w:t>
            </w:r>
          </w:p>
        </w:tc>
        <w:tc>
          <w:tcPr>
            <w:tcW w:w="440"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二期集控室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440"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440"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集控中心库房</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事务员</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雨衣</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件</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集控中心库房</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事务员</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雨鞋</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双</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集控中心库房</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事务员</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2349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折叠式担架</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副</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二三期集控室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2544/2545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防飞溅面罩</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三防工作服</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防爆手电</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00</w:t>
            </w:r>
            <w:r>
              <w:rPr>
                <w:rFonts w:hint="eastAsia" w:ascii="仿宋" w:hAnsi="仿宋"/>
                <w:color w:val="auto"/>
                <w:kern w:val="0"/>
                <w:sz w:val="24"/>
              </w:rPr>
              <w:t>t水池</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座</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消防泵</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具</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室内消火栓</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3kg</w:t>
            </w:r>
            <w:r>
              <w:rPr>
                <w:rFonts w:ascii="仿宋" w:hAnsi="仿宋"/>
                <w:color w:val="auto"/>
                <w:kern w:val="0"/>
                <w:sz w:val="24"/>
              </w:rPr>
              <w:t>CO</w:t>
            </w:r>
            <w:r>
              <w:rPr>
                <w:rFonts w:ascii="仿宋" w:hAnsi="仿宋"/>
                <w:color w:val="auto"/>
                <w:kern w:val="0"/>
                <w:sz w:val="24"/>
                <w:vertAlign w:val="subscript"/>
              </w:rPr>
              <w:t>2</w:t>
            </w:r>
            <w:r>
              <w:rPr>
                <w:rFonts w:hint="eastAsia" w:ascii="仿宋" w:hAnsi="仿宋"/>
                <w:color w:val="auto"/>
                <w:kern w:val="0"/>
                <w:sz w:val="24"/>
              </w:rPr>
              <w:t>灭火器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具</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r>
              <w:rPr>
                <w:rFonts w:ascii="仿宋" w:hAnsi="仿宋"/>
                <w:color w:val="auto"/>
                <w:kern w:val="0"/>
                <w:sz w:val="24"/>
              </w:rPr>
              <w:t>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爆炸浓度气体检测仪</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具</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制氢站</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网控班长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15</w:t>
            </w:r>
          </w:p>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16</w:t>
            </w:r>
          </w:p>
        </w:tc>
        <w:tc>
          <w:tcPr>
            <w:tcW w:w="1092"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防毒面具</w:t>
            </w:r>
          </w:p>
        </w:tc>
        <w:tc>
          <w:tcPr>
            <w:tcW w:w="440" w:type="pct"/>
            <w:vMerge w:val="restar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二期集控室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1092"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440" w:type="pct"/>
            <w:vMerge w:val="continue"/>
            <w:vAlign w:val="center"/>
          </w:tcPr>
          <w:p>
            <w:pPr>
              <w:autoSpaceDE w:val="0"/>
              <w:autoSpaceDN w:val="0"/>
              <w:adjustRightInd/>
              <w:snapToGrid/>
              <w:spacing w:line="240" w:lineRule="auto"/>
              <w:ind w:firstLine="0" w:firstLineChars="0"/>
              <w:jc w:val="center"/>
              <w:rPr>
                <w:rFonts w:ascii="仿宋" w:hAnsi="仿宋"/>
                <w:color w:val="auto"/>
                <w:kern w:val="0"/>
                <w:sz w:val="24"/>
              </w:rPr>
            </w:pP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防爆对讲机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移动电源盘</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二三期集控室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单元长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2544/2545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手电</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20</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对讲机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雨衣</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件</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雨靴</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双</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消防靴</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双</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担架</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副</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急救箱</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箱</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过滤式防颗粒物呼吸器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25</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正压式呼吸器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脱硫值班室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灰硫班长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防毒面具</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对讲机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30</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急救药箱</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箱</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防酸碱手套</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副</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防酸碱服</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雨衣</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件</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雨靴</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双</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正压式呼吸器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除盐值班室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化学班长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5394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可燃气体检漏仪</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化验班</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化验班班长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2359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有毒有害气体检漏仪</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化验班</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化验班班长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2359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潜水泵</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铁铲</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把</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40</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消防沙箱</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箱</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ascii="仿宋" w:hAnsi="仿宋"/>
                <w:color w:val="auto"/>
                <w:kern w:val="0"/>
                <w:sz w:val="24"/>
              </w:rPr>
              <w:t>8</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沙袋</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袋</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120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沙袋</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袋</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#0皮带</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r>
              <w:rPr>
                <w:rFonts w:ascii="仿宋" w:hAnsi="仿宋"/>
                <w:color w:val="auto"/>
                <w:kern w:val="0"/>
                <w:sz w:val="24"/>
              </w:rPr>
              <w:t>5</w:t>
            </w:r>
            <w:r>
              <w:rPr>
                <w:rFonts w:hint="eastAsia" w:ascii="仿宋" w:hAnsi="仿宋"/>
                <w:color w:val="auto"/>
                <w:kern w:val="0"/>
                <w:sz w:val="24"/>
              </w:rPr>
              <w:t>k</w:t>
            </w:r>
            <w:r>
              <w:rPr>
                <w:rFonts w:ascii="仿宋" w:hAnsi="仿宋"/>
                <w:color w:val="auto"/>
                <w:kern w:val="0"/>
                <w:sz w:val="24"/>
              </w:rPr>
              <w:t>g</w:t>
            </w:r>
            <w:r>
              <w:rPr>
                <w:rFonts w:hint="eastAsia" w:ascii="仿宋" w:hAnsi="仿宋"/>
                <w:color w:val="auto"/>
                <w:kern w:val="0"/>
                <w:sz w:val="24"/>
              </w:rPr>
              <w:t>干粉推车</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辆</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r>
              <w:rPr>
                <w:rFonts w:ascii="仿宋" w:hAnsi="仿宋"/>
                <w:color w:val="auto"/>
                <w:kern w:val="0"/>
                <w:sz w:val="24"/>
              </w:rPr>
              <w:t>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4kg</w:t>
            </w:r>
            <w:r>
              <w:rPr>
                <w:rFonts w:ascii="仿宋" w:hAnsi="仿宋"/>
                <w:color w:val="auto"/>
                <w:kern w:val="0"/>
                <w:sz w:val="24"/>
              </w:rPr>
              <w:t>1211</w:t>
            </w:r>
            <w:r>
              <w:rPr>
                <w:rFonts w:hint="eastAsia" w:ascii="仿宋" w:hAnsi="仿宋"/>
                <w:color w:val="auto"/>
                <w:kern w:val="0"/>
                <w:sz w:val="24"/>
              </w:rPr>
              <w:t>干粉灭火器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具</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ascii="仿宋" w:hAnsi="仿宋"/>
                <w:color w:val="auto"/>
                <w:kern w:val="0"/>
                <w:sz w:val="24"/>
              </w:rPr>
              <w:t>MFZ/ABC 4</w:t>
            </w:r>
            <w:r>
              <w:rPr>
                <w:rFonts w:hint="eastAsia" w:ascii="仿宋" w:hAnsi="仿宋"/>
                <w:color w:val="auto"/>
                <w:kern w:val="0"/>
                <w:sz w:val="24"/>
              </w:rPr>
              <w:t>手提式干粉灭火器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具</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泡沫液</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铁锨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把</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油库</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急救药箱</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箱</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担架</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副</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50</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铁锨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把</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燃运库房</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燃运库管员</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正压式呼吸器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雨靴</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双</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沙袋</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袋</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150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固定式泡沫灭火装置</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燃运值班室</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燃运班长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5330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r>
              <w:rPr>
                <w:rFonts w:ascii="仿宋" w:hAnsi="仿宋"/>
                <w:color w:val="auto"/>
                <w:kern w:val="0"/>
                <w:sz w:val="24"/>
              </w:rPr>
              <w:t>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消防车</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辆</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w:t>
            </w:r>
            <w:r>
              <w:rPr>
                <w:rFonts w:ascii="仿宋" w:hAnsi="仿宋"/>
                <w:color w:val="auto"/>
                <w:kern w:val="0"/>
                <w:sz w:val="24"/>
              </w:rPr>
              <w:t>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两节拉梯</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防火服</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19</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正压式呼吸器</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59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对讲机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4</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60</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消防斧</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把</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防火服</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防水服</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消防照明头灯</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千斤顶</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液压扩张钳</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电锤</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7</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切割机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8</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防毒面具</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w:t>
            </w:r>
            <w:r>
              <w:rPr>
                <w:rFonts w:ascii="仿宋" w:hAnsi="仿宋"/>
                <w:color w:val="auto"/>
                <w:kern w:val="0"/>
                <w:sz w:val="24"/>
              </w:rPr>
              <w:t>9</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扩音喇叭</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个</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消防队长</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6119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0</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汽油发电机组</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综合泵房</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徐永峰</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13379291546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1</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网络通信系统</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套</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通讯楼</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王铜山</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13892950039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2</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履带式推土机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燃输中心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毕江宏</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15291093050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3</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轮式装载机</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燃输中心</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毕江宏</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15291093050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4</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平衡重式叉车</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生技部</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赵军</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13892984650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5</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电瓶车</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台</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3</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生技部</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赵军</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13892984650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6</w:t>
            </w:r>
          </w:p>
        </w:tc>
        <w:tc>
          <w:tcPr>
            <w:tcW w:w="10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尾气脱硫净化石灰</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m</w:t>
            </w:r>
            <w:r>
              <w:rPr>
                <w:rFonts w:hint="eastAsia" w:ascii="仿宋" w:hAnsi="仿宋"/>
                <w:color w:val="auto"/>
                <w:kern w:val="0"/>
                <w:sz w:val="24"/>
                <w:vertAlign w:val="superscript"/>
              </w:rPr>
              <w:t>3</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000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石灰石储棚</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崇保吉</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ascii="仿宋" w:hAnsi="仿宋"/>
                <w:color w:val="auto"/>
                <w:kern w:val="0"/>
                <w:sz w:val="24"/>
              </w:rPr>
              <w:t>13892950758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7</w:t>
            </w:r>
            <w:r>
              <w:rPr>
                <w:rFonts w:ascii="仿宋" w:hAnsi="仿宋"/>
                <w:color w:val="auto"/>
                <w:kern w:val="0"/>
                <w:sz w:val="24"/>
              </w:rPr>
              <w:t>7</w:t>
            </w:r>
          </w:p>
        </w:tc>
        <w:tc>
          <w:tcPr>
            <w:tcW w:w="1092" w:type="pct"/>
            <w:vAlign w:val="center"/>
          </w:tcPr>
          <w:p>
            <w:pPr>
              <w:pStyle w:val="39"/>
              <w:snapToGrid/>
              <w:spacing w:after="0" w:line="240" w:lineRule="auto"/>
              <w:ind w:left="0" w:leftChars="0" w:firstLine="0" w:firstLineChars="0"/>
              <w:jc w:val="center"/>
              <w:rPr>
                <w:rFonts w:ascii="仿宋" w:hAnsi="仿宋"/>
                <w:color w:val="auto"/>
                <w:kern w:val="0"/>
                <w:sz w:val="24"/>
                <w:szCs w:val="24"/>
              </w:rPr>
            </w:pPr>
            <w:r>
              <w:rPr>
                <w:rFonts w:hint="eastAsia" w:ascii="仿宋" w:hAnsi="仿宋"/>
                <w:color w:val="auto"/>
                <w:kern w:val="0"/>
                <w:sz w:val="24"/>
                <w:szCs w:val="24"/>
              </w:rPr>
              <w:t>尾气脱销剂</w:t>
            </w:r>
          </w:p>
          <w:p>
            <w:pPr>
              <w:autoSpaceDE w:val="0"/>
              <w:autoSpaceDN w:val="0"/>
              <w:adjustRightInd/>
              <w:snapToGrid/>
              <w:spacing w:line="240" w:lineRule="auto"/>
              <w:ind w:firstLine="0" w:firstLineChars="0"/>
              <w:jc w:val="center"/>
              <w:rPr>
                <w:rFonts w:ascii="仿宋" w:hAnsi="仿宋"/>
                <w:color w:val="auto"/>
                <w:kern w:val="0"/>
                <w:sz w:val="24"/>
              </w:rPr>
            </w:pPr>
            <w:r>
              <w:rPr>
                <w:rFonts w:ascii="仿宋" w:hAnsi="仿宋"/>
                <w:color w:val="auto"/>
                <w:sz w:val="24"/>
              </w:rPr>
              <w:t>（尿素）</w:t>
            </w:r>
          </w:p>
        </w:tc>
        <w:tc>
          <w:tcPr>
            <w:tcW w:w="440"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吨</w:t>
            </w:r>
          </w:p>
        </w:tc>
        <w:tc>
          <w:tcPr>
            <w:tcW w:w="396"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2</w:t>
            </w:r>
            <w:r>
              <w:rPr>
                <w:rFonts w:ascii="仿宋" w:hAnsi="仿宋"/>
                <w:color w:val="auto"/>
                <w:kern w:val="0"/>
                <w:sz w:val="24"/>
              </w:rPr>
              <w:t>00</w:t>
            </w:r>
          </w:p>
        </w:tc>
        <w:tc>
          <w:tcPr>
            <w:tcW w:w="1018"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尿素车间</w:t>
            </w:r>
          </w:p>
        </w:tc>
        <w:tc>
          <w:tcPr>
            <w:tcW w:w="792"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hint="eastAsia" w:ascii="仿宋" w:hAnsi="仿宋"/>
                <w:color w:val="auto"/>
                <w:kern w:val="0"/>
                <w:sz w:val="24"/>
              </w:rPr>
              <w:t>刘参军</w:t>
            </w:r>
          </w:p>
        </w:tc>
        <w:tc>
          <w:tcPr>
            <w:tcW w:w="864" w:type="pct"/>
            <w:vAlign w:val="center"/>
          </w:tcPr>
          <w:p>
            <w:pPr>
              <w:autoSpaceDE w:val="0"/>
              <w:autoSpaceDN w:val="0"/>
              <w:adjustRightInd/>
              <w:snapToGrid/>
              <w:spacing w:line="240" w:lineRule="auto"/>
              <w:ind w:firstLine="0" w:firstLineChars="0"/>
              <w:jc w:val="center"/>
              <w:rPr>
                <w:rFonts w:ascii="仿宋" w:hAnsi="仿宋"/>
                <w:color w:val="auto"/>
                <w:kern w:val="0"/>
                <w:sz w:val="24"/>
              </w:rPr>
            </w:pPr>
            <w:r>
              <w:rPr>
                <w:rFonts w:ascii="仿宋" w:hAnsi="仿宋"/>
                <w:color w:val="auto"/>
                <w:kern w:val="0"/>
                <w:sz w:val="24"/>
              </w:rPr>
              <w:t>13892950980</w:t>
            </w:r>
          </w:p>
        </w:tc>
      </w:tr>
      <w:bookmarkEnd w:id="352"/>
    </w:tbl>
    <w:p>
      <w:pPr>
        <w:ind w:firstLine="560"/>
        <w:rPr>
          <w:color w:val="auto"/>
        </w:rPr>
        <w:sectPr>
          <w:footerReference r:id="rId20" w:type="default"/>
          <w:pgSz w:w="11906" w:h="16838"/>
          <w:pgMar w:top="1418" w:right="1418" w:bottom="1418" w:left="1418" w:header="851" w:footer="992" w:gutter="0"/>
          <w:pgNumType w:fmt="numberInDash"/>
          <w:cols w:space="720" w:num="1"/>
          <w:docGrid w:linePitch="312" w:charSpace="0"/>
        </w:sectPr>
      </w:pPr>
    </w:p>
    <w:p>
      <w:pPr>
        <w:ind w:firstLine="0" w:firstLineChars="0"/>
        <w:outlineLvl w:val="1"/>
        <w:rPr>
          <w:b/>
          <w:bCs/>
          <w:color w:val="auto"/>
        </w:rPr>
      </w:pPr>
      <w:bookmarkStart w:id="353" w:name="_Toc11953"/>
      <w:r>
        <w:rPr>
          <w:rFonts w:hint="eastAsia"/>
          <w:b/>
          <w:bCs/>
          <w:color w:val="auto"/>
        </w:rPr>
        <w:t>附件9：事故应急处置卡</w:t>
      </w:r>
      <w:bookmarkEnd w:id="353"/>
    </w:p>
    <w:p>
      <w:pPr>
        <w:ind w:firstLine="0" w:firstLineChars="0"/>
        <w:rPr>
          <w:b/>
          <w:bCs/>
          <w:color w:val="auto"/>
        </w:rPr>
      </w:pPr>
      <w:r>
        <w:rPr>
          <w:b/>
          <w:bCs/>
          <w:color w:val="auto"/>
        </w:rPr>
        <w:t>1</w:t>
      </w:r>
      <w:r>
        <w:rPr>
          <w:rFonts w:hint="eastAsia"/>
          <w:b/>
          <w:bCs/>
          <w:color w:val="auto"/>
        </w:rPr>
        <w:t>、泄漏应急处置卡</w:t>
      </w:r>
    </w:p>
    <w:tbl>
      <w:tblPr>
        <w:tblStyle w:val="40"/>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352"/>
        <w:gridCol w:w="6329"/>
        <w:gridCol w:w="160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shd w:val="clear" w:color="auto" w:fill="D9D9D9"/>
            <w:vAlign w:val="center"/>
          </w:tcPr>
          <w:p>
            <w:pPr>
              <w:adjustRightInd/>
              <w:snapToGrid/>
              <w:spacing w:line="240" w:lineRule="auto"/>
              <w:ind w:firstLine="0" w:firstLineChars="0"/>
              <w:jc w:val="center"/>
              <w:rPr>
                <w:rFonts w:ascii="Calibri" w:hAnsi="Calibri"/>
                <w:b/>
                <w:color w:val="auto"/>
                <w:sz w:val="24"/>
              </w:rPr>
            </w:pPr>
            <w:r>
              <w:rPr>
                <w:rFonts w:ascii="Calibri" w:hAnsi="Calibri"/>
                <w:b/>
                <w:color w:val="auto"/>
                <w:sz w:val="24"/>
              </w:rPr>
              <w:t>类别</w:t>
            </w:r>
          </w:p>
        </w:tc>
        <w:tc>
          <w:tcPr>
            <w:tcW w:w="4272" w:type="pct"/>
            <w:gridSpan w:val="2"/>
            <w:shd w:val="clear" w:color="auto" w:fill="D9D9D9"/>
            <w:vAlign w:val="center"/>
          </w:tcPr>
          <w:p>
            <w:pPr>
              <w:adjustRightInd/>
              <w:snapToGrid/>
              <w:spacing w:line="240" w:lineRule="auto"/>
              <w:ind w:firstLine="0" w:firstLineChars="0"/>
              <w:jc w:val="center"/>
              <w:rPr>
                <w:rFonts w:ascii="Calibri" w:hAnsi="Calibri"/>
                <w:b/>
                <w:color w:val="auto"/>
                <w:sz w:val="24"/>
              </w:rPr>
            </w:pPr>
            <w:r>
              <w:rPr>
                <w:rFonts w:ascii="Calibri" w:hAnsi="Calibri"/>
                <w:b/>
                <w:color w:val="auto"/>
                <w:sz w:val="24"/>
              </w:rPr>
              <w:t>内容</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风险描述</w:t>
            </w:r>
          </w:p>
        </w:tc>
        <w:tc>
          <w:tcPr>
            <w:tcW w:w="4272" w:type="pct"/>
            <w:gridSpan w:val="2"/>
            <w:vAlign w:val="center"/>
          </w:tcPr>
          <w:p>
            <w:pPr>
              <w:adjustRightInd/>
              <w:snapToGrid/>
              <w:spacing w:line="240" w:lineRule="auto"/>
              <w:ind w:firstLine="0" w:firstLineChars="0"/>
              <w:jc w:val="left"/>
              <w:rPr>
                <w:rFonts w:ascii="Calibri" w:hAnsi="Calibri"/>
                <w:color w:val="auto"/>
                <w:sz w:val="24"/>
              </w:rPr>
            </w:pPr>
            <w:r>
              <w:rPr>
                <w:rFonts w:hint="eastAsia" w:ascii="Calibri" w:hAnsi="Calibri"/>
                <w:color w:val="auto"/>
                <w:sz w:val="24"/>
              </w:rPr>
              <w:t>柴油储罐区、</w:t>
            </w:r>
            <w:r>
              <w:rPr>
                <w:rFonts w:ascii="Calibri" w:hAnsi="Calibri"/>
                <w:color w:val="auto"/>
                <w:sz w:val="24"/>
              </w:rPr>
              <w:t>盐酸储罐</w:t>
            </w:r>
            <w:r>
              <w:rPr>
                <w:rFonts w:hint="eastAsia" w:ascii="Calibri" w:hAnsi="Calibri"/>
                <w:color w:val="auto"/>
                <w:sz w:val="24"/>
              </w:rPr>
              <w:t>区</w:t>
            </w:r>
            <w:r>
              <w:rPr>
                <w:rFonts w:ascii="Calibri" w:hAnsi="Calibri"/>
                <w:color w:val="auto"/>
                <w:sz w:val="24"/>
              </w:rPr>
              <w:t>、浓硫酸</w:t>
            </w:r>
            <w:r>
              <w:rPr>
                <w:rFonts w:hint="eastAsia" w:ascii="Calibri" w:hAnsi="Calibri"/>
                <w:color w:val="auto"/>
                <w:sz w:val="24"/>
              </w:rPr>
              <w:t>储罐区</w:t>
            </w:r>
            <w:r>
              <w:rPr>
                <w:rFonts w:ascii="Calibri" w:hAnsi="Calibri"/>
                <w:color w:val="auto"/>
                <w:sz w:val="24"/>
              </w:rPr>
              <w:t>、氢氧化钠储罐区、氢气储罐区和危废暂存间涉及的风险物质发生泄漏，造成的环境污染。</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应急程序</w:t>
            </w:r>
          </w:p>
        </w:tc>
        <w:tc>
          <w:tcPr>
            <w:tcW w:w="340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应急处置操作</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责任岗位</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报告程序</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现场人员发现泄漏事故，马上报告当班班长，并立即采取堵漏、吸附等措施；事件有扩大趋势，造成环境污染的，向</w:t>
            </w:r>
            <w:r>
              <w:rPr>
                <w:rFonts w:hint="eastAsia" w:hAnsi="仿宋"/>
                <w:color w:val="auto"/>
                <w:sz w:val="24"/>
                <w:szCs w:val="20"/>
              </w:rPr>
              <w:t>西咸新区秦汉新城生态环境局、西咸新区秦汉新城应急管理局</w:t>
            </w:r>
            <w:r>
              <w:rPr>
                <w:rFonts w:ascii="Calibri" w:hAnsi="Calibri"/>
                <w:color w:val="auto"/>
                <w:sz w:val="24"/>
              </w:rPr>
              <w:t>报告事件情况</w:t>
            </w:r>
          </w:p>
        </w:tc>
        <w:tc>
          <w:tcPr>
            <w:tcW w:w="864" w:type="pct"/>
            <w:vMerge w:val="restar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应急</w:t>
            </w:r>
            <w:r>
              <w:rPr>
                <w:rFonts w:hint="eastAsia" w:ascii="Calibri" w:hAnsi="Calibri"/>
                <w:color w:val="auto"/>
                <w:sz w:val="24"/>
              </w:rPr>
              <w:t>指挥部副总指挥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上报内容</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时间、地点、事件类型、影响范围；</w:t>
            </w:r>
          </w:p>
          <w:p>
            <w:pPr>
              <w:adjustRightInd/>
              <w:snapToGrid/>
              <w:spacing w:line="240" w:lineRule="auto"/>
              <w:ind w:firstLine="0" w:firstLineChars="0"/>
              <w:jc w:val="left"/>
              <w:rPr>
                <w:rFonts w:ascii="Calibri" w:hAnsi="Calibri"/>
                <w:color w:val="auto"/>
                <w:sz w:val="24"/>
              </w:rPr>
            </w:pPr>
            <w:r>
              <w:rPr>
                <w:rFonts w:ascii="Calibri" w:hAnsi="Calibri"/>
                <w:color w:val="auto"/>
                <w:sz w:val="24"/>
              </w:rPr>
              <w:t>人员遇险情况；</w:t>
            </w:r>
          </w:p>
          <w:p>
            <w:pPr>
              <w:adjustRightInd/>
              <w:snapToGrid/>
              <w:spacing w:line="240" w:lineRule="auto"/>
              <w:ind w:firstLine="0" w:firstLineChars="0"/>
              <w:jc w:val="left"/>
              <w:rPr>
                <w:rFonts w:ascii="Calibri" w:hAnsi="Calibri"/>
                <w:color w:val="auto"/>
                <w:sz w:val="24"/>
              </w:rPr>
            </w:pPr>
            <w:r>
              <w:rPr>
                <w:rFonts w:ascii="Calibri" w:hAnsi="Calibri"/>
                <w:color w:val="auto"/>
                <w:sz w:val="24"/>
              </w:rPr>
              <w:t>事件原因的初步判断；</w:t>
            </w:r>
          </w:p>
          <w:p>
            <w:pPr>
              <w:adjustRightInd/>
              <w:snapToGrid/>
              <w:spacing w:line="240" w:lineRule="auto"/>
              <w:ind w:firstLine="0" w:firstLineChars="0"/>
              <w:jc w:val="left"/>
              <w:rPr>
                <w:rFonts w:ascii="Calibri" w:hAnsi="Calibri"/>
                <w:color w:val="auto"/>
                <w:sz w:val="24"/>
              </w:rPr>
            </w:pPr>
            <w:r>
              <w:rPr>
                <w:rFonts w:ascii="Calibri" w:hAnsi="Calibri"/>
                <w:color w:val="auto"/>
                <w:sz w:val="24"/>
              </w:rPr>
              <w:t>已采取的应急抢救方案、措施和进展情况。</w:t>
            </w:r>
          </w:p>
        </w:tc>
        <w:tc>
          <w:tcPr>
            <w:tcW w:w="864" w:type="pct"/>
            <w:vMerge w:val="continue"/>
            <w:vAlign w:val="center"/>
          </w:tcPr>
          <w:p>
            <w:pPr>
              <w:adjustRightInd/>
              <w:snapToGrid/>
              <w:spacing w:line="240" w:lineRule="auto"/>
              <w:ind w:firstLine="0" w:firstLineChars="0"/>
              <w:jc w:val="center"/>
              <w:rPr>
                <w:rFonts w:ascii="Calibri" w:hAnsi="Calibri"/>
                <w:color w:val="auto"/>
                <w:sz w:val="24"/>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预案启动</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应急总指挥根据影响范围启动相应级别的应急预案。</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总指挥</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控源截污</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现场人员立即采取堵漏、吸附等措施将泄漏物收集至专用容器。</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现场处置组</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监测</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有必要时委托第三方检测机构开展现场污染物浓度监测，记录监测数据</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szCs w:val="28"/>
              </w:rPr>
              <w:t>应急监测组</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后勤保障</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应急保障组及时供应应急物资；</w:t>
            </w:r>
          </w:p>
          <w:p>
            <w:pPr>
              <w:adjustRightInd/>
              <w:snapToGrid/>
              <w:spacing w:line="240" w:lineRule="auto"/>
              <w:ind w:firstLine="0" w:firstLineChars="0"/>
              <w:jc w:val="left"/>
              <w:rPr>
                <w:rFonts w:ascii="Calibri" w:hAnsi="Calibri"/>
                <w:color w:val="auto"/>
                <w:sz w:val="24"/>
              </w:rPr>
            </w:pPr>
            <w:r>
              <w:rPr>
                <w:rFonts w:ascii="Calibri" w:hAnsi="Calibri"/>
                <w:color w:val="auto"/>
                <w:sz w:val="24"/>
              </w:rPr>
              <w:t>对伤员的救护、包扎、诊治和人工呼吸等现场急救。</w:t>
            </w:r>
          </w:p>
        </w:tc>
        <w:tc>
          <w:tcPr>
            <w:tcW w:w="864" w:type="pct"/>
            <w:vAlign w:val="center"/>
          </w:tcPr>
          <w:p>
            <w:pPr>
              <w:adjustRightInd/>
              <w:snapToGrid/>
              <w:spacing w:line="240" w:lineRule="auto"/>
              <w:ind w:firstLine="0" w:firstLineChars="0"/>
              <w:jc w:val="center"/>
              <w:rPr>
                <w:rFonts w:ascii="Calibri" w:hAnsi="Calibri"/>
                <w:color w:val="auto"/>
                <w:sz w:val="24"/>
                <w:szCs w:val="28"/>
              </w:rPr>
            </w:pPr>
            <w:r>
              <w:rPr>
                <w:rFonts w:hint="eastAsia" w:ascii="Calibri" w:hAnsi="Calibri"/>
                <w:color w:val="auto"/>
                <w:sz w:val="24"/>
                <w:szCs w:val="28"/>
              </w:rPr>
              <w:t>后勤</w:t>
            </w:r>
            <w:r>
              <w:rPr>
                <w:rFonts w:ascii="Calibri" w:hAnsi="Calibri"/>
                <w:color w:val="auto"/>
                <w:sz w:val="24"/>
                <w:szCs w:val="28"/>
              </w:rPr>
              <w:t>保障组</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恢复处置</w:t>
            </w:r>
          </w:p>
        </w:tc>
        <w:tc>
          <w:tcPr>
            <w:tcW w:w="3408" w:type="pct"/>
            <w:vAlign w:val="center"/>
          </w:tcPr>
          <w:p>
            <w:pPr>
              <w:adjustRightInd/>
              <w:snapToGrid/>
              <w:spacing w:line="240" w:lineRule="auto"/>
              <w:ind w:firstLine="0" w:firstLineChars="0"/>
              <w:jc w:val="left"/>
              <w:rPr>
                <w:rFonts w:ascii="Calibri" w:hAnsi="Calibri"/>
                <w:color w:val="auto"/>
                <w:sz w:val="24"/>
              </w:rPr>
            </w:pPr>
            <w:r>
              <w:rPr>
                <w:rFonts w:ascii="Calibri" w:hAnsi="Calibri"/>
                <w:color w:val="auto"/>
                <w:sz w:val="24"/>
              </w:rPr>
              <w:t>消除事故后果和影响，安抚受害和受影响人员，保证社会稳定，尽快恢复正常秩序。</w:t>
            </w:r>
          </w:p>
        </w:tc>
        <w:tc>
          <w:tcPr>
            <w:tcW w:w="864" w:type="pct"/>
            <w:vAlign w:val="center"/>
          </w:tcPr>
          <w:p>
            <w:pPr>
              <w:adjustRightInd/>
              <w:snapToGrid/>
              <w:spacing w:line="240" w:lineRule="auto"/>
              <w:ind w:firstLine="0" w:firstLineChars="0"/>
              <w:jc w:val="center"/>
              <w:rPr>
                <w:rFonts w:ascii="Calibri" w:hAnsi="Calibri"/>
                <w:color w:val="auto"/>
                <w:sz w:val="24"/>
                <w:szCs w:val="28"/>
              </w:rPr>
            </w:pPr>
            <w:r>
              <w:rPr>
                <w:rFonts w:ascii="Calibri" w:hAnsi="Calibri"/>
                <w:color w:val="auto"/>
                <w:sz w:val="24"/>
                <w:szCs w:val="28"/>
              </w:rPr>
              <w:t>副总指挥</w:t>
            </w:r>
          </w:p>
        </w:tc>
      </w:tr>
    </w:tbl>
    <w:p>
      <w:pPr>
        <w:pStyle w:val="39"/>
        <w:ind w:left="0" w:leftChars="0" w:firstLine="0" w:firstLineChars="0"/>
        <w:rPr>
          <w:color w:val="auto"/>
        </w:rPr>
      </w:pPr>
    </w:p>
    <w:p>
      <w:pPr>
        <w:pStyle w:val="61"/>
        <w:ind w:firstLine="0" w:firstLineChars="0"/>
        <w:rPr>
          <w:b/>
          <w:bCs/>
          <w:color w:val="auto"/>
        </w:rPr>
      </w:pPr>
    </w:p>
    <w:p>
      <w:pPr>
        <w:pStyle w:val="61"/>
        <w:ind w:firstLine="0" w:firstLineChars="0"/>
        <w:rPr>
          <w:b/>
          <w:bCs/>
          <w:color w:val="auto"/>
        </w:rPr>
      </w:pPr>
    </w:p>
    <w:p>
      <w:pPr>
        <w:pStyle w:val="61"/>
        <w:ind w:firstLine="0" w:firstLineChars="0"/>
        <w:rPr>
          <w:b/>
          <w:bCs/>
          <w:color w:val="auto"/>
        </w:rPr>
      </w:pPr>
    </w:p>
    <w:p>
      <w:pPr>
        <w:pStyle w:val="12"/>
        <w:ind w:firstLine="482"/>
        <w:rPr>
          <w:b/>
          <w:bCs/>
          <w:color w:val="auto"/>
        </w:rPr>
      </w:pPr>
    </w:p>
    <w:p>
      <w:pPr>
        <w:ind w:firstLine="560"/>
        <w:rPr>
          <w:color w:val="auto"/>
        </w:rPr>
      </w:pPr>
    </w:p>
    <w:p>
      <w:pPr>
        <w:pStyle w:val="61"/>
        <w:ind w:firstLine="0" w:firstLineChars="0"/>
        <w:rPr>
          <w:b/>
          <w:bCs/>
          <w:color w:val="auto"/>
        </w:rPr>
      </w:pPr>
    </w:p>
    <w:p>
      <w:pPr>
        <w:pStyle w:val="61"/>
        <w:ind w:firstLine="0" w:firstLineChars="0"/>
        <w:rPr>
          <w:b/>
          <w:bCs/>
          <w:color w:val="auto"/>
        </w:rPr>
      </w:pPr>
      <w:r>
        <w:rPr>
          <w:b/>
          <w:bCs/>
          <w:color w:val="auto"/>
        </w:rPr>
        <w:t>2</w:t>
      </w:r>
      <w:r>
        <w:rPr>
          <w:rFonts w:hint="eastAsia"/>
          <w:b/>
          <w:bCs/>
          <w:color w:val="auto"/>
        </w:rPr>
        <w:t>、火灾爆炸事件应急处置卡</w:t>
      </w:r>
    </w:p>
    <w:tbl>
      <w:tblPr>
        <w:tblStyle w:val="40"/>
        <w:tblW w:w="5000"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108" w:type="dxa"/>
          <w:bottom w:w="0" w:type="dxa"/>
          <w:right w:w="108" w:type="dxa"/>
        </w:tblCellMar>
      </w:tblPr>
      <w:tblGrid>
        <w:gridCol w:w="1352"/>
        <w:gridCol w:w="6329"/>
        <w:gridCol w:w="160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shd w:val="clear" w:color="auto" w:fill="D9D9D9"/>
            <w:vAlign w:val="center"/>
          </w:tcPr>
          <w:p>
            <w:pPr>
              <w:adjustRightInd/>
              <w:snapToGrid/>
              <w:spacing w:line="240" w:lineRule="auto"/>
              <w:ind w:firstLine="0" w:firstLineChars="0"/>
              <w:jc w:val="center"/>
              <w:rPr>
                <w:rFonts w:ascii="Calibri" w:hAnsi="Calibri"/>
                <w:b/>
                <w:color w:val="auto"/>
                <w:sz w:val="24"/>
              </w:rPr>
            </w:pPr>
            <w:r>
              <w:rPr>
                <w:rFonts w:ascii="Calibri" w:hAnsi="Calibri"/>
                <w:b/>
                <w:color w:val="auto"/>
                <w:sz w:val="24"/>
              </w:rPr>
              <w:t>类别</w:t>
            </w:r>
          </w:p>
        </w:tc>
        <w:tc>
          <w:tcPr>
            <w:tcW w:w="4272" w:type="pct"/>
            <w:gridSpan w:val="2"/>
            <w:shd w:val="clear" w:color="auto" w:fill="D9D9D9"/>
            <w:vAlign w:val="center"/>
          </w:tcPr>
          <w:p>
            <w:pPr>
              <w:adjustRightInd/>
              <w:snapToGrid/>
              <w:spacing w:line="240" w:lineRule="auto"/>
              <w:ind w:firstLine="0" w:firstLineChars="0"/>
              <w:jc w:val="center"/>
              <w:rPr>
                <w:rFonts w:ascii="Calibri" w:hAnsi="Calibri"/>
                <w:b/>
                <w:color w:val="auto"/>
                <w:sz w:val="24"/>
              </w:rPr>
            </w:pPr>
            <w:r>
              <w:rPr>
                <w:rFonts w:ascii="Calibri" w:hAnsi="Calibri"/>
                <w:b/>
                <w:color w:val="auto"/>
                <w:sz w:val="24"/>
              </w:rPr>
              <w:t>内容</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风险描述</w:t>
            </w:r>
          </w:p>
        </w:tc>
        <w:tc>
          <w:tcPr>
            <w:tcW w:w="4272" w:type="pct"/>
            <w:gridSpan w:val="2"/>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可燃性风险物质由于管理不当导致火灾爆炸，可能造成次生灾害；</w:t>
            </w:r>
          </w:p>
          <w:p>
            <w:pPr>
              <w:adjustRightInd/>
              <w:snapToGrid/>
              <w:spacing w:line="240" w:lineRule="auto"/>
              <w:ind w:firstLine="0" w:firstLineChars="0"/>
              <w:rPr>
                <w:rFonts w:ascii="Calibri" w:hAnsi="Calibri"/>
                <w:color w:val="auto"/>
                <w:sz w:val="24"/>
              </w:rPr>
            </w:pPr>
            <w:r>
              <w:rPr>
                <w:rFonts w:ascii="Calibri" w:hAnsi="Calibri"/>
                <w:color w:val="auto"/>
                <w:sz w:val="24"/>
              </w:rPr>
              <w:t>设备设施损坏；</w:t>
            </w:r>
          </w:p>
          <w:p>
            <w:pPr>
              <w:adjustRightInd/>
              <w:snapToGrid/>
              <w:spacing w:line="240" w:lineRule="auto"/>
              <w:ind w:firstLine="0" w:firstLineChars="0"/>
              <w:rPr>
                <w:rFonts w:ascii="Calibri" w:hAnsi="Calibri"/>
                <w:color w:val="auto"/>
                <w:sz w:val="24"/>
              </w:rPr>
            </w:pPr>
            <w:r>
              <w:rPr>
                <w:rFonts w:ascii="Calibri" w:hAnsi="Calibri"/>
                <w:color w:val="auto"/>
                <w:sz w:val="24"/>
              </w:rPr>
              <w:t>可能造成人身伤害。</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应急程序</w:t>
            </w:r>
          </w:p>
        </w:tc>
        <w:tc>
          <w:tcPr>
            <w:tcW w:w="340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应急处置操作</w:t>
            </w:r>
          </w:p>
        </w:tc>
        <w:tc>
          <w:tcPr>
            <w:tcW w:w="864"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责任岗位</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报告程序</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厂区发生环境事件时，事故部门立即上报应急</w:t>
            </w:r>
            <w:r>
              <w:rPr>
                <w:rFonts w:hint="eastAsia" w:ascii="Calibri" w:hAnsi="Calibri"/>
                <w:color w:val="auto"/>
                <w:sz w:val="24"/>
              </w:rPr>
              <w:t>指挥部</w:t>
            </w:r>
            <w:r>
              <w:rPr>
                <w:rFonts w:ascii="Calibri" w:hAnsi="Calibri"/>
                <w:color w:val="auto"/>
                <w:sz w:val="24"/>
              </w:rPr>
              <w:t>，应急指挥部启动应急救援程序，需请求支援时，向</w:t>
            </w:r>
            <w:r>
              <w:rPr>
                <w:rFonts w:hint="eastAsia" w:hAnsi="仿宋"/>
                <w:color w:val="auto"/>
                <w:sz w:val="24"/>
                <w:szCs w:val="20"/>
              </w:rPr>
              <w:t>西咸新区秦汉新城生态环境局、西咸新区秦汉新城应急管理局</w:t>
            </w:r>
            <w:r>
              <w:rPr>
                <w:rFonts w:ascii="Calibri" w:hAnsi="Calibri"/>
                <w:color w:val="auto"/>
                <w:sz w:val="24"/>
              </w:rPr>
              <w:t>报告事件情况</w:t>
            </w:r>
          </w:p>
        </w:tc>
        <w:tc>
          <w:tcPr>
            <w:tcW w:w="864" w:type="pct"/>
            <w:vMerge w:val="restar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应急</w:t>
            </w:r>
            <w:r>
              <w:rPr>
                <w:rFonts w:hint="eastAsia" w:ascii="Calibri" w:hAnsi="Calibri"/>
                <w:color w:val="auto"/>
                <w:sz w:val="24"/>
              </w:rPr>
              <w:t>指挥部副总指挥</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上报内容</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时间、地点、事件类型、影响范围；</w:t>
            </w:r>
          </w:p>
          <w:p>
            <w:pPr>
              <w:adjustRightInd/>
              <w:snapToGrid/>
              <w:spacing w:line="240" w:lineRule="auto"/>
              <w:ind w:firstLine="0" w:firstLineChars="0"/>
              <w:rPr>
                <w:rFonts w:ascii="Calibri" w:hAnsi="Calibri"/>
                <w:color w:val="auto"/>
                <w:sz w:val="24"/>
              </w:rPr>
            </w:pPr>
            <w:r>
              <w:rPr>
                <w:rFonts w:ascii="Calibri" w:hAnsi="Calibri"/>
                <w:color w:val="auto"/>
                <w:sz w:val="24"/>
              </w:rPr>
              <w:t>人员遇险情况；</w:t>
            </w:r>
          </w:p>
          <w:p>
            <w:pPr>
              <w:adjustRightInd/>
              <w:snapToGrid/>
              <w:spacing w:line="240" w:lineRule="auto"/>
              <w:ind w:firstLine="0" w:firstLineChars="0"/>
              <w:rPr>
                <w:rFonts w:ascii="Calibri" w:hAnsi="Calibri"/>
                <w:color w:val="auto"/>
                <w:sz w:val="24"/>
              </w:rPr>
            </w:pPr>
            <w:r>
              <w:rPr>
                <w:rFonts w:ascii="Calibri" w:hAnsi="Calibri"/>
                <w:color w:val="auto"/>
                <w:sz w:val="24"/>
              </w:rPr>
              <w:t>事件原因的初步判断；</w:t>
            </w:r>
          </w:p>
          <w:p>
            <w:pPr>
              <w:adjustRightInd/>
              <w:snapToGrid/>
              <w:spacing w:line="240" w:lineRule="auto"/>
              <w:ind w:firstLine="0" w:firstLineChars="0"/>
              <w:rPr>
                <w:rFonts w:ascii="Calibri" w:hAnsi="Calibri"/>
                <w:color w:val="auto"/>
                <w:sz w:val="24"/>
              </w:rPr>
            </w:pPr>
            <w:r>
              <w:rPr>
                <w:rFonts w:ascii="Calibri" w:hAnsi="Calibri"/>
                <w:color w:val="auto"/>
                <w:sz w:val="24"/>
              </w:rPr>
              <w:t>已采取的应急抢救方案、措施和进展情况。</w:t>
            </w:r>
          </w:p>
        </w:tc>
        <w:tc>
          <w:tcPr>
            <w:tcW w:w="864" w:type="pct"/>
            <w:vMerge w:val="continue"/>
            <w:vAlign w:val="center"/>
          </w:tcPr>
          <w:p>
            <w:pPr>
              <w:adjustRightInd/>
              <w:snapToGrid/>
              <w:spacing w:line="240" w:lineRule="auto"/>
              <w:ind w:firstLine="0" w:firstLineChars="0"/>
              <w:jc w:val="center"/>
              <w:rPr>
                <w:rFonts w:ascii="Calibri" w:hAnsi="Calibri"/>
                <w:color w:val="auto"/>
                <w:sz w:val="24"/>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预案启动</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应急总指挥根据火灾事故影响范围启动相应级别的应急预案，如超出公司应急处置能力，及时向</w:t>
            </w:r>
            <w:r>
              <w:rPr>
                <w:rFonts w:hint="eastAsia" w:hAnsi="仿宋"/>
                <w:color w:val="auto"/>
                <w:sz w:val="24"/>
                <w:szCs w:val="20"/>
              </w:rPr>
              <w:t>西咸新区秦汉新城生态环境局、西咸新区秦汉新城应急管理局</w:t>
            </w:r>
            <w:r>
              <w:rPr>
                <w:rFonts w:ascii="Calibri" w:hAnsi="Calibri"/>
                <w:color w:val="auto"/>
                <w:sz w:val="24"/>
              </w:rPr>
              <w:t>请求支援。</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总指挥</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控源截污</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现场人员立即展开扑灭，防治火灾蔓延。</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现场处置组</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监测</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及时委托第三方检测机构开展现场污染物浓度监测，记录监测数据</w:t>
            </w:r>
          </w:p>
        </w:tc>
        <w:tc>
          <w:tcPr>
            <w:tcW w:w="864"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szCs w:val="28"/>
              </w:rPr>
              <w:t>应急监测组</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后勤保障</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 xml:space="preserve">应急保障组及时供应应急物资； </w:t>
            </w:r>
          </w:p>
          <w:p>
            <w:pPr>
              <w:adjustRightInd/>
              <w:snapToGrid/>
              <w:spacing w:line="240" w:lineRule="auto"/>
              <w:ind w:firstLine="0" w:firstLineChars="0"/>
              <w:rPr>
                <w:rFonts w:ascii="Calibri" w:hAnsi="Calibri"/>
                <w:color w:val="auto"/>
                <w:sz w:val="24"/>
              </w:rPr>
            </w:pPr>
            <w:r>
              <w:rPr>
                <w:rFonts w:ascii="Calibri" w:hAnsi="Calibri"/>
                <w:color w:val="auto"/>
                <w:sz w:val="24"/>
              </w:rPr>
              <w:t>对伤员的救护、包扎、诊治和人工呼吸等现场急救。</w:t>
            </w:r>
          </w:p>
        </w:tc>
        <w:tc>
          <w:tcPr>
            <w:tcW w:w="864" w:type="pct"/>
            <w:vAlign w:val="center"/>
          </w:tcPr>
          <w:p>
            <w:pPr>
              <w:adjustRightInd/>
              <w:snapToGrid/>
              <w:spacing w:line="240" w:lineRule="auto"/>
              <w:ind w:firstLine="0" w:firstLineChars="0"/>
              <w:jc w:val="center"/>
              <w:rPr>
                <w:rFonts w:ascii="Calibri" w:hAnsi="Calibri"/>
                <w:color w:val="auto"/>
                <w:sz w:val="24"/>
                <w:szCs w:val="28"/>
              </w:rPr>
            </w:pPr>
            <w:r>
              <w:rPr>
                <w:rFonts w:hint="eastAsia" w:ascii="Calibri" w:hAnsi="Calibri"/>
                <w:color w:val="auto"/>
                <w:sz w:val="24"/>
                <w:szCs w:val="28"/>
              </w:rPr>
              <w:t>后勤</w:t>
            </w:r>
            <w:r>
              <w:rPr>
                <w:rFonts w:ascii="Calibri" w:hAnsi="Calibri"/>
                <w:color w:val="auto"/>
                <w:sz w:val="24"/>
                <w:szCs w:val="28"/>
              </w:rPr>
              <w:t>保障组</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850" w:hRule="atLeast"/>
          <w:jc w:val="center"/>
        </w:trPr>
        <w:tc>
          <w:tcPr>
            <w:tcW w:w="728" w:type="pct"/>
            <w:vAlign w:val="center"/>
          </w:tcPr>
          <w:p>
            <w:pPr>
              <w:adjustRightInd/>
              <w:snapToGrid/>
              <w:spacing w:line="240" w:lineRule="auto"/>
              <w:ind w:firstLine="0" w:firstLineChars="0"/>
              <w:jc w:val="center"/>
              <w:rPr>
                <w:rFonts w:ascii="Calibri" w:hAnsi="Calibri"/>
                <w:color w:val="auto"/>
                <w:sz w:val="24"/>
              </w:rPr>
            </w:pPr>
            <w:r>
              <w:rPr>
                <w:rFonts w:ascii="Calibri" w:hAnsi="Calibri"/>
                <w:color w:val="auto"/>
                <w:sz w:val="24"/>
              </w:rPr>
              <w:t>恢复处置</w:t>
            </w:r>
          </w:p>
        </w:tc>
        <w:tc>
          <w:tcPr>
            <w:tcW w:w="3408" w:type="pct"/>
            <w:vAlign w:val="center"/>
          </w:tcPr>
          <w:p>
            <w:pPr>
              <w:adjustRightInd/>
              <w:snapToGrid/>
              <w:spacing w:line="240" w:lineRule="auto"/>
              <w:ind w:firstLine="0" w:firstLineChars="0"/>
              <w:rPr>
                <w:rFonts w:ascii="Calibri" w:hAnsi="Calibri"/>
                <w:color w:val="auto"/>
                <w:sz w:val="24"/>
              </w:rPr>
            </w:pPr>
            <w:r>
              <w:rPr>
                <w:rFonts w:ascii="Calibri" w:hAnsi="Calibri"/>
                <w:color w:val="auto"/>
                <w:sz w:val="24"/>
              </w:rPr>
              <w:t>消除事故后果和影响，安抚受害和受影响人员，保证社会稳定，尽快恢复正常秩序。</w:t>
            </w:r>
          </w:p>
        </w:tc>
        <w:tc>
          <w:tcPr>
            <w:tcW w:w="864" w:type="pct"/>
            <w:vAlign w:val="center"/>
          </w:tcPr>
          <w:p>
            <w:pPr>
              <w:adjustRightInd/>
              <w:snapToGrid/>
              <w:spacing w:line="240" w:lineRule="auto"/>
              <w:ind w:firstLine="0" w:firstLineChars="0"/>
              <w:jc w:val="center"/>
              <w:rPr>
                <w:rFonts w:ascii="Calibri" w:hAnsi="Calibri"/>
                <w:color w:val="auto"/>
                <w:sz w:val="24"/>
                <w:szCs w:val="28"/>
              </w:rPr>
            </w:pPr>
            <w:r>
              <w:rPr>
                <w:rFonts w:ascii="Calibri" w:hAnsi="Calibri"/>
                <w:color w:val="auto"/>
                <w:sz w:val="24"/>
                <w:szCs w:val="28"/>
              </w:rPr>
              <w:t>副总指挥</w:t>
            </w:r>
          </w:p>
        </w:tc>
      </w:tr>
    </w:tbl>
    <w:p>
      <w:pPr>
        <w:pStyle w:val="12"/>
        <w:ind w:firstLine="480"/>
        <w:rPr>
          <w:color w:val="auto"/>
        </w:rPr>
      </w:pPr>
    </w:p>
    <w:p>
      <w:pPr>
        <w:ind w:firstLine="560"/>
        <w:rPr>
          <w:color w:val="auto"/>
        </w:rPr>
      </w:pPr>
    </w:p>
    <w:p>
      <w:pPr>
        <w:pStyle w:val="39"/>
        <w:ind w:left="560"/>
        <w:rPr>
          <w:color w:val="auto"/>
        </w:rPr>
      </w:pPr>
    </w:p>
    <w:p>
      <w:pPr>
        <w:pStyle w:val="38"/>
        <w:ind w:firstLine="240"/>
        <w:rPr>
          <w:rFonts w:hint="default"/>
          <w:color w:val="auto"/>
          <w:lang w:eastAsia="zh-CN"/>
        </w:rPr>
      </w:pPr>
    </w:p>
    <w:p>
      <w:pPr>
        <w:pStyle w:val="61"/>
        <w:ind w:firstLine="562"/>
        <w:rPr>
          <w:b/>
          <w:bCs/>
          <w:color w:val="auto"/>
        </w:rPr>
        <w:sectPr>
          <w:footerReference r:id="rId21" w:type="default"/>
          <w:pgSz w:w="11906" w:h="16838"/>
          <w:pgMar w:top="1418" w:right="1418" w:bottom="1418" w:left="1418" w:header="851" w:footer="992" w:gutter="0"/>
          <w:pgNumType w:fmt="numberInDash"/>
          <w:cols w:space="720" w:num="1"/>
          <w:docGrid w:linePitch="312" w:charSpace="0"/>
        </w:sectPr>
      </w:pPr>
    </w:p>
    <w:p>
      <w:pPr>
        <w:pStyle w:val="61"/>
        <w:ind w:firstLine="0" w:firstLineChars="0"/>
        <w:outlineLvl w:val="1"/>
        <w:rPr>
          <w:b/>
          <w:bCs/>
          <w:color w:val="auto"/>
        </w:rPr>
      </w:pPr>
      <w:bookmarkStart w:id="354" w:name="_Toc26704"/>
      <w:r>
        <w:rPr>
          <w:rFonts w:hint="eastAsia"/>
          <w:b/>
          <w:bCs/>
          <w:color w:val="auto"/>
        </w:rPr>
        <w:t>附件1</w:t>
      </w:r>
      <w:r>
        <w:rPr>
          <w:b/>
          <w:bCs/>
          <w:color w:val="auto"/>
        </w:rPr>
        <w:t>0</w:t>
      </w:r>
      <w:r>
        <w:rPr>
          <w:rFonts w:hint="eastAsia"/>
          <w:b/>
          <w:bCs/>
          <w:color w:val="auto"/>
        </w:rPr>
        <w:t>：标准化格式文本</w:t>
      </w:r>
      <w:bookmarkEnd w:id="354"/>
    </w:p>
    <w:p>
      <w:pPr>
        <w:ind w:firstLine="0" w:firstLineChars="0"/>
        <w:jc w:val="center"/>
        <w:rPr>
          <w:b/>
          <w:bCs/>
          <w:color w:val="auto"/>
          <w:sz w:val="30"/>
          <w:szCs w:val="30"/>
        </w:rPr>
      </w:pPr>
      <w:r>
        <w:rPr>
          <w:rFonts w:hint="eastAsia"/>
          <w:b/>
          <w:bCs/>
          <w:color w:val="auto"/>
          <w:sz w:val="30"/>
          <w:szCs w:val="30"/>
        </w:rPr>
        <w:t>预警通知单</w:t>
      </w:r>
    </w:p>
    <w:p>
      <w:pPr>
        <w:ind w:firstLine="560"/>
        <w:rPr>
          <w:color w:val="auto"/>
          <w:szCs w:val="28"/>
        </w:rPr>
      </w:pPr>
      <w:r>
        <w:rPr>
          <w:rFonts w:hint="eastAsia"/>
          <w:color w:val="auto"/>
          <w:szCs w:val="28"/>
        </w:rPr>
        <w:t>预警通知【   】第    号</w:t>
      </w:r>
    </w:p>
    <w:tbl>
      <w:tblPr>
        <w:tblStyle w:val="4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19"/>
        <w:gridCol w:w="2322"/>
        <w:gridCol w:w="2322"/>
        <w:gridCol w:w="2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1249" w:type="pc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发送时间</w:t>
            </w:r>
          </w:p>
        </w:tc>
        <w:tc>
          <w:tcPr>
            <w:tcW w:w="1250" w:type="pct"/>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250" w:type="pct"/>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签 发 人</w:t>
            </w:r>
          </w:p>
        </w:tc>
        <w:tc>
          <w:tcPr>
            <w:tcW w:w="1251" w:type="pct"/>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1249" w:type="pc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主送单位</w:t>
            </w:r>
          </w:p>
        </w:tc>
        <w:tc>
          <w:tcPr>
            <w:tcW w:w="3751" w:type="pct"/>
            <w:gridSpan w:val="3"/>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1249" w:type="pc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预警级别</w:t>
            </w:r>
          </w:p>
        </w:tc>
        <w:tc>
          <w:tcPr>
            <w:tcW w:w="3751" w:type="pct"/>
            <w:gridSpan w:val="3"/>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28" w:hRule="atLeast"/>
        </w:trPr>
        <w:tc>
          <w:tcPr>
            <w:tcW w:w="1249" w:type="pc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预警概要</w:t>
            </w:r>
          </w:p>
        </w:tc>
        <w:tc>
          <w:tcPr>
            <w:tcW w:w="3751" w:type="pct"/>
            <w:gridSpan w:val="3"/>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39" w:hRule="atLeast"/>
        </w:trPr>
        <w:tc>
          <w:tcPr>
            <w:tcW w:w="1249" w:type="pc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预防措施及</w:t>
            </w:r>
          </w:p>
          <w:p>
            <w:pPr>
              <w:spacing w:line="240" w:lineRule="auto"/>
              <w:ind w:firstLine="0" w:firstLineChars="0"/>
              <w:jc w:val="center"/>
              <w:rPr>
                <w:color w:val="auto"/>
              </w:rPr>
            </w:pPr>
            <w:r>
              <w:rPr>
                <w:rFonts w:hint="eastAsia"/>
                <w:color w:val="auto"/>
              </w:rPr>
              <w:t>工作要求</w:t>
            </w:r>
          </w:p>
        </w:tc>
        <w:tc>
          <w:tcPr>
            <w:tcW w:w="3751" w:type="pct"/>
            <w:gridSpan w:val="3"/>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bl>
    <w:p>
      <w:pPr>
        <w:ind w:firstLine="560"/>
        <w:jc w:val="center"/>
        <w:rPr>
          <w:color w:val="auto"/>
          <w:szCs w:val="28"/>
        </w:rPr>
        <w:sectPr>
          <w:pgSz w:w="11906" w:h="16838"/>
          <w:pgMar w:top="1418" w:right="1418" w:bottom="1418" w:left="1418" w:header="851" w:footer="992" w:gutter="0"/>
          <w:pgNumType w:fmt="numberInDash"/>
          <w:cols w:space="720" w:num="1"/>
          <w:docGrid w:linePitch="312" w:charSpace="0"/>
        </w:sectPr>
      </w:pPr>
    </w:p>
    <w:p>
      <w:pPr>
        <w:ind w:firstLine="0" w:firstLineChars="0"/>
        <w:jc w:val="center"/>
        <w:rPr>
          <w:b/>
          <w:bCs/>
          <w:color w:val="auto"/>
          <w:szCs w:val="28"/>
        </w:rPr>
      </w:pPr>
      <w:r>
        <w:rPr>
          <w:rFonts w:hint="eastAsia"/>
          <w:b/>
          <w:bCs/>
          <w:color w:val="auto"/>
          <w:szCs w:val="28"/>
        </w:rPr>
        <w:t>突发环境污染事件应急登记单</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426"/>
        <w:gridCol w:w="1692"/>
        <w:gridCol w:w="1402"/>
        <w:gridCol w:w="1549"/>
        <w:gridCol w:w="15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0"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接警人姓名</w:t>
            </w:r>
          </w:p>
        </w:tc>
        <w:tc>
          <w:tcPr>
            <w:tcW w:w="1426"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69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接警日期</w:t>
            </w:r>
          </w:p>
        </w:tc>
        <w:tc>
          <w:tcPr>
            <w:tcW w:w="140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549"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接警时间</w:t>
            </w:r>
          </w:p>
        </w:tc>
        <w:tc>
          <w:tcPr>
            <w:tcW w:w="1549"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50"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报警人姓名</w:t>
            </w:r>
          </w:p>
        </w:tc>
        <w:tc>
          <w:tcPr>
            <w:tcW w:w="1426"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69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报警人单位</w:t>
            </w:r>
          </w:p>
        </w:tc>
        <w:tc>
          <w:tcPr>
            <w:tcW w:w="140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549"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报警单位</w:t>
            </w:r>
          </w:p>
          <w:p>
            <w:pPr>
              <w:spacing w:line="240" w:lineRule="auto"/>
              <w:ind w:firstLine="0" w:firstLineChars="0"/>
              <w:jc w:val="center"/>
              <w:rPr>
                <w:color w:val="auto"/>
              </w:rPr>
            </w:pPr>
            <w:r>
              <w:rPr>
                <w:rFonts w:hint="eastAsia"/>
                <w:color w:val="auto"/>
              </w:rPr>
              <w:t>联系电话</w:t>
            </w:r>
          </w:p>
        </w:tc>
        <w:tc>
          <w:tcPr>
            <w:tcW w:w="1549"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50"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应急事件</w:t>
            </w:r>
          </w:p>
          <w:p>
            <w:pPr>
              <w:spacing w:line="240" w:lineRule="auto"/>
              <w:ind w:firstLine="0" w:firstLineChars="0"/>
              <w:jc w:val="center"/>
              <w:rPr>
                <w:color w:val="auto"/>
              </w:rPr>
            </w:pPr>
            <w:r>
              <w:rPr>
                <w:rFonts w:hint="eastAsia"/>
                <w:color w:val="auto"/>
              </w:rPr>
              <w:t>类型</w:t>
            </w:r>
          </w:p>
        </w:tc>
        <w:tc>
          <w:tcPr>
            <w:tcW w:w="1426"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69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应急事件</w:t>
            </w:r>
          </w:p>
          <w:p>
            <w:pPr>
              <w:spacing w:line="240" w:lineRule="auto"/>
              <w:ind w:firstLine="0" w:firstLineChars="0"/>
              <w:jc w:val="center"/>
              <w:rPr>
                <w:color w:val="auto"/>
              </w:rPr>
            </w:pPr>
            <w:r>
              <w:rPr>
                <w:rFonts w:hint="eastAsia"/>
                <w:color w:val="auto"/>
              </w:rPr>
              <w:t>发生时间</w:t>
            </w:r>
          </w:p>
        </w:tc>
        <w:tc>
          <w:tcPr>
            <w:tcW w:w="140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c>
          <w:tcPr>
            <w:tcW w:w="1549"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应急事件</w:t>
            </w:r>
          </w:p>
          <w:p>
            <w:pPr>
              <w:spacing w:line="240" w:lineRule="auto"/>
              <w:ind w:firstLine="0" w:firstLineChars="0"/>
              <w:jc w:val="center"/>
              <w:rPr>
                <w:color w:val="auto"/>
              </w:rPr>
            </w:pPr>
            <w:r>
              <w:rPr>
                <w:rFonts w:hint="eastAsia"/>
                <w:color w:val="auto"/>
              </w:rPr>
              <w:t>发生地点</w:t>
            </w:r>
          </w:p>
        </w:tc>
        <w:tc>
          <w:tcPr>
            <w:tcW w:w="1549"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27"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应急事件</w:t>
            </w:r>
          </w:p>
          <w:p>
            <w:pPr>
              <w:spacing w:line="240" w:lineRule="auto"/>
              <w:ind w:firstLine="0" w:firstLineChars="0"/>
              <w:jc w:val="center"/>
              <w:rPr>
                <w:color w:val="auto"/>
              </w:rPr>
            </w:pPr>
            <w:r>
              <w:rPr>
                <w:rFonts w:hint="eastAsia"/>
                <w:color w:val="auto"/>
              </w:rPr>
              <w:t>发生的地</w:t>
            </w:r>
          </w:p>
          <w:p>
            <w:pPr>
              <w:spacing w:line="240" w:lineRule="auto"/>
              <w:ind w:firstLine="0" w:firstLineChars="0"/>
              <w:jc w:val="center"/>
              <w:rPr>
                <w:color w:val="auto"/>
              </w:rPr>
            </w:pPr>
            <w:r>
              <w:rPr>
                <w:rFonts w:hint="eastAsia"/>
                <w:color w:val="auto"/>
              </w:rPr>
              <w:t>点、</w:t>
            </w:r>
          </w:p>
          <w:p>
            <w:pPr>
              <w:spacing w:line="240" w:lineRule="auto"/>
              <w:ind w:firstLine="0" w:firstLineChars="0"/>
              <w:jc w:val="center"/>
              <w:rPr>
                <w:color w:val="auto"/>
              </w:rPr>
            </w:pPr>
            <w:r>
              <w:rPr>
                <w:rFonts w:hint="eastAsia"/>
                <w:color w:val="auto"/>
              </w:rPr>
              <w:t>性质、</w:t>
            </w:r>
          </w:p>
          <w:p>
            <w:pPr>
              <w:spacing w:line="240" w:lineRule="auto"/>
              <w:ind w:firstLine="0" w:firstLineChars="0"/>
              <w:jc w:val="center"/>
              <w:rPr>
                <w:color w:val="auto"/>
              </w:rPr>
            </w:pPr>
            <w:r>
              <w:rPr>
                <w:rFonts w:hint="eastAsia"/>
                <w:color w:val="auto"/>
              </w:rPr>
              <w:t>范围、</w:t>
            </w:r>
          </w:p>
          <w:p>
            <w:pPr>
              <w:spacing w:line="240" w:lineRule="auto"/>
              <w:ind w:firstLine="0" w:firstLineChars="0"/>
              <w:jc w:val="center"/>
              <w:rPr>
                <w:color w:val="auto"/>
              </w:rPr>
            </w:pPr>
            <w:r>
              <w:rPr>
                <w:rFonts w:hint="eastAsia"/>
                <w:color w:val="auto"/>
              </w:rPr>
              <w:t>严重程度</w:t>
            </w:r>
          </w:p>
        </w:tc>
        <w:tc>
          <w:tcPr>
            <w:tcW w:w="7618" w:type="dxa"/>
            <w:gridSpan w:val="5"/>
            <w:tcBorders>
              <w:top w:val="single" w:color="auto" w:sz="4" w:space="0"/>
              <w:left w:val="nil"/>
              <w:bottom w:val="single" w:color="auto" w:sz="4" w:space="0"/>
              <w:right w:val="single" w:color="auto" w:sz="4" w:space="0"/>
            </w:tcBorders>
            <w:vAlign w:val="center"/>
          </w:tcPr>
          <w:p>
            <w:pPr>
              <w:spacing w:line="240" w:lineRule="auto"/>
              <w:ind w:firstLine="0" w:firstLineChars="0"/>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0"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突发事件已造成的影响</w:t>
            </w:r>
          </w:p>
          <w:p>
            <w:pPr>
              <w:spacing w:line="240" w:lineRule="auto"/>
              <w:ind w:firstLine="0" w:firstLineChars="0"/>
              <w:jc w:val="center"/>
              <w:rPr>
                <w:color w:val="auto"/>
              </w:rPr>
            </w:pPr>
            <w:r>
              <w:rPr>
                <w:rFonts w:hint="eastAsia"/>
                <w:color w:val="auto"/>
              </w:rPr>
              <w:t>和发展趋势</w:t>
            </w:r>
          </w:p>
        </w:tc>
        <w:tc>
          <w:tcPr>
            <w:tcW w:w="7618" w:type="dxa"/>
            <w:gridSpan w:val="5"/>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50"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已采取控制措施及效果</w:t>
            </w:r>
          </w:p>
        </w:tc>
        <w:tc>
          <w:tcPr>
            <w:tcW w:w="7618" w:type="dxa"/>
            <w:gridSpan w:val="5"/>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4" w:hRule="atLeast"/>
          <w:jc w:val="center"/>
        </w:trPr>
        <w:tc>
          <w:tcPr>
            <w:tcW w:w="1668"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rPr>
            </w:pPr>
            <w:r>
              <w:rPr>
                <w:rFonts w:hint="eastAsia"/>
                <w:color w:val="auto"/>
              </w:rPr>
              <w:t>备注</w:t>
            </w:r>
          </w:p>
        </w:tc>
        <w:tc>
          <w:tcPr>
            <w:tcW w:w="7618" w:type="dxa"/>
            <w:gridSpan w:val="5"/>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rPr>
            </w:pPr>
          </w:p>
        </w:tc>
      </w:tr>
    </w:tbl>
    <w:p>
      <w:pPr>
        <w:ind w:firstLine="0" w:firstLineChars="0"/>
        <w:jc w:val="center"/>
        <w:rPr>
          <w:b/>
          <w:bCs/>
          <w:color w:val="auto"/>
          <w:szCs w:val="28"/>
        </w:rPr>
      </w:pPr>
      <w:r>
        <w:rPr>
          <w:rFonts w:hint="eastAsia"/>
          <w:b/>
          <w:bCs/>
          <w:color w:val="auto"/>
          <w:szCs w:val="28"/>
        </w:rPr>
        <w:t>突发环境污染事件报告单</w:t>
      </w:r>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1"/>
        <w:gridCol w:w="2320"/>
        <w:gridCol w:w="2323"/>
        <w:gridCol w:w="23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232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事件发生单位</w:t>
            </w:r>
          </w:p>
        </w:tc>
        <w:tc>
          <w:tcPr>
            <w:tcW w:w="2320"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323"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事件时间</w:t>
            </w:r>
          </w:p>
        </w:tc>
        <w:tc>
          <w:tcPr>
            <w:tcW w:w="232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232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事件简题</w:t>
            </w:r>
          </w:p>
        </w:tc>
        <w:tc>
          <w:tcPr>
            <w:tcW w:w="2320"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323"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32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4" w:hRule="atLeast"/>
        </w:trPr>
        <w:tc>
          <w:tcPr>
            <w:tcW w:w="9286" w:type="dxa"/>
            <w:gridSpan w:val="4"/>
            <w:tcBorders>
              <w:top w:val="single" w:color="auto" w:sz="4" w:space="0"/>
              <w:left w:val="single" w:color="auto" w:sz="4" w:space="0"/>
              <w:bottom w:val="single" w:color="auto" w:sz="4" w:space="0"/>
              <w:right w:val="single" w:color="auto" w:sz="4" w:space="0"/>
            </w:tcBorders>
          </w:tcPr>
          <w:p>
            <w:pPr>
              <w:spacing w:line="240" w:lineRule="auto"/>
              <w:ind w:firstLine="0" w:firstLineChars="0"/>
              <w:jc w:val="center"/>
              <w:rPr>
                <w:color w:val="auto"/>
                <w:szCs w:val="28"/>
              </w:rPr>
            </w:pPr>
            <w:r>
              <w:rPr>
                <w:rFonts w:hint="eastAsia"/>
                <w:color w:val="auto"/>
                <w:szCs w:val="28"/>
              </w:rPr>
              <w:t>基本经过（事件发生、扩大和采取的措施、初步原因判断）</w:t>
            </w:r>
          </w:p>
          <w:p>
            <w:pPr>
              <w:spacing w:line="240" w:lineRule="auto"/>
              <w:ind w:firstLine="0" w:firstLineChars="0"/>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5" w:hRule="atLeast"/>
        </w:trPr>
        <w:tc>
          <w:tcPr>
            <w:tcW w:w="9286" w:type="dxa"/>
            <w:gridSpan w:val="4"/>
            <w:tcBorders>
              <w:top w:val="single" w:color="auto" w:sz="4" w:space="0"/>
              <w:left w:val="single" w:color="auto" w:sz="4" w:space="0"/>
              <w:bottom w:val="single" w:color="auto" w:sz="4" w:space="0"/>
              <w:right w:val="single" w:color="auto" w:sz="4" w:space="0"/>
            </w:tcBorders>
          </w:tcPr>
          <w:p>
            <w:pPr>
              <w:spacing w:line="240" w:lineRule="auto"/>
              <w:ind w:firstLine="0" w:firstLineChars="0"/>
              <w:jc w:val="left"/>
              <w:rPr>
                <w:color w:val="auto"/>
                <w:szCs w:val="28"/>
              </w:rPr>
            </w:pPr>
            <w:r>
              <w:rPr>
                <w:rFonts w:hint="eastAsia"/>
                <w:color w:val="auto"/>
                <w:szCs w:val="28"/>
              </w:rPr>
              <w:t>事件后果（环境污染程度、财产损失或可能造成的社会不良影响等）的初步估计</w:t>
            </w:r>
          </w:p>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232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填报人姓名</w:t>
            </w:r>
          </w:p>
        </w:tc>
        <w:tc>
          <w:tcPr>
            <w:tcW w:w="2320"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323"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单位</w:t>
            </w:r>
          </w:p>
        </w:tc>
        <w:tc>
          <w:tcPr>
            <w:tcW w:w="232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232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联系方式</w:t>
            </w:r>
          </w:p>
        </w:tc>
        <w:tc>
          <w:tcPr>
            <w:tcW w:w="2320"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323"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信息来源</w:t>
            </w:r>
          </w:p>
        </w:tc>
        <w:tc>
          <w:tcPr>
            <w:tcW w:w="2322" w:type="dxa"/>
            <w:tcBorders>
              <w:top w:val="single" w:color="auto" w:sz="4" w:space="0"/>
              <w:left w:val="nil"/>
              <w:bottom w:val="single" w:color="auto" w:sz="4" w:space="0"/>
              <w:right w:val="single" w:color="auto" w:sz="4" w:space="0"/>
            </w:tcBorders>
            <w:vAlign w:val="center"/>
          </w:tcPr>
          <w:p>
            <w:pPr>
              <w:spacing w:line="240" w:lineRule="auto"/>
              <w:ind w:firstLine="0" w:firstLineChars="0"/>
              <w:jc w:val="center"/>
              <w:rPr>
                <w:color w:val="auto"/>
                <w:szCs w:val="28"/>
              </w:rPr>
            </w:pPr>
          </w:p>
        </w:tc>
      </w:tr>
    </w:tbl>
    <w:p>
      <w:pPr>
        <w:pStyle w:val="16"/>
        <w:ind w:left="1122" w:hanging="562"/>
        <w:jc w:val="center"/>
        <w:rPr>
          <w:b/>
          <w:color w:val="auto"/>
          <w:szCs w:val="28"/>
        </w:rPr>
        <w:sectPr>
          <w:footerReference r:id="rId22" w:type="default"/>
          <w:pgSz w:w="11906" w:h="16838"/>
          <w:pgMar w:top="1418" w:right="1418" w:bottom="1418" w:left="1418" w:header="851" w:footer="992" w:gutter="0"/>
          <w:pgNumType w:fmt="numberInDash"/>
          <w:cols w:space="720" w:num="1"/>
          <w:docGrid w:linePitch="312" w:charSpace="0"/>
        </w:sectPr>
      </w:pPr>
    </w:p>
    <w:p>
      <w:pPr>
        <w:pStyle w:val="16"/>
        <w:ind w:left="1122" w:hanging="562"/>
        <w:jc w:val="center"/>
        <w:rPr>
          <w:b/>
          <w:color w:val="auto"/>
          <w:szCs w:val="28"/>
        </w:rPr>
      </w:pPr>
      <w:r>
        <w:rPr>
          <w:rFonts w:hint="eastAsia"/>
          <w:b/>
          <w:color w:val="auto"/>
          <w:szCs w:val="28"/>
        </w:rPr>
        <w:t>公司突发环境事件报告表（初报）</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4"/>
        <w:gridCol w:w="622"/>
        <w:gridCol w:w="2043"/>
        <w:gridCol w:w="1397"/>
        <w:gridCol w:w="1029"/>
        <w:gridCol w:w="240"/>
        <w:gridCol w:w="2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vMerge w:val="restar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报告方式</w:t>
            </w:r>
          </w:p>
        </w:tc>
        <w:tc>
          <w:tcPr>
            <w:tcW w:w="622"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1</w:t>
            </w:r>
          </w:p>
        </w:tc>
        <w:tc>
          <w:tcPr>
            <w:tcW w:w="2043"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电话报告</w:t>
            </w:r>
          </w:p>
        </w:tc>
        <w:tc>
          <w:tcPr>
            <w:tcW w:w="1397" w:type="dxa"/>
            <w:vMerge w:val="restart"/>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报告人</w:t>
            </w:r>
          </w:p>
        </w:tc>
        <w:tc>
          <w:tcPr>
            <w:tcW w:w="1029"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内部</w:t>
            </w:r>
          </w:p>
        </w:tc>
        <w:tc>
          <w:tcPr>
            <w:tcW w:w="2311"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color w:val="auto"/>
                <w:szCs w:val="28"/>
              </w:rPr>
            </w:pPr>
          </w:p>
        </w:tc>
        <w:tc>
          <w:tcPr>
            <w:tcW w:w="622"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2</w:t>
            </w:r>
          </w:p>
        </w:tc>
        <w:tc>
          <w:tcPr>
            <w:tcW w:w="2043"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书面报告</w:t>
            </w:r>
          </w:p>
        </w:tc>
        <w:tc>
          <w:tcPr>
            <w:tcW w:w="1397"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jc w:val="center"/>
              <w:rPr>
                <w:color w:val="auto"/>
                <w:szCs w:val="28"/>
              </w:rPr>
            </w:pPr>
          </w:p>
        </w:tc>
        <w:tc>
          <w:tcPr>
            <w:tcW w:w="1029"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外部</w:t>
            </w:r>
          </w:p>
        </w:tc>
        <w:tc>
          <w:tcPr>
            <w:tcW w:w="2311"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报告时间</w:t>
            </w:r>
          </w:p>
        </w:tc>
        <w:tc>
          <w:tcPr>
            <w:tcW w:w="7402" w:type="dxa"/>
            <w:gridSpan w:val="6"/>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单位名称</w:t>
            </w:r>
          </w:p>
        </w:tc>
        <w:tc>
          <w:tcPr>
            <w:tcW w:w="7402" w:type="dxa"/>
            <w:gridSpan w:val="6"/>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地址</w:t>
            </w:r>
          </w:p>
        </w:tc>
        <w:tc>
          <w:tcPr>
            <w:tcW w:w="7402" w:type="dxa"/>
            <w:gridSpan w:val="6"/>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法人代表</w:t>
            </w: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6"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联系电话</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传真</w:t>
            </w: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6"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Email</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发生位置</w:t>
            </w: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6"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设备设施名称</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物料名称</w:t>
            </w:r>
          </w:p>
        </w:tc>
        <w:tc>
          <w:tcPr>
            <w:tcW w:w="7402" w:type="dxa"/>
            <w:gridSpan w:val="6"/>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类型</w:t>
            </w:r>
          </w:p>
        </w:tc>
        <w:tc>
          <w:tcPr>
            <w:tcW w:w="7402" w:type="dxa"/>
            <w:gridSpan w:val="6"/>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泄漏</w:t>
            </w:r>
            <w:r>
              <w:rPr>
                <w:rFonts w:ascii="宋体" w:hAnsi="宋体" w:eastAsia="宋体"/>
                <w:color w:val="auto"/>
                <w:szCs w:val="28"/>
              </w:rPr>
              <w:t>□</w:t>
            </w:r>
            <w:r>
              <w:rPr>
                <w:color w:val="auto"/>
                <w:szCs w:val="28"/>
              </w:rPr>
              <w:t xml:space="preserve">    火灾</w:t>
            </w:r>
            <w:r>
              <w:rPr>
                <w:rFonts w:ascii="宋体" w:hAnsi="宋体" w:eastAsia="宋体"/>
                <w:color w:val="auto"/>
                <w:szCs w:val="28"/>
              </w:rPr>
              <w:t>□</w:t>
            </w:r>
            <w:r>
              <w:rPr>
                <w:color w:val="auto"/>
                <w:szCs w:val="28"/>
              </w:rPr>
              <w:t xml:space="preserve">    爆炸</w:t>
            </w:r>
            <w:r>
              <w:rPr>
                <w:rFonts w:ascii="宋体" w:hAnsi="宋体" w:eastAsia="宋体"/>
                <w:color w:val="auto"/>
                <w:szCs w:val="28"/>
              </w:rPr>
              <w:t>□</w:t>
            </w:r>
            <w:r>
              <w:rPr>
                <w:color w:val="auto"/>
                <w:szCs w:val="28"/>
              </w:rPr>
              <w:t xml:space="preserve">    其它</w:t>
            </w:r>
            <w:r>
              <w:rPr>
                <w:rFonts w:ascii="宋体" w:hAnsi="宋体" w:eastAsia="宋体"/>
                <w:color w:val="auto"/>
                <w:szCs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污染物名称</w:t>
            </w: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数量</w:t>
            </w: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4"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Calibri" w:hAnsi="Calibri"/>
                <w:color w:val="auto"/>
                <w:szCs w:val="28"/>
              </w:rPr>
            </w:pPr>
          </w:p>
        </w:tc>
        <w:tc>
          <w:tcPr>
            <w:tcW w:w="2665"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Calibri" w:hAnsi="Calibri"/>
                <w:color w:val="auto"/>
                <w:szCs w:val="28"/>
              </w:rPr>
            </w:pPr>
          </w:p>
        </w:tc>
        <w:tc>
          <w:tcPr>
            <w:tcW w:w="4737"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Calibri" w:hAnsi="Calibri"/>
                <w:color w:val="auto"/>
                <w:szCs w:val="28"/>
              </w:rPr>
            </w:pPr>
          </w:p>
        </w:tc>
      </w:tr>
    </w:tbl>
    <w:p>
      <w:pPr>
        <w:ind w:firstLine="560"/>
        <w:jc w:val="center"/>
        <w:rPr>
          <w:color w:val="auto"/>
          <w:szCs w:val="28"/>
        </w:rPr>
        <w:sectPr>
          <w:footerReference r:id="rId23" w:type="default"/>
          <w:pgSz w:w="11906" w:h="16838"/>
          <w:pgMar w:top="1418" w:right="1418" w:bottom="1418" w:left="1418" w:header="851" w:footer="992" w:gutter="0"/>
          <w:pgNumType w:fmt="numberInDash"/>
          <w:cols w:space="720" w:num="1"/>
          <w:docGrid w:linePitch="312" w:charSpace="0"/>
        </w:sectPr>
      </w:pP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5"/>
        <w:gridCol w:w="74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已污染范围</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可能受影响区域</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潜在的危害程度转化方式趋向</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已采取的应急措施</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建议采取措施</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68"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直接人员伤亡和财产经济损失</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bl>
    <w:p>
      <w:pPr>
        <w:pStyle w:val="16"/>
        <w:ind w:left="1120" w:hanging="560"/>
        <w:jc w:val="center"/>
        <w:rPr>
          <w:color w:val="auto"/>
          <w:szCs w:val="28"/>
        </w:rPr>
        <w:sectPr>
          <w:footerReference r:id="rId24" w:type="default"/>
          <w:pgSz w:w="11906" w:h="16838"/>
          <w:pgMar w:top="1418" w:right="1418" w:bottom="1418" w:left="1418" w:header="851" w:footer="992" w:gutter="0"/>
          <w:pgNumType w:fmt="numberInDash"/>
          <w:cols w:space="720" w:num="1"/>
          <w:docGrid w:linePitch="312" w:charSpace="0"/>
        </w:sectPr>
      </w:pPr>
    </w:p>
    <w:p>
      <w:pPr>
        <w:pStyle w:val="16"/>
        <w:ind w:left="1122" w:hanging="562"/>
        <w:jc w:val="center"/>
        <w:rPr>
          <w:b/>
          <w:color w:val="auto"/>
          <w:szCs w:val="28"/>
        </w:rPr>
      </w:pPr>
      <w:r>
        <w:rPr>
          <w:rFonts w:hint="eastAsia"/>
          <w:b/>
          <w:color w:val="auto"/>
          <w:szCs w:val="28"/>
        </w:rPr>
        <w:t>公司突发环境事件报告表（续报）</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5"/>
        <w:gridCol w:w="2665"/>
        <w:gridCol w:w="466"/>
        <w:gridCol w:w="1341"/>
        <w:gridCol w:w="858"/>
        <w:gridCol w:w="2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报告方式</w:t>
            </w:r>
          </w:p>
        </w:tc>
        <w:tc>
          <w:tcPr>
            <w:tcW w:w="3131"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电话报告或网络报告</w:t>
            </w:r>
          </w:p>
        </w:tc>
        <w:tc>
          <w:tcPr>
            <w:tcW w:w="13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报告人</w:t>
            </w:r>
          </w:p>
        </w:tc>
        <w:tc>
          <w:tcPr>
            <w:tcW w:w="2929"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报告时间</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单位名称</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地址</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法人代表</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联系电话</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传真</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Email</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发生位置</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设备设施名称</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物料名称</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类型</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泄漏</w:t>
            </w:r>
            <w:r>
              <w:rPr>
                <w:rFonts w:ascii="宋体" w:hAnsi="宋体" w:eastAsia="宋体"/>
                <w:color w:val="auto"/>
                <w:szCs w:val="28"/>
              </w:rPr>
              <w:t>□</w:t>
            </w:r>
            <w:r>
              <w:rPr>
                <w:color w:val="auto"/>
                <w:szCs w:val="28"/>
              </w:rPr>
              <w:t xml:space="preserve">    火灾</w:t>
            </w:r>
            <w:r>
              <w:rPr>
                <w:rFonts w:ascii="宋体" w:hAnsi="宋体" w:eastAsia="宋体"/>
                <w:color w:val="auto"/>
                <w:szCs w:val="28"/>
              </w:rPr>
              <w:t>□</w:t>
            </w:r>
            <w:r>
              <w:rPr>
                <w:color w:val="auto"/>
                <w:szCs w:val="28"/>
              </w:rPr>
              <w:t xml:space="preserve">    爆炸</w:t>
            </w:r>
            <w:r>
              <w:rPr>
                <w:rFonts w:ascii="宋体" w:hAnsi="宋体" w:eastAsia="宋体"/>
                <w:color w:val="auto"/>
                <w:szCs w:val="28"/>
              </w:rPr>
              <w:t>□</w:t>
            </w:r>
            <w:r>
              <w:rPr>
                <w:color w:val="auto"/>
                <w:szCs w:val="28"/>
              </w:rPr>
              <w:t xml:space="preserve">    其它</w:t>
            </w:r>
            <w:r>
              <w:rPr>
                <w:rFonts w:ascii="宋体" w:hAnsi="宋体" w:eastAsia="宋体"/>
                <w:color w:val="auto"/>
                <w:szCs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污染物名称</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数量</w:t>
            </w: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bl>
    <w:p>
      <w:pPr>
        <w:ind w:firstLine="560"/>
        <w:jc w:val="center"/>
        <w:rPr>
          <w:color w:val="auto"/>
          <w:szCs w:val="28"/>
        </w:rPr>
        <w:sectPr>
          <w:footerReference r:id="rId25" w:type="default"/>
          <w:pgSz w:w="11906" w:h="16838"/>
          <w:pgMar w:top="1418" w:right="1418" w:bottom="1418" w:left="1418" w:header="851" w:footer="992" w:gutter="0"/>
          <w:pgNumType w:fmt="numberInDash"/>
          <w:cols w:space="720" w:num="1"/>
          <w:docGrid w:linePitch="312" w:charSpace="0"/>
        </w:sectPr>
      </w:pP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5"/>
        <w:gridCol w:w="74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7"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事件发生原因</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2"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事件发生过程</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2"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事件进展情况</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2"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r>
              <w:rPr>
                <w:color w:val="auto"/>
                <w:szCs w:val="28"/>
              </w:rPr>
              <w:t>采取的应急措施</w:t>
            </w:r>
          </w:p>
        </w:tc>
        <w:tc>
          <w:tcPr>
            <w:tcW w:w="7401"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color w:val="auto"/>
                <w:szCs w:val="28"/>
              </w:rPr>
            </w:pPr>
          </w:p>
        </w:tc>
      </w:tr>
    </w:tbl>
    <w:p>
      <w:pPr>
        <w:pStyle w:val="16"/>
        <w:ind w:left="1120" w:hanging="560"/>
        <w:jc w:val="center"/>
        <w:rPr>
          <w:color w:val="auto"/>
          <w:szCs w:val="28"/>
        </w:rPr>
        <w:sectPr>
          <w:footerReference r:id="rId26" w:type="default"/>
          <w:pgSz w:w="11906" w:h="16838"/>
          <w:pgMar w:top="1418" w:right="1418" w:bottom="1418" w:left="1418" w:header="851" w:footer="992" w:gutter="0"/>
          <w:pgNumType w:fmt="numberInDash"/>
          <w:cols w:space="720" w:num="1"/>
          <w:docGrid w:linePitch="312" w:charSpace="0"/>
        </w:sectPr>
      </w:pPr>
    </w:p>
    <w:p>
      <w:pPr>
        <w:pStyle w:val="16"/>
        <w:ind w:left="1122" w:hanging="562"/>
        <w:jc w:val="center"/>
        <w:rPr>
          <w:b/>
          <w:color w:val="auto"/>
          <w:szCs w:val="28"/>
        </w:rPr>
      </w:pPr>
      <w:r>
        <w:rPr>
          <w:rFonts w:hint="eastAsia"/>
          <w:b/>
          <w:color w:val="auto"/>
          <w:szCs w:val="28"/>
        </w:rPr>
        <w:t>公司突发环境事件报告表（处理结果报告）</w:t>
      </w: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5"/>
        <w:gridCol w:w="2665"/>
        <w:gridCol w:w="384"/>
        <w:gridCol w:w="1423"/>
        <w:gridCol w:w="858"/>
        <w:gridCol w:w="2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报告方式</w:t>
            </w:r>
          </w:p>
        </w:tc>
        <w:tc>
          <w:tcPr>
            <w:tcW w:w="3049"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电话报告或网络报告</w:t>
            </w:r>
          </w:p>
        </w:tc>
        <w:tc>
          <w:tcPr>
            <w:tcW w:w="1423"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报告人</w:t>
            </w:r>
          </w:p>
        </w:tc>
        <w:tc>
          <w:tcPr>
            <w:tcW w:w="2929" w:type="dxa"/>
            <w:gridSpan w:val="2"/>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报告时间</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单位名称</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地址</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法人代表</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联系电话</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传真</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Email</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发生位置</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gridSpan w:val="3"/>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设备设施名称</w:t>
            </w:r>
          </w:p>
        </w:tc>
        <w:tc>
          <w:tcPr>
            <w:tcW w:w="207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物料名称</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类型</w:t>
            </w:r>
          </w:p>
        </w:tc>
        <w:tc>
          <w:tcPr>
            <w:tcW w:w="7401" w:type="dxa"/>
            <w:gridSpan w:val="5"/>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color w:val="auto"/>
                <w:szCs w:val="28"/>
              </w:rPr>
              <w:t>泄漏</w:t>
            </w:r>
            <w:r>
              <w:rPr>
                <w:rFonts w:ascii="宋体" w:hAnsi="宋体" w:eastAsia="宋体"/>
                <w:color w:val="auto"/>
                <w:szCs w:val="28"/>
              </w:rPr>
              <w:t>□</w:t>
            </w:r>
            <w:r>
              <w:rPr>
                <w:color w:val="auto"/>
                <w:szCs w:val="28"/>
              </w:rPr>
              <w:t xml:space="preserve">    火灾</w:t>
            </w:r>
            <w:r>
              <w:rPr>
                <w:rFonts w:ascii="宋体" w:hAnsi="宋体" w:eastAsia="宋体"/>
                <w:color w:val="auto"/>
                <w:szCs w:val="28"/>
              </w:rPr>
              <w:t>□</w:t>
            </w:r>
            <w:r>
              <w:rPr>
                <w:color w:val="auto"/>
                <w:szCs w:val="28"/>
              </w:rPr>
              <w:t xml:space="preserve">    爆炸</w:t>
            </w:r>
            <w:r>
              <w:rPr>
                <w:rFonts w:ascii="宋体" w:hAnsi="宋体" w:eastAsia="宋体"/>
                <w:color w:val="auto"/>
                <w:szCs w:val="28"/>
              </w:rPr>
              <w:t>□</w:t>
            </w:r>
            <w:r>
              <w:rPr>
                <w:color w:val="auto"/>
                <w:szCs w:val="28"/>
              </w:rPr>
              <w:t xml:space="preserve">    其它</w:t>
            </w:r>
            <w:r>
              <w:rPr>
                <w:rFonts w:ascii="宋体" w:hAnsi="宋体" w:eastAsia="宋体"/>
                <w:color w:val="auto"/>
                <w:szCs w:val="2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污染物名称</w:t>
            </w: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数量</w:t>
            </w: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r>
              <w:rPr>
                <w:rFonts w:hint="eastAsia"/>
                <w:color w:val="auto"/>
                <w:szCs w:val="28"/>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88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2665"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c>
          <w:tcPr>
            <w:tcW w:w="4736" w:type="dxa"/>
            <w:gridSpan w:val="4"/>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color w:val="auto"/>
                <w:szCs w:val="28"/>
              </w:rPr>
            </w:pPr>
          </w:p>
        </w:tc>
      </w:tr>
    </w:tbl>
    <w:p>
      <w:pPr>
        <w:ind w:firstLine="560"/>
        <w:rPr>
          <w:color w:val="auto"/>
          <w:szCs w:val="28"/>
        </w:rPr>
        <w:sectPr>
          <w:footerReference r:id="rId27" w:type="default"/>
          <w:pgSz w:w="11906" w:h="16838"/>
          <w:pgMar w:top="1418" w:right="1418" w:bottom="1418" w:left="1418" w:header="851" w:footer="992" w:gutter="0"/>
          <w:pgNumType w:fmt="numberInDash"/>
          <w:cols w:space="720" w:num="1"/>
          <w:docGrid w:linePitch="312" w:charSpace="0"/>
        </w:sectPr>
      </w:pPr>
    </w:p>
    <w:tbl>
      <w:tblPr>
        <w:tblStyle w:val="4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57" w:hRule="atLeast"/>
          <w:jc w:val="center"/>
        </w:trPr>
        <w:tc>
          <w:tcPr>
            <w:tcW w:w="9286" w:type="dxa"/>
            <w:tcBorders>
              <w:top w:val="single" w:color="auto" w:sz="4" w:space="0"/>
              <w:left w:val="single" w:color="auto" w:sz="4" w:space="0"/>
              <w:bottom w:val="single" w:color="auto" w:sz="4" w:space="0"/>
              <w:right w:val="single" w:color="auto" w:sz="4" w:space="0"/>
            </w:tcBorders>
            <w:vAlign w:val="center"/>
          </w:tcPr>
          <w:p>
            <w:pPr>
              <w:ind w:firstLine="0" w:firstLineChars="0"/>
              <w:rPr>
                <w:color w:val="auto"/>
                <w:szCs w:val="28"/>
              </w:rPr>
            </w:pPr>
            <w:r>
              <w:rPr>
                <w:rFonts w:hint="eastAsia"/>
                <w:color w:val="auto"/>
                <w:szCs w:val="28"/>
              </w:rPr>
              <w:t>报告正文：</w:t>
            </w:r>
          </w:p>
          <w:p>
            <w:pPr>
              <w:ind w:firstLine="0" w:firstLineChars="0"/>
              <w:rPr>
                <w:color w:val="auto"/>
                <w:szCs w:val="28"/>
              </w:rPr>
            </w:pPr>
          </w:p>
          <w:p>
            <w:pPr>
              <w:numPr>
                <w:ilvl w:val="0"/>
                <w:numId w:val="3"/>
              </w:numPr>
              <w:spacing w:line="240" w:lineRule="auto"/>
              <w:ind w:firstLine="0" w:firstLineChars="0"/>
              <w:rPr>
                <w:color w:val="auto"/>
                <w:szCs w:val="28"/>
              </w:rPr>
            </w:pPr>
            <w:r>
              <w:rPr>
                <w:rFonts w:hint="eastAsia"/>
                <w:color w:val="auto"/>
                <w:szCs w:val="28"/>
              </w:rPr>
              <w:t>处理事件的措施、过程和结果：</w:t>
            </w:r>
          </w:p>
          <w:p>
            <w:pPr>
              <w:ind w:firstLine="0" w:firstLineChars="0"/>
              <w:rPr>
                <w:color w:val="auto"/>
                <w:szCs w:val="28"/>
              </w:rPr>
            </w:pPr>
          </w:p>
          <w:p>
            <w:pPr>
              <w:ind w:firstLine="0" w:firstLineChars="0"/>
              <w:rPr>
                <w:color w:val="auto"/>
                <w:szCs w:val="28"/>
              </w:rPr>
            </w:pPr>
          </w:p>
          <w:p>
            <w:pPr>
              <w:numPr>
                <w:ilvl w:val="0"/>
                <w:numId w:val="3"/>
              </w:numPr>
              <w:spacing w:line="240" w:lineRule="auto"/>
              <w:ind w:firstLine="0" w:firstLineChars="0"/>
              <w:rPr>
                <w:color w:val="auto"/>
                <w:szCs w:val="28"/>
              </w:rPr>
            </w:pPr>
            <w:r>
              <w:rPr>
                <w:rFonts w:hint="eastAsia"/>
                <w:color w:val="auto"/>
                <w:szCs w:val="28"/>
              </w:rPr>
              <w:t>污染的范围和程度：</w:t>
            </w:r>
          </w:p>
          <w:p>
            <w:pPr>
              <w:ind w:firstLine="0" w:firstLineChars="0"/>
              <w:rPr>
                <w:color w:val="auto"/>
                <w:szCs w:val="28"/>
              </w:rPr>
            </w:pPr>
          </w:p>
          <w:p>
            <w:pPr>
              <w:ind w:firstLine="0" w:firstLineChars="0"/>
              <w:rPr>
                <w:color w:val="auto"/>
                <w:szCs w:val="28"/>
              </w:rPr>
            </w:pPr>
          </w:p>
          <w:p>
            <w:pPr>
              <w:numPr>
                <w:ilvl w:val="0"/>
                <w:numId w:val="3"/>
              </w:numPr>
              <w:spacing w:line="240" w:lineRule="auto"/>
              <w:ind w:firstLine="0" w:firstLineChars="0"/>
              <w:rPr>
                <w:color w:val="auto"/>
                <w:szCs w:val="28"/>
              </w:rPr>
            </w:pPr>
            <w:r>
              <w:rPr>
                <w:rFonts w:hint="eastAsia"/>
                <w:color w:val="auto"/>
                <w:szCs w:val="28"/>
              </w:rPr>
              <w:t>事件潜在或间接的危害、社会影响：</w:t>
            </w:r>
          </w:p>
          <w:p>
            <w:pPr>
              <w:ind w:firstLine="0" w:firstLineChars="0"/>
              <w:rPr>
                <w:color w:val="auto"/>
                <w:szCs w:val="28"/>
              </w:rPr>
            </w:pPr>
          </w:p>
          <w:p>
            <w:pPr>
              <w:ind w:firstLine="0" w:firstLineChars="0"/>
              <w:rPr>
                <w:color w:val="auto"/>
                <w:szCs w:val="28"/>
              </w:rPr>
            </w:pPr>
          </w:p>
          <w:p>
            <w:pPr>
              <w:numPr>
                <w:ilvl w:val="0"/>
                <w:numId w:val="3"/>
              </w:numPr>
              <w:spacing w:line="240" w:lineRule="auto"/>
              <w:ind w:firstLine="0" w:firstLineChars="0"/>
              <w:rPr>
                <w:color w:val="auto"/>
                <w:szCs w:val="28"/>
              </w:rPr>
            </w:pPr>
            <w:r>
              <w:rPr>
                <w:rFonts w:hint="eastAsia"/>
                <w:color w:val="auto"/>
                <w:szCs w:val="28"/>
              </w:rPr>
              <w:t>处理后的遗留问题：</w:t>
            </w:r>
          </w:p>
          <w:p>
            <w:pPr>
              <w:ind w:firstLine="0" w:firstLineChars="0"/>
              <w:rPr>
                <w:color w:val="auto"/>
                <w:szCs w:val="28"/>
              </w:rPr>
            </w:pPr>
          </w:p>
          <w:p>
            <w:pPr>
              <w:ind w:firstLine="0" w:firstLineChars="0"/>
              <w:rPr>
                <w:color w:val="auto"/>
                <w:szCs w:val="28"/>
              </w:rPr>
            </w:pPr>
          </w:p>
          <w:p>
            <w:pPr>
              <w:numPr>
                <w:ilvl w:val="0"/>
                <w:numId w:val="3"/>
              </w:numPr>
              <w:spacing w:line="240" w:lineRule="auto"/>
              <w:ind w:firstLine="0" w:firstLineChars="0"/>
              <w:rPr>
                <w:color w:val="auto"/>
                <w:szCs w:val="28"/>
              </w:rPr>
            </w:pPr>
            <w:r>
              <w:rPr>
                <w:rFonts w:hint="eastAsia"/>
                <w:color w:val="auto"/>
                <w:szCs w:val="28"/>
              </w:rPr>
              <w:t>参加处理工作的有关部门和工作内容：</w:t>
            </w:r>
          </w:p>
          <w:p>
            <w:pPr>
              <w:ind w:firstLine="0" w:firstLineChars="0"/>
              <w:rPr>
                <w:color w:val="auto"/>
                <w:szCs w:val="28"/>
              </w:rPr>
            </w:pPr>
          </w:p>
          <w:p>
            <w:pPr>
              <w:ind w:firstLine="0" w:firstLineChars="0"/>
              <w:rPr>
                <w:color w:val="auto"/>
                <w:szCs w:val="28"/>
              </w:rPr>
            </w:pPr>
          </w:p>
          <w:p>
            <w:pPr>
              <w:ind w:left="480" w:firstLine="0" w:firstLineChars="0"/>
              <w:rPr>
                <w:color w:val="auto"/>
                <w:szCs w:val="28"/>
              </w:rPr>
            </w:pPr>
            <w:r>
              <w:rPr>
                <w:rFonts w:hint="eastAsia"/>
                <w:color w:val="auto"/>
                <w:szCs w:val="28"/>
              </w:rPr>
              <w:t>六、有关危害与损失的证明文件等详细情况：</w:t>
            </w:r>
          </w:p>
          <w:p>
            <w:pPr>
              <w:ind w:firstLine="0" w:firstLineChars="0"/>
              <w:rPr>
                <w:color w:val="auto"/>
                <w:szCs w:val="28"/>
              </w:rPr>
            </w:pPr>
          </w:p>
          <w:p>
            <w:pPr>
              <w:ind w:firstLine="0" w:firstLineChars="0"/>
              <w:rPr>
                <w:color w:val="auto"/>
                <w:szCs w:val="28"/>
              </w:rPr>
            </w:pPr>
          </w:p>
          <w:p>
            <w:pPr>
              <w:ind w:firstLine="0" w:firstLineChars="0"/>
              <w:rPr>
                <w:color w:val="auto"/>
                <w:szCs w:val="28"/>
              </w:rPr>
            </w:pPr>
          </w:p>
          <w:p>
            <w:pPr>
              <w:ind w:firstLine="0" w:firstLineChars="0"/>
              <w:rPr>
                <w:color w:val="auto"/>
                <w:szCs w:val="28"/>
              </w:rPr>
            </w:pPr>
            <w:r>
              <w:rPr>
                <w:rFonts w:hint="eastAsia"/>
                <w:color w:val="auto"/>
                <w:szCs w:val="28"/>
              </w:rPr>
              <w:t>（不够可附页）</w:t>
            </w:r>
          </w:p>
        </w:tc>
      </w:tr>
    </w:tbl>
    <w:p>
      <w:pPr>
        <w:ind w:firstLine="560"/>
        <w:rPr>
          <w:color w:val="auto"/>
          <w:szCs w:val="28"/>
        </w:rPr>
      </w:pPr>
    </w:p>
    <w:p>
      <w:pPr>
        <w:ind w:firstLine="560"/>
        <w:jc w:val="center"/>
        <w:rPr>
          <w:color w:val="auto"/>
          <w:szCs w:val="28"/>
        </w:rPr>
        <w:sectPr>
          <w:footerReference r:id="rId28" w:type="default"/>
          <w:pgSz w:w="11906" w:h="16838"/>
          <w:pgMar w:top="1418" w:right="1418" w:bottom="1418" w:left="1418" w:header="851" w:footer="992" w:gutter="0"/>
          <w:pgNumType w:fmt="numberInDash"/>
          <w:cols w:space="720" w:num="1"/>
          <w:docGrid w:linePitch="312" w:charSpace="0"/>
        </w:sectPr>
      </w:pPr>
    </w:p>
    <w:p>
      <w:pPr>
        <w:ind w:firstLine="562"/>
        <w:jc w:val="center"/>
        <w:rPr>
          <w:b/>
          <w:bCs/>
          <w:color w:val="auto"/>
          <w:szCs w:val="28"/>
        </w:rPr>
      </w:pPr>
      <w:r>
        <w:rPr>
          <w:rFonts w:hint="eastAsia"/>
          <w:b/>
          <w:bCs/>
          <w:color w:val="auto"/>
          <w:szCs w:val="28"/>
        </w:rPr>
        <w:t>环境污染事件调查报告书</w:t>
      </w:r>
    </w:p>
    <w:p>
      <w:pPr>
        <w:numPr>
          <w:ilvl w:val="0"/>
          <w:numId w:val="4"/>
        </w:numPr>
        <w:ind w:firstLine="560"/>
        <w:rPr>
          <w:color w:val="auto"/>
          <w:szCs w:val="28"/>
        </w:rPr>
      </w:pPr>
      <w:r>
        <w:rPr>
          <w:rFonts w:hint="eastAsia"/>
          <w:color w:val="auto"/>
          <w:szCs w:val="28"/>
        </w:rPr>
        <w:t>事件名称：</w:t>
      </w:r>
      <w:r>
        <w:rPr>
          <w:rFonts w:hint="eastAsia"/>
          <w:color w:val="auto"/>
          <w:szCs w:val="28"/>
          <w:u w:val="single"/>
        </w:rPr>
        <w:t xml:space="preserve">                                                   </w:t>
      </w:r>
    </w:p>
    <w:p>
      <w:pPr>
        <w:numPr>
          <w:ilvl w:val="0"/>
          <w:numId w:val="4"/>
        </w:numPr>
        <w:ind w:firstLine="560"/>
        <w:rPr>
          <w:color w:val="auto"/>
          <w:szCs w:val="28"/>
        </w:rPr>
      </w:pPr>
      <w:r>
        <w:rPr>
          <w:rFonts w:hint="eastAsia"/>
          <w:color w:val="auto"/>
          <w:szCs w:val="28"/>
        </w:rPr>
        <w:t xml:space="preserve">事件单位名称： </w:t>
      </w:r>
      <w:r>
        <w:rPr>
          <w:rFonts w:hint="eastAsia"/>
          <w:color w:val="auto"/>
          <w:szCs w:val="28"/>
          <w:u w:val="single"/>
        </w:rPr>
        <w:t xml:space="preserve">                                              </w:t>
      </w:r>
    </w:p>
    <w:p>
      <w:pPr>
        <w:numPr>
          <w:ilvl w:val="0"/>
          <w:numId w:val="4"/>
        </w:numPr>
        <w:ind w:firstLine="560"/>
        <w:rPr>
          <w:color w:val="auto"/>
          <w:szCs w:val="28"/>
        </w:rPr>
      </w:pPr>
      <w:r>
        <w:rPr>
          <w:rFonts w:hint="eastAsia"/>
          <w:color w:val="auto"/>
          <w:szCs w:val="28"/>
        </w:rPr>
        <w:t>事件等级：时间类别：</w:t>
      </w:r>
    </w:p>
    <w:p>
      <w:pPr>
        <w:numPr>
          <w:ilvl w:val="0"/>
          <w:numId w:val="4"/>
        </w:numPr>
        <w:ind w:firstLine="560"/>
        <w:rPr>
          <w:color w:val="auto"/>
          <w:szCs w:val="28"/>
        </w:rPr>
      </w:pPr>
      <w:r>
        <w:rPr>
          <w:rFonts w:hint="eastAsia"/>
          <w:color w:val="auto"/>
          <w:szCs w:val="28"/>
        </w:rPr>
        <w:t>时间起止时间：</w:t>
      </w:r>
      <w:r>
        <w:rPr>
          <w:rFonts w:hint="eastAsia"/>
          <w:color w:val="auto"/>
          <w:szCs w:val="28"/>
          <w:u w:val="single"/>
        </w:rPr>
        <w:t xml:space="preserve">    </w:t>
      </w:r>
      <w:r>
        <w:rPr>
          <w:rFonts w:hint="eastAsia"/>
          <w:color w:val="auto"/>
          <w:szCs w:val="28"/>
        </w:rPr>
        <w:t>年</w:t>
      </w:r>
      <w:r>
        <w:rPr>
          <w:rFonts w:hint="eastAsia"/>
          <w:color w:val="auto"/>
          <w:szCs w:val="28"/>
          <w:u w:val="single"/>
        </w:rPr>
        <w:t xml:space="preserve">     </w:t>
      </w:r>
      <w:r>
        <w:rPr>
          <w:rFonts w:hint="eastAsia"/>
          <w:color w:val="auto"/>
          <w:szCs w:val="28"/>
        </w:rPr>
        <w:t>月</w:t>
      </w:r>
      <w:r>
        <w:rPr>
          <w:rFonts w:hint="eastAsia"/>
          <w:color w:val="auto"/>
          <w:szCs w:val="28"/>
          <w:u w:val="single"/>
        </w:rPr>
        <w:t xml:space="preserve">     </w:t>
      </w:r>
      <w:r>
        <w:rPr>
          <w:rFonts w:hint="eastAsia"/>
          <w:color w:val="auto"/>
          <w:szCs w:val="28"/>
        </w:rPr>
        <w:t>日</w:t>
      </w:r>
      <w:r>
        <w:rPr>
          <w:rFonts w:hint="eastAsia"/>
          <w:color w:val="auto"/>
          <w:szCs w:val="28"/>
          <w:u w:val="single"/>
        </w:rPr>
        <w:t xml:space="preserve">     </w:t>
      </w:r>
      <w:r>
        <w:rPr>
          <w:rFonts w:hint="eastAsia"/>
          <w:color w:val="auto"/>
          <w:szCs w:val="28"/>
        </w:rPr>
        <w:t>时</w:t>
      </w:r>
      <w:r>
        <w:rPr>
          <w:rFonts w:hint="eastAsia"/>
          <w:color w:val="auto"/>
          <w:szCs w:val="28"/>
          <w:u w:val="single"/>
        </w:rPr>
        <w:t xml:space="preserve">    </w:t>
      </w:r>
      <w:r>
        <w:rPr>
          <w:rFonts w:hint="eastAsia"/>
          <w:color w:val="auto"/>
          <w:szCs w:val="28"/>
        </w:rPr>
        <w:t>分至</w:t>
      </w:r>
      <w:r>
        <w:rPr>
          <w:rFonts w:hint="eastAsia"/>
          <w:color w:val="auto"/>
          <w:szCs w:val="28"/>
          <w:u w:val="single"/>
        </w:rPr>
        <w:t xml:space="preserve">     </w:t>
      </w:r>
      <w:r>
        <w:rPr>
          <w:rFonts w:hint="eastAsia"/>
          <w:color w:val="auto"/>
          <w:szCs w:val="28"/>
        </w:rPr>
        <w:t>年</w:t>
      </w:r>
      <w:r>
        <w:rPr>
          <w:rFonts w:hint="eastAsia"/>
          <w:color w:val="auto"/>
          <w:szCs w:val="28"/>
          <w:u w:val="single"/>
        </w:rPr>
        <w:t xml:space="preserve">         </w:t>
      </w:r>
      <w:r>
        <w:rPr>
          <w:rFonts w:hint="eastAsia"/>
          <w:color w:val="auto"/>
          <w:szCs w:val="28"/>
        </w:rPr>
        <w:t xml:space="preserve">月  </w:t>
      </w:r>
      <w:r>
        <w:rPr>
          <w:rFonts w:hint="eastAsia"/>
          <w:color w:val="auto"/>
          <w:szCs w:val="28"/>
          <w:u w:val="single"/>
        </w:rPr>
        <w:t xml:space="preserve">   </w:t>
      </w:r>
      <w:r>
        <w:rPr>
          <w:rFonts w:hint="eastAsia"/>
          <w:color w:val="auto"/>
          <w:szCs w:val="28"/>
        </w:rPr>
        <w:t xml:space="preserve">日 </w:t>
      </w:r>
      <w:r>
        <w:rPr>
          <w:rFonts w:hint="eastAsia"/>
          <w:color w:val="auto"/>
          <w:szCs w:val="28"/>
          <w:u w:val="single"/>
        </w:rPr>
        <w:t xml:space="preserve">    </w:t>
      </w:r>
      <w:r>
        <w:rPr>
          <w:rFonts w:hint="eastAsia"/>
          <w:color w:val="auto"/>
          <w:szCs w:val="28"/>
        </w:rPr>
        <w:t xml:space="preserve">时 </w:t>
      </w:r>
      <w:r>
        <w:rPr>
          <w:rFonts w:hint="eastAsia"/>
          <w:color w:val="auto"/>
          <w:szCs w:val="28"/>
          <w:u w:val="single"/>
        </w:rPr>
        <w:t xml:space="preserve">   </w:t>
      </w:r>
      <w:r>
        <w:rPr>
          <w:rFonts w:hint="eastAsia"/>
          <w:color w:val="auto"/>
          <w:szCs w:val="28"/>
        </w:rPr>
        <w:t>分</w:t>
      </w:r>
    </w:p>
    <w:p>
      <w:pPr>
        <w:numPr>
          <w:ilvl w:val="0"/>
          <w:numId w:val="4"/>
        </w:numPr>
        <w:ind w:firstLine="560"/>
        <w:rPr>
          <w:color w:val="auto"/>
          <w:szCs w:val="28"/>
        </w:rPr>
      </w:pPr>
      <w:r>
        <w:rPr>
          <w:rFonts w:hint="eastAsia"/>
          <w:color w:val="auto"/>
          <w:szCs w:val="28"/>
        </w:rPr>
        <w:t>主设备情况（设备规范、制造厂、投产日期、最近一次大修日期等）：</w:t>
      </w:r>
    </w:p>
    <w:p>
      <w:pPr>
        <w:numPr>
          <w:ilvl w:val="0"/>
          <w:numId w:val="4"/>
        </w:numPr>
        <w:ind w:firstLine="560"/>
        <w:rPr>
          <w:color w:val="auto"/>
          <w:szCs w:val="28"/>
        </w:rPr>
      </w:pPr>
      <w:r>
        <w:rPr>
          <w:rFonts w:hint="eastAsia"/>
          <w:color w:val="auto"/>
          <w:szCs w:val="28"/>
        </w:rPr>
        <w:t>事件前工况：</w:t>
      </w:r>
    </w:p>
    <w:p>
      <w:pPr>
        <w:numPr>
          <w:ilvl w:val="0"/>
          <w:numId w:val="4"/>
        </w:numPr>
        <w:ind w:firstLine="560"/>
        <w:rPr>
          <w:color w:val="auto"/>
          <w:szCs w:val="28"/>
        </w:rPr>
      </w:pPr>
      <w:r>
        <w:rPr>
          <w:rFonts w:hint="eastAsia"/>
          <w:color w:val="auto"/>
          <w:szCs w:val="28"/>
        </w:rPr>
        <w:t>事件发生、扩大和处理情况：</w:t>
      </w:r>
    </w:p>
    <w:p>
      <w:pPr>
        <w:numPr>
          <w:ilvl w:val="0"/>
          <w:numId w:val="4"/>
        </w:numPr>
        <w:ind w:firstLine="560"/>
        <w:rPr>
          <w:color w:val="auto"/>
          <w:szCs w:val="28"/>
        </w:rPr>
      </w:pPr>
      <w:r>
        <w:rPr>
          <w:rFonts w:hint="eastAsia"/>
          <w:color w:val="auto"/>
          <w:szCs w:val="28"/>
        </w:rPr>
        <w:t>事件原因及扩大原因：</w:t>
      </w:r>
    </w:p>
    <w:p>
      <w:pPr>
        <w:numPr>
          <w:ilvl w:val="0"/>
          <w:numId w:val="4"/>
        </w:numPr>
        <w:ind w:firstLine="560"/>
        <w:rPr>
          <w:color w:val="auto"/>
          <w:szCs w:val="28"/>
        </w:rPr>
      </w:pPr>
      <w:r>
        <w:rPr>
          <w:rFonts w:hint="eastAsia"/>
          <w:color w:val="auto"/>
          <w:szCs w:val="28"/>
        </w:rPr>
        <w:t>事件损失情况（环境破坏程度、环境设施损坏情况、直接经济损失等）：</w:t>
      </w:r>
    </w:p>
    <w:p>
      <w:pPr>
        <w:numPr>
          <w:ilvl w:val="0"/>
          <w:numId w:val="4"/>
        </w:numPr>
        <w:ind w:firstLine="560"/>
        <w:rPr>
          <w:color w:val="auto"/>
          <w:szCs w:val="28"/>
        </w:rPr>
      </w:pPr>
      <w:r>
        <w:rPr>
          <w:rFonts w:hint="eastAsia"/>
          <w:color w:val="auto"/>
          <w:szCs w:val="28"/>
        </w:rPr>
        <w:t>事件暴露问题：</w:t>
      </w:r>
    </w:p>
    <w:p>
      <w:pPr>
        <w:numPr>
          <w:ilvl w:val="0"/>
          <w:numId w:val="4"/>
        </w:numPr>
        <w:ind w:firstLine="560"/>
        <w:rPr>
          <w:color w:val="auto"/>
          <w:szCs w:val="28"/>
        </w:rPr>
      </w:pPr>
      <w:r>
        <w:rPr>
          <w:rFonts w:hint="eastAsia"/>
          <w:color w:val="auto"/>
          <w:szCs w:val="28"/>
        </w:rPr>
        <w:t>防止事件重复发生的对策、执行人和完成日期:</w:t>
      </w:r>
    </w:p>
    <w:p>
      <w:pPr>
        <w:numPr>
          <w:ilvl w:val="0"/>
          <w:numId w:val="4"/>
        </w:numPr>
        <w:ind w:firstLine="560"/>
        <w:rPr>
          <w:color w:val="auto"/>
          <w:szCs w:val="28"/>
        </w:rPr>
      </w:pPr>
      <w:r>
        <w:rPr>
          <w:rFonts w:hint="eastAsia"/>
          <w:color w:val="auto"/>
          <w:szCs w:val="28"/>
        </w:rPr>
        <w:t>事件责任分析和对事件责任者的处理意见：</w:t>
      </w:r>
    </w:p>
    <w:p>
      <w:pPr>
        <w:numPr>
          <w:ilvl w:val="0"/>
          <w:numId w:val="4"/>
        </w:numPr>
        <w:ind w:firstLine="560"/>
        <w:rPr>
          <w:color w:val="auto"/>
          <w:szCs w:val="28"/>
        </w:rPr>
      </w:pPr>
      <w:r>
        <w:rPr>
          <w:rFonts w:hint="eastAsia"/>
          <w:color w:val="auto"/>
          <w:szCs w:val="28"/>
        </w:rPr>
        <w:t>参加事件调查组的单位及成员名单及签名：</w:t>
      </w:r>
    </w:p>
    <w:p>
      <w:pPr>
        <w:numPr>
          <w:ilvl w:val="0"/>
          <w:numId w:val="4"/>
        </w:numPr>
        <w:ind w:firstLine="560"/>
        <w:rPr>
          <w:color w:val="auto"/>
          <w:szCs w:val="28"/>
        </w:rPr>
      </w:pPr>
      <w:r>
        <w:rPr>
          <w:rFonts w:hint="eastAsia"/>
          <w:color w:val="auto"/>
          <w:szCs w:val="28"/>
        </w:rPr>
        <w:t>附件清单（包括图纸、资料、原始记录、笔录、试验和分析计算资料、照片录像等）：</w:t>
      </w:r>
    </w:p>
    <w:p>
      <w:pPr>
        <w:ind w:firstLine="560"/>
        <w:rPr>
          <w:color w:val="auto"/>
          <w:szCs w:val="28"/>
        </w:rPr>
      </w:pPr>
      <w:r>
        <w:rPr>
          <w:rFonts w:hint="eastAsia"/>
          <w:color w:val="auto"/>
          <w:szCs w:val="28"/>
        </w:rPr>
        <w:t xml:space="preserve">                      事件调查组组长、副组长签字：</w:t>
      </w:r>
      <w:r>
        <w:rPr>
          <w:rFonts w:hint="eastAsia"/>
          <w:color w:val="auto"/>
          <w:szCs w:val="28"/>
          <w:u w:val="single"/>
        </w:rPr>
        <w:t xml:space="preserve">           </w:t>
      </w:r>
    </w:p>
    <w:p>
      <w:pPr>
        <w:ind w:firstLine="560"/>
        <w:rPr>
          <w:color w:val="auto"/>
          <w:szCs w:val="28"/>
        </w:rPr>
      </w:pPr>
      <w:r>
        <w:rPr>
          <w:rFonts w:hint="eastAsia"/>
          <w:color w:val="auto"/>
          <w:szCs w:val="28"/>
        </w:rPr>
        <w:t xml:space="preserve">                      主持事件调查单位负责人：</w:t>
      </w:r>
      <w:r>
        <w:rPr>
          <w:rFonts w:hint="eastAsia"/>
          <w:color w:val="auto"/>
          <w:szCs w:val="28"/>
          <w:u w:val="single"/>
        </w:rPr>
        <w:t xml:space="preserve">               </w:t>
      </w:r>
    </w:p>
    <w:p>
      <w:pPr>
        <w:ind w:firstLine="560"/>
        <w:rPr>
          <w:color w:val="auto"/>
          <w:szCs w:val="28"/>
        </w:rPr>
      </w:pPr>
      <w:r>
        <w:rPr>
          <w:rFonts w:hint="eastAsia"/>
          <w:color w:val="auto"/>
          <w:szCs w:val="28"/>
        </w:rPr>
        <w:t xml:space="preserve">                      主持事件调查单位盖章：</w:t>
      </w:r>
      <w:r>
        <w:rPr>
          <w:rFonts w:hint="eastAsia"/>
          <w:color w:val="auto"/>
          <w:szCs w:val="28"/>
          <w:u w:val="single"/>
        </w:rPr>
        <w:t xml:space="preserve">                 </w:t>
      </w:r>
    </w:p>
    <w:p>
      <w:pPr>
        <w:ind w:firstLine="560"/>
        <w:rPr>
          <w:color w:val="auto"/>
          <w:szCs w:val="28"/>
        </w:rPr>
      </w:pPr>
      <w:r>
        <w:rPr>
          <w:rFonts w:hint="eastAsia"/>
          <w:color w:val="auto"/>
          <w:szCs w:val="28"/>
        </w:rPr>
        <w:t xml:space="preserve">                      报出日期：       年    月 </w:t>
      </w:r>
    </w:p>
    <w:p>
      <w:pPr>
        <w:ind w:firstLine="560"/>
        <w:rPr>
          <w:color w:val="auto"/>
          <w:szCs w:val="28"/>
        </w:rPr>
      </w:pPr>
    </w:p>
    <w:p>
      <w:pPr>
        <w:pStyle w:val="38"/>
        <w:ind w:firstLine="0" w:firstLineChars="0"/>
        <w:rPr>
          <w:rFonts w:hint="default" w:ascii="Times New Roman" w:hAnsi="Times New Roman"/>
          <w:color w:val="auto"/>
          <w:lang w:eastAsia="zh-CN"/>
        </w:rPr>
      </w:pPr>
    </w:p>
    <w:sectPr>
      <w:pgSz w:w="11906" w:h="16838"/>
      <w:pgMar w:top="1418" w:right="1418" w:bottom="1418" w:left="1418" w:header="851" w:footer="992" w:gutter="0"/>
      <w:pgNumType w:fmt="numberInDash"/>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华文中宋">
    <w:altName w:val="宋体"/>
    <w:panose1 w:val="02010600040101010101"/>
    <w:charset w:val="86"/>
    <w:family w:val="auto"/>
    <w:pitch w:val="default"/>
    <w:sig w:usb0="00000000" w:usb1="00000000" w:usb2="00000010" w:usb3="00000000" w:csb0="0004009F" w:csb1="00000000"/>
  </w:font>
  <w:font w:name="新宋体">
    <w:panose1 w:val="02010609030101010101"/>
    <w:charset w:val="86"/>
    <w:family w:val="modern"/>
    <w:pitch w:val="default"/>
    <w:sig w:usb0="00000003" w:usb1="288F0000" w:usb2="00000006" w:usb3="00000000" w:csb0="00040001" w:csb1="00000000"/>
  </w:font>
  <w:font w:name="TimesNewRoman">
    <w:altName w:val="宋体"/>
    <w:panose1 w:val="00000000000000000000"/>
    <w:charset w:val="86"/>
    <w:family w:val="auto"/>
    <w:pitch w:val="default"/>
    <w:sig w:usb0="00000000" w:usb1="00000000" w:usb2="00000010" w:usb3="00000000" w:csb0="00040001" w:csb1="00000000"/>
  </w:font>
  <w:font w:name="Microsoft JhengHei">
    <w:panose1 w:val="020B0604030504040204"/>
    <w:charset w:val="88"/>
    <w:family w:val="swiss"/>
    <w:pitch w:val="default"/>
    <w:sig w:usb0="00000087" w:usb1="28AF4000" w:usb2="00000016" w:usb3="00000000" w:csb0="00100009" w:csb1="00000000"/>
  </w:font>
  <w:font w:name="MingLiU">
    <w:panose1 w:val="02020509000000000000"/>
    <w:charset w:val="88"/>
    <w:family w:val="modern"/>
    <w:pitch w:val="default"/>
    <w:sig w:usb0="A00002FF" w:usb1="28CFFCFA" w:usb2="00000016" w:usb3="00000000" w:csb0="00100001" w:csb1="00000000"/>
  </w:font>
  <w:font w:name="Cambria">
    <w:panose1 w:val="02040503050406030204"/>
    <w:charset w:val="00"/>
    <w:family w:val="roman"/>
    <w:pitch w:val="default"/>
    <w:sig w:usb0="E00002FF" w:usb1="400004FF" w:usb2="00000000"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PMingLiU">
    <w:panose1 w:val="02020500000000000000"/>
    <w:charset w:val="88"/>
    <w:family w:val="roman"/>
    <w:pitch w:val="default"/>
    <w:sig w:usb0="A00002FF" w:usb1="28CFFCFA" w:usb2="00000016" w:usb3="00000000" w:csb0="00100001" w:csb1="00000000"/>
  </w:font>
  <w:font w:name="微软雅黑">
    <w:panose1 w:val="020B0503020204020204"/>
    <w:charset w:val="86"/>
    <w:family w:val="swiss"/>
    <w:pitch w:val="default"/>
    <w:sig w:usb0="80000287" w:usb1="280F3C52" w:usb2="00000016" w:usb3="00000000" w:csb0="0004001F" w:csb1="00000000"/>
  </w:font>
  <w:font w:name="PingFangSC-Medium">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Arial">
    <w:panose1 w:val="020B06040202020202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K4U2Rn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ind w:left="0" w:leftChars="0" w:firstLine="0" w:firstLineChars="0"/>
                            <w:rPr>
                              <w:rFonts w:hint="default" w:eastAsia="仿宋"/>
                              <w:sz w:val="21"/>
                              <w:szCs w:val="21"/>
                              <w:lang w:val="en-US" w:eastAsia="zh-CN"/>
                            </w:rPr>
                          </w:pPr>
                          <w:r>
                            <w:rPr>
                              <w:rFonts w:hint="eastAsia"/>
                              <w:sz w:val="21"/>
                              <w:szCs w:val="21"/>
                              <w:lang w:eastAsia="zh-CN"/>
                            </w:rPr>
                            <w:fldChar w:fldCharType="begin"/>
                          </w:r>
                          <w:r>
                            <w:rPr>
                              <w:rFonts w:hint="eastAsia"/>
                              <w:sz w:val="21"/>
                              <w:szCs w:val="21"/>
                              <w:lang w:eastAsia="zh-CN"/>
                            </w:rPr>
                            <w:instrText xml:space="preserve"> PAGE  \* MERGEFORMAT </w:instrText>
                          </w:r>
                          <w:r>
                            <w:rPr>
                              <w:rFonts w:hint="eastAsia"/>
                              <w:sz w:val="21"/>
                              <w:szCs w:val="21"/>
                              <w:lang w:eastAsia="zh-CN"/>
                            </w:rPr>
                            <w:fldChar w:fldCharType="separate"/>
                          </w:r>
                          <w:r>
                            <w:rPr>
                              <w:rFonts w:hint="eastAsia"/>
                              <w:sz w:val="21"/>
                              <w:szCs w:val="21"/>
                              <w:lang w:eastAsia="zh-CN"/>
                            </w:rPr>
                            <w:t>I</w:t>
                          </w:r>
                          <w:r>
                            <w:rPr>
                              <w:rFonts w:hint="eastAsia"/>
                              <w:sz w:val="21"/>
                              <w:szCs w:val="21"/>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Cvns90CAAAmBgAADgAAAAAAAAABACAAAAAfAQAAZHJzL2Uyb0RvYy54bWxQSwUG&#10;AAAAAAYABgBZAQAAbgYAAAAA&#10;">
              <v:fill on="f" focussize="0,0"/>
              <v:stroke on="f" weight="0.5pt"/>
              <v:imagedata o:title=""/>
              <o:lock v:ext="edit" aspectratio="f"/>
              <v:textbox inset="0mm,0mm,0mm,0mm" style="mso-fit-shape-to-text:t;">
                <w:txbxContent>
                  <w:p>
                    <w:pPr>
                      <w:pStyle w:val="23"/>
                      <w:ind w:left="0" w:leftChars="0" w:firstLine="0" w:firstLineChars="0"/>
                      <w:rPr>
                        <w:rFonts w:hint="default" w:eastAsia="仿宋"/>
                        <w:sz w:val="21"/>
                        <w:szCs w:val="21"/>
                        <w:lang w:val="en-US" w:eastAsia="zh-CN"/>
                      </w:rPr>
                    </w:pPr>
                    <w:r>
                      <w:rPr>
                        <w:rFonts w:hint="eastAsia"/>
                        <w:sz w:val="21"/>
                        <w:szCs w:val="21"/>
                        <w:lang w:eastAsia="zh-CN"/>
                      </w:rPr>
                      <w:fldChar w:fldCharType="begin"/>
                    </w:r>
                    <w:r>
                      <w:rPr>
                        <w:rFonts w:hint="eastAsia"/>
                        <w:sz w:val="21"/>
                        <w:szCs w:val="21"/>
                        <w:lang w:eastAsia="zh-CN"/>
                      </w:rPr>
                      <w:instrText xml:space="preserve"> PAGE  \* MERGEFORMAT </w:instrText>
                    </w:r>
                    <w:r>
                      <w:rPr>
                        <w:rFonts w:hint="eastAsia"/>
                        <w:sz w:val="21"/>
                        <w:szCs w:val="21"/>
                        <w:lang w:eastAsia="zh-CN"/>
                      </w:rPr>
                      <w:fldChar w:fldCharType="separate"/>
                    </w:r>
                    <w:r>
                      <w:rPr>
                        <w:rFonts w:hint="eastAsia"/>
                        <w:sz w:val="21"/>
                        <w:szCs w:val="21"/>
                        <w:lang w:eastAsia="zh-CN"/>
                      </w:rPr>
                      <w:t>I</w:t>
                    </w:r>
                    <w:r>
                      <w:rPr>
                        <w:rFonts w:hint="eastAsia"/>
                        <w:sz w:val="21"/>
                        <w:szCs w:val="21"/>
                        <w:lang w:eastAsia="zh-CN"/>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sz w:val="21"/>
                              <w:szCs w:val="21"/>
                              <w:lang w:eastAsia="zh-CN"/>
                            </w:rPr>
                            <w:fldChar w:fldCharType="begin"/>
                          </w:r>
                          <w:r>
                            <w:rPr>
                              <w:rFonts w:hint="eastAsia"/>
                              <w:sz w:val="21"/>
                              <w:szCs w:val="21"/>
                              <w:lang w:eastAsia="zh-CN"/>
                            </w:rPr>
                            <w:instrText xml:space="preserve"> PAGE  \* MERGEFORMAT </w:instrText>
                          </w:r>
                          <w:r>
                            <w:rPr>
                              <w:rFonts w:hint="eastAsia"/>
                              <w:sz w:val="21"/>
                              <w:szCs w:val="21"/>
                              <w:lang w:eastAsia="zh-CN"/>
                            </w:rPr>
                            <w:fldChar w:fldCharType="separate"/>
                          </w:r>
                          <w:r>
                            <w:rPr>
                              <w:rFonts w:hint="eastAsia"/>
                              <w:sz w:val="21"/>
                              <w:szCs w:val="21"/>
                              <w:lang w:eastAsia="zh-CN"/>
                            </w:rPr>
                            <w:t>II</w:t>
                          </w:r>
                          <w:r>
                            <w:rPr>
                              <w:rFonts w:hint="eastAsia"/>
                              <w:sz w:val="21"/>
                              <w:szCs w:val="21"/>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ENs1Jb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sz w:val="21"/>
                        <w:szCs w:val="21"/>
                        <w:lang w:eastAsia="zh-CN"/>
                      </w:rPr>
                      <w:fldChar w:fldCharType="begin"/>
                    </w:r>
                    <w:r>
                      <w:rPr>
                        <w:rFonts w:hint="eastAsia"/>
                        <w:sz w:val="21"/>
                        <w:szCs w:val="21"/>
                        <w:lang w:eastAsia="zh-CN"/>
                      </w:rPr>
                      <w:instrText xml:space="preserve"> PAGE  \* MERGEFORMAT </w:instrText>
                    </w:r>
                    <w:r>
                      <w:rPr>
                        <w:rFonts w:hint="eastAsia"/>
                        <w:sz w:val="21"/>
                        <w:szCs w:val="21"/>
                        <w:lang w:eastAsia="zh-CN"/>
                      </w:rPr>
                      <w:fldChar w:fldCharType="separate"/>
                    </w:r>
                    <w:r>
                      <w:rPr>
                        <w:rFonts w:hint="eastAsia"/>
                        <w:sz w:val="21"/>
                        <w:szCs w:val="21"/>
                        <w:lang w:eastAsia="zh-CN"/>
                      </w:rPr>
                      <w:t>II</w:t>
                    </w:r>
                    <w:r>
                      <w:rPr>
                        <w:rFonts w:hint="eastAsia"/>
                        <w:sz w:val="21"/>
                        <w:szCs w:val="21"/>
                        <w:lang w:eastAsia="zh-CN"/>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XXXV</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BVT6jz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XXXV</w:t>
                    </w:r>
                    <w:r>
                      <w:rPr>
                        <w:rFonts w:hint="eastAsia"/>
                        <w:lang w:eastAsia="zh-CN"/>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LXXIX</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DXjstz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LXXIX</w:t>
                    </w:r>
                    <w:r>
                      <w:rPr>
                        <w:rFonts w:hint="eastAsia"/>
                        <w:lang w:eastAsia="zh-CN"/>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GPcjHb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LXXXI</w:t>
                    </w:r>
                    <w:r>
                      <w:rPr>
                        <w:rFonts w:hint="eastAsia"/>
                        <w:lang w:eastAsia="zh-CN"/>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LXXXIII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Nibv1P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LXXXIII</w:t>
                    </w:r>
                    <w:r>
                      <w:rPr>
                        <w:rFonts w:hint="eastAsia"/>
                        <w:lang w:eastAsia="zh-CN"/>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LXXXVI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I6kgfn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LXXXVI</w:t>
                    </w:r>
                    <w:r>
                      <w:rPr>
                        <w:rFonts w:hint="eastAsia"/>
                        <w:lang w:eastAsia="zh-CN"/>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LXXXVIII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Nn9f0j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LXXXVIII</w:t>
                    </w:r>
                    <w:r>
                      <w:rPr>
                        <w:rFonts w:hint="eastAsia"/>
                        <w:lang w:eastAsia="zh-CN"/>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I/CQeL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XCI</w:t>
                    </w:r>
                    <w:r>
                      <w:rPr>
                        <w:rFonts w:hint="eastAsia"/>
                        <w:lang w:eastAsia="zh-CN"/>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XCIV</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ZsVyLd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1mxXIt0CAAAmBgAADgAAAAAAAAABACAAAAAfAQAAZHJzL2Uyb0RvYy54bWxQSwUG&#10;AAAAAAYABgBZAQAAbgY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XCIV</w:t>
                    </w:r>
                    <w:r>
                      <w:rPr>
                        <w:rFonts w:hint="eastAsia"/>
                        <w:lang w:eastAsia="zh-CN"/>
                      </w:rP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XCVI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gFNpiN0CAAAmBgAADgAAAAAAAAABACAAAAAfAQAAZHJzL2Uyb0RvYy54bWxQSwUG&#10;AAAAAAYABgBZAQAAbgY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XCVI</w:t>
                    </w:r>
                    <w:r>
                      <w:rPr>
                        <w:rFonts w:hint="eastAsia"/>
                        <w:lang w:eastAsia="zh-CN"/>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XCVII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sUWq3e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DsUWq3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XCVII</w:t>
                    </w:r>
                    <w:r>
                      <w:rPr>
                        <w:rFonts w:hint="eastAsia"/>
                        <w:lang w:eastAsia="zh-CN"/>
                      </w:rP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XCVIII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G0rZAf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XCVIII</w:t>
                    </w:r>
                    <w:r>
                      <w:rPr>
                        <w:rFonts w:hint="eastAsia"/>
                        <w:lang w:eastAsia="zh-CN"/>
                      </w:rP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XCIX</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2bPOfe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E2bPOf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XCIX</w:t>
                    </w:r>
                    <w:r>
                      <w:rPr>
                        <w:rFonts w:hint="eastAsia"/>
                        <w:lang w:eastAsia="zh-CN"/>
                      </w:rP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C</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BukAk3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C</w:t>
                    </w:r>
                    <w:r>
                      <w:rPr>
                        <w:rFonts w:hint="eastAsia"/>
                        <w:lang w:eastAsia="zh-CN"/>
                      </w:rP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ind w:firstLine="360"/>
    </w:pPr>
    <w:r>
      <w:rPr>
        <w:sz w:val="18"/>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3"/>
                            <w:rPr>
                              <w:rFonts w:hint="eastAsia" w:eastAsia="仿宋"/>
                              <w:sz w:val="21"/>
                              <w:szCs w:val="21"/>
                              <w:lang w:eastAsia="zh-CN"/>
                            </w:rPr>
                          </w:pPr>
                          <w:r>
                            <w:rPr>
                              <w:rFonts w:hint="eastAsia"/>
                              <w:sz w:val="21"/>
                              <w:szCs w:val="21"/>
                              <w:lang w:eastAsia="zh-CN"/>
                            </w:rPr>
                            <w:fldChar w:fldCharType="begin"/>
                          </w:r>
                          <w:r>
                            <w:rPr>
                              <w:rFonts w:hint="eastAsia"/>
                              <w:sz w:val="21"/>
                              <w:szCs w:val="21"/>
                              <w:lang w:eastAsia="zh-CN"/>
                            </w:rPr>
                            <w:instrText xml:space="preserve"> PAGE  \* MERGEFORMAT </w:instrText>
                          </w:r>
                          <w:r>
                            <w:rPr>
                              <w:rFonts w:hint="eastAsia"/>
                              <w:sz w:val="21"/>
                              <w:szCs w:val="21"/>
                              <w:lang w:eastAsia="zh-CN"/>
                            </w:rPr>
                            <w:fldChar w:fldCharType="separate"/>
                          </w:r>
                          <w:r>
                            <w:rPr>
                              <w:rFonts w:hint="eastAsia"/>
                              <w:sz w:val="21"/>
                              <w:szCs w:val="21"/>
                              <w:lang w:eastAsia="zh-CN"/>
                            </w:rPr>
                            <w:t>CI</w:t>
                          </w:r>
                          <w:r>
                            <w:rPr>
                              <w:rFonts w:hint="eastAsia"/>
                              <w:sz w:val="21"/>
                              <w:szCs w:val="21"/>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DjMWje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KDjMWjeAgAAJgYAAA4AAAAAAAAAAQAgAAAAHwEAAGRycy9lMm9Eb2MueG1sUEsF&#10;BgAAAAAGAAYAWQEAAG8GAAAAAA==&#10;">
              <v:fill on="f" focussize="0,0"/>
              <v:stroke on="f" weight="0.5pt"/>
              <v:imagedata o:title=""/>
              <o:lock v:ext="edit" aspectratio="f"/>
              <v:textbox inset="0mm,0mm,0mm,0mm" style="mso-fit-shape-to-text:t;">
                <w:txbxContent>
                  <w:p>
                    <w:pPr>
                      <w:pStyle w:val="23"/>
                      <w:rPr>
                        <w:rFonts w:hint="eastAsia" w:eastAsia="仿宋"/>
                        <w:sz w:val="21"/>
                        <w:szCs w:val="21"/>
                        <w:lang w:eastAsia="zh-CN"/>
                      </w:rPr>
                    </w:pPr>
                    <w:r>
                      <w:rPr>
                        <w:rFonts w:hint="eastAsia"/>
                        <w:sz w:val="21"/>
                        <w:szCs w:val="21"/>
                        <w:lang w:eastAsia="zh-CN"/>
                      </w:rPr>
                      <w:fldChar w:fldCharType="begin"/>
                    </w:r>
                    <w:r>
                      <w:rPr>
                        <w:rFonts w:hint="eastAsia"/>
                        <w:sz w:val="21"/>
                        <w:szCs w:val="21"/>
                        <w:lang w:eastAsia="zh-CN"/>
                      </w:rPr>
                      <w:instrText xml:space="preserve"> PAGE  \* MERGEFORMAT </w:instrText>
                    </w:r>
                    <w:r>
                      <w:rPr>
                        <w:rFonts w:hint="eastAsia"/>
                        <w:sz w:val="21"/>
                        <w:szCs w:val="21"/>
                        <w:lang w:eastAsia="zh-CN"/>
                      </w:rPr>
                      <w:fldChar w:fldCharType="separate"/>
                    </w:r>
                    <w:r>
                      <w:rPr>
                        <w:rFonts w:hint="eastAsia"/>
                        <w:sz w:val="21"/>
                        <w:szCs w:val="21"/>
                        <w:lang w:eastAsia="zh-CN"/>
                      </w:rPr>
                      <w:t>CI</w:t>
                    </w:r>
                    <w:r>
                      <w:rPr>
                        <w:rFonts w:hint="eastAsia"/>
                        <w:sz w:val="21"/>
                        <w:szCs w:val="21"/>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420"/>
      <w:rPr>
        <w:sz w:val="21"/>
        <w:szCs w:val="21"/>
      </w:rPr>
    </w:pPr>
    <w:r>
      <w:rPr>
        <w:rFonts w:hint="eastAsia" w:ascii="仿宋" w:hAnsi="仿宋" w:eastAsia="仿宋" w:cs="仿宋"/>
        <w:sz w:val="21"/>
        <w:szCs w:val="21"/>
      </w:rPr>
      <w:t>陕西渭河发电有限公司突发环境事件应急预案</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ind w:firstLine="360"/>
      <w:rPr>
        <w:sz w:val="21"/>
        <w:szCs w:val="21"/>
      </w:rPr>
    </w:pPr>
    <w:r>
      <w:tab/>
    </w:r>
    <w:r>
      <w:rPr>
        <w:rFonts w:hint="eastAsia" w:ascii="仿宋" w:hAnsi="仿宋" w:eastAsia="仿宋" w:cs="仿宋"/>
        <w:sz w:val="21"/>
        <w:szCs w:val="21"/>
      </w:rPr>
      <w:t>陕西渭河发电有限公司突发环境事件应急预案</w:t>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9E0376"/>
    <w:multiLevelType w:val="multilevel"/>
    <w:tmpl w:val="249E0376"/>
    <w:lvl w:ilvl="0" w:tentative="0">
      <w:start w:val="1"/>
      <w:numFmt w:val="decimal"/>
      <w:pStyle w:val="78"/>
      <w:isLgl/>
      <w:suff w:val="space"/>
      <w:lvlText w:val="%1"/>
      <w:lvlJc w:val="left"/>
      <w:pPr>
        <w:ind w:left="1701" w:firstLine="0"/>
      </w:pPr>
      <w:rPr>
        <w:rFonts w:hint="default" w:ascii="Times New Roman" w:hAnsi="Times New Roman" w:eastAsia="宋体"/>
        <w:b/>
        <w:i w:val="0"/>
        <w:sz w:val="32"/>
      </w:rPr>
    </w:lvl>
    <w:lvl w:ilvl="1" w:tentative="0">
      <w:start w:val="1"/>
      <w:numFmt w:val="decimal"/>
      <w:pStyle w:val="75"/>
      <w:isLgl/>
      <w:suff w:val="space"/>
      <w:lvlText w:val="%1.%2"/>
      <w:lvlJc w:val="left"/>
      <w:pPr>
        <w:ind w:left="1276" w:firstLine="0"/>
      </w:pPr>
      <w:rPr>
        <w:rFonts w:hint="default" w:ascii="Times New Roman" w:hAnsi="Times New Roman" w:eastAsia="宋体"/>
        <w:b/>
        <w:i w:val="0"/>
        <w:sz w:val="30"/>
      </w:rPr>
    </w:lvl>
    <w:lvl w:ilvl="2" w:tentative="0">
      <w:start w:val="1"/>
      <w:numFmt w:val="decimal"/>
      <w:pStyle w:val="114"/>
      <w:isLgl/>
      <w:suff w:val="space"/>
      <w:lvlText w:val="%1.%2.%3"/>
      <w:lvlJc w:val="left"/>
      <w:pPr>
        <w:ind w:left="0" w:firstLine="0"/>
      </w:pPr>
      <w:rPr>
        <w:rFonts w:hint="default" w:ascii="Times New Roman" w:hAnsi="Times New Roman" w:eastAsia="宋体"/>
        <w:b/>
        <w:i w:val="0"/>
        <w:sz w:val="28"/>
      </w:rPr>
    </w:lvl>
    <w:lvl w:ilvl="3" w:tentative="0">
      <w:start w:val="1"/>
      <w:numFmt w:val="decimal"/>
      <w:pStyle w:val="49"/>
      <w:isLgl/>
      <w:suff w:val="space"/>
      <w:lvlText w:val="%1.%2.%3.%4"/>
      <w:lvlJc w:val="left"/>
      <w:pPr>
        <w:ind w:left="2835" w:firstLine="0"/>
      </w:pPr>
      <w:rPr>
        <w:rFonts w:hint="default" w:ascii="Times New Roman" w:hAnsi="Times New Roman" w:eastAsia="宋体"/>
        <w:b/>
        <w:i w:val="0"/>
        <w:sz w:val="24"/>
      </w:rPr>
    </w:lvl>
    <w:lvl w:ilvl="4" w:tentative="0">
      <w:start w:val="1"/>
      <w:numFmt w:val="decimal"/>
      <w:lvlRestart w:val="2"/>
      <w:pStyle w:val="86"/>
      <w:isLgl/>
      <w:lvlText w:val="表%1.%2-%5"/>
      <w:lvlJc w:val="left"/>
      <w:pPr>
        <w:tabs>
          <w:tab w:val="left" w:pos="7796"/>
        </w:tabs>
        <w:ind w:left="5812" w:firstLine="0"/>
      </w:pPr>
      <w:rPr>
        <w:rFonts w:hint="default" w:ascii="Times New Roman" w:hAnsi="Times New Roman" w:cs="Times New Roman"/>
        <w:b w:val="0"/>
        <w:bCs w:val="0"/>
        <w:i w:val="0"/>
        <w:iCs w:val="0"/>
        <w:caps w:val="0"/>
        <w:smallCaps w:val="0"/>
        <w:strike w:val="0"/>
        <w:dstrike w:val="0"/>
        <w:vanish w:val="0"/>
        <w:color w:val="auto"/>
        <w:spacing w:val="0"/>
        <w:kern w:val="0"/>
        <w:position w:val="0"/>
        <w:sz w:val="21"/>
        <w:szCs w:val="21"/>
        <w:u w:val="none"/>
        <w:vertAlign w:val="baseline"/>
        <w:lang w:val="en-US"/>
      </w:rPr>
    </w:lvl>
    <w:lvl w:ilvl="5" w:tentative="0">
      <w:start w:val="1"/>
      <w:numFmt w:val="decimal"/>
      <w:lvlRestart w:val="2"/>
      <w:pStyle w:val="70"/>
      <w:isLgl/>
      <w:lvlText w:val="图%1.%2-%6"/>
      <w:lvlJc w:val="left"/>
      <w:pPr>
        <w:ind w:left="4677" w:firstLine="0"/>
      </w:pPr>
      <w:rPr>
        <w:rFonts w:hint="default" w:ascii="Times New Roman" w:hAnsi="Times New Roman" w:eastAsia="宋体"/>
        <w:b/>
        <w:i w:val="0"/>
        <w:sz w:val="21"/>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1">
    <w:nsid w:val="3A4074C6"/>
    <w:multiLevelType w:val="multilevel"/>
    <w:tmpl w:val="3A4074C6"/>
    <w:lvl w:ilvl="0" w:tentative="0">
      <w:start w:val="1"/>
      <w:numFmt w:val="japaneseCounting"/>
      <w:lvlText w:val="%1、"/>
      <w:lvlJc w:val="left"/>
      <w:pPr>
        <w:tabs>
          <w:tab w:val="left" w:pos="960"/>
        </w:tabs>
        <w:ind w:left="960" w:hanging="480"/>
      </w:pPr>
      <w:rPr>
        <w:rFonts w:cs="Times New Roman"/>
      </w:rPr>
    </w:lvl>
    <w:lvl w:ilvl="1" w:tentative="0">
      <w:start w:val="1"/>
      <w:numFmt w:val="lowerLetter"/>
      <w:lvlText w:val="%2)"/>
      <w:lvlJc w:val="left"/>
      <w:pPr>
        <w:tabs>
          <w:tab w:val="left" w:pos="1320"/>
        </w:tabs>
        <w:ind w:left="1320" w:hanging="420"/>
      </w:pPr>
      <w:rPr>
        <w:rFonts w:cs="Times New Roman"/>
      </w:rPr>
    </w:lvl>
    <w:lvl w:ilvl="2" w:tentative="0">
      <w:start w:val="1"/>
      <w:numFmt w:val="lowerRoman"/>
      <w:lvlText w:val="%3."/>
      <w:lvlJc w:val="right"/>
      <w:pPr>
        <w:tabs>
          <w:tab w:val="left" w:pos="1740"/>
        </w:tabs>
        <w:ind w:left="1740" w:hanging="420"/>
      </w:pPr>
      <w:rPr>
        <w:rFonts w:cs="Times New Roman"/>
      </w:rPr>
    </w:lvl>
    <w:lvl w:ilvl="3" w:tentative="0">
      <w:start w:val="1"/>
      <w:numFmt w:val="decimal"/>
      <w:lvlText w:val="%4."/>
      <w:lvlJc w:val="left"/>
      <w:pPr>
        <w:tabs>
          <w:tab w:val="left" w:pos="2160"/>
        </w:tabs>
        <w:ind w:left="2160" w:hanging="420"/>
      </w:pPr>
      <w:rPr>
        <w:rFonts w:cs="Times New Roman"/>
      </w:rPr>
    </w:lvl>
    <w:lvl w:ilvl="4" w:tentative="0">
      <w:start w:val="1"/>
      <w:numFmt w:val="lowerLetter"/>
      <w:lvlText w:val="%5)"/>
      <w:lvlJc w:val="left"/>
      <w:pPr>
        <w:tabs>
          <w:tab w:val="left" w:pos="2580"/>
        </w:tabs>
        <w:ind w:left="2580" w:hanging="420"/>
      </w:pPr>
      <w:rPr>
        <w:rFonts w:cs="Times New Roman"/>
      </w:rPr>
    </w:lvl>
    <w:lvl w:ilvl="5" w:tentative="0">
      <w:start w:val="1"/>
      <w:numFmt w:val="lowerRoman"/>
      <w:lvlText w:val="%6."/>
      <w:lvlJc w:val="right"/>
      <w:pPr>
        <w:tabs>
          <w:tab w:val="left" w:pos="3000"/>
        </w:tabs>
        <w:ind w:left="3000" w:hanging="420"/>
      </w:pPr>
      <w:rPr>
        <w:rFonts w:cs="Times New Roman"/>
      </w:rPr>
    </w:lvl>
    <w:lvl w:ilvl="6" w:tentative="0">
      <w:start w:val="1"/>
      <w:numFmt w:val="decimal"/>
      <w:lvlText w:val="%7."/>
      <w:lvlJc w:val="left"/>
      <w:pPr>
        <w:tabs>
          <w:tab w:val="left" w:pos="3420"/>
        </w:tabs>
        <w:ind w:left="3420" w:hanging="420"/>
      </w:pPr>
      <w:rPr>
        <w:rFonts w:cs="Times New Roman"/>
      </w:rPr>
    </w:lvl>
    <w:lvl w:ilvl="7" w:tentative="0">
      <w:start w:val="1"/>
      <w:numFmt w:val="lowerLetter"/>
      <w:lvlText w:val="%8)"/>
      <w:lvlJc w:val="left"/>
      <w:pPr>
        <w:tabs>
          <w:tab w:val="left" w:pos="3840"/>
        </w:tabs>
        <w:ind w:left="3840" w:hanging="420"/>
      </w:pPr>
      <w:rPr>
        <w:rFonts w:cs="Times New Roman"/>
      </w:rPr>
    </w:lvl>
    <w:lvl w:ilvl="8" w:tentative="0">
      <w:start w:val="1"/>
      <w:numFmt w:val="lowerRoman"/>
      <w:lvlText w:val="%9."/>
      <w:lvlJc w:val="right"/>
      <w:pPr>
        <w:tabs>
          <w:tab w:val="left" w:pos="4260"/>
        </w:tabs>
        <w:ind w:left="4260" w:hanging="420"/>
      </w:pPr>
      <w:rPr>
        <w:rFonts w:cs="Times New Roman"/>
      </w:rPr>
    </w:lvl>
  </w:abstractNum>
  <w:abstractNum w:abstractNumId="2">
    <w:nsid w:val="4FADC4A4"/>
    <w:multiLevelType w:val="singleLevel"/>
    <w:tmpl w:val="4FADC4A4"/>
    <w:lvl w:ilvl="0" w:tentative="0">
      <w:start w:val="1"/>
      <w:numFmt w:val="decimal"/>
      <w:pStyle w:val="9"/>
      <w:lvlText w:val="%1."/>
      <w:lvlJc w:val="left"/>
      <w:pPr>
        <w:tabs>
          <w:tab w:val="left" w:pos="360"/>
        </w:tabs>
        <w:ind w:left="360" w:hanging="360"/>
      </w:pPr>
    </w:lvl>
  </w:abstractNum>
  <w:abstractNum w:abstractNumId="3">
    <w:nsid w:val="52095BE2"/>
    <w:multiLevelType w:val="multilevel"/>
    <w:tmpl w:val="52095BE2"/>
    <w:lvl w:ilvl="0" w:tentative="0">
      <w:start w:val="1"/>
      <w:numFmt w:val="decimal"/>
      <w:suff w:val="nothing"/>
      <w:lvlText w:val="%1."/>
      <w:lvlJc w:val="left"/>
      <w:pPr>
        <w:ind w:left="0" w:firstLine="0"/>
      </w:pPr>
      <w:rPr>
        <w:rFonts w:hint="default" w:ascii="仿宋" w:hAnsi="仿宋" w:eastAsia="仿宋"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2"/>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20"/>
  <w:drawingGridVerticalSpacing w:val="163"/>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6744"/>
    <w:rsid w:val="00001701"/>
    <w:rsid w:val="00001E48"/>
    <w:rsid w:val="000020A6"/>
    <w:rsid w:val="000027CF"/>
    <w:rsid w:val="00002A9A"/>
    <w:rsid w:val="00003E6A"/>
    <w:rsid w:val="00004673"/>
    <w:rsid w:val="000046FA"/>
    <w:rsid w:val="00005390"/>
    <w:rsid w:val="00005C3F"/>
    <w:rsid w:val="00005CD8"/>
    <w:rsid w:val="000061AB"/>
    <w:rsid w:val="00006BF1"/>
    <w:rsid w:val="00006C33"/>
    <w:rsid w:val="000079BE"/>
    <w:rsid w:val="00007D8E"/>
    <w:rsid w:val="000101B6"/>
    <w:rsid w:val="00010B2B"/>
    <w:rsid w:val="00011C69"/>
    <w:rsid w:val="00012446"/>
    <w:rsid w:val="000127F5"/>
    <w:rsid w:val="00012B1B"/>
    <w:rsid w:val="000134C8"/>
    <w:rsid w:val="00013B51"/>
    <w:rsid w:val="00013C7B"/>
    <w:rsid w:val="00015A11"/>
    <w:rsid w:val="000163C0"/>
    <w:rsid w:val="000165A8"/>
    <w:rsid w:val="000167A9"/>
    <w:rsid w:val="000176AF"/>
    <w:rsid w:val="00020B90"/>
    <w:rsid w:val="00020DFF"/>
    <w:rsid w:val="00020F8C"/>
    <w:rsid w:val="000215C6"/>
    <w:rsid w:val="00021E9C"/>
    <w:rsid w:val="00021F80"/>
    <w:rsid w:val="0002308C"/>
    <w:rsid w:val="00023AC4"/>
    <w:rsid w:val="00023BBE"/>
    <w:rsid w:val="00023FD7"/>
    <w:rsid w:val="00024003"/>
    <w:rsid w:val="000241DD"/>
    <w:rsid w:val="0002434D"/>
    <w:rsid w:val="00024852"/>
    <w:rsid w:val="000249FC"/>
    <w:rsid w:val="00024DE4"/>
    <w:rsid w:val="00025285"/>
    <w:rsid w:val="0002619B"/>
    <w:rsid w:val="000261AF"/>
    <w:rsid w:val="0002628E"/>
    <w:rsid w:val="00026A6F"/>
    <w:rsid w:val="00026F3F"/>
    <w:rsid w:val="00026F5C"/>
    <w:rsid w:val="00026FB6"/>
    <w:rsid w:val="0002731A"/>
    <w:rsid w:val="00027533"/>
    <w:rsid w:val="00027D6E"/>
    <w:rsid w:val="00030AE0"/>
    <w:rsid w:val="0003171D"/>
    <w:rsid w:val="00031D95"/>
    <w:rsid w:val="00032073"/>
    <w:rsid w:val="00032A7A"/>
    <w:rsid w:val="00033B27"/>
    <w:rsid w:val="00033DAC"/>
    <w:rsid w:val="00033F3F"/>
    <w:rsid w:val="000347DD"/>
    <w:rsid w:val="00034AFF"/>
    <w:rsid w:val="000359D3"/>
    <w:rsid w:val="00036716"/>
    <w:rsid w:val="00036B56"/>
    <w:rsid w:val="000371AE"/>
    <w:rsid w:val="00037415"/>
    <w:rsid w:val="000376AD"/>
    <w:rsid w:val="00037C2E"/>
    <w:rsid w:val="0004000B"/>
    <w:rsid w:val="000400EB"/>
    <w:rsid w:val="0004063A"/>
    <w:rsid w:val="00042F6A"/>
    <w:rsid w:val="00044C4F"/>
    <w:rsid w:val="00044EB7"/>
    <w:rsid w:val="00047E9D"/>
    <w:rsid w:val="0005014C"/>
    <w:rsid w:val="0005067E"/>
    <w:rsid w:val="00051C96"/>
    <w:rsid w:val="000520AE"/>
    <w:rsid w:val="000535D0"/>
    <w:rsid w:val="00053AD2"/>
    <w:rsid w:val="00054ABD"/>
    <w:rsid w:val="00054B1E"/>
    <w:rsid w:val="00055BCC"/>
    <w:rsid w:val="00055D0A"/>
    <w:rsid w:val="00056C6B"/>
    <w:rsid w:val="00056DC9"/>
    <w:rsid w:val="00056E04"/>
    <w:rsid w:val="0005751B"/>
    <w:rsid w:val="00060318"/>
    <w:rsid w:val="00060578"/>
    <w:rsid w:val="00060589"/>
    <w:rsid w:val="00060C64"/>
    <w:rsid w:val="000616E6"/>
    <w:rsid w:val="00062325"/>
    <w:rsid w:val="000636D4"/>
    <w:rsid w:val="00063837"/>
    <w:rsid w:val="00064AE6"/>
    <w:rsid w:val="00064F44"/>
    <w:rsid w:val="000658A7"/>
    <w:rsid w:val="0006707B"/>
    <w:rsid w:val="00067671"/>
    <w:rsid w:val="0006782F"/>
    <w:rsid w:val="0006784C"/>
    <w:rsid w:val="00070170"/>
    <w:rsid w:val="00070338"/>
    <w:rsid w:val="00070DD7"/>
    <w:rsid w:val="0007187B"/>
    <w:rsid w:val="00071B7C"/>
    <w:rsid w:val="000729F2"/>
    <w:rsid w:val="0007512F"/>
    <w:rsid w:val="0007534D"/>
    <w:rsid w:val="0007581D"/>
    <w:rsid w:val="00075A03"/>
    <w:rsid w:val="00075C0E"/>
    <w:rsid w:val="0007676C"/>
    <w:rsid w:val="00076838"/>
    <w:rsid w:val="00080257"/>
    <w:rsid w:val="00081E5C"/>
    <w:rsid w:val="000828EE"/>
    <w:rsid w:val="00082F64"/>
    <w:rsid w:val="000835B6"/>
    <w:rsid w:val="00083DAB"/>
    <w:rsid w:val="00083F4D"/>
    <w:rsid w:val="00084566"/>
    <w:rsid w:val="00084659"/>
    <w:rsid w:val="000847D0"/>
    <w:rsid w:val="000858DB"/>
    <w:rsid w:val="00085B3A"/>
    <w:rsid w:val="0008608A"/>
    <w:rsid w:val="00086776"/>
    <w:rsid w:val="000874D8"/>
    <w:rsid w:val="000875D9"/>
    <w:rsid w:val="000877A8"/>
    <w:rsid w:val="000879E8"/>
    <w:rsid w:val="0009075C"/>
    <w:rsid w:val="00090BB7"/>
    <w:rsid w:val="00091271"/>
    <w:rsid w:val="00091889"/>
    <w:rsid w:val="00092499"/>
    <w:rsid w:val="00094B9E"/>
    <w:rsid w:val="00094C53"/>
    <w:rsid w:val="00094CE9"/>
    <w:rsid w:val="00097003"/>
    <w:rsid w:val="00097379"/>
    <w:rsid w:val="00097895"/>
    <w:rsid w:val="000A0060"/>
    <w:rsid w:val="000A0C82"/>
    <w:rsid w:val="000A2735"/>
    <w:rsid w:val="000A2F49"/>
    <w:rsid w:val="000A37AC"/>
    <w:rsid w:val="000A4375"/>
    <w:rsid w:val="000A5608"/>
    <w:rsid w:val="000A5B09"/>
    <w:rsid w:val="000A5CB3"/>
    <w:rsid w:val="000A63FF"/>
    <w:rsid w:val="000A678F"/>
    <w:rsid w:val="000A6C25"/>
    <w:rsid w:val="000A6DCA"/>
    <w:rsid w:val="000B006E"/>
    <w:rsid w:val="000B07A9"/>
    <w:rsid w:val="000B12B1"/>
    <w:rsid w:val="000B2426"/>
    <w:rsid w:val="000B27C3"/>
    <w:rsid w:val="000B2F30"/>
    <w:rsid w:val="000B4140"/>
    <w:rsid w:val="000B54F4"/>
    <w:rsid w:val="000B5779"/>
    <w:rsid w:val="000B5F4E"/>
    <w:rsid w:val="000B6090"/>
    <w:rsid w:val="000B6F91"/>
    <w:rsid w:val="000B7058"/>
    <w:rsid w:val="000B748C"/>
    <w:rsid w:val="000B74DB"/>
    <w:rsid w:val="000B76D8"/>
    <w:rsid w:val="000B796F"/>
    <w:rsid w:val="000B7B1E"/>
    <w:rsid w:val="000C05DD"/>
    <w:rsid w:val="000C12A3"/>
    <w:rsid w:val="000C1CAA"/>
    <w:rsid w:val="000C2BFA"/>
    <w:rsid w:val="000C2C72"/>
    <w:rsid w:val="000C3605"/>
    <w:rsid w:val="000C438F"/>
    <w:rsid w:val="000C4687"/>
    <w:rsid w:val="000C4A32"/>
    <w:rsid w:val="000C4AA1"/>
    <w:rsid w:val="000C4F1A"/>
    <w:rsid w:val="000C5A7C"/>
    <w:rsid w:val="000C603A"/>
    <w:rsid w:val="000C6130"/>
    <w:rsid w:val="000C66C8"/>
    <w:rsid w:val="000D0314"/>
    <w:rsid w:val="000D0BCD"/>
    <w:rsid w:val="000D11E3"/>
    <w:rsid w:val="000D1617"/>
    <w:rsid w:val="000D1705"/>
    <w:rsid w:val="000D216C"/>
    <w:rsid w:val="000D2577"/>
    <w:rsid w:val="000D6CC4"/>
    <w:rsid w:val="000D6D65"/>
    <w:rsid w:val="000D6D96"/>
    <w:rsid w:val="000D745C"/>
    <w:rsid w:val="000E015E"/>
    <w:rsid w:val="000E06EC"/>
    <w:rsid w:val="000E13BB"/>
    <w:rsid w:val="000E13C2"/>
    <w:rsid w:val="000E1406"/>
    <w:rsid w:val="000E1717"/>
    <w:rsid w:val="000E1DD9"/>
    <w:rsid w:val="000E2104"/>
    <w:rsid w:val="000E49B9"/>
    <w:rsid w:val="000E5D25"/>
    <w:rsid w:val="000E5EB3"/>
    <w:rsid w:val="000E5F9E"/>
    <w:rsid w:val="000E6126"/>
    <w:rsid w:val="000E6B45"/>
    <w:rsid w:val="000E7352"/>
    <w:rsid w:val="000E7795"/>
    <w:rsid w:val="000E7A84"/>
    <w:rsid w:val="000F287A"/>
    <w:rsid w:val="000F502C"/>
    <w:rsid w:val="000F50D9"/>
    <w:rsid w:val="000F5905"/>
    <w:rsid w:val="000F5B98"/>
    <w:rsid w:val="000F769F"/>
    <w:rsid w:val="001010B0"/>
    <w:rsid w:val="001011D7"/>
    <w:rsid w:val="00101326"/>
    <w:rsid w:val="00101756"/>
    <w:rsid w:val="00102469"/>
    <w:rsid w:val="00102A29"/>
    <w:rsid w:val="00102BEB"/>
    <w:rsid w:val="0010380A"/>
    <w:rsid w:val="00103D8D"/>
    <w:rsid w:val="00104455"/>
    <w:rsid w:val="00105493"/>
    <w:rsid w:val="00106FF4"/>
    <w:rsid w:val="00107672"/>
    <w:rsid w:val="0011003E"/>
    <w:rsid w:val="001106DE"/>
    <w:rsid w:val="001116EB"/>
    <w:rsid w:val="001119BF"/>
    <w:rsid w:val="00111A6B"/>
    <w:rsid w:val="00111B05"/>
    <w:rsid w:val="00112057"/>
    <w:rsid w:val="001124E5"/>
    <w:rsid w:val="0011306C"/>
    <w:rsid w:val="00113B82"/>
    <w:rsid w:val="00114817"/>
    <w:rsid w:val="00114839"/>
    <w:rsid w:val="00114B0B"/>
    <w:rsid w:val="00114BB4"/>
    <w:rsid w:val="00114CBD"/>
    <w:rsid w:val="001152C9"/>
    <w:rsid w:val="00115518"/>
    <w:rsid w:val="00115DF1"/>
    <w:rsid w:val="0011628E"/>
    <w:rsid w:val="001165C2"/>
    <w:rsid w:val="001202D7"/>
    <w:rsid w:val="001207D2"/>
    <w:rsid w:val="0012086D"/>
    <w:rsid w:val="00120BFA"/>
    <w:rsid w:val="001214CE"/>
    <w:rsid w:val="001224A8"/>
    <w:rsid w:val="0012335C"/>
    <w:rsid w:val="001236BC"/>
    <w:rsid w:val="00125418"/>
    <w:rsid w:val="00125C36"/>
    <w:rsid w:val="00127357"/>
    <w:rsid w:val="0013032D"/>
    <w:rsid w:val="00130959"/>
    <w:rsid w:val="001313AB"/>
    <w:rsid w:val="001315BD"/>
    <w:rsid w:val="0013215F"/>
    <w:rsid w:val="00132A60"/>
    <w:rsid w:val="00132DB7"/>
    <w:rsid w:val="00132FA8"/>
    <w:rsid w:val="00134211"/>
    <w:rsid w:val="00134644"/>
    <w:rsid w:val="001365DD"/>
    <w:rsid w:val="00136968"/>
    <w:rsid w:val="00136C6F"/>
    <w:rsid w:val="00141686"/>
    <w:rsid w:val="00141A9A"/>
    <w:rsid w:val="001432DB"/>
    <w:rsid w:val="001435AB"/>
    <w:rsid w:val="0014371A"/>
    <w:rsid w:val="00143DF0"/>
    <w:rsid w:val="0014473B"/>
    <w:rsid w:val="001447DA"/>
    <w:rsid w:val="00145BDA"/>
    <w:rsid w:val="001461DC"/>
    <w:rsid w:val="00146219"/>
    <w:rsid w:val="0014629C"/>
    <w:rsid w:val="00150982"/>
    <w:rsid w:val="001509EF"/>
    <w:rsid w:val="00151534"/>
    <w:rsid w:val="0015196C"/>
    <w:rsid w:val="00151C6F"/>
    <w:rsid w:val="00151E4C"/>
    <w:rsid w:val="00154361"/>
    <w:rsid w:val="00154ED8"/>
    <w:rsid w:val="001565B1"/>
    <w:rsid w:val="00157571"/>
    <w:rsid w:val="0016097F"/>
    <w:rsid w:val="00161415"/>
    <w:rsid w:val="00161BED"/>
    <w:rsid w:val="00162C00"/>
    <w:rsid w:val="00163FF2"/>
    <w:rsid w:val="0016426D"/>
    <w:rsid w:val="0016467C"/>
    <w:rsid w:val="001650B0"/>
    <w:rsid w:val="00165610"/>
    <w:rsid w:val="0016587C"/>
    <w:rsid w:val="00165C4C"/>
    <w:rsid w:val="00166395"/>
    <w:rsid w:val="00167FE8"/>
    <w:rsid w:val="00170A95"/>
    <w:rsid w:val="00170DD6"/>
    <w:rsid w:val="00171D15"/>
    <w:rsid w:val="00172BF8"/>
    <w:rsid w:val="00173337"/>
    <w:rsid w:val="0017350F"/>
    <w:rsid w:val="00174A22"/>
    <w:rsid w:val="00175A54"/>
    <w:rsid w:val="00177CF3"/>
    <w:rsid w:val="001807F6"/>
    <w:rsid w:val="00180DB0"/>
    <w:rsid w:val="001824F9"/>
    <w:rsid w:val="00182545"/>
    <w:rsid w:val="0018294E"/>
    <w:rsid w:val="00182B79"/>
    <w:rsid w:val="00183010"/>
    <w:rsid w:val="00183FFF"/>
    <w:rsid w:val="001843C2"/>
    <w:rsid w:val="001855B6"/>
    <w:rsid w:val="00185E43"/>
    <w:rsid w:val="001877EF"/>
    <w:rsid w:val="001878E8"/>
    <w:rsid w:val="00187A05"/>
    <w:rsid w:val="001908B3"/>
    <w:rsid w:val="00190EC7"/>
    <w:rsid w:val="00190ED9"/>
    <w:rsid w:val="00191F32"/>
    <w:rsid w:val="001930C9"/>
    <w:rsid w:val="001938C0"/>
    <w:rsid w:val="00193BC4"/>
    <w:rsid w:val="00194126"/>
    <w:rsid w:val="00194181"/>
    <w:rsid w:val="001942B7"/>
    <w:rsid w:val="0019556C"/>
    <w:rsid w:val="00195B4F"/>
    <w:rsid w:val="00195E92"/>
    <w:rsid w:val="00196597"/>
    <w:rsid w:val="0019714B"/>
    <w:rsid w:val="001975F8"/>
    <w:rsid w:val="001A08BC"/>
    <w:rsid w:val="001A10F2"/>
    <w:rsid w:val="001A1187"/>
    <w:rsid w:val="001A15DA"/>
    <w:rsid w:val="001A264B"/>
    <w:rsid w:val="001A3E85"/>
    <w:rsid w:val="001A4A2F"/>
    <w:rsid w:val="001A4CD3"/>
    <w:rsid w:val="001A4EA2"/>
    <w:rsid w:val="001A50AE"/>
    <w:rsid w:val="001A597A"/>
    <w:rsid w:val="001A5E41"/>
    <w:rsid w:val="001A736D"/>
    <w:rsid w:val="001A78F5"/>
    <w:rsid w:val="001A7FF3"/>
    <w:rsid w:val="001B0B19"/>
    <w:rsid w:val="001B2B30"/>
    <w:rsid w:val="001B2D05"/>
    <w:rsid w:val="001B3B9A"/>
    <w:rsid w:val="001B4247"/>
    <w:rsid w:val="001B49FC"/>
    <w:rsid w:val="001B567C"/>
    <w:rsid w:val="001B57B6"/>
    <w:rsid w:val="001B5F15"/>
    <w:rsid w:val="001B5FC8"/>
    <w:rsid w:val="001B68A0"/>
    <w:rsid w:val="001B75DB"/>
    <w:rsid w:val="001C0947"/>
    <w:rsid w:val="001C09C0"/>
    <w:rsid w:val="001C09E0"/>
    <w:rsid w:val="001C159F"/>
    <w:rsid w:val="001C1B72"/>
    <w:rsid w:val="001C1FDA"/>
    <w:rsid w:val="001C35BB"/>
    <w:rsid w:val="001C4453"/>
    <w:rsid w:val="001C4629"/>
    <w:rsid w:val="001C478F"/>
    <w:rsid w:val="001C48C0"/>
    <w:rsid w:val="001C4E58"/>
    <w:rsid w:val="001C4E75"/>
    <w:rsid w:val="001C5109"/>
    <w:rsid w:val="001C5829"/>
    <w:rsid w:val="001C5DE6"/>
    <w:rsid w:val="001C5EBC"/>
    <w:rsid w:val="001C5FA1"/>
    <w:rsid w:val="001C5FCE"/>
    <w:rsid w:val="001C66C0"/>
    <w:rsid w:val="001C6B99"/>
    <w:rsid w:val="001C781D"/>
    <w:rsid w:val="001D0183"/>
    <w:rsid w:val="001D08B6"/>
    <w:rsid w:val="001D144D"/>
    <w:rsid w:val="001D256C"/>
    <w:rsid w:val="001D2A84"/>
    <w:rsid w:val="001D3A44"/>
    <w:rsid w:val="001D49B1"/>
    <w:rsid w:val="001D4AD9"/>
    <w:rsid w:val="001D5FBF"/>
    <w:rsid w:val="001D6950"/>
    <w:rsid w:val="001D6D66"/>
    <w:rsid w:val="001D6DEF"/>
    <w:rsid w:val="001E05D9"/>
    <w:rsid w:val="001E0C3E"/>
    <w:rsid w:val="001E11DD"/>
    <w:rsid w:val="001E1567"/>
    <w:rsid w:val="001E1C74"/>
    <w:rsid w:val="001E21DC"/>
    <w:rsid w:val="001E23C3"/>
    <w:rsid w:val="001E3E90"/>
    <w:rsid w:val="001E4FE5"/>
    <w:rsid w:val="001E6758"/>
    <w:rsid w:val="001F0450"/>
    <w:rsid w:val="001F0453"/>
    <w:rsid w:val="001F1454"/>
    <w:rsid w:val="001F2C11"/>
    <w:rsid w:val="001F2C29"/>
    <w:rsid w:val="001F3252"/>
    <w:rsid w:val="001F3510"/>
    <w:rsid w:val="001F389D"/>
    <w:rsid w:val="001F41AE"/>
    <w:rsid w:val="001F424B"/>
    <w:rsid w:val="001F48CC"/>
    <w:rsid w:val="001F5243"/>
    <w:rsid w:val="001F5A24"/>
    <w:rsid w:val="001F64EF"/>
    <w:rsid w:val="00200716"/>
    <w:rsid w:val="00200D0C"/>
    <w:rsid w:val="00201B06"/>
    <w:rsid w:val="0020236E"/>
    <w:rsid w:val="002027B1"/>
    <w:rsid w:val="002027F3"/>
    <w:rsid w:val="00202955"/>
    <w:rsid w:val="00202B5A"/>
    <w:rsid w:val="00203705"/>
    <w:rsid w:val="002038FA"/>
    <w:rsid w:val="0020566B"/>
    <w:rsid w:val="00205962"/>
    <w:rsid w:val="002069CA"/>
    <w:rsid w:val="00206A43"/>
    <w:rsid w:val="002100E8"/>
    <w:rsid w:val="002106CE"/>
    <w:rsid w:val="002108BE"/>
    <w:rsid w:val="00210B8A"/>
    <w:rsid w:val="002117B5"/>
    <w:rsid w:val="00211C53"/>
    <w:rsid w:val="0021256E"/>
    <w:rsid w:val="00213575"/>
    <w:rsid w:val="00213D80"/>
    <w:rsid w:val="002147D4"/>
    <w:rsid w:val="0021540F"/>
    <w:rsid w:val="00215754"/>
    <w:rsid w:val="00215968"/>
    <w:rsid w:val="00215A12"/>
    <w:rsid w:val="00215B85"/>
    <w:rsid w:val="00216734"/>
    <w:rsid w:val="0021680C"/>
    <w:rsid w:val="0021684C"/>
    <w:rsid w:val="00216CA7"/>
    <w:rsid w:val="002174BD"/>
    <w:rsid w:val="00217776"/>
    <w:rsid w:val="00217D61"/>
    <w:rsid w:val="00217DA6"/>
    <w:rsid w:val="00220C24"/>
    <w:rsid w:val="00220D5B"/>
    <w:rsid w:val="00221FEB"/>
    <w:rsid w:val="00223395"/>
    <w:rsid w:val="00223D70"/>
    <w:rsid w:val="00225034"/>
    <w:rsid w:val="002257BC"/>
    <w:rsid w:val="00226887"/>
    <w:rsid w:val="00227E57"/>
    <w:rsid w:val="00227FF4"/>
    <w:rsid w:val="00230F20"/>
    <w:rsid w:val="0023115F"/>
    <w:rsid w:val="00231303"/>
    <w:rsid w:val="0023160A"/>
    <w:rsid w:val="00232654"/>
    <w:rsid w:val="00232A0A"/>
    <w:rsid w:val="00233106"/>
    <w:rsid w:val="002332CC"/>
    <w:rsid w:val="00233C38"/>
    <w:rsid w:val="00233DE9"/>
    <w:rsid w:val="00234DA0"/>
    <w:rsid w:val="00235242"/>
    <w:rsid w:val="002354E5"/>
    <w:rsid w:val="00235ADE"/>
    <w:rsid w:val="00235F53"/>
    <w:rsid w:val="00236166"/>
    <w:rsid w:val="00237B42"/>
    <w:rsid w:val="002409A2"/>
    <w:rsid w:val="00240A7F"/>
    <w:rsid w:val="00240CF6"/>
    <w:rsid w:val="002422BD"/>
    <w:rsid w:val="00243021"/>
    <w:rsid w:val="00243C1A"/>
    <w:rsid w:val="00244016"/>
    <w:rsid w:val="00244631"/>
    <w:rsid w:val="002451D5"/>
    <w:rsid w:val="0024557F"/>
    <w:rsid w:val="002456C3"/>
    <w:rsid w:val="0024642A"/>
    <w:rsid w:val="00246829"/>
    <w:rsid w:val="00246F11"/>
    <w:rsid w:val="00247789"/>
    <w:rsid w:val="00247CB3"/>
    <w:rsid w:val="002508BB"/>
    <w:rsid w:val="00251224"/>
    <w:rsid w:val="00251E57"/>
    <w:rsid w:val="00252D5D"/>
    <w:rsid w:val="00253556"/>
    <w:rsid w:val="00253CD3"/>
    <w:rsid w:val="00255371"/>
    <w:rsid w:val="002555B9"/>
    <w:rsid w:val="00255E53"/>
    <w:rsid w:val="0025751F"/>
    <w:rsid w:val="00257B6B"/>
    <w:rsid w:val="00257BC9"/>
    <w:rsid w:val="0026008B"/>
    <w:rsid w:val="002614B9"/>
    <w:rsid w:val="002643B9"/>
    <w:rsid w:val="002646FE"/>
    <w:rsid w:val="00264899"/>
    <w:rsid w:val="00264D18"/>
    <w:rsid w:val="002659E5"/>
    <w:rsid w:val="002669E5"/>
    <w:rsid w:val="00266D2A"/>
    <w:rsid w:val="00266ED1"/>
    <w:rsid w:val="00267249"/>
    <w:rsid w:val="002672C8"/>
    <w:rsid w:val="00267305"/>
    <w:rsid w:val="00267935"/>
    <w:rsid w:val="00270E05"/>
    <w:rsid w:val="002711E5"/>
    <w:rsid w:val="002716E8"/>
    <w:rsid w:val="00271E2C"/>
    <w:rsid w:val="0027269D"/>
    <w:rsid w:val="0027331F"/>
    <w:rsid w:val="002740A7"/>
    <w:rsid w:val="00274577"/>
    <w:rsid w:val="00274B17"/>
    <w:rsid w:val="0027623C"/>
    <w:rsid w:val="00280719"/>
    <w:rsid w:val="00280760"/>
    <w:rsid w:val="002815C9"/>
    <w:rsid w:val="00281AEF"/>
    <w:rsid w:val="00281C1D"/>
    <w:rsid w:val="00281DF8"/>
    <w:rsid w:val="00282CF6"/>
    <w:rsid w:val="00283119"/>
    <w:rsid w:val="002832E4"/>
    <w:rsid w:val="00283345"/>
    <w:rsid w:val="0028354A"/>
    <w:rsid w:val="0028359E"/>
    <w:rsid w:val="002856CF"/>
    <w:rsid w:val="00285A02"/>
    <w:rsid w:val="00285CBE"/>
    <w:rsid w:val="0028607D"/>
    <w:rsid w:val="002862C5"/>
    <w:rsid w:val="00286ACE"/>
    <w:rsid w:val="00287703"/>
    <w:rsid w:val="002878E8"/>
    <w:rsid w:val="00290509"/>
    <w:rsid w:val="0029099A"/>
    <w:rsid w:val="00290E3D"/>
    <w:rsid w:val="002919CF"/>
    <w:rsid w:val="002928E5"/>
    <w:rsid w:val="00292CA2"/>
    <w:rsid w:val="00293200"/>
    <w:rsid w:val="00293506"/>
    <w:rsid w:val="00293921"/>
    <w:rsid w:val="00293954"/>
    <w:rsid w:val="00293F8E"/>
    <w:rsid w:val="002942F2"/>
    <w:rsid w:val="0029687A"/>
    <w:rsid w:val="00297528"/>
    <w:rsid w:val="002A0FE2"/>
    <w:rsid w:val="002A23B0"/>
    <w:rsid w:val="002A2D3B"/>
    <w:rsid w:val="002A2FCA"/>
    <w:rsid w:val="002A3524"/>
    <w:rsid w:val="002A37D2"/>
    <w:rsid w:val="002A4E4D"/>
    <w:rsid w:val="002A5646"/>
    <w:rsid w:val="002A6008"/>
    <w:rsid w:val="002A60B8"/>
    <w:rsid w:val="002A6181"/>
    <w:rsid w:val="002A621A"/>
    <w:rsid w:val="002A6909"/>
    <w:rsid w:val="002A6FAC"/>
    <w:rsid w:val="002A7717"/>
    <w:rsid w:val="002A784D"/>
    <w:rsid w:val="002A7B44"/>
    <w:rsid w:val="002B0144"/>
    <w:rsid w:val="002B0497"/>
    <w:rsid w:val="002B098E"/>
    <w:rsid w:val="002B1BF6"/>
    <w:rsid w:val="002B23E2"/>
    <w:rsid w:val="002B25CD"/>
    <w:rsid w:val="002B3E23"/>
    <w:rsid w:val="002B45A3"/>
    <w:rsid w:val="002B4A6A"/>
    <w:rsid w:val="002B4D82"/>
    <w:rsid w:val="002B5227"/>
    <w:rsid w:val="002B53F0"/>
    <w:rsid w:val="002B585B"/>
    <w:rsid w:val="002B64E1"/>
    <w:rsid w:val="002B6718"/>
    <w:rsid w:val="002B6B54"/>
    <w:rsid w:val="002C0A45"/>
    <w:rsid w:val="002C1AAC"/>
    <w:rsid w:val="002C2053"/>
    <w:rsid w:val="002C22F4"/>
    <w:rsid w:val="002C2600"/>
    <w:rsid w:val="002C2C63"/>
    <w:rsid w:val="002C2DDE"/>
    <w:rsid w:val="002C33F1"/>
    <w:rsid w:val="002C34B6"/>
    <w:rsid w:val="002C4BE6"/>
    <w:rsid w:val="002C554E"/>
    <w:rsid w:val="002C67E2"/>
    <w:rsid w:val="002C6CC6"/>
    <w:rsid w:val="002C6EF5"/>
    <w:rsid w:val="002C730E"/>
    <w:rsid w:val="002C7843"/>
    <w:rsid w:val="002C7F52"/>
    <w:rsid w:val="002D0E81"/>
    <w:rsid w:val="002D163E"/>
    <w:rsid w:val="002D1FC1"/>
    <w:rsid w:val="002D2903"/>
    <w:rsid w:val="002D4252"/>
    <w:rsid w:val="002D52CA"/>
    <w:rsid w:val="002D5DEF"/>
    <w:rsid w:val="002D64C6"/>
    <w:rsid w:val="002D6542"/>
    <w:rsid w:val="002D7343"/>
    <w:rsid w:val="002D7FA0"/>
    <w:rsid w:val="002E01AA"/>
    <w:rsid w:val="002E0319"/>
    <w:rsid w:val="002E066C"/>
    <w:rsid w:val="002E1B58"/>
    <w:rsid w:val="002E1F0C"/>
    <w:rsid w:val="002E2D7C"/>
    <w:rsid w:val="002E3432"/>
    <w:rsid w:val="002E3462"/>
    <w:rsid w:val="002E39B5"/>
    <w:rsid w:val="002E3AA3"/>
    <w:rsid w:val="002E49F9"/>
    <w:rsid w:val="002E5413"/>
    <w:rsid w:val="002E5729"/>
    <w:rsid w:val="002E5B24"/>
    <w:rsid w:val="002E7F87"/>
    <w:rsid w:val="002E7FF7"/>
    <w:rsid w:val="002F16FE"/>
    <w:rsid w:val="002F1BAB"/>
    <w:rsid w:val="002F27FA"/>
    <w:rsid w:val="002F2D50"/>
    <w:rsid w:val="002F3923"/>
    <w:rsid w:val="002F39DA"/>
    <w:rsid w:val="002F4BE3"/>
    <w:rsid w:val="002F5DA2"/>
    <w:rsid w:val="003002D8"/>
    <w:rsid w:val="00300684"/>
    <w:rsid w:val="0030118E"/>
    <w:rsid w:val="00301BC2"/>
    <w:rsid w:val="00301F45"/>
    <w:rsid w:val="00302F92"/>
    <w:rsid w:val="0030378F"/>
    <w:rsid w:val="00303859"/>
    <w:rsid w:val="00303F3E"/>
    <w:rsid w:val="003049E9"/>
    <w:rsid w:val="003052E2"/>
    <w:rsid w:val="003056D3"/>
    <w:rsid w:val="00305D3D"/>
    <w:rsid w:val="00306C4A"/>
    <w:rsid w:val="00306D04"/>
    <w:rsid w:val="0031020C"/>
    <w:rsid w:val="003103A4"/>
    <w:rsid w:val="0031123B"/>
    <w:rsid w:val="00312C2C"/>
    <w:rsid w:val="0031386C"/>
    <w:rsid w:val="00314198"/>
    <w:rsid w:val="0031446E"/>
    <w:rsid w:val="00316051"/>
    <w:rsid w:val="003162EE"/>
    <w:rsid w:val="003167CD"/>
    <w:rsid w:val="0031687E"/>
    <w:rsid w:val="0031749F"/>
    <w:rsid w:val="00317765"/>
    <w:rsid w:val="00317AAC"/>
    <w:rsid w:val="003205AD"/>
    <w:rsid w:val="00321EE2"/>
    <w:rsid w:val="00322E2C"/>
    <w:rsid w:val="00322F31"/>
    <w:rsid w:val="00324958"/>
    <w:rsid w:val="003255FE"/>
    <w:rsid w:val="00325F24"/>
    <w:rsid w:val="00326A51"/>
    <w:rsid w:val="00326DE8"/>
    <w:rsid w:val="00326E07"/>
    <w:rsid w:val="00327F48"/>
    <w:rsid w:val="00330438"/>
    <w:rsid w:val="0033325D"/>
    <w:rsid w:val="00333511"/>
    <w:rsid w:val="00333FD0"/>
    <w:rsid w:val="00333FEE"/>
    <w:rsid w:val="003340BC"/>
    <w:rsid w:val="00334E82"/>
    <w:rsid w:val="00334E84"/>
    <w:rsid w:val="00335323"/>
    <w:rsid w:val="00335786"/>
    <w:rsid w:val="003357D3"/>
    <w:rsid w:val="00335F19"/>
    <w:rsid w:val="00336A6A"/>
    <w:rsid w:val="00340270"/>
    <w:rsid w:val="00340C07"/>
    <w:rsid w:val="00340C47"/>
    <w:rsid w:val="00341F0E"/>
    <w:rsid w:val="003423D3"/>
    <w:rsid w:val="003426F9"/>
    <w:rsid w:val="003430DC"/>
    <w:rsid w:val="00345126"/>
    <w:rsid w:val="0034586B"/>
    <w:rsid w:val="00346087"/>
    <w:rsid w:val="0034645C"/>
    <w:rsid w:val="00346A86"/>
    <w:rsid w:val="00346BE9"/>
    <w:rsid w:val="0034741D"/>
    <w:rsid w:val="00347A82"/>
    <w:rsid w:val="0035081C"/>
    <w:rsid w:val="00350DFD"/>
    <w:rsid w:val="003510C0"/>
    <w:rsid w:val="00351C23"/>
    <w:rsid w:val="00351E1B"/>
    <w:rsid w:val="00351EA7"/>
    <w:rsid w:val="00352256"/>
    <w:rsid w:val="00353B15"/>
    <w:rsid w:val="00354784"/>
    <w:rsid w:val="00354F69"/>
    <w:rsid w:val="00355F3A"/>
    <w:rsid w:val="00355FD4"/>
    <w:rsid w:val="00356215"/>
    <w:rsid w:val="003600B2"/>
    <w:rsid w:val="00361300"/>
    <w:rsid w:val="00361CCF"/>
    <w:rsid w:val="00361FED"/>
    <w:rsid w:val="003621F2"/>
    <w:rsid w:val="003621FB"/>
    <w:rsid w:val="00362429"/>
    <w:rsid w:val="00363050"/>
    <w:rsid w:val="00363220"/>
    <w:rsid w:val="0036614A"/>
    <w:rsid w:val="00366A3F"/>
    <w:rsid w:val="003675DE"/>
    <w:rsid w:val="00367852"/>
    <w:rsid w:val="00370C52"/>
    <w:rsid w:val="0037110C"/>
    <w:rsid w:val="0037114A"/>
    <w:rsid w:val="0037120C"/>
    <w:rsid w:val="00371564"/>
    <w:rsid w:val="00372FDF"/>
    <w:rsid w:val="003743FE"/>
    <w:rsid w:val="00375182"/>
    <w:rsid w:val="0037561C"/>
    <w:rsid w:val="00375BC2"/>
    <w:rsid w:val="00376888"/>
    <w:rsid w:val="0037739E"/>
    <w:rsid w:val="0037742C"/>
    <w:rsid w:val="00377AD2"/>
    <w:rsid w:val="00381249"/>
    <w:rsid w:val="00381BF0"/>
    <w:rsid w:val="003825D7"/>
    <w:rsid w:val="00383C21"/>
    <w:rsid w:val="00385092"/>
    <w:rsid w:val="00385259"/>
    <w:rsid w:val="00385A41"/>
    <w:rsid w:val="0038753A"/>
    <w:rsid w:val="003875BF"/>
    <w:rsid w:val="00387BED"/>
    <w:rsid w:val="00387DB3"/>
    <w:rsid w:val="00390A64"/>
    <w:rsid w:val="00390B56"/>
    <w:rsid w:val="00391F89"/>
    <w:rsid w:val="00392739"/>
    <w:rsid w:val="00393CF4"/>
    <w:rsid w:val="003951D0"/>
    <w:rsid w:val="003968DF"/>
    <w:rsid w:val="00397126"/>
    <w:rsid w:val="00397BA9"/>
    <w:rsid w:val="003A042D"/>
    <w:rsid w:val="003A1520"/>
    <w:rsid w:val="003A2FD5"/>
    <w:rsid w:val="003A318A"/>
    <w:rsid w:val="003A533A"/>
    <w:rsid w:val="003A5396"/>
    <w:rsid w:val="003A5FE2"/>
    <w:rsid w:val="003A6395"/>
    <w:rsid w:val="003A6ABC"/>
    <w:rsid w:val="003A6DFF"/>
    <w:rsid w:val="003A6FCA"/>
    <w:rsid w:val="003A7469"/>
    <w:rsid w:val="003A7754"/>
    <w:rsid w:val="003B0F5E"/>
    <w:rsid w:val="003B1101"/>
    <w:rsid w:val="003B129B"/>
    <w:rsid w:val="003B2393"/>
    <w:rsid w:val="003B4275"/>
    <w:rsid w:val="003B5828"/>
    <w:rsid w:val="003B5B64"/>
    <w:rsid w:val="003B6C9E"/>
    <w:rsid w:val="003C0106"/>
    <w:rsid w:val="003C0312"/>
    <w:rsid w:val="003C038E"/>
    <w:rsid w:val="003C1558"/>
    <w:rsid w:val="003C1623"/>
    <w:rsid w:val="003C2259"/>
    <w:rsid w:val="003C30F9"/>
    <w:rsid w:val="003C4D28"/>
    <w:rsid w:val="003C5749"/>
    <w:rsid w:val="003C5B99"/>
    <w:rsid w:val="003C68F0"/>
    <w:rsid w:val="003C6A8D"/>
    <w:rsid w:val="003C6A97"/>
    <w:rsid w:val="003C7E29"/>
    <w:rsid w:val="003D01F4"/>
    <w:rsid w:val="003D0AA3"/>
    <w:rsid w:val="003D0EB3"/>
    <w:rsid w:val="003D222A"/>
    <w:rsid w:val="003D2A22"/>
    <w:rsid w:val="003D32F4"/>
    <w:rsid w:val="003D370B"/>
    <w:rsid w:val="003D394F"/>
    <w:rsid w:val="003D395A"/>
    <w:rsid w:val="003D6D7B"/>
    <w:rsid w:val="003D7040"/>
    <w:rsid w:val="003D7CAC"/>
    <w:rsid w:val="003E0003"/>
    <w:rsid w:val="003E07F3"/>
    <w:rsid w:val="003E0960"/>
    <w:rsid w:val="003E1AA3"/>
    <w:rsid w:val="003E1B1A"/>
    <w:rsid w:val="003E1EC4"/>
    <w:rsid w:val="003E25AC"/>
    <w:rsid w:val="003E25C3"/>
    <w:rsid w:val="003E2FE9"/>
    <w:rsid w:val="003E39B0"/>
    <w:rsid w:val="003E656B"/>
    <w:rsid w:val="003E6E27"/>
    <w:rsid w:val="003E7989"/>
    <w:rsid w:val="003F0A43"/>
    <w:rsid w:val="003F1B2F"/>
    <w:rsid w:val="003F37FE"/>
    <w:rsid w:val="003F4848"/>
    <w:rsid w:val="003F58A4"/>
    <w:rsid w:val="003F6A93"/>
    <w:rsid w:val="003F6CF6"/>
    <w:rsid w:val="003F757F"/>
    <w:rsid w:val="00400357"/>
    <w:rsid w:val="0040071F"/>
    <w:rsid w:val="0040104B"/>
    <w:rsid w:val="00401E03"/>
    <w:rsid w:val="0040333B"/>
    <w:rsid w:val="00403E4D"/>
    <w:rsid w:val="004043E6"/>
    <w:rsid w:val="0040448B"/>
    <w:rsid w:val="00404A05"/>
    <w:rsid w:val="00405479"/>
    <w:rsid w:val="004054A2"/>
    <w:rsid w:val="004055C7"/>
    <w:rsid w:val="00405B39"/>
    <w:rsid w:val="00405EAB"/>
    <w:rsid w:val="0040648F"/>
    <w:rsid w:val="004068DF"/>
    <w:rsid w:val="00406E57"/>
    <w:rsid w:val="0041107A"/>
    <w:rsid w:val="00411128"/>
    <w:rsid w:val="00411E85"/>
    <w:rsid w:val="00412104"/>
    <w:rsid w:val="00412565"/>
    <w:rsid w:val="00412F33"/>
    <w:rsid w:val="00413335"/>
    <w:rsid w:val="00413992"/>
    <w:rsid w:val="00414274"/>
    <w:rsid w:val="004142C3"/>
    <w:rsid w:val="0041525E"/>
    <w:rsid w:val="00415D90"/>
    <w:rsid w:val="0041633F"/>
    <w:rsid w:val="00416E51"/>
    <w:rsid w:val="0042093C"/>
    <w:rsid w:val="0042185E"/>
    <w:rsid w:val="00421D49"/>
    <w:rsid w:val="0042242E"/>
    <w:rsid w:val="00424206"/>
    <w:rsid w:val="004243FA"/>
    <w:rsid w:val="004248EF"/>
    <w:rsid w:val="00424EBA"/>
    <w:rsid w:val="00425C0A"/>
    <w:rsid w:val="0042612F"/>
    <w:rsid w:val="0042648A"/>
    <w:rsid w:val="0042692C"/>
    <w:rsid w:val="004278DD"/>
    <w:rsid w:val="00427C6B"/>
    <w:rsid w:val="00430159"/>
    <w:rsid w:val="004303DC"/>
    <w:rsid w:val="004310B4"/>
    <w:rsid w:val="004315C1"/>
    <w:rsid w:val="00431C6E"/>
    <w:rsid w:val="00432CB2"/>
    <w:rsid w:val="00432F31"/>
    <w:rsid w:val="004331C5"/>
    <w:rsid w:val="004337BC"/>
    <w:rsid w:val="00433F1F"/>
    <w:rsid w:val="00434249"/>
    <w:rsid w:val="00434DB8"/>
    <w:rsid w:val="00434EC4"/>
    <w:rsid w:val="004357F5"/>
    <w:rsid w:val="004369E1"/>
    <w:rsid w:val="00437C10"/>
    <w:rsid w:val="004407B0"/>
    <w:rsid w:val="004408B9"/>
    <w:rsid w:val="00440934"/>
    <w:rsid w:val="00440D62"/>
    <w:rsid w:val="00440DCE"/>
    <w:rsid w:val="00440FAF"/>
    <w:rsid w:val="004412CF"/>
    <w:rsid w:val="004416D2"/>
    <w:rsid w:val="00441AB5"/>
    <w:rsid w:val="00441FBF"/>
    <w:rsid w:val="004428A2"/>
    <w:rsid w:val="00443369"/>
    <w:rsid w:val="00443897"/>
    <w:rsid w:val="00443AEC"/>
    <w:rsid w:val="00443F97"/>
    <w:rsid w:val="0044451D"/>
    <w:rsid w:val="004446F4"/>
    <w:rsid w:val="004457DE"/>
    <w:rsid w:val="00446788"/>
    <w:rsid w:val="004479B2"/>
    <w:rsid w:val="00447A08"/>
    <w:rsid w:val="00447D86"/>
    <w:rsid w:val="00451287"/>
    <w:rsid w:val="00452FA2"/>
    <w:rsid w:val="004534C9"/>
    <w:rsid w:val="0045399F"/>
    <w:rsid w:val="00454565"/>
    <w:rsid w:val="00454918"/>
    <w:rsid w:val="0045505D"/>
    <w:rsid w:val="0045552A"/>
    <w:rsid w:val="00455B11"/>
    <w:rsid w:val="00456409"/>
    <w:rsid w:val="0045691E"/>
    <w:rsid w:val="0045696A"/>
    <w:rsid w:val="00460529"/>
    <w:rsid w:val="00460E5A"/>
    <w:rsid w:val="004611DF"/>
    <w:rsid w:val="00461BBE"/>
    <w:rsid w:val="004636BD"/>
    <w:rsid w:val="00463A14"/>
    <w:rsid w:val="00464890"/>
    <w:rsid w:val="004650D2"/>
    <w:rsid w:val="004654CC"/>
    <w:rsid w:val="00465C0C"/>
    <w:rsid w:val="00465CF5"/>
    <w:rsid w:val="00467A0D"/>
    <w:rsid w:val="00470428"/>
    <w:rsid w:val="0047089B"/>
    <w:rsid w:val="00470E27"/>
    <w:rsid w:val="0047324B"/>
    <w:rsid w:val="0047399E"/>
    <w:rsid w:val="00473F1D"/>
    <w:rsid w:val="00475711"/>
    <w:rsid w:val="004769F8"/>
    <w:rsid w:val="00476AA8"/>
    <w:rsid w:val="00476DC5"/>
    <w:rsid w:val="00477986"/>
    <w:rsid w:val="00480251"/>
    <w:rsid w:val="004814DE"/>
    <w:rsid w:val="00481738"/>
    <w:rsid w:val="0048176F"/>
    <w:rsid w:val="00482A77"/>
    <w:rsid w:val="004835AD"/>
    <w:rsid w:val="0048418A"/>
    <w:rsid w:val="0048637B"/>
    <w:rsid w:val="00486AEA"/>
    <w:rsid w:val="0048746E"/>
    <w:rsid w:val="004877BC"/>
    <w:rsid w:val="0049142C"/>
    <w:rsid w:val="00491431"/>
    <w:rsid w:val="00493AFB"/>
    <w:rsid w:val="00496622"/>
    <w:rsid w:val="00496BD5"/>
    <w:rsid w:val="00497F8C"/>
    <w:rsid w:val="004A02DA"/>
    <w:rsid w:val="004A243E"/>
    <w:rsid w:val="004A349B"/>
    <w:rsid w:val="004A35DD"/>
    <w:rsid w:val="004A3D11"/>
    <w:rsid w:val="004A3D5B"/>
    <w:rsid w:val="004A3DE8"/>
    <w:rsid w:val="004A4ACA"/>
    <w:rsid w:val="004A4B31"/>
    <w:rsid w:val="004A5B21"/>
    <w:rsid w:val="004A6104"/>
    <w:rsid w:val="004A633A"/>
    <w:rsid w:val="004A6C3D"/>
    <w:rsid w:val="004A710C"/>
    <w:rsid w:val="004B00E9"/>
    <w:rsid w:val="004B019D"/>
    <w:rsid w:val="004B05FF"/>
    <w:rsid w:val="004B0B99"/>
    <w:rsid w:val="004B0DA4"/>
    <w:rsid w:val="004B0EB6"/>
    <w:rsid w:val="004B1396"/>
    <w:rsid w:val="004B2E41"/>
    <w:rsid w:val="004B3343"/>
    <w:rsid w:val="004B43C6"/>
    <w:rsid w:val="004B5347"/>
    <w:rsid w:val="004B54EA"/>
    <w:rsid w:val="004B66AE"/>
    <w:rsid w:val="004B66DC"/>
    <w:rsid w:val="004B6CEB"/>
    <w:rsid w:val="004B7432"/>
    <w:rsid w:val="004B7809"/>
    <w:rsid w:val="004B7DCE"/>
    <w:rsid w:val="004C0152"/>
    <w:rsid w:val="004C1A32"/>
    <w:rsid w:val="004C1CA2"/>
    <w:rsid w:val="004C26F2"/>
    <w:rsid w:val="004C2FF7"/>
    <w:rsid w:val="004C3025"/>
    <w:rsid w:val="004C4058"/>
    <w:rsid w:val="004C40E9"/>
    <w:rsid w:val="004C4D65"/>
    <w:rsid w:val="004C5AC9"/>
    <w:rsid w:val="004C5C9B"/>
    <w:rsid w:val="004C5DA6"/>
    <w:rsid w:val="004C62FC"/>
    <w:rsid w:val="004C689E"/>
    <w:rsid w:val="004C6936"/>
    <w:rsid w:val="004C6A5F"/>
    <w:rsid w:val="004C78DB"/>
    <w:rsid w:val="004D338F"/>
    <w:rsid w:val="004D3D27"/>
    <w:rsid w:val="004D427D"/>
    <w:rsid w:val="004D5839"/>
    <w:rsid w:val="004D6E09"/>
    <w:rsid w:val="004E0199"/>
    <w:rsid w:val="004E0B2C"/>
    <w:rsid w:val="004E0CBA"/>
    <w:rsid w:val="004E0D96"/>
    <w:rsid w:val="004E13B5"/>
    <w:rsid w:val="004E1CB7"/>
    <w:rsid w:val="004E2A8F"/>
    <w:rsid w:val="004E2AE6"/>
    <w:rsid w:val="004E34E9"/>
    <w:rsid w:val="004E3697"/>
    <w:rsid w:val="004E3720"/>
    <w:rsid w:val="004E3C90"/>
    <w:rsid w:val="004E423A"/>
    <w:rsid w:val="004E6118"/>
    <w:rsid w:val="004E616E"/>
    <w:rsid w:val="004E6A67"/>
    <w:rsid w:val="004E6CA9"/>
    <w:rsid w:val="004E7550"/>
    <w:rsid w:val="004E7568"/>
    <w:rsid w:val="004E7A3D"/>
    <w:rsid w:val="004E7AA9"/>
    <w:rsid w:val="004F23FB"/>
    <w:rsid w:val="004F2D78"/>
    <w:rsid w:val="004F2FB9"/>
    <w:rsid w:val="004F322F"/>
    <w:rsid w:val="004F3C86"/>
    <w:rsid w:val="004F3CB7"/>
    <w:rsid w:val="004F45A3"/>
    <w:rsid w:val="004F4703"/>
    <w:rsid w:val="004F49A2"/>
    <w:rsid w:val="004F49FF"/>
    <w:rsid w:val="004F4CB0"/>
    <w:rsid w:val="004F4F42"/>
    <w:rsid w:val="004F5944"/>
    <w:rsid w:val="004F63D7"/>
    <w:rsid w:val="004F7362"/>
    <w:rsid w:val="0050008F"/>
    <w:rsid w:val="0050084E"/>
    <w:rsid w:val="0050117B"/>
    <w:rsid w:val="00502124"/>
    <w:rsid w:val="00502AE7"/>
    <w:rsid w:val="0050391F"/>
    <w:rsid w:val="00503DF2"/>
    <w:rsid w:val="005043E0"/>
    <w:rsid w:val="00507666"/>
    <w:rsid w:val="00507B48"/>
    <w:rsid w:val="005107CE"/>
    <w:rsid w:val="00510B75"/>
    <w:rsid w:val="005114D4"/>
    <w:rsid w:val="00512154"/>
    <w:rsid w:val="00512611"/>
    <w:rsid w:val="00512E08"/>
    <w:rsid w:val="00512EB4"/>
    <w:rsid w:val="005136F2"/>
    <w:rsid w:val="00513AFD"/>
    <w:rsid w:val="00513DEA"/>
    <w:rsid w:val="00514381"/>
    <w:rsid w:val="00514992"/>
    <w:rsid w:val="00515049"/>
    <w:rsid w:val="005155DB"/>
    <w:rsid w:val="00515A89"/>
    <w:rsid w:val="00515ADE"/>
    <w:rsid w:val="00515C04"/>
    <w:rsid w:val="00516285"/>
    <w:rsid w:val="00516CA1"/>
    <w:rsid w:val="00517B14"/>
    <w:rsid w:val="00517CCE"/>
    <w:rsid w:val="005208F2"/>
    <w:rsid w:val="00520C8D"/>
    <w:rsid w:val="00521676"/>
    <w:rsid w:val="00522A30"/>
    <w:rsid w:val="00523278"/>
    <w:rsid w:val="00523D2A"/>
    <w:rsid w:val="00525066"/>
    <w:rsid w:val="00525860"/>
    <w:rsid w:val="00527584"/>
    <w:rsid w:val="00527B2B"/>
    <w:rsid w:val="005303ED"/>
    <w:rsid w:val="00530ECF"/>
    <w:rsid w:val="005312A7"/>
    <w:rsid w:val="0053158B"/>
    <w:rsid w:val="005320C1"/>
    <w:rsid w:val="00532ADD"/>
    <w:rsid w:val="0053321D"/>
    <w:rsid w:val="00533C16"/>
    <w:rsid w:val="00533C9B"/>
    <w:rsid w:val="005342BA"/>
    <w:rsid w:val="00534C63"/>
    <w:rsid w:val="0053543B"/>
    <w:rsid w:val="005356C0"/>
    <w:rsid w:val="005359BD"/>
    <w:rsid w:val="005372B8"/>
    <w:rsid w:val="00537D19"/>
    <w:rsid w:val="0054165F"/>
    <w:rsid w:val="00541E9E"/>
    <w:rsid w:val="005420F7"/>
    <w:rsid w:val="005422DD"/>
    <w:rsid w:val="005422ED"/>
    <w:rsid w:val="005432BA"/>
    <w:rsid w:val="00544441"/>
    <w:rsid w:val="00545516"/>
    <w:rsid w:val="00545695"/>
    <w:rsid w:val="0054693E"/>
    <w:rsid w:val="00547ED7"/>
    <w:rsid w:val="00550537"/>
    <w:rsid w:val="00550BDC"/>
    <w:rsid w:val="00552462"/>
    <w:rsid w:val="00552A9E"/>
    <w:rsid w:val="005534C9"/>
    <w:rsid w:val="00553A4B"/>
    <w:rsid w:val="00553EAA"/>
    <w:rsid w:val="005554CC"/>
    <w:rsid w:val="0055562F"/>
    <w:rsid w:val="005606EC"/>
    <w:rsid w:val="00561641"/>
    <w:rsid w:val="00561658"/>
    <w:rsid w:val="00562252"/>
    <w:rsid w:val="005631C4"/>
    <w:rsid w:val="0056353D"/>
    <w:rsid w:val="005636E3"/>
    <w:rsid w:val="00563A0E"/>
    <w:rsid w:val="00563C7E"/>
    <w:rsid w:val="0056439A"/>
    <w:rsid w:val="00564EE2"/>
    <w:rsid w:val="00566955"/>
    <w:rsid w:val="00566C2B"/>
    <w:rsid w:val="00567481"/>
    <w:rsid w:val="0056767D"/>
    <w:rsid w:val="00567EF4"/>
    <w:rsid w:val="005705E4"/>
    <w:rsid w:val="0057196B"/>
    <w:rsid w:val="00572267"/>
    <w:rsid w:val="00572FDF"/>
    <w:rsid w:val="00574660"/>
    <w:rsid w:val="00574868"/>
    <w:rsid w:val="00575E62"/>
    <w:rsid w:val="005765C1"/>
    <w:rsid w:val="005769D1"/>
    <w:rsid w:val="00576E7A"/>
    <w:rsid w:val="00576F90"/>
    <w:rsid w:val="0057706E"/>
    <w:rsid w:val="00577A29"/>
    <w:rsid w:val="00581437"/>
    <w:rsid w:val="00581603"/>
    <w:rsid w:val="00582B43"/>
    <w:rsid w:val="00583EC7"/>
    <w:rsid w:val="005851ED"/>
    <w:rsid w:val="005853C0"/>
    <w:rsid w:val="00587239"/>
    <w:rsid w:val="005911E2"/>
    <w:rsid w:val="005913F2"/>
    <w:rsid w:val="00593328"/>
    <w:rsid w:val="00595F28"/>
    <w:rsid w:val="0059610A"/>
    <w:rsid w:val="00596844"/>
    <w:rsid w:val="005972DE"/>
    <w:rsid w:val="005977DF"/>
    <w:rsid w:val="00597DEB"/>
    <w:rsid w:val="005A02DF"/>
    <w:rsid w:val="005A094B"/>
    <w:rsid w:val="005A124D"/>
    <w:rsid w:val="005A1331"/>
    <w:rsid w:val="005A1E99"/>
    <w:rsid w:val="005A20F1"/>
    <w:rsid w:val="005A23C8"/>
    <w:rsid w:val="005A442B"/>
    <w:rsid w:val="005A4AE6"/>
    <w:rsid w:val="005A593C"/>
    <w:rsid w:val="005A5BC3"/>
    <w:rsid w:val="005A5CBC"/>
    <w:rsid w:val="005A7ACB"/>
    <w:rsid w:val="005A7C76"/>
    <w:rsid w:val="005B0932"/>
    <w:rsid w:val="005B0EBC"/>
    <w:rsid w:val="005B15DB"/>
    <w:rsid w:val="005B1632"/>
    <w:rsid w:val="005B1E18"/>
    <w:rsid w:val="005B2924"/>
    <w:rsid w:val="005B2C14"/>
    <w:rsid w:val="005B32D2"/>
    <w:rsid w:val="005B3427"/>
    <w:rsid w:val="005B36AD"/>
    <w:rsid w:val="005B388B"/>
    <w:rsid w:val="005B3E2D"/>
    <w:rsid w:val="005B4464"/>
    <w:rsid w:val="005B462A"/>
    <w:rsid w:val="005B58FC"/>
    <w:rsid w:val="005B62BB"/>
    <w:rsid w:val="005B6A6C"/>
    <w:rsid w:val="005C02E3"/>
    <w:rsid w:val="005C174D"/>
    <w:rsid w:val="005C1B0F"/>
    <w:rsid w:val="005C1C41"/>
    <w:rsid w:val="005C345F"/>
    <w:rsid w:val="005C3998"/>
    <w:rsid w:val="005C3BC6"/>
    <w:rsid w:val="005C3D60"/>
    <w:rsid w:val="005C409B"/>
    <w:rsid w:val="005C5CC3"/>
    <w:rsid w:val="005C5F59"/>
    <w:rsid w:val="005C765D"/>
    <w:rsid w:val="005C7A78"/>
    <w:rsid w:val="005C7D40"/>
    <w:rsid w:val="005D109A"/>
    <w:rsid w:val="005D11B4"/>
    <w:rsid w:val="005D1523"/>
    <w:rsid w:val="005D1693"/>
    <w:rsid w:val="005D3682"/>
    <w:rsid w:val="005D3B5C"/>
    <w:rsid w:val="005D3F23"/>
    <w:rsid w:val="005D4BCD"/>
    <w:rsid w:val="005D4C69"/>
    <w:rsid w:val="005D4F4C"/>
    <w:rsid w:val="005D59B7"/>
    <w:rsid w:val="005D6C94"/>
    <w:rsid w:val="005D7E25"/>
    <w:rsid w:val="005E02DD"/>
    <w:rsid w:val="005E08EF"/>
    <w:rsid w:val="005E194E"/>
    <w:rsid w:val="005E3F81"/>
    <w:rsid w:val="005E60A3"/>
    <w:rsid w:val="005E7434"/>
    <w:rsid w:val="005E7531"/>
    <w:rsid w:val="005E7992"/>
    <w:rsid w:val="005F0563"/>
    <w:rsid w:val="005F0C7D"/>
    <w:rsid w:val="005F1881"/>
    <w:rsid w:val="005F1946"/>
    <w:rsid w:val="005F1C24"/>
    <w:rsid w:val="005F2D37"/>
    <w:rsid w:val="005F3EE0"/>
    <w:rsid w:val="005F4884"/>
    <w:rsid w:val="005F4B23"/>
    <w:rsid w:val="005F5536"/>
    <w:rsid w:val="005F57A9"/>
    <w:rsid w:val="005F6159"/>
    <w:rsid w:val="005F664F"/>
    <w:rsid w:val="005F6DD2"/>
    <w:rsid w:val="005F7D5D"/>
    <w:rsid w:val="0060050B"/>
    <w:rsid w:val="006016D1"/>
    <w:rsid w:val="00601CD8"/>
    <w:rsid w:val="00602C5E"/>
    <w:rsid w:val="00603E4A"/>
    <w:rsid w:val="00604B43"/>
    <w:rsid w:val="0060552A"/>
    <w:rsid w:val="00605636"/>
    <w:rsid w:val="00605C16"/>
    <w:rsid w:val="00606544"/>
    <w:rsid w:val="00606685"/>
    <w:rsid w:val="00606E56"/>
    <w:rsid w:val="006079CC"/>
    <w:rsid w:val="00607B36"/>
    <w:rsid w:val="00607E36"/>
    <w:rsid w:val="00610780"/>
    <w:rsid w:val="00610BEB"/>
    <w:rsid w:val="00611EDB"/>
    <w:rsid w:val="00612382"/>
    <w:rsid w:val="00613875"/>
    <w:rsid w:val="00613CAC"/>
    <w:rsid w:val="00613E17"/>
    <w:rsid w:val="0061404F"/>
    <w:rsid w:val="0061478A"/>
    <w:rsid w:val="00614C5E"/>
    <w:rsid w:val="0061601B"/>
    <w:rsid w:val="006160D3"/>
    <w:rsid w:val="00616572"/>
    <w:rsid w:val="00616654"/>
    <w:rsid w:val="006205FB"/>
    <w:rsid w:val="00621143"/>
    <w:rsid w:val="00621318"/>
    <w:rsid w:val="006216E0"/>
    <w:rsid w:val="0062359A"/>
    <w:rsid w:val="006240FA"/>
    <w:rsid w:val="006241A7"/>
    <w:rsid w:val="00624252"/>
    <w:rsid w:val="0062425A"/>
    <w:rsid w:val="006247B9"/>
    <w:rsid w:val="0062480B"/>
    <w:rsid w:val="00624C5F"/>
    <w:rsid w:val="00625E25"/>
    <w:rsid w:val="00626F94"/>
    <w:rsid w:val="006274AF"/>
    <w:rsid w:val="00627A6A"/>
    <w:rsid w:val="00627FAD"/>
    <w:rsid w:val="0063021F"/>
    <w:rsid w:val="00630898"/>
    <w:rsid w:val="006310C3"/>
    <w:rsid w:val="0063153A"/>
    <w:rsid w:val="0063187B"/>
    <w:rsid w:val="00631D19"/>
    <w:rsid w:val="00631F6C"/>
    <w:rsid w:val="006322E3"/>
    <w:rsid w:val="006325E1"/>
    <w:rsid w:val="00633F94"/>
    <w:rsid w:val="006345D2"/>
    <w:rsid w:val="00634D39"/>
    <w:rsid w:val="0063501D"/>
    <w:rsid w:val="006357FD"/>
    <w:rsid w:val="0063687C"/>
    <w:rsid w:val="00636C7A"/>
    <w:rsid w:val="00637143"/>
    <w:rsid w:val="006379EB"/>
    <w:rsid w:val="00637D7D"/>
    <w:rsid w:val="00640060"/>
    <w:rsid w:val="00640543"/>
    <w:rsid w:val="00640D7F"/>
    <w:rsid w:val="00641294"/>
    <w:rsid w:val="00642A2B"/>
    <w:rsid w:val="00642B2B"/>
    <w:rsid w:val="00642DDA"/>
    <w:rsid w:val="00644471"/>
    <w:rsid w:val="00645220"/>
    <w:rsid w:val="006452C0"/>
    <w:rsid w:val="006453B9"/>
    <w:rsid w:val="0064571B"/>
    <w:rsid w:val="00646C08"/>
    <w:rsid w:val="00646EEC"/>
    <w:rsid w:val="00647350"/>
    <w:rsid w:val="00647B28"/>
    <w:rsid w:val="00647E2E"/>
    <w:rsid w:val="006509D9"/>
    <w:rsid w:val="00650D48"/>
    <w:rsid w:val="00651B01"/>
    <w:rsid w:val="00651B24"/>
    <w:rsid w:val="00652062"/>
    <w:rsid w:val="0065206C"/>
    <w:rsid w:val="00654195"/>
    <w:rsid w:val="006544CD"/>
    <w:rsid w:val="00654770"/>
    <w:rsid w:val="00654868"/>
    <w:rsid w:val="00654A25"/>
    <w:rsid w:val="00654F2A"/>
    <w:rsid w:val="00655689"/>
    <w:rsid w:val="00656693"/>
    <w:rsid w:val="00656CE8"/>
    <w:rsid w:val="00657D7C"/>
    <w:rsid w:val="0066009F"/>
    <w:rsid w:val="00660AC3"/>
    <w:rsid w:val="00660E31"/>
    <w:rsid w:val="006614D1"/>
    <w:rsid w:val="00662197"/>
    <w:rsid w:val="00664405"/>
    <w:rsid w:val="00664917"/>
    <w:rsid w:val="00665F27"/>
    <w:rsid w:val="00670941"/>
    <w:rsid w:val="006712B5"/>
    <w:rsid w:val="00671624"/>
    <w:rsid w:val="00671D3C"/>
    <w:rsid w:val="006744CD"/>
    <w:rsid w:val="00676C39"/>
    <w:rsid w:val="00677810"/>
    <w:rsid w:val="006806D8"/>
    <w:rsid w:val="0068174D"/>
    <w:rsid w:val="00681B68"/>
    <w:rsid w:val="00681B7C"/>
    <w:rsid w:val="00681D4C"/>
    <w:rsid w:val="00682281"/>
    <w:rsid w:val="006824A5"/>
    <w:rsid w:val="006834C8"/>
    <w:rsid w:val="00685458"/>
    <w:rsid w:val="00685A6E"/>
    <w:rsid w:val="00685F0C"/>
    <w:rsid w:val="00687081"/>
    <w:rsid w:val="00687CC9"/>
    <w:rsid w:val="00690E83"/>
    <w:rsid w:val="006923B0"/>
    <w:rsid w:val="0069337D"/>
    <w:rsid w:val="0069385D"/>
    <w:rsid w:val="00695DC5"/>
    <w:rsid w:val="0069632B"/>
    <w:rsid w:val="006972AF"/>
    <w:rsid w:val="006977DA"/>
    <w:rsid w:val="006A087F"/>
    <w:rsid w:val="006A1E19"/>
    <w:rsid w:val="006A310B"/>
    <w:rsid w:val="006A435B"/>
    <w:rsid w:val="006A49AB"/>
    <w:rsid w:val="006A5FA4"/>
    <w:rsid w:val="006A6CCD"/>
    <w:rsid w:val="006B1011"/>
    <w:rsid w:val="006B2159"/>
    <w:rsid w:val="006B2F8A"/>
    <w:rsid w:val="006B3266"/>
    <w:rsid w:val="006B3D07"/>
    <w:rsid w:val="006B71BC"/>
    <w:rsid w:val="006B7437"/>
    <w:rsid w:val="006B7977"/>
    <w:rsid w:val="006C02F0"/>
    <w:rsid w:val="006C0605"/>
    <w:rsid w:val="006C076B"/>
    <w:rsid w:val="006C1017"/>
    <w:rsid w:val="006C11E7"/>
    <w:rsid w:val="006C1A57"/>
    <w:rsid w:val="006C2306"/>
    <w:rsid w:val="006C2975"/>
    <w:rsid w:val="006C2E3A"/>
    <w:rsid w:val="006C3C60"/>
    <w:rsid w:val="006C3FBE"/>
    <w:rsid w:val="006C42AD"/>
    <w:rsid w:val="006C4A09"/>
    <w:rsid w:val="006C6536"/>
    <w:rsid w:val="006C661F"/>
    <w:rsid w:val="006C6DB0"/>
    <w:rsid w:val="006C6E53"/>
    <w:rsid w:val="006C78AD"/>
    <w:rsid w:val="006D0A5E"/>
    <w:rsid w:val="006D0D39"/>
    <w:rsid w:val="006D0E39"/>
    <w:rsid w:val="006D149E"/>
    <w:rsid w:val="006D1F90"/>
    <w:rsid w:val="006D2E2F"/>
    <w:rsid w:val="006D349A"/>
    <w:rsid w:val="006D3898"/>
    <w:rsid w:val="006D3C3F"/>
    <w:rsid w:val="006D4BAE"/>
    <w:rsid w:val="006D5A57"/>
    <w:rsid w:val="006D5DAB"/>
    <w:rsid w:val="006D5FC3"/>
    <w:rsid w:val="006D653C"/>
    <w:rsid w:val="006D6777"/>
    <w:rsid w:val="006D6911"/>
    <w:rsid w:val="006D6C7E"/>
    <w:rsid w:val="006D79F7"/>
    <w:rsid w:val="006D7E8F"/>
    <w:rsid w:val="006E057B"/>
    <w:rsid w:val="006E0764"/>
    <w:rsid w:val="006E07F3"/>
    <w:rsid w:val="006E1CF0"/>
    <w:rsid w:val="006E24AE"/>
    <w:rsid w:val="006E2FA9"/>
    <w:rsid w:val="006E386E"/>
    <w:rsid w:val="006E3DD0"/>
    <w:rsid w:val="006E4D19"/>
    <w:rsid w:val="006E4D4F"/>
    <w:rsid w:val="006E4E1A"/>
    <w:rsid w:val="006E4EA0"/>
    <w:rsid w:val="006E521B"/>
    <w:rsid w:val="006E5850"/>
    <w:rsid w:val="006E68A3"/>
    <w:rsid w:val="006E7A30"/>
    <w:rsid w:val="006F0B83"/>
    <w:rsid w:val="006F1875"/>
    <w:rsid w:val="006F1ED9"/>
    <w:rsid w:val="006F201D"/>
    <w:rsid w:val="006F234D"/>
    <w:rsid w:val="006F2FFF"/>
    <w:rsid w:val="006F3314"/>
    <w:rsid w:val="006F5A94"/>
    <w:rsid w:val="006F6282"/>
    <w:rsid w:val="006F66F1"/>
    <w:rsid w:val="006F67E3"/>
    <w:rsid w:val="006F7DB3"/>
    <w:rsid w:val="00700525"/>
    <w:rsid w:val="007007BF"/>
    <w:rsid w:val="00701BF0"/>
    <w:rsid w:val="00701CB1"/>
    <w:rsid w:val="00701D25"/>
    <w:rsid w:val="0070253B"/>
    <w:rsid w:val="00702E81"/>
    <w:rsid w:val="00703D83"/>
    <w:rsid w:val="00703E35"/>
    <w:rsid w:val="00704315"/>
    <w:rsid w:val="007060CB"/>
    <w:rsid w:val="007063CA"/>
    <w:rsid w:val="00706D13"/>
    <w:rsid w:val="0070713B"/>
    <w:rsid w:val="007071D0"/>
    <w:rsid w:val="007075D2"/>
    <w:rsid w:val="0071073B"/>
    <w:rsid w:val="00710DA7"/>
    <w:rsid w:val="00710E9B"/>
    <w:rsid w:val="00710EA9"/>
    <w:rsid w:val="00711E94"/>
    <w:rsid w:val="0071268A"/>
    <w:rsid w:val="007134CB"/>
    <w:rsid w:val="007136E9"/>
    <w:rsid w:val="00713B02"/>
    <w:rsid w:val="00713E51"/>
    <w:rsid w:val="00714F93"/>
    <w:rsid w:val="00715D0C"/>
    <w:rsid w:val="007160A7"/>
    <w:rsid w:val="00716D55"/>
    <w:rsid w:val="0071734B"/>
    <w:rsid w:val="0071765D"/>
    <w:rsid w:val="00717F98"/>
    <w:rsid w:val="00720712"/>
    <w:rsid w:val="00720FE5"/>
    <w:rsid w:val="00721991"/>
    <w:rsid w:val="00721D21"/>
    <w:rsid w:val="00722960"/>
    <w:rsid w:val="00723A1D"/>
    <w:rsid w:val="00723A32"/>
    <w:rsid w:val="00723BFD"/>
    <w:rsid w:val="00723E92"/>
    <w:rsid w:val="00723F24"/>
    <w:rsid w:val="00724275"/>
    <w:rsid w:val="0072436C"/>
    <w:rsid w:val="0072523F"/>
    <w:rsid w:val="00725E7B"/>
    <w:rsid w:val="00727AFE"/>
    <w:rsid w:val="007302BB"/>
    <w:rsid w:val="00730609"/>
    <w:rsid w:val="00733242"/>
    <w:rsid w:val="00734766"/>
    <w:rsid w:val="00734A21"/>
    <w:rsid w:val="00735637"/>
    <w:rsid w:val="00735669"/>
    <w:rsid w:val="00735B5A"/>
    <w:rsid w:val="00736019"/>
    <w:rsid w:val="00736EED"/>
    <w:rsid w:val="00737196"/>
    <w:rsid w:val="00737A24"/>
    <w:rsid w:val="0074058A"/>
    <w:rsid w:val="007408FB"/>
    <w:rsid w:val="00740BBC"/>
    <w:rsid w:val="00741B0F"/>
    <w:rsid w:val="00741C2A"/>
    <w:rsid w:val="00741FD7"/>
    <w:rsid w:val="00743499"/>
    <w:rsid w:val="00744D95"/>
    <w:rsid w:val="00744D9B"/>
    <w:rsid w:val="00744E66"/>
    <w:rsid w:val="00744E83"/>
    <w:rsid w:val="00745525"/>
    <w:rsid w:val="007463AA"/>
    <w:rsid w:val="007463DB"/>
    <w:rsid w:val="0074677F"/>
    <w:rsid w:val="00746EBB"/>
    <w:rsid w:val="00747A1E"/>
    <w:rsid w:val="00750161"/>
    <w:rsid w:val="00750990"/>
    <w:rsid w:val="007509AD"/>
    <w:rsid w:val="00750C88"/>
    <w:rsid w:val="00750CBD"/>
    <w:rsid w:val="0075209B"/>
    <w:rsid w:val="007524A9"/>
    <w:rsid w:val="007536CB"/>
    <w:rsid w:val="00753919"/>
    <w:rsid w:val="0075439E"/>
    <w:rsid w:val="00754430"/>
    <w:rsid w:val="00755450"/>
    <w:rsid w:val="00755541"/>
    <w:rsid w:val="0075581F"/>
    <w:rsid w:val="00757918"/>
    <w:rsid w:val="00761529"/>
    <w:rsid w:val="007618F7"/>
    <w:rsid w:val="00761E5C"/>
    <w:rsid w:val="00762229"/>
    <w:rsid w:val="00762F4D"/>
    <w:rsid w:val="007631BB"/>
    <w:rsid w:val="00764ADC"/>
    <w:rsid w:val="00764FD9"/>
    <w:rsid w:val="00765410"/>
    <w:rsid w:val="00765490"/>
    <w:rsid w:val="00765C4D"/>
    <w:rsid w:val="0076604F"/>
    <w:rsid w:val="007672AE"/>
    <w:rsid w:val="00767EB4"/>
    <w:rsid w:val="007705ED"/>
    <w:rsid w:val="0077115A"/>
    <w:rsid w:val="00771999"/>
    <w:rsid w:val="00771E3A"/>
    <w:rsid w:val="0077297A"/>
    <w:rsid w:val="00772B4A"/>
    <w:rsid w:val="007734EF"/>
    <w:rsid w:val="00773AA5"/>
    <w:rsid w:val="00773D55"/>
    <w:rsid w:val="0077404F"/>
    <w:rsid w:val="00774095"/>
    <w:rsid w:val="0077428A"/>
    <w:rsid w:val="00774650"/>
    <w:rsid w:val="0077517A"/>
    <w:rsid w:val="007766D2"/>
    <w:rsid w:val="007769D6"/>
    <w:rsid w:val="00776BD4"/>
    <w:rsid w:val="00776F49"/>
    <w:rsid w:val="007772C0"/>
    <w:rsid w:val="00777663"/>
    <w:rsid w:val="00777693"/>
    <w:rsid w:val="00777821"/>
    <w:rsid w:val="00777BFE"/>
    <w:rsid w:val="00781105"/>
    <w:rsid w:val="0078142D"/>
    <w:rsid w:val="00781A65"/>
    <w:rsid w:val="00781A7F"/>
    <w:rsid w:val="0078203F"/>
    <w:rsid w:val="00783292"/>
    <w:rsid w:val="00783356"/>
    <w:rsid w:val="0078492D"/>
    <w:rsid w:val="00784DF5"/>
    <w:rsid w:val="00785008"/>
    <w:rsid w:val="0078532D"/>
    <w:rsid w:val="00786105"/>
    <w:rsid w:val="00786F90"/>
    <w:rsid w:val="00787565"/>
    <w:rsid w:val="00790051"/>
    <w:rsid w:val="00790AFB"/>
    <w:rsid w:val="00790D97"/>
    <w:rsid w:val="007921CE"/>
    <w:rsid w:val="0079357D"/>
    <w:rsid w:val="0079429E"/>
    <w:rsid w:val="00794479"/>
    <w:rsid w:val="007944BB"/>
    <w:rsid w:val="007949A9"/>
    <w:rsid w:val="0079516E"/>
    <w:rsid w:val="00797337"/>
    <w:rsid w:val="007978A5"/>
    <w:rsid w:val="00797A71"/>
    <w:rsid w:val="007A1A83"/>
    <w:rsid w:val="007A2427"/>
    <w:rsid w:val="007A27F0"/>
    <w:rsid w:val="007A2E3D"/>
    <w:rsid w:val="007A3694"/>
    <w:rsid w:val="007A37F0"/>
    <w:rsid w:val="007A4177"/>
    <w:rsid w:val="007A59BC"/>
    <w:rsid w:val="007A5BE9"/>
    <w:rsid w:val="007A5BEA"/>
    <w:rsid w:val="007A5F87"/>
    <w:rsid w:val="007A6B84"/>
    <w:rsid w:val="007A7D33"/>
    <w:rsid w:val="007B032A"/>
    <w:rsid w:val="007B050C"/>
    <w:rsid w:val="007B2B56"/>
    <w:rsid w:val="007B3222"/>
    <w:rsid w:val="007B3786"/>
    <w:rsid w:val="007B3E40"/>
    <w:rsid w:val="007B4356"/>
    <w:rsid w:val="007B46BB"/>
    <w:rsid w:val="007B5CF0"/>
    <w:rsid w:val="007B5E8E"/>
    <w:rsid w:val="007B5F64"/>
    <w:rsid w:val="007B7C18"/>
    <w:rsid w:val="007C02A7"/>
    <w:rsid w:val="007C0768"/>
    <w:rsid w:val="007C10C5"/>
    <w:rsid w:val="007C3664"/>
    <w:rsid w:val="007C3D1D"/>
    <w:rsid w:val="007C4306"/>
    <w:rsid w:val="007C4869"/>
    <w:rsid w:val="007C4F16"/>
    <w:rsid w:val="007C582D"/>
    <w:rsid w:val="007C5D83"/>
    <w:rsid w:val="007C62F8"/>
    <w:rsid w:val="007C6D1D"/>
    <w:rsid w:val="007C6E10"/>
    <w:rsid w:val="007C7D58"/>
    <w:rsid w:val="007D0BD2"/>
    <w:rsid w:val="007D1343"/>
    <w:rsid w:val="007D2869"/>
    <w:rsid w:val="007D2A2E"/>
    <w:rsid w:val="007D37DC"/>
    <w:rsid w:val="007D38E4"/>
    <w:rsid w:val="007D51C0"/>
    <w:rsid w:val="007D55E2"/>
    <w:rsid w:val="007D5663"/>
    <w:rsid w:val="007D6585"/>
    <w:rsid w:val="007D68E6"/>
    <w:rsid w:val="007E0198"/>
    <w:rsid w:val="007E03B4"/>
    <w:rsid w:val="007E0B32"/>
    <w:rsid w:val="007E0DE2"/>
    <w:rsid w:val="007E3961"/>
    <w:rsid w:val="007E4A67"/>
    <w:rsid w:val="007E5D8B"/>
    <w:rsid w:val="007E5F3C"/>
    <w:rsid w:val="007E5FBB"/>
    <w:rsid w:val="007E63D5"/>
    <w:rsid w:val="007E752C"/>
    <w:rsid w:val="007E7E95"/>
    <w:rsid w:val="007F0187"/>
    <w:rsid w:val="007F019D"/>
    <w:rsid w:val="007F0374"/>
    <w:rsid w:val="007F0B44"/>
    <w:rsid w:val="007F0C98"/>
    <w:rsid w:val="007F0D5F"/>
    <w:rsid w:val="007F0E7F"/>
    <w:rsid w:val="007F1006"/>
    <w:rsid w:val="007F1570"/>
    <w:rsid w:val="007F1632"/>
    <w:rsid w:val="007F19C1"/>
    <w:rsid w:val="007F1A78"/>
    <w:rsid w:val="007F2F33"/>
    <w:rsid w:val="007F321B"/>
    <w:rsid w:val="007F3F78"/>
    <w:rsid w:val="007F4575"/>
    <w:rsid w:val="007F492D"/>
    <w:rsid w:val="007F5456"/>
    <w:rsid w:val="007F5B6B"/>
    <w:rsid w:val="007F5DAB"/>
    <w:rsid w:val="007F65D6"/>
    <w:rsid w:val="007F70B9"/>
    <w:rsid w:val="007F7C2E"/>
    <w:rsid w:val="007F7C72"/>
    <w:rsid w:val="0080124E"/>
    <w:rsid w:val="008017F3"/>
    <w:rsid w:val="00802689"/>
    <w:rsid w:val="00802719"/>
    <w:rsid w:val="00803764"/>
    <w:rsid w:val="00803D1F"/>
    <w:rsid w:val="008042B1"/>
    <w:rsid w:val="008049B8"/>
    <w:rsid w:val="00804F5F"/>
    <w:rsid w:val="00805029"/>
    <w:rsid w:val="008053C0"/>
    <w:rsid w:val="0080581A"/>
    <w:rsid w:val="00807763"/>
    <w:rsid w:val="00811BD9"/>
    <w:rsid w:val="0081232A"/>
    <w:rsid w:val="00812B72"/>
    <w:rsid w:val="00813B8E"/>
    <w:rsid w:val="00813D96"/>
    <w:rsid w:val="008145C8"/>
    <w:rsid w:val="008145F5"/>
    <w:rsid w:val="00814BC1"/>
    <w:rsid w:val="008157B7"/>
    <w:rsid w:val="008169D1"/>
    <w:rsid w:val="00816CF0"/>
    <w:rsid w:val="00817B76"/>
    <w:rsid w:val="00821157"/>
    <w:rsid w:val="00822430"/>
    <w:rsid w:val="00822AC3"/>
    <w:rsid w:val="00822BA7"/>
    <w:rsid w:val="008233B4"/>
    <w:rsid w:val="00824450"/>
    <w:rsid w:val="00825EC6"/>
    <w:rsid w:val="0082677D"/>
    <w:rsid w:val="00826C95"/>
    <w:rsid w:val="00826DF0"/>
    <w:rsid w:val="00827409"/>
    <w:rsid w:val="00830D3F"/>
    <w:rsid w:val="008312C9"/>
    <w:rsid w:val="00831D83"/>
    <w:rsid w:val="00833052"/>
    <w:rsid w:val="008333E9"/>
    <w:rsid w:val="008336A1"/>
    <w:rsid w:val="008339CC"/>
    <w:rsid w:val="00833E50"/>
    <w:rsid w:val="00833FE9"/>
    <w:rsid w:val="00834607"/>
    <w:rsid w:val="00835C7A"/>
    <w:rsid w:val="008361A0"/>
    <w:rsid w:val="00836688"/>
    <w:rsid w:val="00836A90"/>
    <w:rsid w:val="00837E41"/>
    <w:rsid w:val="008402AD"/>
    <w:rsid w:val="0084073C"/>
    <w:rsid w:val="00840B7B"/>
    <w:rsid w:val="00840BD3"/>
    <w:rsid w:val="00841692"/>
    <w:rsid w:val="008418C3"/>
    <w:rsid w:val="00841F9C"/>
    <w:rsid w:val="00842D67"/>
    <w:rsid w:val="00843861"/>
    <w:rsid w:val="00844212"/>
    <w:rsid w:val="0084477D"/>
    <w:rsid w:val="0084485E"/>
    <w:rsid w:val="00845A93"/>
    <w:rsid w:val="00845B7A"/>
    <w:rsid w:val="00845BB0"/>
    <w:rsid w:val="00845C8F"/>
    <w:rsid w:val="00847E37"/>
    <w:rsid w:val="008508C0"/>
    <w:rsid w:val="00851FAA"/>
    <w:rsid w:val="008523B2"/>
    <w:rsid w:val="00853EB7"/>
    <w:rsid w:val="008543B3"/>
    <w:rsid w:val="00854B5B"/>
    <w:rsid w:val="00854F47"/>
    <w:rsid w:val="008556D3"/>
    <w:rsid w:val="008560C1"/>
    <w:rsid w:val="008567A8"/>
    <w:rsid w:val="008569B6"/>
    <w:rsid w:val="008579E5"/>
    <w:rsid w:val="008603F3"/>
    <w:rsid w:val="00860A8C"/>
    <w:rsid w:val="00860C94"/>
    <w:rsid w:val="0086143D"/>
    <w:rsid w:val="00862285"/>
    <w:rsid w:val="00863E31"/>
    <w:rsid w:val="00864C25"/>
    <w:rsid w:val="00865394"/>
    <w:rsid w:val="00865783"/>
    <w:rsid w:val="00866BB2"/>
    <w:rsid w:val="00866C5A"/>
    <w:rsid w:val="008675EB"/>
    <w:rsid w:val="0087048E"/>
    <w:rsid w:val="00871951"/>
    <w:rsid w:val="008721C3"/>
    <w:rsid w:val="0087290F"/>
    <w:rsid w:val="0087347B"/>
    <w:rsid w:val="00873606"/>
    <w:rsid w:val="008747D5"/>
    <w:rsid w:val="00874F71"/>
    <w:rsid w:val="00875099"/>
    <w:rsid w:val="008753C6"/>
    <w:rsid w:val="00875512"/>
    <w:rsid w:val="00875F12"/>
    <w:rsid w:val="00880FE5"/>
    <w:rsid w:val="00881D5A"/>
    <w:rsid w:val="00882A4F"/>
    <w:rsid w:val="00884660"/>
    <w:rsid w:val="00884A92"/>
    <w:rsid w:val="0088680F"/>
    <w:rsid w:val="00886935"/>
    <w:rsid w:val="008869BC"/>
    <w:rsid w:val="00886C56"/>
    <w:rsid w:val="00890671"/>
    <w:rsid w:val="008911CC"/>
    <w:rsid w:val="00891DAB"/>
    <w:rsid w:val="00892B7B"/>
    <w:rsid w:val="00894378"/>
    <w:rsid w:val="00894CAA"/>
    <w:rsid w:val="00894EB8"/>
    <w:rsid w:val="00895396"/>
    <w:rsid w:val="008955A8"/>
    <w:rsid w:val="00896EB1"/>
    <w:rsid w:val="00897026"/>
    <w:rsid w:val="008973AF"/>
    <w:rsid w:val="008A017F"/>
    <w:rsid w:val="008A02AF"/>
    <w:rsid w:val="008A1469"/>
    <w:rsid w:val="008A1DF7"/>
    <w:rsid w:val="008A1F25"/>
    <w:rsid w:val="008A2690"/>
    <w:rsid w:val="008A26C0"/>
    <w:rsid w:val="008A2B30"/>
    <w:rsid w:val="008A4219"/>
    <w:rsid w:val="008A5AA9"/>
    <w:rsid w:val="008A5F1C"/>
    <w:rsid w:val="008A774B"/>
    <w:rsid w:val="008B283C"/>
    <w:rsid w:val="008B30E2"/>
    <w:rsid w:val="008B3489"/>
    <w:rsid w:val="008B4240"/>
    <w:rsid w:val="008B448C"/>
    <w:rsid w:val="008B44D8"/>
    <w:rsid w:val="008B5802"/>
    <w:rsid w:val="008B613E"/>
    <w:rsid w:val="008B69FE"/>
    <w:rsid w:val="008B7D09"/>
    <w:rsid w:val="008C09FA"/>
    <w:rsid w:val="008C10D8"/>
    <w:rsid w:val="008C3DDF"/>
    <w:rsid w:val="008C3F19"/>
    <w:rsid w:val="008C40EA"/>
    <w:rsid w:val="008C4961"/>
    <w:rsid w:val="008C4BB6"/>
    <w:rsid w:val="008C6DEE"/>
    <w:rsid w:val="008C713C"/>
    <w:rsid w:val="008C7BB9"/>
    <w:rsid w:val="008D040D"/>
    <w:rsid w:val="008D0A99"/>
    <w:rsid w:val="008D0D2B"/>
    <w:rsid w:val="008D0E1B"/>
    <w:rsid w:val="008D11FF"/>
    <w:rsid w:val="008D1317"/>
    <w:rsid w:val="008D3CCD"/>
    <w:rsid w:val="008D42C9"/>
    <w:rsid w:val="008D466C"/>
    <w:rsid w:val="008D4B19"/>
    <w:rsid w:val="008D4F34"/>
    <w:rsid w:val="008D55CE"/>
    <w:rsid w:val="008D66CA"/>
    <w:rsid w:val="008D741B"/>
    <w:rsid w:val="008D7C0C"/>
    <w:rsid w:val="008D7D1D"/>
    <w:rsid w:val="008D7E69"/>
    <w:rsid w:val="008D7ED2"/>
    <w:rsid w:val="008E066A"/>
    <w:rsid w:val="008E0A7F"/>
    <w:rsid w:val="008E0B76"/>
    <w:rsid w:val="008E1761"/>
    <w:rsid w:val="008E1C38"/>
    <w:rsid w:val="008E1F53"/>
    <w:rsid w:val="008E2C04"/>
    <w:rsid w:val="008E3F14"/>
    <w:rsid w:val="008E4556"/>
    <w:rsid w:val="008E4DBB"/>
    <w:rsid w:val="008E4F3A"/>
    <w:rsid w:val="008E614F"/>
    <w:rsid w:val="008E63CA"/>
    <w:rsid w:val="008E666A"/>
    <w:rsid w:val="008E6D56"/>
    <w:rsid w:val="008E6DC1"/>
    <w:rsid w:val="008E7116"/>
    <w:rsid w:val="008E767A"/>
    <w:rsid w:val="008E7E79"/>
    <w:rsid w:val="008F0114"/>
    <w:rsid w:val="008F02BC"/>
    <w:rsid w:val="008F0BDC"/>
    <w:rsid w:val="008F0C9C"/>
    <w:rsid w:val="008F1670"/>
    <w:rsid w:val="008F191C"/>
    <w:rsid w:val="008F1DE0"/>
    <w:rsid w:val="008F2072"/>
    <w:rsid w:val="008F3248"/>
    <w:rsid w:val="008F35C3"/>
    <w:rsid w:val="008F3DED"/>
    <w:rsid w:val="008F49C0"/>
    <w:rsid w:val="008F5C1F"/>
    <w:rsid w:val="008F7A2A"/>
    <w:rsid w:val="009005BB"/>
    <w:rsid w:val="00900F48"/>
    <w:rsid w:val="0090186F"/>
    <w:rsid w:val="00902C23"/>
    <w:rsid w:val="00902D19"/>
    <w:rsid w:val="00903148"/>
    <w:rsid w:val="009037FF"/>
    <w:rsid w:val="00903F86"/>
    <w:rsid w:val="009048AC"/>
    <w:rsid w:val="00904B70"/>
    <w:rsid w:val="009058B4"/>
    <w:rsid w:val="00905CA1"/>
    <w:rsid w:val="00906811"/>
    <w:rsid w:val="00907D15"/>
    <w:rsid w:val="0091042E"/>
    <w:rsid w:val="00911221"/>
    <w:rsid w:val="00911429"/>
    <w:rsid w:val="00911ED5"/>
    <w:rsid w:val="00912B70"/>
    <w:rsid w:val="00912C4C"/>
    <w:rsid w:val="009143BB"/>
    <w:rsid w:val="0091588A"/>
    <w:rsid w:val="00917DE5"/>
    <w:rsid w:val="00921668"/>
    <w:rsid w:val="00922DC9"/>
    <w:rsid w:val="009236FA"/>
    <w:rsid w:val="0092396C"/>
    <w:rsid w:val="0092464F"/>
    <w:rsid w:val="009251B1"/>
    <w:rsid w:val="0092684F"/>
    <w:rsid w:val="009268F6"/>
    <w:rsid w:val="009269B4"/>
    <w:rsid w:val="00927443"/>
    <w:rsid w:val="0093018E"/>
    <w:rsid w:val="009305BB"/>
    <w:rsid w:val="009306FA"/>
    <w:rsid w:val="009311E7"/>
    <w:rsid w:val="00931F1B"/>
    <w:rsid w:val="00931FAB"/>
    <w:rsid w:val="009325A8"/>
    <w:rsid w:val="00932CAA"/>
    <w:rsid w:val="00934C4A"/>
    <w:rsid w:val="009354A2"/>
    <w:rsid w:val="0093596C"/>
    <w:rsid w:val="00935EFA"/>
    <w:rsid w:val="0093711B"/>
    <w:rsid w:val="00937A21"/>
    <w:rsid w:val="00940883"/>
    <w:rsid w:val="009415D0"/>
    <w:rsid w:val="00941845"/>
    <w:rsid w:val="00941A98"/>
    <w:rsid w:val="00942624"/>
    <w:rsid w:val="00942DF9"/>
    <w:rsid w:val="009437B9"/>
    <w:rsid w:val="009437FD"/>
    <w:rsid w:val="00943AD3"/>
    <w:rsid w:val="00944D5F"/>
    <w:rsid w:val="00944DE6"/>
    <w:rsid w:val="00945015"/>
    <w:rsid w:val="00945EA8"/>
    <w:rsid w:val="00946164"/>
    <w:rsid w:val="00946A00"/>
    <w:rsid w:val="00946EB5"/>
    <w:rsid w:val="00947A29"/>
    <w:rsid w:val="00947B20"/>
    <w:rsid w:val="00947B25"/>
    <w:rsid w:val="009501A0"/>
    <w:rsid w:val="00950AC9"/>
    <w:rsid w:val="00950ADA"/>
    <w:rsid w:val="00950BF0"/>
    <w:rsid w:val="0095100F"/>
    <w:rsid w:val="0095142F"/>
    <w:rsid w:val="00951781"/>
    <w:rsid w:val="00951E7B"/>
    <w:rsid w:val="00952645"/>
    <w:rsid w:val="009526AA"/>
    <w:rsid w:val="00952D06"/>
    <w:rsid w:val="00954481"/>
    <w:rsid w:val="009546B6"/>
    <w:rsid w:val="009552AD"/>
    <w:rsid w:val="009554BB"/>
    <w:rsid w:val="00955954"/>
    <w:rsid w:val="00955CF7"/>
    <w:rsid w:val="00956093"/>
    <w:rsid w:val="009569C5"/>
    <w:rsid w:val="0095715A"/>
    <w:rsid w:val="0095725D"/>
    <w:rsid w:val="00961099"/>
    <w:rsid w:val="009625ED"/>
    <w:rsid w:val="009645E4"/>
    <w:rsid w:val="00964E55"/>
    <w:rsid w:val="00965EA9"/>
    <w:rsid w:val="00965F66"/>
    <w:rsid w:val="00966775"/>
    <w:rsid w:val="009669E5"/>
    <w:rsid w:val="00967481"/>
    <w:rsid w:val="00967A6A"/>
    <w:rsid w:val="009703A4"/>
    <w:rsid w:val="00970F74"/>
    <w:rsid w:val="00971218"/>
    <w:rsid w:val="009716C5"/>
    <w:rsid w:val="00971E19"/>
    <w:rsid w:val="009721DA"/>
    <w:rsid w:val="009725FF"/>
    <w:rsid w:val="00973007"/>
    <w:rsid w:val="00973202"/>
    <w:rsid w:val="00973FF9"/>
    <w:rsid w:val="00974637"/>
    <w:rsid w:val="0097552B"/>
    <w:rsid w:val="009762EF"/>
    <w:rsid w:val="00976E02"/>
    <w:rsid w:val="009777E7"/>
    <w:rsid w:val="009779D4"/>
    <w:rsid w:val="00977E33"/>
    <w:rsid w:val="0098040D"/>
    <w:rsid w:val="00980478"/>
    <w:rsid w:val="00980EC3"/>
    <w:rsid w:val="00982168"/>
    <w:rsid w:val="00982D14"/>
    <w:rsid w:val="00982F13"/>
    <w:rsid w:val="00982F98"/>
    <w:rsid w:val="009830A4"/>
    <w:rsid w:val="009831E1"/>
    <w:rsid w:val="00984247"/>
    <w:rsid w:val="00986F17"/>
    <w:rsid w:val="0098733C"/>
    <w:rsid w:val="009907E5"/>
    <w:rsid w:val="00991961"/>
    <w:rsid w:val="00993818"/>
    <w:rsid w:val="00995753"/>
    <w:rsid w:val="00996342"/>
    <w:rsid w:val="00996D3F"/>
    <w:rsid w:val="00997C4E"/>
    <w:rsid w:val="009A0450"/>
    <w:rsid w:val="009A08F3"/>
    <w:rsid w:val="009A1855"/>
    <w:rsid w:val="009A2635"/>
    <w:rsid w:val="009A36EF"/>
    <w:rsid w:val="009A40B8"/>
    <w:rsid w:val="009A599B"/>
    <w:rsid w:val="009A673A"/>
    <w:rsid w:val="009A6E68"/>
    <w:rsid w:val="009A7325"/>
    <w:rsid w:val="009A76D3"/>
    <w:rsid w:val="009A7AB5"/>
    <w:rsid w:val="009A7BAF"/>
    <w:rsid w:val="009B0181"/>
    <w:rsid w:val="009B14DB"/>
    <w:rsid w:val="009B1ECE"/>
    <w:rsid w:val="009B3D5A"/>
    <w:rsid w:val="009B51DB"/>
    <w:rsid w:val="009B5B93"/>
    <w:rsid w:val="009B60A0"/>
    <w:rsid w:val="009B68AC"/>
    <w:rsid w:val="009B7898"/>
    <w:rsid w:val="009B7E3A"/>
    <w:rsid w:val="009C0146"/>
    <w:rsid w:val="009C02B6"/>
    <w:rsid w:val="009C0578"/>
    <w:rsid w:val="009C067B"/>
    <w:rsid w:val="009C232D"/>
    <w:rsid w:val="009C2570"/>
    <w:rsid w:val="009C2E2D"/>
    <w:rsid w:val="009C2E88"/>
    <w:rsid w:val="009C3932"/>
    <w:rsid w:val="009C489E"/>
    <w:rsid w:val="009C57DC"/>
    <w:rsid w:val="009C5FCA"/>
    <w:rsid w:val="009C619F"/>
    <w:rsid w:val="009C6B89"/>
    <w:rsid w:val="009C7635"/>
    <w:rsid w:val="009D0D72"/>
    <w:rsid w:val="009D137C"/>
    <w:rsid w:val="009D1410"/>
    <w:rsid w:val="009D24F6"/>
    <w:rsid w:val="009D2513"/>
    <w:rsid w:val="009D4482"/>
    <w:rsid w:val="009D468B"/>
    <w:rsid w:val="009D6194"/>
    <w:rsid w:val="009D6A44"/>
    <w:rsid w:val="009D6B73"/>
    <w:rsid w:val="009D7520"/>
    <w:rsid w:val="009D790F"/>
    <w:rsid w:val="009D7B44"/>
    <w:rsid w:val="009E05E0"/>
    <w:rsid w:val="009E09A1"/>
    <w:rsid w:val="009E1370"/>
    <w:rsid w:val="009E1C74"/>
    <w:rsid w:val="009E1F15"/>
    <w:rsid w:val="009E21F3"/>
    <w:rsid w:val="009E303B"/>
    <w:rsid w:val="009E3384"/>
    <w:rsid w:val="009E38BB"/>
    <w:rsid w:val="009E3CE3"/>
    <w:rsid w:val="009E44A8"/>
    <w:rsid w:val="009E4C27"/>
    <w:rsid w:val="009E4F94"/>
    <w:rsid w:val="009E66F3"/>
    <w:rsid w:val="009E735A"/>
    <w:rsid w:val="009F0715"/>
    <w:rsid w:val="009F1232"/>
    <w:rsid w:val="009F1354"/>
    <w:rsid w:val="009F1B22"/>
    <w:rsid w:val="009F1BF0"/>
    <w:rsid w:val="009F38EC"/>
    <w:rsid w:val="009F3C05"/>
    <w:rsid w:val="009F486E"/>
    <w:rsid w:val="009F4BE3"/>
    <w:rsid w:val="009F4DC1"/>
    <w:rsid w:val="009F571A"/>
    <w:rsid w:val="009F5DB3"/>
    <w:rsid w:val="009F61CA"/>
    <w:rsid w:val="009F7D8B"/>
    <w:rsid w:val="009F7F9B"/>
    <w:rsid w:val="00A0167F"/>
    <w:rsid w:val="00A0205B"/>
    <w:rsid w:val="00A02678"/>
    <w:rsid w:val="00A02703"/>
    <w:rsid w:val="00A03403"/>
    <w:rsid w:val="00A03425"/>
    <w:rsid w:val="00A0382F"/>
    <w:rsid w:val="00A0388D"/>
    <w:rsid w:val="00A039C5"/>
    <w:rsid w:val="00A0430D"/>
    <w:rsid w:val="00A05CA0"/>
    <w:rsid w:val="00A06067"/>
    <w:rsid w:val="00A07003"/>
    <w:rsid w:val="00A07574"/>
    <w:rsid w:val="00A10098"/>
    <w:rsid w:val="00A11443"/>
    <w:rsid w:val="00A11B98"/>
    <w:rsid w:val="00A11CB4"/>
    <w:rsid w:val="00A130B7"/>
    <w:rsid w:val="00A137C7"/>
    <w:rsid w:val="00A1480C"/>
    <w:rsid w:val="00A14F63"/>
    <w:rsid w:val="00A155BA"/>
    <w:rsid w:val="00A159F0"/>
    <w:rsid w:val="00A15E78"/>
    <w:rsid w:val="00A15ED8"/>
    <w:rsid w:val="00A15FA4"/>
    <w:rsid w:val="00A16732"/>
    <w:rsid w:val="00A16954"/>
    <w:rsid w:val="00A213B7"/>
    <w:rsid w:val="00A2264D"/>
    <w:rsid w:val="00A2295D"/>
    <w:rsid w:val="00A22A38"/>
    <w:rsid w:val="00A22CD8"/>
    <w:rsid w:val="00A23AA2"/>
    <w:rsid w:val="00A24A5D"/>
    <w:rsid w:val="00A24B59"/>
    <w:rsid w:val="00A25807"/>
    <w:rsid w:val="00A26068"/>
    <w:rsid w:val="00A26394"/>
    <w:rsid w:val="00A267B5"/>
    <w:rsid w:val="00A269CB"/>
    <w:rsid w:val="00A2750C"/>
    <w:rsid w:val="00A275A3"/>
    <w:rsid w:val="00A278F0"/>
    <w:rsid w:val="00A27E9F"/>
    <w:rsid w:val="00A30D14"/>
    <w:rsid w:val="00A320C4"/>
    <w:rsid w:val="00A328EA"/>
    <w:rsid w:val="00A33493"/>
    <w:rsid w:val="00A3390A"/>
    <w:rsid w:val="00A34588"/>
    <w:rsid w:val="00A3588A"/>
    <w:rsid w:val="00A37EF7"/>
    <w:rsid w:val="00A400E0"/>
    <w:rsid w:val="00A401B9"/>
    <w:rsid w:val="00A4149F"/>
    <w:rsid w:val="00A42718"/>
    <w:rsid w:val="00A42CFC"/>
    <w:rsid w:val="00A43DC6"/>
    <w:rsid w:val="00A43DE5"/>
    <w:rsid w:val="00A44081"/>
    <w:rsid w:val="00A44D53"/>
    <w:rsid w:val="00A45585"/>
    <w:rsid w:val="00A5031F"/>
    <w:rsid w:val="00A50B6B"/>
    <w:rsid w:val="00A5136A"/>
    <w:rsid w:val="00A51A7F"/>
    <w:rsid w:val="00A5286F"/>
    <w:rsid w:val="00A52B9B"/>
    <w:rsid w:val="00A52BCD"/>
    <w:rsid w:val="00A532EB"/>
    <w:rsid w:val="00A53CDD"/>
    <w:rsid w:val="00A54163"/>
    <w:rsid w:val="00A544D7"/>
    <w:rsid w:val="00A54E2F"/>
    <w:rsid w:val="00A550E1"/>
    <w:rsid w:val="00A561E5"/>
    <w:rsid w:val="00A5689B"/>
    <w:rsid w:val="00A56C58"/>
    <w:rsid w:val="00A571AB"/>
    <w:rsid w:val="00A5734E"/>
    <w:rsid w:val="00A575CC"/>
    <w:rsid w:val="00A57785"/>
    <w:rsid w:val="00A61242"/>
    <w:rsid w:val="00A617A7"/>
    <w:rsid w:val="00A617D6"/>
    <w:rsid w:val="00A61F8B"/>
    <w:rsid w:val="00A63087"/>
    <w:rsid w:val="00A64113"/>
    <w:rsid w:val="00A64693"/>
    <w:rsid w:val="00A65A4A"/>
    <w:rsid w:val="00A66663"/>
    <w:rsid w:val="00A66A87"/>
    <w:rsid w:val="00A66BB4"/>
    <w:rsid w:val="00A6742D"/>
    <w:rsid w:val="00A67497"/>
    <w:rsid w:val="00A67CBF"/>
    <w:rsid w:val="00A702AC"/>
    <w:rsid w:val="00A709FB"/>
    <w:rsid w:val="00A719FB"/>
    <w:rsid w:val="00A71C59"/>
    <w:rsid w:val="00A7204F"/>
    <w:rsid w:val="00A7254F"/>
    <w:rsid w:val="00A730E9"/>
    <w:rsid w:val="00A7390B"/>
    <w:rsid w:val="00A73E68"/>
    <w:rsid w:val="00A7689F"/>
    <w:rsid w:val="00A76CE6"/>
    <w:rsid w:val="00A7742A"/>
    <w:rsid w:val="00A776EE"/>
    <w:rsid w:val="00A806C1"/>
    <w:rsid w:val="00A8164B"/>
    <w:rsid w:val="00A831E4"/>
    <w:rsid w:val="00A841AF"/>
    <w:rsid w:val="00A84E5D"/>
    <w:rsid w:val="00A86BAE"/>
    <w:rsid w:val="00A8727A"/>
    <w:rsid w:val="00A87A44"/>
    <w:rsid w:val="00A87DDB"/>
    <w:rsid w:val="00A87F22"/>
    <w:rsid w:val="00A90015"/>
    <w:rsid w:val="00A905F6"/>
    <w:rsid w:val="00A9130B"/>
    <w:rsid w:val="00A913FB"/>
    <w:rsid w:val="00A924FA"/>
    <w:rsid w:val="00A925CE"/>
    <w:rsid w:val="00A92876"/>
    <w:rsid w:val="00A92E5B"/>
    <w:rsid w:val="00A9393E"/>
    <w:rsid w:val="00A9393F"/>
    <w:rsid w:val="00A93B32"/>
    <w:rsid w:val="00A93CE0"/>
    <w:rsid w:val="00A95221"/>
    <w:rsid w:val="00A95271"/>
    <w:rsid w:val="00A95B54"/>
    <w:rsid w:val="00A95C63"/>
    <w:rsid w:val="00A95F50"/>
    <w:rsid w:val="00A96A33"/>
    <w:rsid w:val="00A97892"/>
    <w:rsid w:val="00A97D1C"/>
    <w:rsid w:val="00AA0B61"/>
    <w:rsid w:val="00AA0E55"/>
    <w:rsid w:val="00AA1437"/>
    <w:rsid w:val="00AA1734"/>
    <w:rsid w:val="00AA19EF"/>
    <w:rsid w:val="00AA1E06"/>
    <w:rsid w:val="00AA20DE"/>
    <w:rsid w:val="00AA230A"/>
    <w:rsid w:val="00AA41FE"/>
    <w:rsid w:val="00AA528E"/>
    <w:rsid w:val="00AA5930"/>
    <w:rsid w:val="00AA6516"/>
    <w:rsid w:val="00AA663E"/>
    <w:rsid w:val="00AA6730"/>
    <w:rsid w:val="00AA6B02"/>
    <w:rsid w:val="00AA74AC"/>
    <w:rsid w:val="00AB00C6"/>
    <w:rsid w:val="00AB1453"/>
    <w:rsid w:val="00AB150B"/>
    <w:rsid w:val="00AB1611"/>
    <w:rsid w:val="00AB1684"/>
    <w:rsid w:val="00AB1B2E"/>
    <w:rsid w:val="00AB27C9"/>
    <w:rsid w:val="00AB4CA9"/>
    <w:rsid w:val="00AB57B4"/>
    <w:rsid w:val="00AB5E46"/>
    <w:rsid w:val="00AB7C5B"/>
    <w:rsid w:val="00AB7D23"/>
    <w:rsid w:val="00AC0051"/>
    <w:rsid w:val="00AC0693"/>
    <w:rsid w:val="00AC06FF"/>
    <w:rsid w:val="00AC2472"/>
    <w:rsid w:val="00AC28FA"/>
    <w:rsid w:val="00AC52BE"/>
    <w:rsid w:val="00AC63B4"/>
    <w:rsid w:val="00AC6803"/>
    <w:rsid w:val="00AC6CA5"/>
    <w:rsid w:val="00AC709A"/>
    <w:rsid w:val="00AC75FC"/>
    <w:rsid w:val="00AD0EAE"/>
    <w:rsid w:val="00AD116B"/>
    <w:rsid w:val="00AD1C9A"/>
    <w:rsid w:val="00AD27A4"/>
    <w:rsid w:val="00AD39ED"/>
    <w:rsid w:val="00AD3A98"/>
    <w:rsid w:val="00AD3ACE"/>
    <w:rsid w:val="00AD4115"/>
    <w:rsid w:val="00AD4B2A"/>
    <w:rsid w:val="00AD559B"/>
    <w:rsid w:val="00AD6A53"/>
    <w:rsid w:val="00AD7D86"/>
    <w:rsid w:val="00AE003E"/>
    <w:rsid w:val="00AE235A"/>
    <w:rsid w:val="00AE2860"/>
    <w:rsid w:val="00AE35B3"/>
    <w:rsid w:val="00AE493A"/>
    <w:rsid w:val="00AE4AFB"/>
    <w:rsid w:val="00AE5843"/>
    <w:rsid w:val="00AE632A"/>
    <w:rsid w:val="00AE69D1"/>
    <w:rsid w:val="00AE6EA0"/>
    <w:rsid w:val="00AE77C3"/>
    <w:rsid w:val="00AE79AF"/>
    <w:rsid w:val="00AF0B6B"/>
    <w:rsid w:val="00AF2096"/>
    <w:rsid w:val="00AF2592"/>
    <w:rsid w:val="00AF2A4E"/>
    <w:rsid w:val="00AF314D"/>
    <w:rsid w:val="00AF348A"/>
    <w:rsid w:val="00AF35BA"/>
    <w:rsid w:val="00AF4C49"/>
    <w:rsid w:val="00AF57D1"/>
    <w:rsid w:val="00AF5D02"/>
    <w:rsid w:val="00AF72A0"/>
    <w:rsid w:val="00AF75D9"/>
    <w:rsid w:val="00AF7A40"/>
    <w:rsid w:val="00B00410"/>
    <w:rsid w:val="00B005DB"/>
    <w:rsid w:val="00B01658"/>
    <w:rsid w:val="00B018C4"/>
    <w:rsid w:val="00B018F2"/>
    <w:rsid w:val="00B01925"/>
    <w:rsid w:val="00B01EAF"/>
    <w:rsid w:val="00B02CC0"/>
    <w:rsid w:val="00B04722"/>
    <w:rsid w:val="00B047CE"/>
    <w:rsid w:val="00B04FD0"/>
    <w:rsid w:val="00B051F4"/>
    <w:rsid w:val="00B0528C"/>
    <w:rsid w:val="00B059FC"/>
    <w:rsid w:val="00B07EF4"/>
    <w:rsid w:val="00B10633"/>
    <w:rsid w:val="00B14C38"/>
    <w:rsid w:val="00B17224"/>
    <w:rsid w:val="00B176F2"/>
    <w:rsid w:val="00B20440"/>
    <w:rsid w:val="00B20853"/>
    <w:rsid w:val="00B21D22"/>
    <w:rsid w:val="00B2215B"/>
    <w:rsid w:val="00B235CD"/>
    <w:rsid w:val="00B248AD"/>
    <w:rsid w:val="00B25378"/>
    <w:rsid w:val="00B264BF"/>
    <w:rsid w:val="00B26C82"/>
    <w:rsid w:val="00B275D9"/>
    <w:rsid w:val="00B27FC2"/>
    <w:rsid w:val="00B30BAB"/>
    <w:rsid w:val="00B3166B"/>
    <w:rsid w:val="00B323FB"/>
    <w:rsid w:val="00B325EA"/>
    <w:rsid w:val="00B32C25"/>
    <w:rsid w:val="00B33075"/>
    <w:rsid w:val="00B34777"/>
    <w:rsid w:val="00B353C2"/>
    <w:rsid w:val="00B35759"/>
    <w:rsid w:val="00B35D43"/>
    <w:rsid w:val="00B35ED0"/>
    <w:rsid w:val="00B3609F"/>
    <w:rsid w:val="00B36892"/>
    <w:rsid w:val="00B36A69"/>
    <w:rsid w:val="00B36CD1"/>
    <w:rsid w:val="00B37E34"/>
    <w:rsid w:val="00B405B7"/>
    <w:rsid w:val="00B41593"/>
    <w:rsid w:val="00B41A28"/>
    <w:rsid w:val="00B41A86"/>
    <w:rsid w:val="00B4369C"/>
    <w:rsid w:val="00B4426B"/>
    <w:rsid w:val="00B445E7"/>
    <w:rsid w:val="00B44D0C"/>
    <w:rsid w:val="00B452EB"/>
    <w:rsid w:val="00B453A7"/>
    <w:rsid w:val="00B45960"/>
    <w:rsid w:val="00B45A4B"/>
    <w:rsid w:val="00B45A67"/>
    <w:rsid w:val="00B46801"/>
    <w:rsid w:val="00B46D7F"/>
    <w:rsid w:val="00B47506"/>
    <w:rsid w:val="00B47620"/>
    <w:rsid w:val="00B5077D"/>
    <w:rsid w:val="00B5119C"/>
    <w:rsid w:val="00B53052"/>
    <w:rsid w:val="00B5334C"/>
    <w:rsid w:val="00B5425B"/>
    <w:rsid w:val="00B54E1E"/>
    <w:rsid w:val="00B55688"/>
    <w:rsid w:val="00B55A1D"/>
    <w:rsid w:val="00B56373"/>
    <w:rsid w:val="00B56650"/>
    <w:rsid w:val="00B56A4C"/>
    <w:rsid w:val="00B56AFE"/>
    <w:rsid w:val="00B57080"/>
    <w:rsid w:val="00B57463"/>
    <w:rsid w:val="00B603DA"/>
    <w:rsid w:val="00B60658"/>
    <w:rsid w:val="00B617C3"/>
    <w:rsid w:val="00B61A5E"/>
    <w:rsid w:val="00B61D9B"/>
    <w:rsid w:val="00B62CD6"/>
    <w:rsid w:val="00B633DC"/>
    <w:rsid w:val="00B63728"/>
    <w:rsid w:val="00B638B4"/>
    <w:rsid w:val="00B641AB"/>
    <w:rsid w:val="00B64391"/>
    <w:rsid w:val="00B64561"/>
    <w:rsid w:val="00B64927"/>
    <w:rsid w:val="00B64FE7"/>
    <w:rsid w:val="00B65C11"/>
    <w:rsid w:val="00B66715"/>
    <w:rsid w:val="00B667DC"/>
    <w:rsid w:val="00B669FC"/>
    <w:rsid w:val="00B66C02"/>
    <w:rsid w:val="00B66F9D"/>
    <w:rsid w:val="00B675F8"/>
    <w:rsid w:val="00B67A9A"/>
    <w:rsid w:val="00B67B26"/>
    <w:rsid w:val="00B67FD6"/>
    <w:rsid w:val="00B7046B"/>
    <w:rsid w:val="00B719B2"/>
    <w:rsid w:val="00B72037"/>
    <w:rsid w:val="00B7228E"/>
    <w:rsid w:val="00B72A28"/>
    <w:rsid w:val="00B7355B"/>
    <w:rsid w:val="00B73871"/>
    <w:rsid w:val="00B73990"/>
    <w:rsid w:val="00B73FBF"/>
    <w:rsid w:val="00B74A8B"/>
    <w:rsid w:val="00B74E23"/>
    <w:rsid w:val="00B7511D"/>
    <w:rsid w:val="00B75E18"/>
    <w:rsid w:val="00B75E88"/>
    <w:rsid w:val="00B75FC3"/>
    <w:rsid w:val="00B76010"/>
    <w:rsid w:val="00B7659C"/>
    <w:rsid w:val="00B76CA3"/>
    <w:rsid w:val="00B76FFA"/>
    <w:rsid w:val="00B77D15"/>
    <w:rsid w:val="00B77DE2"/>
    <w:rsid w:val="00B8075F"/>
    <w:rsid w:val="00B8096D"/>
    <w:rsid w:val="00B80E9D"/>
    <w:rsid w:val="00B8280A"/>
    <w:rsid w:val="00B82C5E"/>
    <w:rsid w:val="00B832E3"/>
    <w:rsid w:val="00B838B4"/>
    <w:rsid w:val="00B8426F"/>
    <w:rsid w:val="00B84731"/>
    <w:rsid w:val="00B847BA"/>
    <w:rsid w:val="00B84CFD"/>
    <w:rsid w:val="00B84E9D"/>
    <w:rsid w:val="00B8551C"/>
    <w:rsid w:val="00B85A5B"/>
    <w:rsid w:val="00B85C3D"/>
    <w:rsid w:val="00B8647D"/>
    <w:rsid w:val="00B8663E"/>
    <w:rsid w:val="00B866A4"/>
    <w:rsid w:val="00B90565"/>
    <w:rsid w:val="00B90DAD"/>
    <w:rsid w:val="00B90F1D"/>
    <w:rsid w:val="00B92092"/>
    <w:rsid w:val="00B92792"/>
    <w:rsid w:val="00B92947"/>
    <w:rsid w:val="00B9347D"/>
    <w:rsid w:val="00B956BD"/>
    <w:rsid w:val="00B95F7C"/>
    <w:rsid w:val="00B96D7E"/>
    <w:rsid w:val="00B9717D"/>
    <w:rsid w:val="00BA02D8"/>
    <w:rsid w:val="00BA0B7E"/>
    <w:rsid w:val="00BA0EDB"/>
    <w:rsid w:val="00BA1D46"/>
    <w:rsid w:val="00BA2B00"/>
    <w:rsid w:val="00BA2E7F"/>
    <w:rsid w:val="00BA3271"/>
    <w:rsid w:val="00BA3DAE"/>
    <w:rsid w:val="00BA490D"/>
    <w:rsid w:val="00BA576E"/>
    <w:rsid w:val="00BA6BEF"/>
    <w:rsid w:val="00BA79A0"/>
    <w:rsid w:val="00BA7A46"/>
    <w:rsid w:val="00BA7D1C"/>
    <w:rsid w:val="00BA7F64"/>
    <w:rsid w:val="00BA7FC6"/>
    <w:rsid w:val="00BB013E"/>
    <w:rsid w:val="00BB0AD5"/>
    <w:rsid w:val="00BB149C"/>
    <w:rsid w:val="00BB1EE5"/>
    <w:rsid w:val="00BB1FB5"/>
    <w:rsid w:val="00BB235D"/>
    <w:rsid w:val="00BB2927"/>
    <w:rsid w:val="00BB38F2"/>
    <w:rsid w:val="00BB3B90"/>
    <w:rsid w:val="00BB4D2F"/>
    <w:rsid w:val="00BB52ED"/>
    <w:rsid w:val="00BB5D94"/>
    <w:rsid w:val="00BB660B"/>
    <w:rsid w:val="00BB661D"/>
    <w:rsid w:val="00BB7398"/>
    <w:rsid w:val="00BB7F48"/>
    <w:rsid w:val="00BC0293"/>
    <w:rsid w:val="00BC0339"/>
    <w:rsid w:val="00BC0536"/>
    <w:rsid w:val="00BC0F63"/>
    <w:rsid w:val="00BC11C0"/>
    <w:rsid w:val="00BC1378"/>
    <w:rsid w:val="00BC14C0"/>
    <w:rsid w:val="00BC1A6F"/>
    <w:rsid w:val="00BC24BB"/>
    <w:rsid w:val="00BC3747"/>
    <w:rsid w:val="00BC3B16"/>
    <w:rsid w:val="00BC3C91"/>
    <w:rsid w:val="00BC417D"/>
    <w:rsid w:val="00BC43DE"/>
    <w:rsid w:val="00BC58A3"/>
    <w:rsid w:val="00BC5BEF"/>
    <w:rsid w:val="00BC651B"/>
    <w:rsid w:val="00BC6766"/>
    <w:rsid w:val="00BC6794"/>
    <w:rsid w:val="00BC6B4A"/>
    <w:rsid w:val="00BC70E4"/>
    <w:rsid w:val="00BD05FA"/>
    <w:rsid w:val="00BD0A20"/>
    <w:rsid w:val="00BD1563"/>
    <w:rsid w:val="00BD21DD"/>
    <w:rsid w:val="00BD22BD"/>
    <w:rsid w:val="00BD3E20"/>
    <w:rsid w:val="00BD5732"/>
    <w:rsid w:val="00BD63CD"/>
    <w:rsid w:val="00BD6689"/>
    <w:rsid w:val="00BD6952"/>
    <w:rsid w:val="00BD6960"/>
    <w:rsid w:val="00BD74EE"/>
    <w:rsid w:val="00BD7752"/>
    <w:rsid w:val="00BD7B24"/>
    <w:rsid w:val="00BE1783"/>
    <w:rsid w:val="00BE216C"/>
    <w:rsid w:val="00BE2AD6"/>
    <w:rsid w:val="00BE301F"/>
    <w:rsid w:val="00BE32B7"/>
    <w:rsid w:val="00BE3892"/>
    <w:rsid w:val="00BE3F6E"/>
    <w:rsid w:val="00BE41EE"/>
    <w:rsid w:val="00BE4628"/>
    <w:rsid w:val="00BE4E55"/>
    <w:rsid w:val="00BE4ED9"/>
    <w:rsid w:val="00BE542C"/>
    <w:rsid w:val="00BE5DFF"/>
    <w:rsid w:val="00BE5EB7"/>
    <w:rsid w:val="00BE61E3"/>
    <w:rsid w:val="00BF04EC"/>
    <w:rsid w:val="00BF07B4"/>
    <w:rsid w:val="00BF202F"/>
    <w:rsid w:val="00BF38E1"/>
    <w:rsid w:val="00BF4B56"/>
    <w:rsid w:val="00BF6082"/>
    <w:rsid w:val="00BF6308"/>
    <w:rsid w:val="00BF64B0"/>
    <w:rsid w:val="00BF6543"/>
    <w:rsid w:val="00BF6884"/>
    <w:rsid w:val="00BF6940"/>
    <w:rsid w:val="00BF6C4C"/>
    <w:rsid w:val="00BF6F6A"/>
    <w:rsid w:val="00BF7222"/>
    <w:rsid w:val="00BF7CE4"/>
    <w:rsid w:val="00BF7D0F"/>
    <w:rsid w:val="00BF7F1D"/>
    <w:rsid w:val="00C01A27"/>
    <w:rsid w:val="00C028E4"/>
    <w:rsid w:val="00C036B7"/>
    <w:rsid w:val="00C03EB7"/>
    <w:rsid w:val="00C046A0"/>
    <w:rsid w:val="00C05830"/>
    <w:rsid w:val="00C06170"/>
    <w:rsid w:val="00C0679A"/>
    <w:rsid w:val="00C068C9"/>
    <w:rsid w:val="00C07785"/>
    <w:rsid w:val="00C10B25"/>
    <w:rsid w:val="00C10EB2"/>
    <w:rsid w:val="00C1128B"/>
    <w:rsid w:val="00C1141E"/>
    <w:rsid w:val="00C118AF"/>
    <w:rsid w:val="00C11D02"/>
    <w:rsid w:val="00C124B7"/>
    <w:rsid w:val="00C1254C"/>
    <w:rsid w:val="00C129EE"/>
    <w:rsid w:val="00C14F26"/>
    <w:rsid w:val="00C14FE8"/>
    <w:rsid w:val="00C154E3"/>
    <w:rsid w:val="00C159B2"/>
    <w:rsid w:val="00C15A6D"/>
    <w:rsid w:val="00C15FF5"/>
    <w:rsid w:val="00C1628A"/>
    <w:rsid w:val="00C16B1E"/>
    <w:rsid w:val="00C1741C"/>
    <w:rsid w:val="00C17836"/>
    <w:rsid w:val="00C1796F"/>
    <w:rsid w:val="00C20BF4"/>
    <w:rsid w:val="00C21998"/>
    <w:rsid w:val="00C22AA2"/>
    <w:rsid w:val="00C23367"/>
    <w:rsid w:val="00C238B0"/>
    <w:rsid w:val="00C239A1"/>
    <w:rsid w:val="00C23E2A"/>
    <w:rsid w:val="00C26A3C"/>
    <w:rsid w:val="00C2715C"/>
    <w:rsid w:val="00C2767B"/>
    <w:rsid w:val="00C27683"/>
    <w:rsid w:val="00C27F48"/>
    <w:rsid w:val="00C30D6C"/>
    <w:rsid w:val="00C310D4"/>
    <w:rsid w:val="00C31358"/>
    <w:rsid w:val="00C316AF"/>
    <w:rsid w:val="00C321D1"/>
    <w:rsid w:val="00C32508"/>
    <w:rsid w:val="00C34BDE"/>
    <w:rsid w:val="00C34E03"/>
    <w:rsid w:val="00C3687A"/>
    <w:rsid w:val="00C3689C"/>
    <w:rsid w:val="00C36C84"/>
    <w:rsid w:val="00C3775E"/>
    <w:rsid w:val="00C378FB"/>
    <w:rsid w:val="00C40B39"/>
    <w:rsid w:val="00C40C2A"/>
    <w:rsid w:val="00C41260"/>
    <w:rsid w:val="00C41CC5"/>
    <w:rsid w:val="00C42C26"/>
    <w:rsid w:val="00C42C5B"/>
    <w:rsid w:val="00C43C35"/>
    <w:rsid w:val="00C44418"/>
    <w:rsid w:val="00C446CB"/>
    <w:rsid w:val="00C4594A"/>
    <w:rsid w:val="00C46598"/>
    <w:rsid w:val="00C468C1"/>
    <w:rsid w:val="00C46E31"/>
    <w:rsid w:val="00C50848"/>
    <w:rsid w:val="00C51870"/>
    <w:rsid w:val="00C524D3"/>
    <w:rsid w:val="00C52E68"/>
    <w:rsid w:val="00C533B9"/>
    <w:rsid w:val="00C535FB"/>
    <w:rsid w:val="00C53C3C"/>
    <w:rsid w:val="00C53DED"/>
    <w:rsid w:val="00C54B0B"/>
    <w:rsid w:val="00C563A1"/>
    <w:rsid w:val="00C5654F"/>
    <w:rsid w:val="00C56D88"/>
    <w:rsid w:val="00C6010D"/>
    <w:rsid w:val="00C60724"/>
    <w:rsid w:val="00C61C13"/>
    <w:rsid w:val="00C61F68"/>
    <w:rsid w:val="00C628D1"/>
    <w:rsid w:val="00C63B5D"/>
    <w:rsid w:val="00C63C41"/>
    <w:rsid w:val="00C6438B"/>
    <w:rsid w:val="00C649B1"/>
    <w:rsid w:val="00C661E5"/>
    <w:rsid w:val="00C66671"/>
    <w:rsid w:val="00C66D44"/>
    <w:rsid w:val="00C66E3C"/>
    <w:rsid w:val="00C70491"/>
    <w:rsid w:val="00C70673"/>
    <w:rsid w:val="00C70825"/>
    <w:rsid w:val="00C71020"/>
    <w:rsid w:val="00C71EE4"/>
    <w:rsid w:val="00C72255"/>
    <w:rsid w:val="00C7243A"/>
    <w:rsid w:val="00C747DB"/>
    <w:rsid w:val="00C74D8E"/>
    <w:rsid w:val="00C75800"/>
    <w:rsid w:val="00C75E7C"/>
    <w:rsid w:val="00C762DF"/>
    <w:rsid w:val="00C76314"/>
    <w:rsid w:val="00C76AFE"/>
    <w:rsid w:val="00C7756F"/>
    <w:rsid w:val="00C77AD4"/>
    <w:rsid w:val="00C77BAC"/>
    <w:rsid w:val="00C804C4"/>
    <w:rsid w:val="00C807F5"/>
    <w:rsid w:val="00C808BC"/>
    <w:rsid w:val="00C80E01"/>
    <w:rsid w:val="00C80F94"/>
    <w:rsid w:val="00C820EF"/>
    <w:rsid w:val="00C82345"/>
    <w:rsid w:val="00C8304F"/>
    <w:rsid w:val="00C85E8A"/>
    <w:rsid w:val="00C8619E"/>
    <w:rsid w:val="00C86A07"/>
    <w:rsid w:val="00C872EB"/>
    <w:rsid w:val="00C90C03"/>
    <w:rsid w:val="00C911DC"/>
    <w:rsid w:val="00C928CA"/>
    <w:rsid w:val="00C929C1"/>
    <w:rsid w:val="00C92F68"/>
    <w:rsid w:val="00C93331"/>
    <w:rsid w:val="00C947A9"/>
    <w:rsid w:val="00C95476"/>
    <w:rsid w:val="00C9574A"/>
    <w:rsid w:val="00C957DD"/>
    <w:rsid w:val="00C963F1"/>
    <w:rsid w:val="00C96B85"/>
    <w:rsid w:val="00C96BA0"/>
    <w:rsid w:val="00C9711D"/>
    <w:rsid w:val="00CA0ECD"/>
    <w:rsid w:val="00CA1CA1"/>
    <w:rsid w:val="00CA2FA5"/>
    <w:rsid w:val="00CA3C6F"/>
    <w:rsid w:val="00CA3D76"/>
    <w:rsid w:val="00CA3F09"/>
    <w:rsid w:val="00CA4116"/>
    <w:rsid w:val="00CA4496"/>
    <w:rsid w:val="00CA4798"/>
    <w:rsid w:val="00CA4B14"/>
    <w:rsid w:val="00CA53B4"/>
    <w:rsid w:val="00CA56E9"/>
    <w:rsid w:val="00CA6725"/>
    <w:rsid w:val="00CA744D"/>
    <w:rsid w:val="00CA7C35"/>
    <w:rsid w:val="00CB1FBB"/>
    <w:rsid w:val="00CB3497"/>
    <w:rsid w:val="00CB48B6"/>
    <w:rsid w:val="00CB5109"/>
    <w:rsid w:val="00CB5651"/>
    <w:rsid w:val="00CB5F0C"/>
    <w:rsid w:val="00CB64CF"/>
    <w:rsid w:val="00CB6C29"/>
    <w:rsid w:val="00CB6D3F"/>
    <w:rsid w:val="00CB76E5"/>
    <w:rsid w:val="00CB7B63"/>
    <w:rsid w:val="00CC113C"/>
    <w:rsid w:val="00CC12D3"/>
    <w:rsid w:val="00CC27AA"/>
    <w:rsid w:val="00CC2B6C"/>
    <w:rsid w:val="00CC3A23"/>
    <w:rsid w:val="00CC3B1D"/>
    <w:rsid w:val="00CC43DD"/>
    <w:rsid w:val="00CC48C1"/>
    <w:rsid w:val="00CC58A0"/>
    <w:rsid w:val="00CC63A9"/>
    <w:rsid w:val="00CC644F"/>
    <w:rsid w:val="00CC69C6"/>
    <w:rsid w:val="00CC6B92"/>
    <w:rsid w:val="00CC73FC"/>
    <w:rsid w:val="00CC777D"/>
    <w:rsid w:val="00CD0616"/>
    <w:rsid w:val="00CD1155"/>
    <w:rsid w:val="00CD1230"/>
    <w:rsid w:val="00CD1A78"/>
    <w:rsid w:val="00CD1C31"/>
    <w:rsid w:val="00CD1CAB"/>
    <w:rsid w:val="00CD3AAB"/>
    <w:rsid w:val="00CD43EF"/>
    <w:rsid w:val="00CD46A9"/>
    <w:rsid w:val="00CD48E4"/>
    <w:rsid w:val="00CD4CC1"/>
    <w:rsid w:val="00CD5110"/>
    <w:rsid w:val="00CD590E"/>
    <w:rsid w:val="00CD5B54"/>
    <w:rsid w:val="00CE0417"/>
    <w:rsid w:val="00CE09A0"/>
    <w:rsid w:val="00CE1267"/>
    <w:rsid w:val="00CE18F3"/>
    <w:rsid w:val="00CE1C86"/>
    <w:rsid w:val="00CE1F1A"/>
    <w:rsid w:val="00CE1FA8"/>
    <w:rsid w:val="00CE28F7"/>
    <w:rsid w:val="00CE31EA"/>
    <w:rsid w:val="00CE3751"/>
    <w:rsid w:val="00CE436B"/>
    <w:rsid w:val="00CE4A2A"/>
    <w:rsid w:val="00CE55E2"/>
    <w:rsid w:val="00CE573C"/>
    <w:rsid w:val="00CE5C36"/>
    <w:rsid w:val="00CE5FA8"/>
    <w:rsid w:val="00CE6133"/>
    <w:rsid w:val="00CE6166"/>
    <w:rsid w:val="00CE6607"/>
    <w:rsid w:val="00CE72B5"/>
    <w:rsid w:val="00CE72E1"/>
    <w:rsid w:val="00CE7E0C"/>
    <w:rsid w:val="00CE7F16"/>
    <w:rsid w:val="00CF0170"/>
    <w:rsid w:val="00CF080F"/>
    <w:rsid w:val="00CF136C"/>
    <w:rsid w:val="00CF18FF"/>
    <w:rsid w:val="00CF1A9E"/>
    <w:rsid w:val="00CF1ABA"/>
    <w:rsid w:val="00CF27B9"/>
    <w:rsid w:val="00CF2E5C"/>
    <w:rsid w:val="00CF3205"/>
    <w:rsid w:val="00CF3686"/>
    <w:rsid w:val="00CF4223"/>
    <w:rsid w:val="00CF48F5"/>
    <w:rsid w:val="00CF4EC6"/>
    <w:rsid w:val="00CF5CB7"/>
    <w:rsid w:val="00CF6D04"/>
    <w:rsid w:val="00CF6DCA"/>
    <w:rsid w:val="00CF7176"/>
    <w:rsid w:val="00D007BE"/>
    <w:rsid w:val="00D009C9"/>
    <w:rsid w:val="00D021D4"/>
    <w:rsid w:val="00D02243"/>
    <w:rsid w:val="00D023DD"/>
    <w:rsid w:val="00D0304A"/>
    <w:rsid w:val="00D03505"/>
    <w:rsid w:val="00D037C1"/>
    <w:rsid w:val="00D03D06"/>
    <w:rsid w:val="00D03DF9"/>
    <w:rsid w:val="00D057B1"/>
    <w:rsid w:val="00D05BD0"/>
    <w:rsid w:val="00D05F33"/>
    <w:rsid w:val="00D05FAE"/>
    <w:rsid w:val="00D0794F"/>
    <w:rsid w:val="00D07AC3"/>
    <w:rsid w:val="00D10072"/>
    <w:rsid w:val="00D10441"/>
    <w:rsid w:val="00D10775"/>
    <w:rsid w:val="00D10DAD"/>
    <w:rsid w:val="00D12196"/>
    <w:rsid w:val="00D12712"/>
    <w:rsid w:val="00D128E9"/>
    <w:rsid w:val="00D12BCD"/>
    <w:rsid w:val="00D139B0"/>
    <w:rsid w:val="00D13BA5"/>
    <w:rsid w:val="00D14B14"/>
    <w:rsid w:val="00D14C9B"/>
    <w:rsid w:val="00D16744"/>
    <w:rsid w:val="00D171EE"/>
    <w:rsid w:val="00D17A63"/>
    <w:rsid w:val="00D17C9E"/>
    <w:rsid w:val="00D21531"/>
    <w:rsid w:val="00D23135"/>
    <w:rsid w:val="00D24D3C"/>
    <w:rsid w:val="00D273B4"/>
    <w:rsid w:val="00D30810"/>
    <w:rsid w:val="00D316BE"/>
    <w:rsid w:val="00D31A51"/>
    <w:rsid w:val="00D3276B"/>
    <w:rsid w:val="00D32AE8"/>
    <w:rsid w:val="00D33337"/>
    <w:rsid w:val="00D33694"/>
    <w:rsid w:val="00D34389"/>
    <w:rsid w:val="00D34D0E"/>
    <w:rsid w:val="00D34ECA"/>
    <w:rsid w:val="00D35541"/>
    <w:rsid w:val="00D366D0"/>
    <w:rsid w:val="00D36C95"/>
    <w:rsid w:val="00D379EB"/>
    <w:rsid w:val="00D37C01"/>
    <w:rsid w:val="00D41093"/>
    <w:rsid w:val="00D4166E"/>
    <w:rsid w:val="00D425AF"/>
    <w:rsid w:val="00D43783"/>
    <w:rsid w:val="00D44F23"/>
    <w:rsid w:val="00D4568B"/>
    <w:rsid w:val="00D45BDE"/>
    <w:rsid w:val="00D4604F"/>
    <w:rsid w:val="00D466E3"/>
    <w:rsid w:val="00D50197"/>
    <w:rsid w:val="00D502C3"/>
    <w:rsid w:val="00D502DD"/>
    <w:rsid w:val="00D50538"/>
    <w:rsid w:val="00D5088B"/>
    <w:rsid w:val="00D510D4"/>
    <w:rsid w:val="00D51227"/>
    <w:rsid w:val="00D51801"/>
    <w:rsid w:val="00D52A86"/>
    <w:rsid w:val="00D52C89"/>
    <w:rsid w:val="00D52EBD"/>
    <w:rsid w:val="00D52F85"/>
    <w:rsid w:val="00D530F1"/>
    <w:rsid w:val="00D536E9"/>
    <w:rsid w:val="00D53FB0"/>
    <w:rsid w:val="00D544CE"/>
    <w:rsid w:val="00D546F1"/>
    <w:rsid w:val="00D54EA4"/>
    <w:rsid w:val="00D55897"/>
    <w:rsid w:val="00D5589B"/>
    <w:rsid w:val="00D576A1"/>
    <w:rsid w:val="00D57F8F"/>
    <w:rsid w:val="00D60138"/>
    <w:rsid w:val="00D61017"/>
    <w:rsid w:val="00D61A93"/>
    <w:rsid w:val="00D627F9"/>
    <w:rsid w:val="00D6385D"/>
    <w:rsid w:val="00D64E02"/>
    <w:rsid w:val="00D7175D"/>
    <w:rsid w:val="00D72047"/>
    <w:rsid w:val="00D726D4"/>
    <w:rsid w:val="00D72E66"/>
    <w:rsid w:val="00D731DA"/>
    <w:rsid w:val="00D73DF4"/>
    <w:rsid w:val="00D73F62"/>
    <w:rsid w:val="00D74887"/>
    <w:rsid w:val="00D75A06"/>
    <w:rsid w:val="00D814F4"/>
    <w:rsid w:val="00D815D8"/>
    <w:rsid w:val="00D81772"/>
    <w:rsid w:val="00D81B27"/>
    <w:rsid w:val="00D82B30"/>
    <w:rsid w:val="00D82D6E"/>
    <w:rsid w:val="00D83940"/>
    <w:rsid w:val="00D83AE9"/>
    <w:rsid w:val="00D83F7C"/>
    <w:rsid w:val="00D85BF2"/>
    <w:rsid w:val="00D86953"/>
    <w:rsid w:val="00D8725E"/>
    <w:rsid w:val="00D87D42"/>
    <w:rsid w:val="00D901BD"/>
    <w:rsid w:val="00D92599"/>
    <w:rsid w:val="00D93EBA"/>
    <w:rsid w:val="00D94632"/>
    <w:rsid w:val="00D94949"/>
    <w:rsid w:val="00D94C7C"/>
    <w:rsid w:val="00D95C40"/>
    <w:rsid w:val="00D967D1"/>
    <w:rsid w:val="00D96CA7"/>
    <w:rsid w:val="00D9708F"/>
    <w:rsid w:val="00DA0328"/>
    <w:rsid w:val="00DA04A4"/>
    <w:rsid w:val="00DA202D"/>
    <w:rsid w:val="00DA26EA"/>
    <w:rsid w:val="00DA2CB8"/>
    <w:rsid w:val="00DA2CC9"/>
    <w:rsid w:val="00DA3198"/>
    <w:rsid w:val="00DA3EF4"/>
    <w:rsid w:val="00DA48AB"/>
    <w:rsid w:val="00DA66CD"/>
    <w:rsid w:val="00DA6ACB"/>
    <w:rsid w:val="00DA72CE"/>
    <w:rsid w:val="00DA72EE"/>
    <w:rsid w:val="00DB0400"/>
    <w:rsid w:val="00DB0E5E"/>
    <w:rsid w:val="00DB1004"/>
    <w:rsid w:val="00DB169B"/>
    <w:rsid w:val="00DB1E8A"/>
    <w:rsid w:val="00DB206A"/>
    <w:rsid w:val="00DB24DE"/>
    <w:rsid w:val="00DB2715"/>
    <w:rsid w:val="00DB299F"/>
    <w:rsid w:val="00DB34BD"/>
    <w:rsid w:val="00DB49CF"/>
    <w:rsid w:val="00DB51AB"/>
    <w:rsid w:val="00DB5AA9"/>
    <w:rsid w:val="00DB5DAC"/>
    <w:rsid w:val="00DB5E73"/>
    <w:rsid w:val="00DB6104"/>
    <w:rsid w:val="00DB61CE"/>
    <w:rsid w:val="00DB7158"/>
    <w:rsid w:val="00DC17DE"/>
    <w:rsid w:val="00DC1CB7"/>
    <w:rsid w:val="00DC1D6D"/>
    <w:rsid w:val="00DC2873"/>
    <w:rsid w:val="00DC2DBF"/>
    <w:rsid w:val="00DC303C"/>
    <w:rsid w:val="00DC39F2"/>
    <w:rsid w:val="00DC3B9B"/>
    <w:rsid w:val="00DC4B0A"/>
    <w:rsid w:val="00DC4C0B"/>
    <w:rsid w:val="00DC5336"/>
    <w:rsid w:val="00DC614B"/>
    <w:rsid w:val="00DC68CC"/>
    <w:rsid w:val="00DD0D56"/>
    <w:rsid w:val="00DD231A"/>
    <w:rsid w:val="00DD2FA0"/>
    <w:rsid w:val="00DD3A7C"/>
    <w:rsid w:val="00DD3AFE"/>
    <w:rsid w:val="00DD58FC"/>
    <w:rsid w:val="00DD5E22"/>
    <w:rsid w:val="00DD7421"/>
    <w:rsid w:val="00DD7CF8"/>
    <w:rsid w:val="00DE04AB"/>
    <w:rsid w:val="00DE12E3"/>
    <w:rsid w:val="00DE25D5"/>
    <w:rsid w:val="00DE288A"/>
    <w:rsid w:val="00DE3B1D"/>
    <w:rsid w:val="00DE417B"/>
    <w:rsid w:val="00DE4CCE"/>
    <w:rsid w:val="00DE5443"/>
    <w:rsid w:val="00DE5616"/>
    <w:rsid w:val="00DE5E15"/>
    <w:rsid w:val="00DE6069"/>
    <w:rsid w:val="00DE7384"/>
    <w:rsid w:val="00DE7B9C"/>
    <w:rsid w:val="00DF05F5"/>
    <w:rsid w:val="00DF14D8"/>
    <w:rsid w:val="00DF171C"/>
    <w:rsid w:val="00DF1EF9"/>
    <w:rsid w:val="00DF231F"/>
    <w:rsid w:val="00DF278D"/>
    <w:rsid w:val="00DF2A85"/>
    <w:rsid w:val="00DF2BC6"/>
    <w:rsid w:val="00DF2DC9"/>
    <w:rsid w:val="00DF30B4"/>
    <w:rsid w:val="00DF48E3"/>
    <w:rsid w:val="00DF533C"/>
    <w:rsid w:val="00DF5674"/>
    <w:rsid w:val="00DF6273"/>
    <w:rsid w:val="00DF663C"/>
    <w:rsid w:val="00DF6920"/>
    <w:rsid w:val="00DF6AD7"/>
    <w:rsid w:val="00DF75A2"/>
    <w:rsid w:val="00E007D1"/>
    <w:rsid w:val="00E007DA"/>
    <w:rsid w:val="00E00C18"/>
    <w:rsid w:val="00E017C5"/>
    <w:rsid w:val="00E02BD9"/>
    <w:rsid w:val="00E03D4B"/>
    <w:rsid w:val="00E03E59"/>
    <w:rsid w:val="00E06023"/>
    <w:rsid w:val="00E07BFE"/>
    <w:rsid w:val="00E07E17"/>
    <w:rsid w:val="00E100EF"/>
    <w:rsid w:val="00E101D6"/>
    <w:rsid w:val="00E10584"/>
    <w:rsid w:val="00E11056"/>
    <w:rsid w:val="00E1127F"/>
    <w:rsid w:val="00E11D4A"/>
    <w:rsid w:val="00E1207D"/>
    <w:rsid w:val="00E12766"/>
    <w:rsid w:val="00E12B6C"/>
    <w:rsid w:val="00E13D89"/>
    <w:rsid w:val="00E14254"/>
    <w:rsid w:val="00E156B2"/>
    <w:rsid w:val="00E165FE"/>
    <w:rsid w:val="00E17564"/>
    <w:rsid w:val="00E17830"/>
    <w:rsid w:val="00E17DA4"/>
    <w:rsid w:val="00E22238"/>
    <w:rsid w:val="00E223B9"/>
    <w:rsid w:val="00E228C1"/>
    <w:rsid w:val="00E22F7B"/>
    <w:rsid w:val="00E234FF"/>
    <w:rsid w:val="00E240C4"/>
    <w:rsid w:val="00E2441A"/>
    <w:rsid w:val="00E24E33"/>
    <w:rsid w:val="00E24F3B"/>
    <w:rsid w:val="00E268EE"/>
    <w:rsid w:val="00E26CCA"/>
    <w:rsid w:val="00E26E57"/>
    <w:rsid w:val="00E26F99"/>
    <w:rsid w:val="00E27B12"/>
    <w:rsid w:val="00E32D04"/>
    <w:rsid w:val="00E33DB7"/>
    <w:rsid w:val="00E34062"/>
    <w:rsid w:val="00E340B2"/>
    <w:rsid w:val="00E341CD"/>
    <w:rsid w:val="00E34AEB"/>
    <w:rsid w:val="00E355BF"/>
    <w:rsid w:val="00E35CA2"/>
    <w:rsid w:val="00E36392"/>
    <w:rsid w:val="00E407F7"/>
    <w:rsid w:val="00E42434"/>
    <w:rsid w:val="00E43D9B"/>
    <w:rsid w:val="00E4462C"/>
    <w:rsid w:val="00E449CB"/>
    <w:rsid w:val="00E45306"/>
    <w:rsid w:val="00E4575C"/>
    <w:rsid w:val="00E45B21"/>
    <w:rsid w:val="00E45CEC"/>
    <w:rsid w:val="00E46EC6"/>
    <w:rsid w:val="00E47383"/>
    <w:rsid w:val="00E5241B"/>
    <w:rsid w:val="00E53B07"/>
    <w:rsid w:val="00E541D1"/>
    <w:rsid w:val="00E546BE"/>
    <w:rsid w:val="00E548C7"/>
    <w:rsid w:val="00E55734"/>
    <w:rsid w:val="00E56F07"/>
    <w:rsid w:val="00E6009C"/>
    <w:rsid w:val="00E60AC4"/>
    <w:rsid w:val="00E61113"/>
    <w:rsid w:val="00E61180"/>
    <w:rsid w:val="00E6139F"/>
    <w:rsid w:val="00E624F3"/>
    <w:rsid w:val="00E62AE2"/>
    <w:rsid w:val="00E62DC5"/>
    <w:rsid w:val="00E63AC7"/>
    <w:rsid w:val="00E63D42"/>
    <w:rsid w:val="00E6431F"/>
    <w:rsid w:val="00E6480A"/>
    <w:rsid w:val="00E64E92"/>
    <w:rsid w:val="00E658D4"/>
    <w:rsid w:val="00E65D0B"/>
    <w:rsid w:val="00E6702E"/>
    <w:rsid w:val="00E677BC"/>
    <w:rsid w:val="00E70096"/>
    <w:rsid w:val="00E73434"/>
    <w:rsid w:val="00E744FA"/>
    <w:rsid w:val="00E75AA7"/>
    <w:rsid w:val="00E75D1D"/>
    <w:rsid w:val="00E764D0"/>
    <w:rsid w:val="00E766C2"/>
    <w:rsid w:val="00E76D9B"/>
    <w:rsid w:val="00E77531"/>
    <w:rsid w:val="00E80197"/>
    <w:rsid w:val="00E807B5"/>
    <w:rsid w:val="00E81505"/>
    <w:rsid w:val="00E81D65"/>
    <w:rsid w:val="00E820BB"/>
    <w:rsid w:val="00E826BF"/>
    <w:rsid w:val="00E82D5D"/>
    <w:rsid w:val="00E84B39"/>
    <w:rsid w:val="00E84BE0"/>
    <w:rsid w:val="00E86DEE"/>
    <w:rsid w:val="00E876A9"/>
    <w:rsid w:val="00E87F89"/>
    <w:rsid w:val="00E90335"/>
    <w:rsid w:val="00E91A94"/>
    <w:rsid w:val="00E9213C"/>
    <w:rsid w:val="00E92589"/>
    <w:rsid w:val="00E92605"/>
    <w:rsid w:val="00E9267C"/>
    <w:rsid w:val="00E92B69"/>
    <w:rsid w:val="00E95C1F"/>
    <w:rsid w:val="00E969E5"/>
    <w:rsid w:val="00E97AB1"/>
    <w:rsid w:val="00EA04FA"/>
    <w:rsid w:val="00EA0611"/>
    <w:rsid w:val="00EA0680"/>
    <w:rsid w:val="00EA1325"/>
    <w:rsid w:val="00EA190F"/>
    <w:rsid w:val="00EA1AD2"/>
    <w:rsid w:val="00EA20CC"/>
    <w:rsid w:val="00EA27B0"/>
    <w:rsid w:val="00EA296C"/>
    <w:rsid w:val="00EA3181"/>
    <w:rsid w:val="00EA4D04"/>
    <w:rsid w:val="00EA525C"/>
    <w:rsid w:val="00EA56CB"/>
    <w:rsid w:val="00EA7678"/>
    <w:rsid w:val="00EB07BD"/>
    <w:rsid w:val="00EB127D"/>
    <w:rsid w:val="00EB15D9"/>
    <w:rsid w:val="00EB1C58"/>
    <w:rsid w:val="00EB2521"/>
    <w:rsid w:val="00EB2F9D"/>
    <w:rsid w:val="00EB3875"/>
    <w:rsid w:val="00EB3EC9"/>
    <w:rsid w:val="00EB41B9"/>
    <w:rsid w:val="00EB4683"/>
    <w:rsid w:val="00EB4791"/>
    <w:rsid w:val="00EC0094"/>
    <w:rsid w:val="00EC0B58"/>
    <w:rsid w:val="00EC132B"/>
    <w:rsid w:val="00EC145D"/>
    <w:rsid w:val="00EC14A2"/>
    <w:rsid w:val="00EC280A"/>
    <w:rsid w:val="00EC373D"/>
    <w:rsid w:val="00EC3F20"/>
    <w:rsid w:val="00EC5889"/>
    <w:rsid w:val="00EC7387"/>
    <w:rsid w:val="00EC7E42"/>
    <w:rsid w:val="00ED19C8"/>
    <w:rsid w:val="00ED2229"/>
    <w:rsid w:val="00ED3351"/>
    <w:rsid w:val="00ED39C6"/>
    <w:rsid w:val="00ED5320"/>
    <w:rsid w:val="00ED5A01"/>
    <w:rsid w:val="00ED5BDE"/>
    <w:rsid w:val="00ED71A9"/>
    <w:rsid w:val="00ED7539"/>
    <w:rsid w:val="00ED7CAF"/>
    <w:rsid w:val="00EE1218"/>
    <w:rsid w:val="00EE1446"/>
    <w:rsid w:val="00EE1C59"/>
    <w:rsid w:val="00EE271F"/>
    <w:rsid w:val="00EE2BD7"/>
    <w:rsid w:val="00EE3778"/>
    <w:rsid w:val="00EE41DC"/>
    <w:rsid w:val="00EE5DA1"/>
    <w:rsid w:val="00EE6A8C"/>
    <w:rsid w:val="00EE6A99"/>
    <w:rsid w:val="00EE6F6B"/>
    <w:rsid w:val="00EE70B9"/>
    <w:rsid w:val="00EF0440"/>
    <w:rsid w:val="00EF0721"/>
    <w:rsid w:val="00EF0787"/>
    <w:rsid w:val="00EF0FED"/>
    <w:rsid w:val="00EF259D"/>
    <w:rsid w:val="00EF29E9"/>
    <w:rsid w:val="00EF2DA7"/>
    <w:rsid w:val="00EF3293"/>
    <w:rsid w:val="00EF3412"/>
    <w:rsid w:val="00EF4397"/>
    <w:rsid w:val="00EF4429"/>
    <w:rsid w:val="00EF5C81"/>
    <w:rsid w:val="00EF6454"/>
    <w:rsid w:val="00EF7A89"/>
    <w:rsid w:val="00F01EA0"/>
    <w:rsid w:val="00F02A77"/>
    <w:rsid w:val="00F02B0F"/>
    <w:rsid w:val="00F04345"/>
    <w:rsid w:val="00F046DF"/>
    <w:rsid w:val="00F04EE8"/>
    <w:rsid w:val="00F053C5"/>
    <w:rsid w:val="00F06A58"/>
    <w:rsid w:val="00F06A7B"/>
    <w:rsid w:val="00F071CB"/>
    <w:rsid w:val="00F07376"/>
    <w:rsid w:val="00F074C3"/>
    <w:rsid w:val="00F077A2"/>
    <w:rsid w:val="00F077FF"/>
    <w:rsid w:val="00F07FBD"/>
    <w:rsid w:val="00F100B8"/>
    <w:rsid w:val="00F10214"/>
    <w:rsid w:val="00F1086E"/>
    <w:rsid w:val="00F11783"/>
    <w:rsid w:val="00F12DC0"/>
    <w:rsid w:val="00F12EB3"/>
    <w:rsid w:val="00F130DF"/>
    <w:rsid w:val="00F138A8"/>
    <w:rsid w:val="00F13AAC"/>
    <w:rsid w:val="00F14376"/>
    <w:rsid w:val="00F14C7D"/>
    <w:rsid w:val="00F14DB6"/>
    <w:rsid w:val="00F1574C"/>
    <w:rsid w:val="00F15FE8"/>
    <w:rsid w:val="00F16580"/>
    <w:rsid w:val="00F16BA7"/>
    <w:rsid w:val="00F173A9"/>
    <w:rsid w:val="00F1793D"/>
    <w:rsid w:val="00F204F1"/>
    <w:rsid w:val="00F225CE"/>
    <w:rsid w:val="00F23166"/>
    <w:rsid w:val="00F24222"/>
    <w:rsid w:val="00F24803"/>
    <w:rsid w:val="00F25BB5"/>
    <w:rsid w:val="00F25E4D"/>
    <w:rsid w:val="00F26B29"/>
    <w:rsid w:val="00F272C7"/>
    <w:rsid w:val="00F304D9"/>
    <w:rsid w:val="00F30585"/>
    <w:rsid w:val="00F30EAB"/>
    <w:rsid w:val="00F30F84"/>
    <w:rsid w:val="00F310AB"/>
    <w:rsid w:val="00F314A7"/>
    <w:rsid w:val="00F31B5A"/>
    <w:rsid w:val="00F31C23"/>
    <w:rsid w:val="00F31DEE"/>
    <w:rsid w:val="00F31ECC"/>
    <w:rsid w:val="00F32C0D"/>
    <w:rsid w:val="00F33AB0"/>
    <w:rsid w:val="00F35497"/>
    <w:rsid w:val="00F356A1"/>
    <w:rsid w:val="00F36146"/>
    <w:rsid w:val="00F37D0A"/>
    <w:rsid w:val="00F407FB"/>
    <w:rsid w:val="00F417D8"/>
    <w:rsid w:val="00F42207"/>
    <w:rsid w:val="00F42B73"/>
    <w:rsid w:val="00F42F9E"/>
    <w:rsid w:val="00F43174"/>
    <w:rsid w:val="00F43503"/>
    <w:rsid w:val="00F4437C"/>
    <w:rsid w:val="00F44932"/>
    <w:rsid w:val="00F4499F"/>
    <w:rsid w:val="00F44CD8"/>
    <w:rsid w:val="00F44D59"/>
    <w:rsid w:val="00F4543F"/>
    <w:rsid w:val="00F45B85"/>
    <w:rsid w:val="00F4611B"/>
    <w:rsid w:val="00F467D6"/>
    <w:rsid w:val="00F473DB"/>
    <w:rsid w:val="00F478A7"/>
    <w:rsid w:val="00F47EDB"/>
    <w:rsid w:val="00F47EDD"/>
    <w:rsid w:val="00F500EE"/>
    <w:rsid w:val="00F5315D"/>
    <w:rsid w:val="00F53BC0"/>
    <w:rsid w:val="00F540FD"/>
    <w:rsid w:val="00F548B2"/>
    <w:rsid w:val="00F5555B"/>
    <w:rsid w:val="00F55CFA"/>
    <w:rsid w:val="00F55DD9"/>
    <w:rsid w:val="00F55FCE"/>
    <w:rsid w:val="00F5641B"/>
    <w:rsid w:val="00F571DC"/>
    <w:rsid w:val="00F573E4"/>
    <w:rsid w:val="00F574F4"/>
    <w:rsid w:val="00F57A66"/>
    <w:rsid w:val="00F6074E"/>
    <w:rsid w:val="00F60A26"/>
    <w:rsid w:val="00F611B7"/>
    <w:rsid w:val="00F615D8"/>
    <w:rsid w:val="00F618C9"/>
    <w:rsid w:val="00F6323A"/>
    <w:rsid w:val="00F63DFB"/>
    <w:rsid w:val="00F64021"/>
    <w:rsid w:val="00F64482"/>
    <w:rsid w:val="00F64B7D"/>
    <w:rsid w:val="00F64E30"/>
    <w:rsid w:val="00F65E1E"/>
    <w:rsid w:val="00F66269"/>
    <w:rsid w:val="00F6689A"/>
    <w:rsid w:val="00F670F0"/>
    <w:rsid w:val="00F675B6"/>
    <w:rsid w:val="00F71DE4"/>
    <w:rsid w:val="00F72D51"/>
    <w:rsid w:val="00F7308B"/>
    <w:rsid w:val="00F74924"/>
    <w:rsid w:val="00F74BC0"/>
    <w:rsid w:val="00F75486"/>
    <w:rsid w:val="00F7584F"/>
    <w:rsid w:val="00F7627B"/>
    <w:rsid w:val="00F77F97"/>
    <w:rsid w:val="00F80904"/>
    <w:rsid w:val="00F82433"/>
    <w:rsid w:val="00F8264B"/>
    <w:rsid w:val="00F83CE3"/>
    <w:rsid w:val="00F8413C"/>
    <w:rsid w:val="00F842B8"/>
    <w:rsid w:val="00F86A8C"/>
    <w:rsid w:val="00F874AD"/>
    <w:rsid w:val="00F87A71"/>
    <w:rsid w:val="00F902BA"/>
    <w:rsid w:val="00F905A7"/>
    <w:rsid w:val="00F90668"/>
    <w:rsid w:val="00F91FD3"/>
    <w:rsid w:val="00F9250B"/>
    <w:rsid w:val="00F9343C"/>
    <w:rsid w:val="00F93704"/>
    <w:rsid w:val="00F93D77"/>
    <w:rsid w:val="00F946B0"/>
    <w:rsid w:val="00F9479A"/>
    <w:rsid w:val="00F95101"/>
    <w:rsid w:val="00F955C4"/>
    <w:rsid w:val="00F96070"/>
    <w:rsid w:val="00F96164"/>
    <w:rsid w:val="00F96B3D"/>
    <w:rsid w:val="00F97247"/>
    <w:rsid w:val="00F973F7"/>
    <w:rsid w:val="00FA0840"/>
    <w:rsid w:val="00FA0DAD"/>
    <w:rsid w:val="00FA14CD"/>
    <w:rsid w:val="00FA2745"/>
    <w:rsid w:val="00FA28B8"/>
    <w:rsid w:val="00FA28BB"/>
    <w:rsid w:val="00FA39E6"/>
    <w:rsid w:val="00FA43A8"/>
    <w:rsid w:val="00FA47E6"/>
    <w:rsid w:val="00FA505D"/>
    <w:rsid w:val="00FA510F"/>
    <w:rsid w:val="00FA52A2"/>
    <w:rsid w:val="00FA7414"/>
    <w:rsid w:val="00FA7AB7"/>
    <w:rsid w:val="00FB017C"/>
    <w:rsid w:val="00FB1895"/>
    <w:rsid w:val="00FB21D9"/>
    <w:rsid w:val="00FB3FD3"/>
    <w:rsid w:val="00FB404E"/>
    <w:rsid w:val="00FB4083"/>
    <w:rsid w:val="00FB4517"/>
    <w:rsid w:val="00FB5481"/>
    <w:rsid w:val="00FB5A6B"/>
    <w:rsid w:val="00FB5BCA"/>
    <w:rsid w:val="00FB6BAD"/>
    <w:rsid w:val="00FB768F"/>
    <w:rsid w:val="00FB79D7"/>
    <w:rsid w:val="00FC0524"/>
    <w:rsid w:val="00FC13E8"/>
    <w:rsid w:val="00FC194A"/>
    <w:rsid w:val="00FC2740"/>
    <w:rsid w:val="00FC29F3"/>
    <w:rsid w:val="00FC2ABC"/>
    <w:rsid w:val="00FC3569"/>
    <w:rsid w:val="00FC3628"/>
    <w:rsid w:val="00FC36AC"/>
    <w:rsid w:val="00FC4238"/>
    <w:rsid w:val="00FC48AB"/>
    <w:rsid w:val="00FC5155"/>
    <w:rsid w:val="00FC56BF"/>
    <w:rsid w:val="00FC5FFE"/>
    <w:rsid w:val="00FC6E7E"/>
    <w:rsid w:val="00FC6EE8"/>
    <w:rsid w:val="00FC6F55"/>
    <w:rsid w:val="00FD08BA"/>
    <w:rsid w:val="00FD0A0C"/>
    <w:rsid w:val="00FD0A2A"/>
    <w:rsid w:val="00FD0E87"/>
    <w:rsid w:val="00FD131A"/>
    <w:rsid w:val="00FD1FD7"/>
    <w:rsid w:val="00FD25F7"/>
    <w:rsid w:val="00FD30D6"/>
    <w:rsid w:val="00FD3136"/>
    <w:rsid w:val="00FD455D"/>
    <w:rsid w:val="00FD457F"/>
    <w:rsid w:val="00FD47E0"/>
    <w:rsid w:val="00FD4DD5"/>
    <w:rsid w:val="00FD675B"/>
    <w:rsid w:val="00FD6D4B"/>
    <w:rsid w:val="00FD7459"/>
    <w:rsid w:val="00FE0216"/>
    <w:rsid w:val="00FE166C"/>
    <w:rsid w:val="00FE18FC"/>
    <w:rsid w:val="00FE1FEB"/>
    <w:rsid w:val="00FE2342"/>
    <w:rsid w:val="00FE277C"/>
    <w:rsid w:val="00FE2B9F"/>
    <w:rsid w:val="00FE3C7A"/>
    <w:rsid w:val="00FE417F"/>
    <w:rsid w:val="00FE58C5"/>
    <w:rsid w:val="00FE6D1F"/>
    <w:rsid w:val="00FE7B1B"/>
    <w:rsid w:val="00FF1929"/>
    <w:rsid w:val="00FF1A1E"/>
    <w:rsid w:val="00FF2A7C"/>
    <w:rsid w:val="00FF2ACE"/>
    <w:rsid w:val="00FF3027"/>
    <w:rsid w:val="00FF3213"/>
    <w:rsid w:val="00FF4296"/>
    <w:rsid w:val="00FF444B"/>
    <w:rsid w:val="00FF47D1"/>
    <w:rsid w:val="00FF4AA5"/>
    <w:rsid w:val="00FF4E84"/>
    <w:rsid w:val="00FF5523"/>
    <w:rsid w:val="00FF5680"/>
    <w:rsid w:val="00FF5714"/>
    <w:rsid w:val="00FF6218"/>
    <w:rsid w:val="00FF6B19"/>
    <w:rsid w:val="00FF6E76"/>
    <w:rsid w:val="00FF7457"/>
    <w:rsid w:val="01074AF8"/>
    <w:rsid w:val="010B5AA6"/>
    <w:rsid w:val="010F1CA6"/>
    <w:rsid w:val="011370B4"/>
    <w:rsid w:val="01170CCB"/>
    <w:rsid w:val="011F7E73"/>
    <w:rsid w:val="012B4315"/>
    <w:rsid w:val="01360A8F"/>
    <w:rsid w:val="014745B4"/>
    <w:rsid w:val="0147515A"/>
    <w:rsid w:val="01563703"/>
    <w:rsid w:val="01692332"/>
    <w:rsid w:val="01832A35"/>
    <w:rsid w:val="018E0BED"/>
    <w:rsid w:val="01A265E4"/>
    <w:rsid w:val="01AB464E"/>
    <w:rsid w:val="01AD46A4"/>
    <w:rsid w:val="01B3492C"/>
    <w:rsid w:val="01B351A8"/>
    <w:rsid w:val="01C3365E"/>
    <w:rsid w:val="01C53D2B"/>
    <w:rsid w:val="01C650F4"/>
    <w:rsid w:val="01CD5DA0"/>
    <w:rsid w:val="01CF1DEA"/>
    <w:rsid w:val="01D82E95"/>
    <w:rsid w:val="01DA736F"/>
    <w:rsid w:val="01E4452D"/>
    <w:rsid w:val="01E568D5"/>
    <w:rsid w:val="01E92FFC"/>
    <w:rsid w:val="01F756D2"/>
    <w:rsid w:val="01FA307A"/>
    <w:rsid w:val="020315EB"/>
    <w:rsid w:val="020326C4"/>
    <w:rsid w:val="0204584D"/>
    <w:rsid w:val="02054348"/>
    <w:rsid w:val="02167405"/>
    <w:rsid w:val="02234BA6"/>
    <w:rsid w:val="02254406"/>
    <w:rsid w:val="02262D84"/>
    <w:rsid w:val="02286162"/>
    <w:rsid w:val="022E228B"/>
    <w:rsid w:val="02423F52"/>
    <w:rsid w:val="02435AD4"/>
    <w:rsid w:val="024B6049"/>
    <w:rsid w:val="02534F22"/>
    <w:rsid w:val="0256759F"/>
    <w:rsid w:val="025E3DE0"/>
    <w:rsid w:val="02682DD4"/>
    <w:rsid w:val="02727E69"/>
    <w:rsid w:val="028710B6"/>
    <w:rsid w:val="02903F26"/>
    <w:rsid w:val="029D320B"/>
    <w:rsid w:val="02A837E9"/>
    <w:rsid w:val="02AA12EA"/>
    <w:rsid w:val="02AF0F84"/>
    <w:rsid w:val="02B13502"/>
    <w:rsid w:val="02BC456A"/>
    <w:rsid w:val="02CE12E4"/>
    <w:rsid w:val="02DC6DD9"/>
    <w:rsid w:val="02EF6A75"/>
    <w:rsid w:val="02F7610D"/>
    <w:rsid w:val="02F86BE4"/>
    <w:rsid w:val="030C57DC"/>
    <w:rsid w:val="0316457F"/>
    <w:rsid w:val="03203182"/>
    <w:rsid w:val="03226595"/>
    <w:rsid w:val="032B398E"/>
    <w:rsid w:val="03331CD6"/>
    <w:rsid w:val="033C4ED9"/>
    <w:rsid w:val="03425BF0"/>
    <w:rsid w:val="03461781"/>
    <w:rsid w:val="034F7DB8"/>
    <w:rsid w:val="035C60B4"/>
    <w:rsid w:val="035E22F5"/>
    <w:rsid w:val="03612046"/>
    <w:rsid w:val="03627628"/>
    <w:rsid w:val="03682E93"/>
    <w:rsid w:val="03762730"/>
    <w:rsid w:val="037E4335"/>
    <w:rsid w:val="03862CA5"/>
    <w:rsid w:val="03892DDA"/>
    <w:rsid w:val="038C3EEF"/>
    <w:rsid w:val="038D2DA7"/>
    <w:rsid w:val="039D49AE"/>
    <w:rsid w:val="03A71A3D"/>
    <w:rsid w:val="03AB470F"/>
    <w:rsid w:val="03AC2266"/>
    <w:rsid w:val="03BA7B72"/>
    <w:rsid w:val="03C03585"/>
    <w:rsid w:val="03C04D25"/>
    <w:rsid w:val="03D5315E"/>
    <w:rsid w:val="03D83EDB"/>
    <w:rsid w:val="03DD25EF"/>
    <w:rsid w:val="03ED0B52"/>
    <w:rsid w:val="03F8125C"/>
    <w:rsid w:val="04037AE7"/>
    <w:rsid w:val="040F70DE"/>
    <w:rsid w:val="04184164"/>
    <w:rsid w:val="041D17BB"/>
    <w:rsid w:val="04202F2B"/>
    <w:rsid w:val="04422D74"/>
    <w:rsid w:val="045809F0"/>
    <w:rsid w:val="045B6874"/>
    <w:rsid w:val="04701CA6"/>
    <w:rsid w:val="04705E4A"/>
    <w:rsid w:val="048B7691"/>
    <w:rsid w:val="04926B80"/>
    <w:rsid w:val="04A20E12"/>
    <w:rsid w:val="04A25EC2"/>
    <w:rsid w:val="04C42811"/>
    <w:rsid w:val="04C62DC8"/>
    <w:rsid w:val="04D557B4"/>
    <w:rsid w:val="04E14293"/>
    <w:rsid w:val="04ED5937"/>
    <w:rsid w:val="050C50A2"/>
    <w:rsid w:val="050F1650"/>
    <w:rsid w:val="051138DC"/>
    <w:rsid w:val="05186931"/>
    <w:rsid w:val="052668CF"/>
    <w:rsid w:val="053008EF"/>
    <w:rsid w:val="05310D63"/>
    <w:rsid w:val="05315411"/>
    <w:rsid w:val="05437A8D"/>
    <w:rsid w:val="05451FD5"/>
    <w:rsid w:val="05464867"/>
    <w:rsid w:val="055A258E"/>
    <w:rsid w:val="055B44F2"/>
    <w:rsid w:val="056158F2"/>
    <w:rsid w:val="05633923"/>
    <w:rsid w:val="05660882"/>
    <w:rsid w:val="056A4282"/>
    <w:rsid w:val="056A6870"/>
    <w:rsid w:val="0575782A"/>
    <w:rsid w:val="05920680"/>
    <w:rsid w:val="05994065"/>
    <w:rsid w:val="059A20F1"/>
    <w:rsid w:val="05A375D3"/>
    <w:rsid w:val="05BD667A"/>
    <w:rsid w:val="05C63EBF"/>
    <w:rsid w:val="05D36A04"/>
    <w:rsid w:val="05D60DC8"/>
    <w:rsid w:val="05DA1964"/>
    <w:rsid w:val="05E63D27"/>
    <w:rsid w:val="05E961A6"/>
    <w:rsid w:val="05EA50EC"/>
    <w:rsid w:val="05EB22BD"/>
    <w:rsid w:val="05F775F2"/>
    <w:rsid w:val="05FC7181"/>
    <w:rsid w:val="0611519C"/>
    <w:rsid w:val="06140B15"/>
    <w:rsid w:val="061F05B7"/>
    <w:rsid w:val="06217265"/>
    <w:rsid w:val="062407BE"/>
    <w:rsid w:val="06243389"/>
    <w:rsid w:val="062F5AD9"/>
    <w:rsid w:val="062F67D1"/>
    <w:rsid w:val="063E7CA7"/>
    <w:rsid w:val="063F7589"/>
    <w:rsid w:val="064C3A8C"/>
    <w:rsid w:val="06556A45"/>
    <w:rsid w:val="06604E9D"/>
    <w:rsid w:val="066341F1"/>
    <w:rsid w:val="066654AE"/>
    <w:rsid w:val="06774103"/>
    <w:rsid w:val="067A0632"/>
    <w:rsid w:val="067A7C7A"/>
    <w:rsid w:val="06971415"/>
    <w:rsid w:val="069969B0"/>
    <w:rsid w:val="06A32A35"/>
    <w:rsid w:val="06A34933"/>
    <w:rsid w:val="06AA1DA4"/>
    <w:rsid w:val="06B00CD2"/>
    <w:rsid w:val="06B350C0"/>
    <w:rsid w:val="06BB7EBB"/>
    <w:rsid w:val="06C73F10"/>
    <w:rsid w:val="06C92C44"/>
    <w:rsid w:val="06D429DD"/>
    <w:rsid w:val="06DB7B38"/>
    <w:rsid w:val="06EB4F16"/>
    <w:rsid w:val="06F47C30"/>
    <w:rsid w:val="070D74DA"/>
    <w:rsid w:val="0718101A"/>
    <w:rsid w:val="07211D08"/>
    <w:rsid w:val="07271A20"/>
    <w:rsid w:val="07285D1E"/>
    <w:rsid w:val="072C695A"/>
    <w:rsid w:val="07466215"/>
    <w:rsid w:val="074C325D"/>
    <w:rsid w:val="075B618C"/>
    <w:rsid w:val="07643BCA"/>
    <w:rsid w:val="07772D9A"/>
    <w:rsid w:val="077C3F2D"/>
    <w:rsid w:val="077F325E"/>
    <w:rsid w:val="078403A0"/>
    <w:rsid w:val="07894CF2"/>
    <w:rsid w:val="078D1D22"/>
    <w:rsid w:val="0791242C"/>
    <w:rsid w:val="07996939"/>
    <w:rsid w:val="07AD7BAD"/>
    <w:rsid w:val="07B01E3E"/>
    <w:rsid w:val="07BE7558"/>
    <w:rsid w:val="07CE0DD9"/>
    <w:rsid w:val="07D8368E"/>
    <w:rsid w:val="07DB7AD1"/>
    <w:rsid w:val="07DC7E4B"/>
    <w:rsid w:val="07E018DC"/>
    <w:rsid w:val="07E63288"/>
    <w:rsid w:val="07E6492C"/>
    <w:rsid w:val="07EA22B2"/>
    <w:rsid w:val="07EA557C"/>
    <w:rsid w:val="07EC2CDC"/>
    <w:rsid w:val="07F24419"/>
    <w:rsid w:val="07F95710"/>
    <w:rsid w:val="080215D5"/>
    <w:rsid w:val="080E3C35"/>
    <w:rsid w:val="0810178C"/>
    <w:rsid w:val="08114A45"/>
    <w:rsid w:val="081A6ABA"/>
    <w:rsid w:val="081F03E2"/>
    <w:rsid w:val="08380242"/>
    <w:rsid w:val="08445257"/>
    <w:rsid w:val="084602A2"/>
    <w:rsid w:val="084F5B4E"/>
    <w:rsid w:val="08593DF3"/>
    <w:rsid w:val="085C3F6C"/>
    <w:rsid w:val="086312A4"/>
    <w:rsid w:val="086C103D"/>
    <w:rsid w:val="086C26E0"/>
    <w:rsid w:val="087023AA"/>
    <w:rsid w:val="087B4A8B"/>
    <w:rsid w:val="08850D69"/>
    <w:rsid w:val="08867ECF"/>
    <w:rsid w:val="088D72BC"/>
    <w:rsid w:val="08902C03"/>
    <w:rsid w:val="089422AA"/>
    <w:rsid w:val="08981445"/>
    <w:rsid w:val="089F63B2"/>
    <w:rsid w:val="08A8601E"/>
    <w:rsid w:val="08B065F3"/>
    <w:rsid w:val="08BE5B58"/>
    <w:rsid w:val="08CE3B0D"/>
    <w:rsid w:val="08D0496B"/>
    <w:rsid w:val="08D64F6B"/>
    <w:rsid w:val="08D73486"/>
    <w:rsid w:val="08DE0D61"/>
    <w:rsid w:val="08DF2ED9"/>
    <w:rsid w:val="08E35115"/>
    <w:rsid w:val="08E65B54"/>
    <w:rsid w:val="08E75DA0"/>
    <w:rsid w:val="08ED055B"/>
    <w:rsid w:val="090147FE"/>
    <w:rsid w:val="090570CC"/>
    <w:rsid w:val="09067060"/>
    <w:rsid w:val="091166E8"/>
    <w:rsid w:val="09174C74"/>
    <w:rsid w:val="091E2CFD"/>
    <w:rsid w:val="091E3A8C"/>
    <w:rsid w:val="09215C8B"/>
    <w:rsid w:val="09234591"/>
    <w:rsid w:val="092500AF"/>
    <w:rsid w:val="092C699A"/>
    <w:rsid w:val="09401653"/>
    <w:rsid w:val="09462223"/>
    <w:rsid w:val="094D2540"/>
    <w:rsid w:val="09514659"/>
    <w:rsid w:val="09521ACC"/>
    <w:rsid w:val="095C526B"/>
    <w:rsid w:val="096047C0"/>
    <w:rsid w:val="09624765"/>
    <w:rsid w:val="096628F8"/>
    <w:rsid w:val="09675E7F"/>
    <w:rsid w:val="096B4B57"/>
    <w:rsid w:val="096C4EF9"/>
    <w:rsid w:val="0982531C"/>
    <w:rsid w:val="09901B82"/>
    <w:rsid w:val="09902683"/>
    <w:rsid w:val="099C3EE5"/>
    <w:rsid w:val="09A85D3F"/>
    <w:rsid w:val="09AA1765"/>
    <w:rsid w:val="09AA5CC6"/>
    <w:rsid w:val="09AB07D9"/>
    <w:rsid w:val="09C207EE"/>
    <w:rsid w:val="09C94B9B"/>
    <w:rsid w:val="09CD2EDE"/>
    <w:rsid w:val="09D10B19"/>
    <w:rsid w:val="09D95E34"/>
    <w:rsid w:val="09DB3498"/>
    <w:rsid w:val="09E020C5"/>
    <w:rsid w:val="09F22E7E"/>
    <w:rsid w:val="09FA19F8"/>
    <w:rsid w:val="0A0A6AF4"/>
    <w:rsid w:val="0A0D7EF8"/>
    <w:rsid w:val="0A0F1DFC"/>
    <w:rsid w:val="0A126C04"/>
    <w:rsid w:val="0A2D324C"/>
    <w:rsid w:val="0A30059D"/>
    <w:rsid w:val="0A411DB2"/>
    <w:rsid w:val="0A475FF1"/>
    <w:rsid w:val="0A4F60A2"/>
    <w:rsid w:val="0A5B4405"/>
    <w:rsid w:val="0A5B5407"/>
    <w:rsid w:val="0A5C3482"/>
    <w:rsid w:val="0A7E6A9F"/>
    <w:rsid w:val="0A8341B2"/>
    <w:rsid w:val="0A8B2549"/>
    <w:rsid w:val="0A8D76C8"/>
    <w:rsid w:val="0AA0787B"/>
    <w:rsid w:val="0AAA6F04"/>
    <w:rsid w:val="0AAE1B94"/>
    <w:rsid w:val="0AB916F2"/>
    <w:rsid w:val="0ABB510E"/>
    <w:rsid w:val="0AC035B3"/>
    <w:rsid w:val="0AE1062D"/>
    <w:rsid w:val="0AEB6197"/>
    <w:rsid w:val="0AF4082F"/>
    <w:rsid w:val="0B096D7F"/>
    <w:rsid w:val="0B1A1FDB"/>
    <w:rsid w:val="0B317AD0"/>
    <w:rsid w:val="0B3247C1"/>
    <w:rsid w:val="0B3625DF"/>
    <w:rsid w:val="0B3D70FD"/>
    <w:rsid w:val="0B4D466B"/>
    <w:rsid w:val="0B5D2C55"/>
    <w:rsid w:val="0B6316DC"/>
    <w:rsid w:val="0B72668B"/>
    <w:rsid w:val="0B7E02D7"/>
    <w:rsid w:val="0B7E1E24"/>
    <w:rsid w:val="0B7F7824"/>
    <w:rsid w:val="0B8E5DE3"/>
    <w:rsid w:val="0B903E89"/>
    <w:rsid w:val="0B911F88"/>
    <w:rsid w:val="0B93017B"/>
    <w:rsid w:val="0B945D2B"/>
    <w:rsid w:val="0B962163"/>
    <w:rsid w:val="0BA047A1"/>
    <w:rsid w:val="0BA234D9"/>
    <w:rsid w:val="0BA75F45"/>
    <w:rsid w:val="0BAF57D7"/>
    <w:rsid w:val="0BB005D7"/>
    <w:rsid w:val="0BB258D6"/>
    <w:rsid w:val="0BB6181D"/>
    <w:rsid w:val="0BB826BB"/>
    <w:rsid w:val="0BC076E9"/>
    <w:rsid w:val="0BC73F20"/>
    <w:rsid w:val="0BD254D5"/>
    <w:rsid w:val="0BD82A09"/>
    <w:rsid w:val="0BF94F03"/>
    <w:rsid w:val="0C13784F"/>
    <w:rsid w:val="0C1D4363"/>
    <w:rsid w:val="0C2056E1"/>
    <w:rsid w:val="0C352653"/>
    <w:rsid w:val="0C3D1575"/>
    <w:rsid w:val="0C3E158B"/>
    <w:rsid w:val="0C3F2C86"/>
    <w:rsid w:val="0C4E1DCC"/>
    <w:rsid w:val="0C4E1E72"/>
    <w:rsid w:val="0C5212F3"/>
    <w:rsid w:val="0C53492F"/>
    <w:rsid w:val="0C614660"/>
    <w:rsid w:val="0C6B53AA"/>
    <w:rsid w:val="0C892117"/>
    <w:rsid w:val="0CA01C60"/>
    <w:rsid w:val="0CAD5AF7"/>
    <w:rsid w:val="0CC15186"/>
    <w:rsid w:val="0CC22CD3"/>
    <w:rsid w:val="0CC34D37"/>
    <w:rsid w:val="0CC65135"/>
    <w:rsid w:val="0CD207AA"/>
    <w:rsid w:val="0CD2600D"/>
    <w:rsid w:val="0CE113D9"/>
    <w:rsid w:val="0CEC7358"/>
    <w:rsid w:val="0D0757B5"/>
    <w:rsid w:val="0D147EDC"/>
    <w:rsid w:val="0D154E86"/>
    <w:rsid w:val="0D173089"/>
    <w:rsid w:val="0D182906"/>
    <w:rsid w:val="0D1A4C53"/>
    <w:rsid w:val="0D23189E"/>
    <w:rsid w:val="0D300183"/>
    <w:rsid w:val="0D3D6035"/>
    <w:rsid w:val="0D422131"/>
    <w:rsid w:val="0D4E1AB7"/>
    <w:rsid w:val="0D5261D5"/>
    <w:rsid w:val="0D592AF9"/>
    <w:rsid w:val="0D5A7003"/>
    <w:rsid w:val="0D622A08"/>
    <w:rsid w:val="0D630E7B"/>
    <w:rsid w:val="0D6B4347"/>
    <w:rsid w:val="0D737249"/>
    <w:rsid w:val="0D7574A9"/>
    <w:rsid w:val="0D7756A0"/>
    <w:rsid w:val="0D7B5F7D"/>
    <w:rsid w:val="0D835A9C"/>
    <w:rsid w:val="0D8834CD"/>
    <w:rsid w:val="0D9212F0"/>
    <w:rsid w:val="0D9A7DB0"/>
    <w:rsid w:val="0DAC357C"/>
    <w:rsid w:val="0DB33440"/>
    <w:rsid w:val="0DB50491"/>
    <w:rsid w:val="0DC54174"/>
    <w:rsid w:val="0DC9175D"/>
    <w:rsid w:val="0DCA1786"/>
    <w:rsid w:val="0DCB1DF0"/>
    <w:rsid w:val="0DCD182D"/>
    <w:rsid w:val="0DCF1FE3"/>
    <w:rsid w:val="0DD67370"/>
    <w:rsid w:val="0DE87274"/>
    <w:rsid w:val="0DF30D35"/>
    <w:rsid w:val="0DFC5727"/>
    <w:rsid w:val="0DFE15B7"/>
    <w:rsid w:val="0E001CC6"/>
    <w:rsid w:val="0E022EC4"/>
    <w:rsid w:val="0E065BFD"/>
    <w:rsid w:val="0E072775"/>
    <w:rsid w:val="0E0A1E22"/>
    <w:rsid w:val="0E0D38DF"/>
    <w:rsid w:val="0E114F26"/>
    <w:rsid w:val="0E124060"/>
    <w:rsid w:val="0E132250"/>
    <w:rsid w:val="0E1526E7"/>
    <w:rsid w:val="0E27420F"/>
    <w:rsid w:val="0E3A4C0E"/>
    <w:rsid w:val="0E592C19"/>
    <w:rsid w:val="0E615B0C"/>
    <w:rsid w:val="0E6845C6"/>
    <w:rsid w:val="0E6A7E94"/>
    <w:rsid w:val="0E7349E7"/>
    <w:rsid w:val="0E766A03"/>
    <w:rsid w:val="0E813716"/>
    <w:rsid w:val="0E8D024D"/>
    <w:rsid w:val="0EAA1B61"/>
    <w:rsid w:val="0EAA421E"/>
    <w:rsid w:val="0EB61FFE"/>
    <w:rsid w:val="0ECF5A09"/>
    <w:rsid w:val="0EE11FC0"/>
    <w:rsid w:val="0EE25928"/>
    <w:rsid w:val="0EEB58DE"/>
    <w:rsid w:val="0EEE41B7"/>
    <w:rsid w:val="0EF239EA"/>
    <w:rsid w:val="0EF72BAF"/>
    <w:rsid w:val="0F0C02AF"/>
    <w:rsid w:val="0F1C23E4"/>
    <w:rsid w:val="0F301B0A"/>
    <w:rsid w:val="0F3202E5"/>
    <w:rsid w:val="0F3D687E"/>
    <w:rsid w:val="0F412D77"/>
    <w:rsid w:val="0F444AAE"/>
    <w:rsid w:val="0F4C310A"/>
    <w:rsid w:val="0F7641EB"/>
    <w:rsid w:val="0F796F83"/>
    <w:rsid w:val="0F8B4E43"/>
    <w:rsid w:val="0F97351F"/>
    <w:rsid w:val="0FA52339"/>
    <w:rsid w:val="0FA608CD"/>
    <w:rsid w:val="0FA94771"/>
    <w:rsid w:val="0FAD27FB"/>
    <w:rsid w:val="0FAE0B78"/>
    <w:rsid w:val="0FBD172A"/>
    <w:rsid w:val="0FC07DD8"/>
    <w:rsid w:val="0FC46FE2"/>
    <w:rsid w:val="0FCB042C"/>
    <w:rsid w:val="0FCE3319"/>
    <w:rsid w:val="0FD057FD"/>
    <w:rsid w:val="0FD6156E"/>
    <w:rsid w:val="0FD63506"/>
    <w:rsid w:val="0FDD1EBC"/>
    <w:rsid w:val="0FDF784A"/>
    <w:rsid w:val="0FE87193"/>
    <w:rsid w:val="0FEA7C7A"/>
    <w:rsid w:val="0FF26B0A"/>
    <w:rsid w:val="0FFA603A"/>
    <w:rsid w:val="0FFC008C"/>
    <w:rsid w:val="0FFE62D3"/>
    <w:rsid w:val="1006453C"/>
    <w:rsid w:val="10193391"/>
    <w:rsid w:val="101D67CE"/>
    <w:rsid w:val="10257EEB"/>
    <w:rsid w:val="10376166"/>
    <w:rsid w:val="10376D4D"/>
    <w:rsid w:val="10383CF7"/>
    <w:rsid w:val="103A4D16"/>
    <w:rsid w:val="104110E0"/>
    <w:rsid w:val="10413BC8"/>
    <w:rsid w:val="1042160F"/>
    <w:rsid w:val="10460C7E"/>
    <w:rsid w:val="104E574B"/>
    <w:rsid w:val="10697A12"/>
    <w:rsid w:val="106C6C0E"/>
    <w:rsid w:val="10724D06"/>
    <w:rsid w:val="107952B9"/>
    <w:rsid w:val="10805571"/>
    <w:rsid w:val="10893A16"/>
    <w:rsid w:val="108F3EC9"/>
    <w:rsid w:val="108F701F"/>
    <w:rsid w:val="10925850"/>
    <w:rsid w:val="109D3B74"/>
    <w:rsid w:val="109E7448"/>
    <w:rsid w:val="109F414B"/>
    <w:rsid w:val="10B637E4"/>
    <w:rsid w:val="10DA48E1"/>
    <w:rsid w:val="10DB0973"/>
    <w:rsid w:val="10E22E5A"/>
    <w:rsid w:val="10E70B52"/>
    <w:rsid w:val="10EB63DD"/>
    <w:rsid w:val="10EE4926"/>
    <w:rsid w:val="10F6755B"/>
    <w:rsid w:val="10FB1856"/>
    <w:rsid w:val="10FE3FD8"/>
    <w:rsid w:val="11035835"/>
    <w:rsid w:val="1124746A"/>
    <w:rsid w:val="11377247"/>
    <w:rsid w:val="113B6D19"/>
    <w:rsid w:val="113F2C46"/>
    <w:rsid w:val="116D2EB1"/>
    <w:rsid w:val="117A1818"/>
    <w:rsid w:val="118B5AD6"/>
    <w:rsid w:val="118C3F90"/>
    <w:rsid w:val="11972270"/>
    <w:rsid w:val="119B6C67"/>
    <w:rsid w:val="11A93FA9"/>
    <w:rsid w:val="11AE5812"/>
    <w:rsid w:val="11B42EE3"/>
    <w:rsid w:val="11C33411"/>
    <w:rsid w:val="11C36ADF"/>
    <w:rsid w:val="11CA5030"/>
    <w:rsid w:val="11D2243D"/>
    <w:rsid w:val="11D47A83"/>
    <w:rsid w:val="11D74118"/>
    <w:rsid w:val="11DA118A"/>
    <w:rsid w:val="11E00E64"/>
    <w:rsid w:val="11E0739B"/>
    <w:rsid w:val="11F1513E"/>
    <w:rsid w:val="120C3442"/>
    <w:rsid w:val="120D797C"/>
    <w:rsid w:val="12154F7C"/>
    <w:rsid w:val="121C08A8"/>
    <w:rsid w:val="125B4227"/>
    <w:rsid w:val="125F7A3A"/>
    <w:rsid w:val="126863A2"/>
    <w:rsid w:val="126A28C1"/>
    <w:rsid w:val="126C242B"/>
    <w:rsid w:val="126D173A"/>
    <w:rsid w:val="127544B8"/>
    <w:rsid w:val="127F62D4"/>
    <w:rsid w:val="12824C28"/>
    <w:rsid w:val="12841571"/>
    <w:rsid w:val="128B34A2"/>
    <w:rsid w:val="129C62C1"/>
    <w:rsid w:val="12A06504"/>
    <w:rsid w:val="12AD1149"/>
    <w:rsid w:val="12AF15AE"/>
    <w:rsid w:val="12B50CBB"/>
    <w:rsid w:val="12C51699"/>
    <w:rsid w:val="12C53E8B"/>
    <w:rsid w:val="12C85F5A"/>
    <w:rsid w:val="12D0036B"/>
    <w:rsid w:val="12D2411F"/>
    <w:rsid w:val="12D4212D"/>
    <w:rsid w:val="12D8700E"/>
    <w:rsid w:val="12DE641D"/>
    <w:rsid w:val="12E35728"/>
    <w:rsid w:val="12E51CC9"/>
    <w:rsid w:val="12E53900"/>
    <w:rsid w:val="12F069FE"/>
    <w:rsid w:val="12F81A23"/>
    <w:rsid w:val="130550E9"/>
    <w:rsid w:val="130D50B4"/>
    <w:rsid w:val="131B5657"/>
    <w:rsid w:val="131C0C08"/>
    <w:rsid w:val="131C0D8E"/>
    <w:rsid w:val="131C54D3"/>
    <w:rsid w:val="131F4919"/>
    <w:rsid w:val="1339269F"/>
    <w:rsid w:val="133C2AC0"/>
    <w:rsid w:val="13613DAB"/>
    <w:rsid w:val="13752A17"/>
    <w:rsid w:val="137A3A48"/>
    <w:rsid w:val="137B0171"/>
    <w:rsid w:val="13800F58"/>
    <w:rsid w:val="138D43D9"/>
    <w:rsid w:val="138F111C"/>
    <w:rsid w:val="13964203"/>
    <w:rsid w:val="13AC4016"/>
    <w:rsid w:val="13B15C8E"/>
    <w:rsid w:val="13B7683D"/>
    <w:rsid w:val="13C135EB"/>
    <w:rsid w:val="13EE2320"/>
    <w:rsid w:val="13F10743"/>
    <w:rsid w:val="13F407E0"/>
    <w:rsid w:val="13F632F0"/>
    <w:rsid w:val="13F71A8E"/>
    <w:rsid w:val="13FF7EFA"/>
    <w:rsid w:val="140B6826"/>
    <w:rsid w:val="140F527C"/>
    <w:rsid w:val="1425198D"/>
    <w:rsid w:val="142D3CF0"/>
    <w:rsid w:val="142E0069"/>
    <w:rsid w:val="1437664A"/>
    <w:rsid w:val="143B3A52"/>
    <w:rsid w:val="14430E96"/>
    <w:rsid w:val="144866F5"/>
    <w:rsid w:val="145B6C37"/>
    <w:rsid w:val="146302A0"/>
    <w:rsid w:val="146B0F44"/>
    <w:rsid w:val="146D3982"/>
    <w:rsid w:val="147D6E2D"/>
    <w:rsid w:val="14853B93"/>
    <w:rsid w:val="148F22CF"/>
    <w:rsid w:val="14924893"/>
    <w:rsid w:val="14987172"/>
    <w:rsid w:val="14B134D3"/>
    <w:rsid w:val="14B306F7"/>
    <w:rsid w:val="14C90997"/>
    <w:rsid w:val="14CF07A9"/>
    <w:rsid w:val="14D42CD3"/>
    <w:rsid w:val="14D465B7"/>
    <w:rsid w:val="14D86C8B"/>
    <w:rsid w:val="14DB3126"/>
    <w:rsid w:val="14F14CBC"/>
    <w:rsid w:val="14F518AC"/>
    <w:rsid w:val="14F74F04"/>
    <w:rsid w:val="14FB120A"/>
    <w:rsid w:val="14FD4E88"/>
    <w:rsid w:val="15074CD9"/>
    <w:rsid w:val="15083691"/>
    <w:rsid w:val="151676C8"/>
    <w:rsid w:val="151B3A66"/>
    <w:rsid w:val="1526019A"/>
    <w:rsid w:val="15366B6B"/>
    <w:rsid w:val="15371F3F"/>
    <w:rsid w:val="153D71FB"/>
    <w:rsid w:val="15407B1B"/>
    <w:rsid w:val="15501446"/>
    <w:rsid w:val="1552659C"/>
    <w:rsid w:val="15567EF8"/>
    <w:rsid w:val="156204CA"/>
    <w:rsid w:val="156452AD"/>
    <w:rsid w:val="156B24F6"/>
    <w:rsid w:val="157B4F7B"/>
    <w:rsid w:val="15831822"/>
    <w:rsid w:val="15840141"/>
    <w:rsid w:val="158457C7"/>
    <w:rsid w:val="15851AF4"/>
    <w:rsid w:val="1590744A"/>
    <w:rsid w:val="159A11C2"/>
    <w:rsid w:val="159B51CF"/>
    <w:rsid w:val="15C124C7"/>
    <w:rsid w:val="15C25CC6"/>
    <w:rsid w:val="15C665F5"/>
    <w:rsid w:val="15CE7227"/>
    <w:rsid w:val="15D04FC5"/>
    <w:rsid w:val="15DB5D6E"/>
    <w:rsid w:val="15DB622B"/>
    <w:rsid w:val="15E62485"/>
    <w:rsid w:val="15EB0CA5"/>
    <w:rsid w:val="15EC1B39"/>
    <w:rsid w:val="16007BD2"/>
    <w:rsid w:val="16084923"/>
    <w:rsid w:val="160C0902"/>
    <w:rsid w:val="16165D30"/>
    <w:rsid w:val="161743E4"/>
    <w:rsid w:val="16257440"/>
    <w:rsid w:val="163455BF"/>
    <w:rsid w:val="16371C25"/>
    <w:rsid w:val="164D2F73"/>
    <w:rsid w:val="16562093"/>
    <w:rsid w:val="165C2FE1"/>
    <w:rsid w:val="16690499"/>
    <w:rsid w:val="16721028"/>
    <w:rsid w:val="16753372"/>
    <w:rsid w:val="167F55F9"/>
    <w:rsid w:val="168B5705"/>
    <w:rsid w:val="1695717F"/>
    <w:rsid w:val="16A02691"/>
    <w:rsid w:val="16A424C1"/>
    <w:rsid w:val="16AB788C"/>
    <w:rsid w:val="16AC0C0D"/>
    <w:rsid w:val="16B16408"/>
    <w:rsid w:val="16B309B5"/>
    <w:rsid w:val="16B97586"/>
    <w:rsid w:val="16BC4BA9"/>
    <w:rsid w:val="16DA731A"/>
    <w:rsid w:val="16DB0042"/>
    <w:rsid w:val="16DB4498"/>
    <w:rsid w:val="16EA71A4"/>
    <w:rsid w:val="16EE0A86"/>
    <w:rsid w:val="16FE442D"/>
    <w:rsid w:val="17093E39"/>
    <w:rsid w:val="170A411F"/>
    <w:rsid w:val="17122193"/>
    <w:rsid w:val="171320EE"/>
    <w:rsid w:val="171F4DE1"/>
    <w:rsid w:val="17236BD9"/>
    <w:rsid w:val="17271BFF"/>
    <w:rsid w:val="172727E1"/>
    <w:rsid w:val="172745BB"/>
    <w:rsid w:val="172A18E0"/>
    <w:rsid w:val="172E1FF1"/>
    <w:rsid w:val="17324FE2"/>
    <w:rsid w:val="1739006D"/>
    <w:rsid w:val="17393CA8"/>
    <w:rsid w:val="173A17CE"/>
    <w:rsid w:val="17440D93"/>
    <w:rsid w:val="1749585B"/>
    <w:rsid w:val="174F0A35"/>
    <w:rsid w:val="175314C4"/>
    <w:rsid w:val="17664F5D"/>
    <w:rsid w:val="17694CF2"/>
    <w:rsid w:val="176A6C84"/>
    <w:rsid w:val="176C36AC"/>
    <w:rsid w:val="176D4C27"/>
    <w:rsid w:val="17792F09"/>
    <w:rsid w:val="177C1439"/>
    <w:rsid w:val="178067B3"/>
    <w:rsid w:val="1787103E"/>
    <w:rsid w:val="178E78B8"/>
    <w:rsid w:val="179328F6"/>
    <w:rsid w:val="17A038C2"/>
    <w:rsid w:val="17B61923"/>
    <w:rsid w:val="17B65CBB"/>
    <w:rsid w:val="17C4606C"/>
    <w:rsid w:val="17C63FF9"/>
    <w:rsid w:val="17CA4F0B"/>
    <w:rsid w:val="17D04C54"/>
    <w:rsid w:val="17D37C14"/>
    <w:rsid w:val="17D84E3E"/>
    <w:rsid w:val="17EF3C87"/>
    <w:rsid w:val="18260F05"/>
    <w:rsid w:val="182E53F6"/>
    <w:rsid w:val="18351BCD"/>
    <w:rsid w:val="183A1473"/>
    <w:rsid w:val="183F1E4B"/>
    <w:rsid w:val="1841707E"/>
    <w:rsid w:val="18472D88"/>
    <w:rsid w:val="185421B6"/>
    <w:rsid w:val="18551968"/>
    <w:rsid w:val="18561EBD"/>
    <w:rsid w:val="186A3721"/>
    <w:rsid w:val="186B1F0C"/>
    <w:rsid w:val="187B1677"/>
    <w:rsid w:val="188074E6"/>
    <w:rsid w:val="188146DF"/>
    <w:rsid w:val="18880398"/>
    <w:rsid w:val="188C2427"/>
    <w:rsid w:val="18AD4F25"/>
    <w:rsid w:val="18C93D8A"/>
    <w:rsid w:val="18DC275E"/>
    <w:rsid w:val="18E046D8"/>
    <w:rsid w:val="18F751AC"/>
    <w:rsid w:val="19004393"/>
    <w:rsid w:val="19063703"/>
    <w:rsid w:val="190A7CEF"/>
    <w:rsid w:val="190B25BA"/>
    <w:rsid w:val="191050D2"/>
    <w:rsid w:val="19132DF5"/>
    <w:rsid w:val="19243B15"/>
    <w:rsid w:val="192C5DB2"/>
    <w:rsid w:val="192F413D"/>
    <w:rsid w:val="19300FFA"/>
    <w:rsid w:val="19336332"/>
    <w:rsid w:val="19380FE6"/>
    <w:rsid w:val="1943641C"/>
    <w:rsid w:val="194A35B8"/>
    <w:rsid w:val="19557960"/>
    <w:rsid w:val="195A1813"/>
    <w:rsid w:val="198465EE"/>
    <w:rsid w:val="1986206E"/>
    <w:rsid w:val="19891463"/>
    <w:rsid w:val="198F1266"/>
    <w:rsid w:val="199E7E6D"/>
    <w:rsid w:val="19A020D7"/>
    <w:rsid w:val="19AA402C"/>
    <w:rsid w:val="19AA6EC3"/>
    <w:rsid w:val="19B7178C"/>
    <w:rsid w:val="19BA1B9B"/>
    <w:rsid w:val="19C257ED"/>
    <w:rsid w:val="19C376DB"/>
    <w:rsid w:val="19CF2FF0"/>
    <w:rsid w:val="19D40104"/>
    <w:rsid w:val="19E216D1"/>
    <w:rsid w:val="19E96354"/>
    <w:rsid w:val="19EB78ED"/>
    <w:rsid w:val="19ED2646"/>
    <w:rsid w:val="19FC5E84"/>
    <w:rsid w:val="1A0043C3"/>
    <w:rsid w:val="1A165E3C"/>
    <w:rsid w:val="1A1916F8"/>
    <w:rsid w:val="1A2011B0"/>
    <w:rsid w:val="1A2959FB"/>
    <w:rsid w:val="1A3A7410"/>
    <w:rsid w:val="1A3C7DE6"/>
    <w:rsid w:val="1A441FE3"/>
    <w:rsid w:val="1A470BEE"/>
    <w:rsid w:val="1A4C5801"/>
    <w:rsid w:val="1A532604"/>
    <w:rsid w:val="1A666C3B"/>
    <w:rsid w:val="1A676D64"/>
    <w:rsid w:val="1A6E07C0"/>
    <w:rsid w:val="1A714BCD"/>
    <w:rsid w:val="1A7D497D"/>
    <w:rsid w:val="1A8252EB"/>
    <w:rsid w:val="1A8274B8"/>
    <w:rsid w:val="1A8B1171"/>
    <w:rsid w:val="1A92234A"/>
    <w:rsid w:val="1A9C55C7"/>
    <w:rsid w:val="1AA9247C"/>
    <w:rsid w:val="1AAB7DD4"/>
    <w:rsid w:val="1AAC3355"/>
    <w:rsid w:val="1AC54F79"/>
    <w:rsid w:val="1AC862FD"/>
    <w:rsid w:val="1ACB5D43"/>
    <w:rsid w:val="1AD54052"/>
    <w:rsid w:val="1ADB0833"/>
    <w:rsid w:val="1AE46C3A"/>
    <w:rsid w:val="1AE54D2D"/>
    <w:rsid w:val="1AEB323A"/>
    <w:rsid w:val="1AEB4AB2"/>
    <w:rsid w:val="1AFA2369"/>
    <w:rsid w:val="1AFA5FEB"/>
    <w:rsid w:val="1AFC76A7"/>
    <w:rsid w:val="1B050B94"/>
    <w:rsid w:val="1B090A15"/>
    <w:rsid w:val="1B093A4E"/>
    <w:rsid w:val="1B2345A6"/>
    <w:rsid w:val="1B2464D5"/>
    <w:rsid w:val="1B2C77B7"/>
    <w:rsid w:val="1B2D1889"/>
    <w:rsid w:val="1B312B1F"/>
    <w:rsid w:val="1B3F4409"/>
    <w:rsid w:val="1B453EDF"/>
    <w:rsid w:val="1B4545CD"/>
    <w:rsid w:val="1B46329C"/>
    <w:rsid w:val="1B47305F"/>
    <w:rsid w:val="1B535BA5"/>
    <w:rsid w:val="1B5374EB"/>
    <w:rsid w:val="1B540481"/>
    <w:rsid w:val="1B5D7ECF"/>
    <w:rsid w:val="1B7A563B"/>
    <w:rsid w:val="1B8A58C9"/>
    <w:rsid w:val="1B8E2960"/>
    <w:rsid w:val="1B990312"/>
    <w:rsid w:val="1BA234A2"/>
    <w:rsid w:val="1BA75775"/>
    <w:rsid w:val="1BAC52B3"/>
    <w:rsid w:val="1BAD445F"/>
    <w:rsid w:val="1BB065DB"/>
    <w:rsid w:val="1BB56189"/>
    <w:rsid w:val="1BB82DCF"/>
    <w:rsid w:val="1BBF18AB"/>
    <w:rsid w:val="1BD566B9"/>
    <w:rsid w:val="1BD85E2E"/>
    <w:rsid w:val="1BE206A4"/>
    <w:rsid w:val="1BF63A02"/>
    <w:rsid w:val="1BF674F3"/>
    <w:rsid w:val="1BFA2936"/>
    <w:rsid w:val="1C17359F"/>
    <w:rsid w:val="1C174CFE"/>
    <w:rsid w:val="1C1C621C"/>
    <w:rsid w:val="1C1E4275"/>
    <w:rsid w:val="1C2D794C"/>
    <w:rsid w:val="1C3818C5"/>
    <w:rsid w:val="1C382ACE"/>
    <w:rsid w:val="1C46341B"/>
    <w:rsid w:val="1C4E1684"/>
    <w:rsid w:val="1C5568E2"/>
    <w:rsid w:val="1C5845E8"/>
    <w:rsid w:val="1C64545F"/>
    <w:rsid w:val="1C686E56"/>
    <w:rsid w:val="1C6A41CA"/>
    <w:rsid w:val="1C711856"/>
    <w:rsid w:val="1C797437"/>
    <w:rsid w:val="1C89521C"/>
    <w:rsid w:val="1C897746"/>
    <w:rsid w:val="1C8A13E1"/>
    <w:rsid w:val="1C9143C8"/>
    <w:rsid w:val="1CA23619"/>
    <w:rsid w:val="1CA95383"/>
    <w:rsid w:val="1CAC03D7"/>
    <w:rsid w:val="1CB04CF3"/>
    <w:rsid w:val="1CB123D7"/>
    <w:rsid w:val="1CB34CD6"/>
    <w:rsid w:val="1CC04A14"/>
    <w:rsid w:val="1CE35C9A"/>
    <w:rsid w:val="1CE72E4B"/>
    <w:rsid w:val="1D07051B"/>
    <w:rsid w:val="1D1519E2"/>
    <w:rsid w:val="1D1C36E8"/>
    <w:rsid w:val="1D1D06AE"/>
    <w:rsid w:val="1D1F7963"/>
    <w:rsid w:val="1D224F74"/>
    <w:rsid w:val="1D2820B9"/>
    <w:rsid w:val="1D440E17"/>
    <w:rsid w:val="1D5956E7"/>
    <w:rsid w:val="1D611F5B"/>
    <w:rsid w:val="1D6F339E"/>
    <w:rsid w:val="1D714B82"/>
    <w:rsid w:val="1D766C45"/>
    <w:rsid w:val="1D7D0CC6"/>
    <w:rsid w:val="1D841D30"/>
    <w:rsid w:val="1D8442ED"/>
    <w:rsid w:val="1D8859C8"/>
    <w:rsid w:val="1D8D18FE"/>
    <w:rsid w:val="1D8D6AF4"/>
    <w:rsid w:val="1D9302C2"/>
    <w:rsid w:val="1DA03128"/>
    <w:rsid w:val="1DB81B61"/>
    <w:rsid w:val="1DC0165E"/>
    <w:rsid w:val="1DC240D9"/>
    <w:rsid w:val="1DC3163B"/>
    <w:rsid w:val="1DCA3E88"/>
    <w:rsid w:val="1DCC6756"/>
    <w:rsid w:val="1DD24402"/>
    <w:rsid w:val="1DD6507D"/>
    <w:rsid w:val="1DE20C32"/>
    <w:rsid w:val="1DEA2CD5"/>
    <w:rsid w:val="1DF12C47"/>
    <w:rsid w:val="1DF87B27"/>
    <w:rsid w:val="1DF9593C"/>
    <w:rsid w:val="1E0056A4"/>
    <w:rsid w:val="1E080423"/>
    <w:rsid w:val="1E0D03A6"/>
    <w:rsid w:val="1E0E11B4"/>
    <w:rsid w:val="1E0F5082"/>
    <w:rsid w:val="1E142E5A"/>
    <w:rsid w:val="1E35067C"/>
    <w:rsid w:val="1E3651E5"/>
    <w:rsid w:val="1E373F65"/>
    <w:rsid w:val="1E3F0307"/>
    <w:rsid w:val="1E461DCE"/>
    <w:rsid w:val="1E480026"/>
    <w:rsid w:val="1E4C6E4F"/>
    <w:rsid w:val="1E503517"/>
    <w:rsid w:val="1E6875B9"/>
    <w:rsid w:val="1E7B0B0F"/>
    <w:rsid w:val="1E7C4051"/>
    <w:rsid w:val="1E7E2540"/>
    <w:rsid w:val="1E865C2E"/>
    <w:rsid w:val="1EB14550"/>
    <w:rsid w:val="1EC20574"/>
    <w:rsid w:val="1EC819B8"/>
    <w:rsid w:val="1ED47E34"/>
    <w:rsid w:val="1ED71791"/>
    <w:rsid w:val="1EDA6786"/>
    <w:rsid w:val="1EE63C57"/>
    <w:rsid w:val="1EEE0D97"/>
    <w:rsid w:val="1EF6102F"/>
    <w:rsid w:val="1EFA2172"/>
    <w:rsid w:val="1F037250"/>
    <w:rsid w:val="1F08351C"/>
    <w:rsid w:val="1F0C45A9"/>
    <w:rsid w:val="1F141220"/>
    <w:rsid w:val="1F1F6825"/>
    <w:rsid w:val="1F297B29"/>
    <w:rsid w:val="1F2B7C0A"/>
    <w:rsid w:val="1F32784A"/>
    <w:rsid w:val="1F3856F5"/>
    <w:rsid w:val="1F3C2058"/>
    <w:rsid w:val="1F4340BB"/>
    <w:rsid w:val="1F553CFA"/>
    <w:rsid w:val="1F677C7A"/>
    <w:rsid w:val="1F682950"/>
    <w:rsid w:val="1F6B75A1"/>
    <w:rsid w:val="1F6C507F"/>
    <w:rsid w:val="1F7734FB"/>
    <w:rsid w:val="1F797D0F"/>
    <w:rsid w:val="1F83230C"/>
    <w:rsid w:val="1F841FEA"/>
    <w:rsid w:val="1F895E1A"/>
    <w:rsid w:val="1F900314"/>
    <w:rsid w:val="1F934C87"/>
    <w:rsid w:val="1FA9241D"/>
    <w:rsid w:val="1FB10735"/>
    <w:rsid w:val="1FB37B30"/>
    <w:rsid w:val="1FDA4138"/>
    <w:rsid w:val="1FE26957"/>
    <w:rsid w:val="20085BF2"/>
    <w:rsid w:val="200A5C51"/>
    <w:rsid w:val="200B0FA9"/>
    <w:rsid w:val="2010754F"/>
    <w:rsid w:val="2014270B"/>
    <w:rsid w:val="20215B6F"/>
    <w:rsid w:val="202177DD"/>
    <w:rsid w:val="20252881"/>
    <w:rsid w:val="202905D3"/>
    <w:rsid w:val="2031112E"/>
    <w:rsid w:val="20404080"/>
    <w:rsid w:val="20450C08"/>
    <w:rsid w:val="20472BC7"/>
    <w:rsid w:val="204D78C6"/>
    <w:rsid w:val="20572482"/>
    <w:rsid w:val="20660008"/>
    <w:rsid w:val="206B3BF6"/>
    <w:rsid w:val="20717DFC"/>
    <w:rsid w:val="207476C8"/>
    <w:rsid w:val="20827130"/>
    <w:rsid w:val="20933BC0"/>
    <w:rsid w:val="20987107"/>
    <w:rsid w:val="2099410A"/>
    <w:rsid w:val="209D4E89"/>
    <w:rsid w:val="209E2061"/>
    <w:rsid w:val="20A40090"/>
    <w:rsid w:val="20A75ABA"/>
    <w:rsid w:val="20A95DE6"/>
    <w:rsid w:val="20B55AAE"/>
    <w:rsid w:val="20BC468F"/>
    <w:rsid w:val="20BC5613"/>
    <w:rsid w:val="20BD2195"/>
    <w:rsid w:val="20C00E9A"/>
    <w:rsid w:val="20DF4BC2"/>
    <w:rsid w:val="20DF6397"/>
    <w:rsid w:val="20E1350E"/>
    <w:rsid w:val="20FF7DE7"/>
    <w:rsid w:val="210421AF"/>
    <w:rsid w:val="212C70D0"/>
    <w:rsid w:val="2130729B"/>
    <w:rsid w:val="214B509A"/>
    <w:rsid w:val="214E1CD9"/>
    <w:rsid w:val="21503FD6"/>
    <w:rsid w:val="21510FA1"/>
    <w:rsid w:val="21577865"/>
    <w:rsid w:val="215B23A6"/>
    <w:rsid w:val="215C0F31"/>
    <w:rsid w:val="216A7BB2"/>
    <w:rsid w:val="217261AF"/>
    <w:rsid w:val="218F6345"/>
    <w:rsid w:val="21910304"/>
    <w:rsid w:val="21930CC9"/>
    <w:rsid w:val="21947760"/>
    <w:rsid w:val="219720A3"/>
    <w:rsid w:val="219A5199"/>
    <w:rsid w:val="21B004E0"/>
    <w:rsid w:val="21BC4EAB"/>
    <w:rsid w:val="21BD2146"/>
    <w:rsid w:val="21BD3F5D"/>
    <w:rsid w:val="21C21C28"/>
    <w:rsid w:val="21CD22E9"/>
    <w:rsid w:val="21D670E2"/>
    <w:rsid w:val="21D85E1C"/>
    <w:rsid w:val="21E04D6E"/>
    <w:rsid w:val="21F93BB7"/>
    <w:rsid w:val="21FE186D"/>
    <w:rsid w:val="22193302"/>
    <w:rsid w:val="22237799"/>
    <w:rsid w:val="22250DA4"/>
    <w:rsid w:val="223D00E1"/>
    <w:rsid w:val="224836FF"/>
    <w:rsid w:val="224A1E7D"/>
    <w:rsid w:val="22510DBE"/>
    <w:rsid w:val="22523512"/>
    <w:rsid w:val="22725CB7"/>
    <w:rsid w:val="227538FC"/>
    <w:rsid w:val="22824C4B"/>
    <w:rsid w:val="228408E3"/>
    <w:rsid w:val="2285260B"/>
    <w:rsid w:val="228B6983"/>
    <w:rsid w:val="2291583D"/>
    <w:rsid w:val="229A4B54"/>
    <w:rsid w:val="22A862A3"/>
    <w:rsid w:val="22AD6F83"/>
    <w:rsid w:val="22AE718E"/>
    <w:rsid w:val="22B75B56"/>
    <w:rsid w:val="22B825A7"/>
    <w:rsid w:val="22D91244"/>
    <w:rsid w:val="22D91648"/>
    <w:rsid w:val="22DA0689"/>
    <w:rsid w:val="22E37893"/>
    <w:rsid w:val="22E53904"/>
    <w:rsid w:val="22F84D91"/>
    <w:rsid w:val="22FB6AFA"/>
    <w:rsid w:val="230D35DA"/>
    <w:rsid w:val="230F0BD8"/>
    <w:rsid w:val="230F55C2"/>
    <w:rsid w:val="23264738"/>
    <w:rsid w:val="23350CD9"/>
    <w:rsid w:val="23380A07"/>
    <w:rsid w:val="233A0E53"/>
    <w:rsid w:val="233C02A8"/>
    <w:rsid w:val="23452657"/>
    <w:rsid w:val="234870AB"/>
    <w:rsid w:val="23522FF6"/>
    <w:rsid w:val="23523DEB"/>
    <w:rsid w:val="235B7209"/>
    <w:rsid w:val="2368001A"/>
    <w:rsid w:val="236D3BA7"/>
    <w:rsid w:val="236E03B0"/>
    <w:rsid w:val="2387173A"/>
    <w:rsid w:val="238955D0"/>
    <w:rsid w:val="238C3650"/>
    <w:rsid w:val="2393760D"/>
    <w:rsid w:val="23940926"/>
    <w:rsid w:val="23980082"/>
    <w:rsid w:val="23983C22"/>
    <w:rsid w:val="239E09FD"/>
    <w:rsid w:val="23A058D7"/>
    <w:rsid w:val="23AA6297"/>
    <w:rsid w:val="23AB0D47"/>
    <w:rsid w:val="23AE3EEE"/>
    <w:rsid w:val="23AE55F3"/>
    <w:rsid w:val="23BA14CA"/>
    <w:rsid w:val="23C66020"/>
    <w:rsid w:val="23C66E36"/>
    <w:rsid w:val="23D1083D"/>
    <w:rsid w:val="23D12BFA"/>
    <w:rsid w:val="23DB2499"/>
    <w:rsid w:val="23E22DF0"/>
    <w:rsid w:val="23EA3AC9"/>
    <w:rsid w:val="23F403EE"/>
    <w:rsid w:val="2406040A"/>
    <w:rsid w:val="24094E05"/>
    <w:rsid w:val="240F44AD"/>
    <w:rsid w:val="24115B53"/>
    <w:rsid w:val="2415430C"/>
    <w:rsid w:val="241678C4"/>
    <w:rsid w:val="241E5A7F"/>
    <w:rsid w:val="241F3F06"/>
    <w:rsid w:val="242712C0"/>
    <w:rsid w:val="24285E12"/>
    <w:rsid w:val="24322301"/>
    <w:rsid w:val="2455189A"/>
    <w:rsid w:val="24570697"/>
    <w:rsid w:val="245C5DEA"/>
    <w:rsid w:val="245F2017"/>
    <w:rsid w:val="24741095"/>
    <w:rsid w:val="248719DC"/>
    <w:rsid w:val="2489518F"/>
    <w:rsid w:val="24A13337"/>
    <w:rsid w:val="24A33D70"/>
    <w:rsid w:val="24B41371"/>
    <w:rsid w:val="24B91D41"/>
    <w:rsid w:val="24D8218B"/>
    <w:rsid w:val="24E00367"/>
    <w:rsid w:val="25000DB9"/>
    <w:rsid w:val="25001F6D"/>
    <w:rsid w:val="25047DC6"/>
    <w:rsid w:val="250601A9"/>
    <w:rsid w:val="25060D43"/>
    <w:rsid w:val="2510724A"/>
    <w:rsid w:val="2511772A"/>
    <w:rsid w:val="251F60B7"/>
    <w:rsid w:val="251F7DF7"/>
    <w:rsid w:val="25354918"/>
    <w:rsid w:val="253B3DDC"/>
    <w:rsid w:val="253C564D"/>
    <w:rsid w:val="254472A6"/>
    <w:rsid w:val="25490ECF"/>
    <w:rsid w:val="254C4C81"/>
    <w:rsid w:val="254E09E6"/>
    <w:rsid w:val="255123A7"/>
    <w:rsid w:val="257F2837"/>
    <w:rsid w:val="2582502C"/>
    <w:rsid w:val="259D0E22"/>
    <w:rsid w:val="25A01298"/>
    <w:rsid w:val="25A17971"/>
    <w:rsid w:val="25A74D6F"/>
    <w:rsid w:val="25B63977"/>
    <w:rsid w:val="25BB13B5"/>
    <w:rsid w:val="25BB48D6"/>
    <w:rsid w:val="25BF76A7"/>
    <w:rsid w:val="25C313E9"/>
    <w:rsid w:val="25C51D5A"/>
    <w:rsid w:val="25D45E44"/>
    <w:rsid w:val="25D972B3"/>
    <w:rsid w:val="25DF44E7"/>
    <w:rsid w:val="25F24ECE"/>
    <w:rsid w:val="25FB4F7E"/>
    <w:rsid w:val="26265930"/>
    <w:rsid w:val="26351861"/>
    <w:rsid w:val="263B0B83"/>
    <w:rsid w:val="26492295"/>
    <w:rsid w:val="264C6B47"/>
    <w:rsid w:val="26506094"/>
    <w:rsid w:val="2693578A"/>
    <w:rsid w:val="26977282"/>
    <w:rsid w:val="269F0347"/>
    <w:rsid w:val="26A86578"/>
    <w:rsid w:val="26AB6AB0"/>
    <w:rsid w:val="26B4537C"/>
    <w:rsid w:val="26BF2B8B"/>
    <w:rsid w:val="26CB0A75"/>
    <w:rsid w:val="26D10CEC"/>
    <w:rsid w:val="26D267FD"/>
    <w:rsid w:val="26E17C03"/>
    <w:rsid w:val="26E44180"/>
    <w:rsid w:val="26FF16DB"/>
    <w:rsid w:val="270B4BF4"/>
    <w:rsid w:val="271C1156"/>
    <w:rsid w:val="272709B1"/>
    <w:rsid w:val="27290882"/>
    <w:rsid w:val="273F4118"/>
    <w:rsid w:val="274D02C7"/>
    <w:rsid w:val="275814C2"/>
    <w:rsid w:val="276B3488"/>
    <w:rsid w:val="27871CB1"/>
    <w:rsid w:val="27883735"/>
    <w:rsid w:val="278C1177"/>
    <w:rsid w:val="27920D34"/>
    <w:rsid w:val="27932D4B"/>
    <w:rsid w:val="27A719AB"/>
    <w:rsid w:val="27A8431A"/>
    <w:rsid w:val="27B816D6"/>
    <w:rsid w:val="27BD21DC"/>
    <w:rsid w:val="27C137A5"/>
    <w:rsid w:val="27D75378"/>
    <w:rsid w:val="27D80BFD"/>
    <w:rsid w:val="27D9766E"/>
    <w:rsid w:val="27E573D4"/>
    <w:rsid w:val="27F64BBC"/>
    <w:rsid w:val="280D21B6"/>
    <w:rsid w:val="28162323"/>
    <w:rsid w:val="28234701"/>
    <w:rsid w:val="282648D5"/>
    <w:rsid w:val="28274C7C"/>
    <w:rsid w:val="28277729"/>
    <w:rsid w:val="28331D3C"/>
    <w:rsid w:val="28445F51"/>
    <w:rsid w:val="28485BFD"/>
    <w:rsid w:val="285E4B9A"/>
    <w:rsid w:val="286318AB"/>
    <w:rsid w:val="28672387"/>
    <w:rsid w:val="28785499"/>
    <w:rsid w:val="287A112A"/>
    <w:rsid w:val="288007E4"/>
    <w:rsid w:val="28801EA7"/>
    <w:rsid w:val="28861C33"/>
    <w:rsid w:val="2888712C"/>
    <w:rsid w:val="2892678E"/>
    <w:rsid w:val="28996450"/>
    <w:rsid w:val="289A2FF3"/>
    <w:rsid w:val="28A4574C"/>
    <w:rsid w:val="28B5407E"/>
    <w:rsid w:val="28C664A5"/>
    <w:rsid w:val="28CC6519"/>
    <w:rsid w:val="28CD5BDE"/>
    <w:rsid w:val="28CE3D16"/>
    <w:rsid w:val="28D87019"/>
    <w:rsid w:val="28DF6654"/>
    <w:rsid w:val="28E818D5"/>
    <w:rsid w:val="28EA4A8B"/>
    <w:rsid w:val="28FB5984"/>
    <w:rsid w:val="290111C0"/>
    <w:rsid w:val="29011967"/>
    <w:rsid w:val="290A3476"/>
    <w:rsid w:val="290F7E7E"/>
    <w:rsid w:val="291719E5"/>
    <w:rsid w:val="29191F60"/>
    <w:rsid w:val="292026F0"/>
    <w:rsid w:val="292B5E58"/>
    <w:rsid w:val="292D1D7A"/>
    <w:rsid w:val="292E3C39"/>
    <w:rsid w:val="29300429"/>
    <w:rsid w:val="293324F9"/>
    <w:rsid w:val="293B6511"/>
    <w:rsid w:val="293C4333"/>
    <w:rsid w:val="29433AC2"/>
    <w:rsid w:val="29504E78"/>
    <w:rsid w:val="29536891"/>
    <w:rsid w:val="295721EF"/>
    <w:rsid w:val="295A0DC1"/>
    <w:rsid w:val="295B3DA4"/>
    <w:rsid w:val="296026BE"/>
    <w:rsid w:val="296B1701"/>
    <w:rsid w:val="296B403B"/>
    <w:rsid w:val="2989168C"/>
    <w:rsid w:val="298935E8"/>
    <w:rsid w:val="298B2998"/>
    <w:rsid w:val="299A7E9A"/>
    <w:rsid w:val="299B6B41"/>
    <w:rsid w:val="29A219C9"/>
    <w:rsid w:val="29AD6842"/>
    <w:rsid w:val="29B40869"/>
    <w:rsid w:val="29B80C80"/>
    <w:rsid w:val="29C06C4C"/>
    <w:rsid w:val="29C10745"/>
    <w:rsid w:val="29C15F9E"/>
    <w:rsid w:val="29D37BF2"/>
    <w:rsid w:val="29D70DC1"/>
    <w:rsid w:val="29DC7ABD"/>
    <w:rsid w:val="29E03977"/>
    <w:rsid w:val="29E74D4F"/>
    <w:rsid w:val="29E7762A"/>
    <w:rsid w:val="29E95751"/>
    <w:rsid w:val="29EB1FBB"/>
    <w:rsid w:val="29FE1C75"/>
    <w:rsid w:val="2A000BF9"/>
    <w:rsid w:val="2A02062F"/>
    <w:rsid w:val="2A0C0983"/>
    <w:rsid w:val="2A17679D"/>
    <w:rsid w:val="2A1B4123"/>
    <w:rsid w:val="2A222FA8"/>
    <w:rsid w:val="2A3E1897"/>
    <w:rsid w:val="2A4856E8"/>
    <w:rsid w:val="2A555DA2"/>
    <w:rsid w:val="2A587E0D"/>
    <w:rsid w:val="2A597AF0"/>
    <w:rsid w:val="2A6251FD"/>
    <w:rsid w:val="2A6330E5"/>
    <w:rsid w:val="2A683345"/>
    <w:rsid w:val="2A6D6012"/>
    <w:rsid w:val="2A740F87"/>
    <w:rsid w:val="2A797444"/>
    <w:rsid w:val="2A825E43"/>
    <w:rsid w:val="2A9D0385"/>
    <w:rsid w:val="2AAE616B"/>
    <w:rsid w:val="2AB77161"/>
    <w:rsid w:val="2ACB6A0A"/>
    <w:rsid w:val="2AD12E70"/>
    <w:rsid w:val="2AD8635D"/>
    <w:rsid w:val="2ADE333E"/>
    <w:rsid w:val="2AEB4CFA"/>
    <w:rsid w:val="2AED7A94"/>
    <w:rsid w:val="2AF2150C"/>
    <w:rsid w:val="2AF273F7"/>
    <w:rsid w:val="2AFA6E74"/>
    <w:rsid w:val="2AFE066F"/>
    <w:rsid w:val="2AFF3871"/>
    <w:rsid w:val="2B045729"/>
    <w:rsid w:val="2B084CCB"/>
    <w:rsid w:val="2B1C4ABF"/>
    <w:rsid w:val="2B25280F"/>
    <w:rsid w:val="2B38567A"/>
    <w:rsid w:val="2B494854"/>
    <w:rsid w:val="2B4A0B8D"/>
    <w:rsid w:val="2B4C6186"/>
    <w:rsid w:val="2B611EDA"/>
    <w:rsid w:val="2B6120E2"/>
    <w:rsid w:val="2B6B550A"/>
    <w:rsid w:val="2B856C60"/>
    <w:rsid w:val="2B8E744E"/>
    <w:rsid w:val="2B927992"/>
    <w:rsid w:val="2B984165"/>
    <w:rsid w:val="2BAB698E"/>
    <w:rsid w:val="2BB15C26"/>
    <w:rsid w:val="2BBE34B1"/>
    <w:rsid w:val="2BC402B6"/>
    <w:rsid w:val="2BC85EF2"/>
    <w:rsid w:val="2BCD6891"/>
    <w:rsid w:val="2BDA2BDD"/>
    <w:rsid w:val="2BDB0F00"/>
    <w:rsid w:val="2BEB4934"/>
    <w:rsid w:val="2BED09A8"/>
    <w:rsid w:val="2BEF0A74"/>
    <w:rsid w:val="2BF213ED"/>
    <w:rsid w:val="2C0D0CCC"/>
    <w:rsid w:val="2C0E75E7"/>
    <w:rsid w:val="2C142BED"/>
    <w:rsid w:val="2C1A2D7E"/>
    <w:rsid w:val="2C1C4D07"/>
    <w:rsid w:val="2C22553F"/>
    <w:rsid w:val="2C2804F2"/>
    <w:rsid w:val="2C285C22"/>
    <w:rsid w:val="2C391218"/>
    <w:rsid w:val="2C3A697A"/>
    <w:rsid w:val="2C435FD8"/>
    <w:rsid w:val="2C4460AE"/>
    <w:rsid w:val="2C55584A"/>
    <w:rsid w:val="2C5E63E8"/>
    <w:rsid w:val="2C6E246F"/>
    <w:rsid w:val="2C7E19D1"/>
    <w:rsid w:val="2C8301B2"/>
    <w:rsid w:val="2C866793"/>
    <w:rsid w:val="2C8911E8"/>
    <w:rsid w:val="2C9A1CE5"/>
    <w:rsid w:val="2CB02305"/>
    <w:rsid w:val="2CD47C45"/>
    <w:rsid w:val="2CD67193"/>
    <w:rsid w:val="2CD91E2B"/>
    <w:rsid w:val="2CDB2F0C"/>
    <w:rsid w:val="2CE57F55"/>
    <w:rsid w:val="2CF1171D"/>
    <w:rsid w:val="2CF146DF"/>
    <w:rsid w:val="2CF836D8"/>
    <w:rsid w:val="2D07213E"/>
    <w:rsid w:val="2D2161AF"/>
    <w:rsid w:val="2D240999"/>
    <w:rsid w:val="2D283F0A"/>
    <w:rsid w:val="2D2A442E"/>
    <w:rsid w:val="2D431E35"/>
    <w:rsid w:val="2D47484D"/>
    <w:rsid w:val="2D493BBF"/>
    <w:rsid w:val="2D4A32B2"/>
    <w:rsid w:val="2D4E3D0D"/>
    <w:rsid w:val="2D5444AB"/>
    <w:rsid w:val="2D6052DC"/>
    <w:rsid w:val="2D6D5636"/>
    <w:rsid w:val="2D7300C8"/>
    <w:rsid w:val="2D784F56"/>
    <w:rsid w:val="2D7A7E02"/>
    <w:rsid w:val="2D7F0A55"/>
    <w:rsid w:val="2D802823"/>
    <w:rsid w:val="2D8754AB"/>
    <w:rsid w:val="2D8B6EE0"/>
    <w:rsid w:val="2D8C00B2"/>
    <w:rsid w:val="2D922C62"/>
    <w:rsid w:val="2D9B6E8C"/>
    <w:rsid w:val="2DA23DC5"/>
    <w:rsid w:val="2DA57D71"/>
    <w:rsid w:val="2DA96AD2"/>
    <w:rsid w:val="2DAC5E52"/>
    <w:rsid w:val="2DAD5474"/>
    <w:rsid w:val="2DAF6659"/>
    <w:rsid w:val="2DB1759B"/>
    <w:rsid w:val="2DC047DA"/>
    <w:rsid w:val="2DC34BCD"/>
    <w:rsid w:val="2DD24D36"/>
    <w:rsid w:val="2DD76949"/>
    <w:rsid w:val="2DE268C5"/>
    <w:rsid w:val="2DE52ABB"/>
    <w:rsid w:val="2DE66D93"/>
    <w:rsid w:val="2DF80128"/>
    <w:rsid w:val="2DFD2F1D"/>
    <w:rsid w:val="2E006793"/>
    <w:rsid w:val="2E045101"/>
    <w:rsid w:val="2E0714DB"/>
    <w:rsid w:val="2E0C6098"/>
    <w:rsid w:val="2E4B2778"/>
    <w:rsid w:val="2E540053"/>
    <w:rsid w:val="2E5B625F"/>
    <w:rsid w:val="2E5E50D6"/>
    <w:rsid w:val="2E6058AC"/>
    <w:rsid w:val="2E60669F"/>
    <w:rsid w:val="2E74726E"/>
    <w:rsid w:val="2E7779F9"/>
    <w:rsid w:val="2E847D8C"/>
    <w:rsid w:val="2E930E84"/>
    <w:rsid w:val="2EA61DE8"/>
    <w:rsid w:val="2EA7779D"/>
    <w:rsid w:val="2EB40A0D"/>
    <w:rsid w:val="2EB77D32"/>
    <w:rsid w:val="2EC41952"/>
    <w:rsid w:val="2EC456C6"/>
    <w:rsid w:val="2EC55EB8"/>
    <w:rsid w:val="2ED44A27"/>
    <w:rsid w:val="2ED645E4"/>
    <w:rsid w:val="2EDA7F38"/>
    <w:rsid w:val="2EDF3B84"/>
    <w:rsid w:val="2EEA724C"/>
    <w:rsid w:val="2EEB0ADB"/>
    <w:rsid w:val="2EEF46D0"/>
    <w:rsid w:val="2EEF6A8A"/>
    <w:rsid w:val="2EF6253E"/>
    <w:rsid w:val="2EF67404"/>
    <w:rsid w:val="2EFA1F42"/>
    <w:rsid w:val="2F0B25A5"/>
    <w:rsid w:val="2F0F2796"/>
    <w:rsid w:val="2F136723"/>
    <w:rsid w:val="2F136BBD"/>
    <w:rsid w:val="2F1656BF"/>
    <w:rsid w:val="2F1E4580"/>
    <w:rsid w:val="2F243FBE"/>
    <w:rsid w:val="2F2847C7"/>
    <w:rsid w:val="2F2D405B"/>
    <w:rsid w:val="2F2D4B07"/>
    <w:rsid w:val="2F320757"/>
    <w:rsid w:val="2F4238B4"/>
    <w:rsid w:val="2F51363B"/>
    <w:rsid w:val="2F51568C"/>
    <w:rsid w:val="2F5A6120"/>
    <w:rsid w:val="2F5D3AE7"/>
    <w:rsid w:val="2F631966"/>
    <w:rsid w:val="2F677D0B"/>
    <w:rsid w:val="2F7C0B50"/>
    <w:rsid w:val="2F7F65C3"/>
    <w:rsid w:val="2F8D564B"/>
    <w:rsid w:val="2F8F03D5"/>
    <w:rsid w:val="2F902FD5"/>
    <w:rsid w:val="2F911E9F"/>
    <w:rsid w:val="2F9402EB"/>
    <w:rsid w:val="2FA01160"/>
    <w:rsid w:val="2FAE7676"/>
    <w:rsid w:val="2FB73E12"/>
    <w:rsid w:val="2FC52E47"/>
    <w:rsid w:val="2FD53B0D"/>
    <w:rsid w:val="2FE80F01"/>
    <w:rsid w:val="2FEB0070"/>
    <w:rsid w:val="2FED3728"/>
    <w:rsid w:val="2FF13D69"/>
    <w:rsid w:val="2FFA51F3"/>
    <w:rsid w:val="30050510"/>
    <w:rsid w:val="3008725A"/>
    <w:rsid w:val="30271DE1"/>
    <w:rsid w:val="302A0620"/>
    <w:rsid w:val="302A61B2"/>
    <w:rsid w:val="30333BE6"/>
    <w:rsid w:val="306D6608"/>
    <w:rsid w:val="307408FD"/>
    <w:rsid w:val="307B1836"/>
    <w:rsid w:val="307D77CA"/>
    <w:rsid w:val="30802AF2"/>
    <w:rsid w:val="30813303"/>
    <w:rsid w:val="30865757"/>
    <w:rsid w:val="3093608F"/>
    <w:rsid w:val="309E3E5D"/>
    <w:rsid w:val="30AE529B"/>
    <w:rsid w:val="30C86A19"/>
    <w:rsid w:val="30CC358A"/>
    <w:rsid w:val="30D0347E"/>
    <w:rsid w:val="30D63394"/>
    <w:rsid w:val="30DD7725"/>
    <w:rsid w:val="30E00625"/>
    <w:rsid w:val="30E15D50"/>
    <w:rsid w:val="30E43E02"/>
    <w:rsid w:val="30EA363C"/>
    <w:rsid w:val="30F252E8"/>
    <w:rsid w:val="30F71484"/>
    <w:rsid w:val="31012471"/>
    <w:rsid w:val="31046D66"/>
    <w:rsid w:val="310C793C"/>
    <w:rsid w:val="31106B4C"/>
    <w:rsid w:val="31197E6B"/>
    <w:rsid w:val="31252467"/>
    <w:rsid w:val="3128777A"/>
    <w:rsid w:val="312B3C43"/>
    <w:rsid w:val="313054FE"/>
    <w:rsid w:val="313055EC"/>
    <w:rsid w:val="31382997"/>
    <w:rsid w:val="313E4FA5"/>
    <w:rsid w:val="31492DDE"/>
    <w:rsid w:val="31550298"/>
    <w:rsid w:val="315F171A"/>
    <w:rsid w:val="31611718"/>
    <w:rsid w:val="316145D7"/>
    <w:rsid w:val="31775AC0"/>
    <w:rsid w:val="317D37FE"/>
    <w:rsid w:val="318020E2"/>
    <w:rsid w:val="318172D7"/>
    <w:rsid w:val="318211BC"/>
    <w:rsid w:val="318D694C"/>
    <w:rsid w:val="3190794A"/>
    <w:rsid w:val="31982843"/>
    <w:rsid w:val="319B7DEB"/>
    <w:rsid w:val="319D05ED"/>
    <w:rsid w:val="31B15648"/>
    <w:rsid w:val="31C24168"/>
    <w:rsid w:val="31DF628F"/>
    <w:rsid w:val="31E244B5"/>
    <w:rsid w:val="31E3490E"/>
    <w:rsid w:val="31EF2B4A"/>
    <w:rsid w:val="31F5162C"/>
    <w:rsid w:val="31F54F13"/>
    <w:rsid w:val="32070933"/>
    <w:rsid w:val="320E0FE8"/>
    <w:rsid w:val="3211074B"/>
    <w:rsid w:val="3212246F"/>
    <w:rsid w:val="32134DB6"/>
    <w:rsid w:val="32161E90"/>
    <w:rsid w:val="32170987"/>
    <w:rsid w:val="32190146"/>
    <w:rsid w:val="32190AB5"/>
    <w:rsid w:val="3228117B"/>
    <w:rsid w:val="322C5AC5"/>
    <w:rsid w:val="32310C5F"/>
    <w:rsid w:val="32325162"/>
    <w:rsid w:val="32333F50"/>
    <w:rsid w:val="323716A1"/>
    <w:rsid w:val="323A4AB2"/>
    <w:rsid w:val="325E72F1"/>
    <w:rsid w:val="32624F99"/>
    <w:rsid w:val="32661DF7"/>
    <w:rsid w:val="32687DA0"/>
    <w:rsid w:val="328277EA"/>
    <w:rsid w:val="32896981"/>
    <w:rsid w:val="32965C1B"/>
    <w:rsid w:val="32983C8B"/>
    <w:rsid w:val="32A9055E"/>
    <w:rsid w:val="32BA4D8C"/>
    <w:rsid w:val="32BE10ED"/>
    <w:rsid w:val="32BE251D"/>
    <w:rsid w:val="32BF25F4"/>
    <w:rsid w:val="32C955CC"/>
    <w:rsid w:val="32C957DF"/>
    <w:rsid w:val="32D138C1"/>
    <w:rsid w:val="32D2718F"/>
    <w:rsid w:val="32D67D89"/>
    <w:rsid w:val="32D85F72"/>
    <w:rsid w:val="32E045F0"/>
    <w:rsid w:val="32E51876"/>
    <w:rsid w:val="32F8366E"/>
    <w:rsid w:val="32FE525F"/>
    <w:rsid w:val="330A416D"/>
    <w:rsid w:val="330B347D"/>
    <w:rsid w:val="33214ED8"/>
    <w:rsid w:val="332C4EAD"/>
    <w:rsid w:val="33361344"/>
    <w:rsid w:val="33386DA3"/>
    <w:rsid w:val="33467511"/>
    <w:rsid w:val="334B37C1"/>
    <w:rsid w:val="334C77E0"/>
    <w:rsid w:val="334F7084"/>
    <w:rsid w:val="33566F8B"/>
    <w:rsid w:val="33726BC3"/>
    <w:rsid w:val="337E041E"/>
    <w:rsid w:val="337E3739"/>
    <w:rsid w:val="337F121E"/>
    <w:rsid w:val="339121BD"/>
    <w:rsid w:val="33B502FE"/>
    <w:rsid w:val="33B50AE2"/>
    <w:rsid w:val="33BC615D"/>
    <w:rsid w:val="33C73250"/>
    <w:rsid w:val="33CD760B"/>
    <w:rsid w:val="33CF14A7"/>
    <w:rsid w:val="33E32A37"/>
    <w:rsid w:val="33E37433"/>
    <w:rsid w:val="33F106A6"/>
    <w:rsid w:val="33FE2847"/>
    <w:rsid w:val="34103C90"/>
    <w:rsid w:val="34135083"/>
    <w:rsid w:val="341B3BCB"/>
    <w:rsid w:val="342458FF"/>
    <w:rsid w:val="34271230"/>
    <w:rsid w:val="343569DC"/>
    <w:rsid w:val="343A03AD"/>
    <w:rsid w:val="3440495F"/>
    <w:rsid w:val="34405B19"/>
    <w:rsid w:val="34547D9C"/>
    <w:rsid w:val="34575019"/>
    <w:rsid w:val="345A6C6C"/>
    <w:rsid w:val="347041E6"/>
    <w:rsid w:val="3480401E"/>
    <w:rsid w:val="34812F56"/>
    <w:rsid w:val="34914B5E"/>
    <w:rsid w:val="34995BB5"/>
    <w:rsid w:val="34A80929"/>
    <w:rsid w:val="34AD2102"/>
    <w:rsid w:val="34C37C6F"/>
    <w:rsid w:val="34DB3E6C"/>
    <w:rsid w:val="34EB5AB6"/>
    <w:rsid w:val="34F62CAE"/>
    <w:rsid w:val="34F73299"/>
    <w:rsid w:val="34F77B62"/>
    <w:rsid w:val="34FC5BA2"/>
    <w:rsid w:val="35034D69"/>
    <w:rsid w:val="350958EB"/>
    <w:rsid w:val="35160F3B"/>
    <w:rsid w:val="35183873"/>
    <w:rsid w:val="351A5722"/>
    <w:rsid w:val="351B0399"/>
    <w:rsid w:val="351D1E22"/>
    <w:rsid w:val="352345DC"/>
    <w:rsid w:val="352A543B"/>
    <w:rsid w:val="352B7E84"/>
    <w:rsid w:val="352D1A3F"/>
    <w:rsid w:val="35327B50"/>
    <w:rsid w:val="3543699F"/>
    <w:rsid w:val="354C06A5"/>
    <w:rsid w:val="355618C5"/>
    <w:rsid w:val="35584B8F"/>
    <w:rsid w:val="356A4552"/>
    <w:rsid w:val="356F78B0"/>
    <w:rsid w:val="35715CF8"/>
    <w:rsid w:val="35776987"/>
    <w:rsid w:val="357A4C5E"/>
    <w:rsid w:val="357F0C88"/>
    <w:rsid w:val="3580102E"/>
    <w:rsid w:val="35812BD1"/>
    <w:rsid w:val="358510E1"/>
    <w:rsid w:val="358D0707"/>
    <w:rsid w:val="358E7B3C"/>
    <w:rsid w:val="35905DB8"/>
    <w:rsid w:val="35B013D1"/>
    <w:rsid w:val="35B651E0"/>
    <w:rsid w:val="35D1030F"/>
    <w:rsid w:val="35DB46F4"/>
    <w:rsid w:val="35E06C12"/>
    <w:rsid w:val="35E446FB"/>
    <w:rsid w:val="35E71923"/>
    <w:rsid w:val="35E857E5"/>
    <w:rsid w:val="35FA086C"/>
    <w:rsid w:val="35FE1DC9"/>
    <w:rsid w:val="36031DEB"/>
    <w:rsid w:val="360C2891"/>
    <w:rsid w:val="36156CB4"/>
    <w:rsid w:val="36196819"/>
    <w:rsid w:val="3621777E"/>
    <w:rsid w:val="362A7410"/>
    <w:rsid w:val="362D03B8"/>
    <w:rsid w:val="36357ABA"/>
    <w:rsid w:val="363630D9"/>
    <w:rsid w:val="363B0CED"/>
    <w:rsid w:val="363D3386"/>
    <w:rsid w:val="36533AFF"/>
    <w:rsid w:val="365D4B31"/>
    <w:rsid w:val="365D68DC"/>
    <w:rsid w:val="36696541"/>
    <w:rsid w:val="367452ED"/>
    <w:rsid w:val="36782A6C"/>
    <w:rsid w:val="367A43DF"/>
    <w:rsid w:val="367C718B"/>
    <w:rsid w:val="367F595F"/>
    <w:rsid w:val="36860EC1"/>
    <w:rsid w:val="36904890"/>
    <w:rsid w:val="36975994"/>
    <w:rsid w:val="3699315E"/>
    <w:rsid w:val="369C40C2"/>
    <w:rsid w:val="36A35A18"/>
    <w:rsid w:val="36B53331"/>
    <w:rsid w:val="36C45C50"/>
    <w:rsid w:val="36CF3BDC"/>
    <w:rsid w:val="36F13B71"/>
    <w:rsid w:val="36F37D11"/>
    <w:rsid w:val="36F74ABF"/>
    <w:rsid w:val="370306C5"/>
    <w:rsid w:val="370D2FE6"/>
    <w:rsid w:val="371609E5"/>
    <w:rsid w:val="37197CDF"/>
    <w:rsid w:val="37354F74"/>
    <w:rsid w:val="37421349"/>
    <w:rsid w:val="37471080"/>
    <w:rsid w:val="375377B2"/>
    <w:rsid w:val="37580692"/>
    <w:rsid w:val="37681B25"/>
    <w:rsid w:val="376D427E"/>
    <w:rsid w:val="37746312"/>
    <w:rsid w:val="3781428A"/>
    <w:rsid w:val="379069BA"/>
    <w:rsid w:val="37946305"/>
    <w:rsid w:val="37952A0A"/>
    <w:rsid w:val="37982198"/>
    <w:rsid w:val="3799165C"/>
    <w:rsid w:val="379A0739"/>
    <w:rsid w:val="37A32C08"/>
    <w:rsid w:val="37A77FFB"/>
    <w:rsid w:val="37AC2E0A"/>
    <w:rsid w:val="37AE7387"/>
    <w:rsid w:val="37BD0711"/>
    <w:rsid w:val="37C541FF"/>
    <w:rsid w:val="37CE271D"/>
    <w:rsid w:val="37D36E64"/>
    <w:rsid w:val="37D8553C"/>
    <w:rsid w:val="37E11811"/>
    <w:rsid w:val="37FB7365"/>
    <w:rsid w:val="37FC73A6"/>
    <w:rsid w:val="38145A62"/>
    <w:rsid w:val="381C02AF"/>
    <w:rsid w:val="381C309D"/>
    <w:rsid w:val="381C643A"/>
    <w:rsid w:val="381D14DC"/>
    <w:rsid w:val="382A6456"/>
    <w:rsid w:val="382E2618"/>
    <w:rsid w:val="3853508F"/>
    <w:rsid w:val="385F54EB"/>
    <w:rsid w:val="386820EF"/>
    <w:rsid w:val="386E4EE2"/>
    <w:rsid w:val="386F3B7F"/>
    <w:rsid w:val="387968E9"/>
    <w:rsid w:val="387F7C51"/>
    <w:rsid w:val="38816E47"/>
    <w:rsid w:val="38972258"/>
    <w:rsid w:val="389B0566"/>
    <w:rsid w:val="38AD1CF1"/>
    <w:rsid w:val="38BC7710"/>
    <w:rsid w:val="38BD56FD"/>
    <w:rsid w:val="38BD76FD"/>
    <w:rsid w:val="38C86993"/>
    <w:rsid w:val="38CF0D87"/>
    <w:rsid w:val="38D27C07"/>
    <w:rsid w:val="38D40633"/>
    <w:rsid w:val="38D626E5"/>
    <w:rsid w:val="38D82617"/>
    <w:rsid w:val="38DE6961"/>
    <w:rsid w:val="38E21097"/>
    <w:rsid w:val="38E30919"/>
    <w:rsid w:val="38E42D64"/>
    <w:rsid w:val="38EE5C2E"/>
    <w:rsid w:val="38EF6BF4"/>
    <w:rsid w:val="38F01EF1"/>
    <w:rsid w:val="38F647E3"/>
    <w:rsid w:val="391C01C9"/>
    <w:rsid w:val="391E5322"/>
    <w:rsid w:val="392E57FC"/>
    <w:rsid w:val="392F2369"/>
    <w:rsid w:val="39472B0C"/>
    <w:rsid w:val="394F5F24"/>
    <w:rsid w:val="39551972"/>
    <w:rsid w:val="39575095"/>
    <w:rsid w:val="396332D1"/>
    <w:rsid w:val="398D5198"/>
    <w:rsid w:val="39A03DCF"/>
    <w:rsid w:val="39A83A5C"/>
    <w:rsid w:val="39AC1DB0"/>
    <w:rsid w:val="39BA5BC6"/>
    <w:rsid w:val="39C57826"/>
    <w:rsid w:val="39DF6BCD"/>
    <w:rsid w:val="39EA290A"/>
    <w:rsid w:val="39F05885"/>
    <w:rsid w:val="39F53C6E"/>
    <w:rsid w:val="39FB0130"/>
    <w:rsid w:val="39FB4F85"/>
    <w:rsid w:val="39FB6D57"/>
    <w:rsid w:val="39FE0D86"/>
    <w:rsid w:val="3A07326C"/>
    <w:rsid w:val="3A0830F7"/>
    <w:rsid w:val="3A0A764A"/>
    <w:rsid w:val="3A0C03A9"/>
    <w:rsid w:val="3A2807FD"/>
    <w:rsid w:val="3A3D4B28"/>
    <w:rsid w:val="3A3D60F0"/>
    <w:rsid w:val="3A443786"/>
    <w:rsid w:val="3A4576C0"/>
    <w:rsid w:val="3A682D55"/>
    <w:rsid w:val="3A707CCB"/>
    <w:rsid w:val="3A716960"/>
    <w:rsid w:val="3A74734B"/>
    <w:rsid w:val="3A752957"/>
    <w:rsid w:val="3A7940EA"/>
    <w:rsid w:val="3A7E5527"/>
    <w:rsid w:val="3A915BE5"/>
    <w:rsid w:val="3A996646"/>
    <w:rsid w:val="3AA00841"/>
    <w:rsid w:val="3AB0524A"/>
    <w:rsid w:val="3ABA43F0"/>
    <w:rsid w:val="3ABD50A1"/>
    <w:rsid w:val="3AC608C7"/>
    <w:rsid w:val="3AC70EC6"/>
    <w:rsid w:val="3AD90019"/>
    <w:rsid w:val="3AE42D96"/>
    <w:rsid w:val="3AEE17AA"/>
    <w:rsid w:val="3AF1735A"/>
    <w:rsid w:val="3AF66588"/>
    <w:rsid w:val="3B071D49"/>
    <w:rsid w:val="3B162695"/>
    <w:rsid w:val="3B373EE5"/>
    <w:rsid w:val="3B3F508F"/>
    <w:rsid w:val="3B41122C"/>
    <w:rsid w:val="3B446D0B"/>
    <w:rsid w:val="3B4933F5"/>
    <w:rsid w:val="3B511A52"/>
    <w:rsid w:val="3B515636"/>
    <w:rsid w:val="3B515F4B"/>
    <w:rsid w:val="3B57209C"/>
    <w:rsid w:val="3B635EBA"/>
    <w:rsid w:val="3B69361E"/>
    <w:rsid w:val="3B6D5EE1"/>
    <w:rsid w:val="3B70231A"/>
    <w:rsid w:val="3B76403D"/>
    <w:rsid w:val="3B7C20AA"/>
    <w:rsid w:val="3B885AB2"/>
    <w:rsid w:val="3B9B07F8"/>
    <w:rsid w:val="3BA26A88"/>
    <w:rsid w:val="3BA8495A"/>
    <w:rsid w:val="3BA85D27"/>
    <w:rsid w:val="3BB41B4E"/>
    <w:rsid w:val="3BB92766"/>
    <w:rsid w:val="3BC50E6D"/>
    <w:rsid w:val="3BD20C48"/>
    <w:rsid w:val="3BD81F0C"/>
    <w:rsid w:val="3BDA2235"/>
    <w:rsid w:val="3BE16F18"/>
    <w:rsid w:val="3BE556D1"/>
    <w:rsid w:val="3BE612E5"/>
    <w:rsid w:val="3BE92092"/>
    <w:rsid w:val="3BE96D44"/>
    <w:rsid w:val="3BF67E5C"/>
    <w:rsid w:val="3BF76512"/>
    <w:rsid w:val="3BF95066"/>
    <w:rsid w:val="3C086332"/>
    <w:rsid w:val="3C0A33C0"/>
    <w:rsid w:val="3C16171E"/>
    <w:rsid w:val="3C195DAC"/>
    <w:rsid w:val="3C1F2391"/>
    <w:rsid w:val="3C1F7AF1"/>
    <w:rsid w:val="3C243FA3"/>
    <w:rsid w:val="3C3027AD"/>
    <w:rsid w:val="3C385E75"/>
    <w:rsid w:val="3C444208"/>
    <w:rsid w:val="3C4D3DFC"/>
    <w:rsid w:val="3C511C1F"/>
    <w:rsid w:val="3C576FFE"/>
    <w:rsid w:val="3C5C216D"/>
    <w:rsid w:val="3C6569D6"/>
    <w:rsid w:val="3C6C2F86"/>
    <w:rsid w:val="3C6F23B9"/>
    <w:rsid w:val="3C74341F"/>
    <w:rsid w:val="3C793D44"/>
    <w:rsid w:val="3C7A78EF"/>
    <w:rsid w:val="3C9C0E4F"/>
    <w:rsid w:val="3C9C53CA"/>
    <w:rsid w:val="3CA1664B"/>
    <w:rsid w:val="3CA71864"/>
    <w:rsid w:val="3CA76B1E"/>
    <w:rsid w:val="3CB230DC"/>
    <w:rsid w:val="3CBC49C0"/>
    <w:rsid w:val="3CDA5B81"/>
    <w:rsid w:val="3CDB2197"/>
    <w:rsid w:val="3CF06E7A"/>
    <w:rsid w:val="3CF25324"/>
    <w:rsid w:val="3CF50631"/>
    <w:rsid w:val="3CF77ACB"/>
    <w:rsid w:val="3CF84295"/>
    <w:rsid w:val="3CFD7562"/>
    <w:rsid w:val="3D015CDA"/>
    <w:rsid w:val="3D016F3C"/>
    <w:rsid w:val="3D0F70D2"/>
    <w:rsid w:val="3D103FDC"/>
    <w:rsid w:val="3D131054"/>
    <w:rsid w:val="3D18200B"/>
    <w:rsid w:val="3D305F4D"/>
    <w:rsid w:val="3D306A5B"/>
    <w:rsid w:val="3D331223"/>
    <w:rsid w:val="3D335EB9"/>
    <w:rsid w:val="3D354B5D"/>
    <w:rsid w:val="3D406861"/>
    <w:rsid w:val="3D4A21AB"/>
    <w:rsid w:val="3D4D7B5D"/>
    <w:rsid w:val="3D521874"/>
    <w:rsid w:val="3D521966"/>
    <w:rsid w:val="3D551662"/>
    <w:rsid w:val="3D5B22E6"/>
    <w:rsid w:val="3D5B4DDB"/>
    <w:rsid w:val="3D620E27"/>
    <w:rsid w:val="3D744699"/>
    <w:rsid w:val="3D7D07A6"/>
    <w:rsid w:val="3D7F778D"/>
    <w:rsid w:val="3D8E71D8"/>
    <w:rsid w:val="3D8F2B4C"/>
    <w:rsid w:val="3D917C8F"/>
    <w:rsid w:val="3DAE4FDA"/>
    <w:rsid w:val="3DB47ECB"/>
    <w:rsid w:val="3DBC418E"/>
    <w:rsid w:val="3DCE2960"/>
    <w:rsid w:val="3DD16770"/>
    <w:rsid w:val="3DD338FB"/>
    <w:rsid w:val="3DD43C49"/>
    <w:rsid w:val="3DE527C1"/>
    <w:rsid w:val="3DE94EDB"/>
    <w:rsid w:val="3DEC5F8E"/>
    <w:rsid w:val="3DEF11DD"/>
    <w:rsid w:val="3DFE17C7"/>
    <w:rsid w:val="3E03742F"/>
    <w:rsid w:val="3E08306C"/>
    <w:rsid w:val="3E115541"/>
    <w:rsid w:val="3E217F2C"/>
    <w:rsid w:val="3E3247E2"/>
    <w:rsid w:val="3E355DAD"/>
    <w:rsid w:val="3E3C3076"/>
    <w:rsid w:val="3E4475FD"/>
    <w:rsid w:val="3E5047E4"/>
    <w:rsid w:val="3E596E25"/>
    <w:rsid w:val="3E5D0952"/>
    <w:rsid w:val="3E6A0AF7"/>
    <w:rsid w:val="3E751DD9"/>
    <w:rsid w:val="3E7D0F04"/>
    <w:rsid w:val="3E8E20F8"/>
    <w:rsid w:val="3E934D2E"/>
    <w:rsid w:val="3E9A0DB4"/>
    <w:rsid w:val="3E9A760F"/>
    <w:rsid w:val="3EA303C7"/>
    <w:rsid w:val="3EB24199"/>
    <w:rsid w:val="3EB61944"/>
    <w:rsid w:val="3EB826AC"/>
    <w:rsid w:val="3EB94C4C"/>
    <w:rsid w:val="3EC247F3"/>
    <w:rsid w:val="3ECE796A"/>
    <w:rsid w:val="3EDB6559"/>
    <w:rsid w:val="3EF22952"/>
    <w:rsid w:val="3EF31F8C"/>
    <w:rsid w:val="3EF43B4C"/>
    <w:rsid w:val="3EF840E4"/>
    <w:rsid w:val="3F013FFB"/>
    <w:rsid w:val="3F0342F8"/>
    <w:rsid w:val="3F096D2E"/>
    <w:rsid w:val="3F09711E"/>
    <w:rsid w:val="3F0D7C55"/>
    <w:rsid w:val="3F1D1992"/>
    <w:rsid w:val="3F266AA8"/>
    <w:rsid w:val="3F3451E1"/>
    <w:rsid w:val="3F46746D"/>
    <w:rsid w:val="3F4A0622"/>
    <w:rsid w:val="3F500291"/>
    <w:rsid w:val="3F5931D4"/>
    <w:rsid w:val="3F5F2A92"/>
    <w:rsid w:val="3F5F5399"/>
    <w:rsid w:val="3F6B479A"/>
    <w:rsid w:val="3F6E2707"/>
    <w:rsid w:val="3F707A20"/>
    <w:rsid w:val="3F7219BC"/>
    <w:rsid w:val="3F746FF0"/>
    <w:rsid w:val="3F7659A0"/>
    <w:rsid w:val="3F7C5276"/>
    <w:rsid w:val="3F985C9E"/>
    <w:rsid w:val="3FA77FFF"/>
    <w:rsid w:val="3FAB0D93"/>
    <w:rsid w:val="3FBD2CC3"/>
    <w:rsid w:val="3FC33038"/>
    <w:rsid w:val="3FC93304"/>
    <w:rsid w:val="3FD740EB"/>
    <w:rsid w:val="3FDB2B8D"/>
    <w:rsid w:val="3FDF48BF"/>
    <w:rsid w:val="3FF73C94"/>
    <w:rsid w:val="3FF84606"/>
    <w:rsid w:val="3FFA6EB3"/>
    <w:rsid w:val="3FFE1F5C"/>
    <w:rsid w:val="40030530"/>
    <w:rsid w:val="400435CA"/>
    <w:rsid w:val="402A40B2"/>
    <w:rsid w:val="402E3AF3"/>
    <w:rsid w:val="403A13C6"/>
    <w:rsid w:val="40421BD6"/>
    <w:rsid w:val="40471260"/>
    <w:rsid w:val="40487610"/>
    <w:rsid w:val="404D44A2"/>
    <w:rsid w:val="40500441"/>
    <w:rsid w:val="405329AA"/>
    <w:rsid w:val="405E4573"/>
    <w:rsid w:val="406336E5"/>
    <w:rsid w:val="40724C04"/>
    <w:rsid w:val="40735882"/>
    <w:rsid w:val="40741388"/>
    <w:rsid w:val="40744A54"/>
    <w:rsid w:val="408F165B"/>
    <w:rsid w:val="409402A1"/>
    <w:rsid w:val="4094359A"/>
    <w:rsid w:val="40962189"/>
    <w:rsid w:val="40970079"/>
    <w:rsid w:val="4099052D"/>
    <w:rsid w:val="409B36F5"/>
    <w:rsid w:val="409D2829"/>
    <w:rsid w:val="409F7AFD"/>
    <w:rsid w:val="40A266EB"/>
    <w:rsid w:val="40A3794B"/>
    <w:rsid w:val="40B17460"/>
    <w:rsid w:val="40B71F8E"/>
    <w:rsid w:val="40BC3BBC"/>
    <w:rsid w:val="40BF64FA"/>
    <w:rsid w:val="40C16348"/>
    <w:rsid w:val="40CA4748"/>
    <w:rsid w:val="40D46A6C"/>
    <w:rsid w:val="40D53E63"/>
    <w:rsid w:val="40E04E96"/>
    <w:rsid w:val="40E32E6A"/>
    <w:rsid w:val="40E34E90"/>
    <w:rsid w:val="40F855FD"/>
    <w:rsid w:val="40F913B6"/>
    <w:rsid w:val="40F93873"/>
    <w:rsid w:val="40FA37EA"/>
    <w:rsid w:val="40FB31AB"/>
    <w:rsid w:val="40FC3FE1"/>
    <w:rsid w:val="40FC619C"/>
    <w:rsid w:val="410A41BC"/>
    <w:rsid w:val="4113200C"/>
    <w:rsid w:val="41271F49"/>
    <w:rsid w:val="412E7FBA"/>
    <w:rsid w:val="41397C3E"/>
    <w:rsid w:val="414024FE"/>
    <w:rsid w:val="414058A7"/>
    <w:rsid w:val="41414005"/>
    <w:rsid w:val="41440A99"/>
    <w:rsid w:val="4149718A"/>
    <w:rsid w:val="41537215"/>
    <w:rsid w:val="415719D0"/>
    <w:rsid w:val="415D5E6D"/>
    <w:rsid w:val="415E58BA"/>
    <w:rsid w:val="415F7702"/>
    <w:rsid w:val="41725ADD"/>
    <w:rsid w:val="41725DF1"/>
    <w:rsid w:val="41795249"/>
    <w:rsid w:val="417E7D8D"/>
    <w:rsid w:val="4193667E"/>
    <w:rsid w:val="41986B6A"/>
    <w:rsid w:val="419A3FAE"/>
    <w:rsid w:val="419C74B1"/>
    <w:rsid w:val="41A5158B"/>
    <w:rsid w:val="41A532E0"/>
    <w:rsid w:val="41A8348C"/>
    <w:rsid w:val="41A9637D"/>
    <w:rsid w:val="41AB3B78"/>
    <w:rsid w:val="41C0096A"/>
    <w:rsid w:val="41C13A51"/>
    <w:rsid w:val="41D373B7"/>
    <w:rsid w:val="41D46535"/>
    <w:rsid w:val="41D73A6E"/>
    <w:rsid w:val="41DB7786"/>
    <w:rsid w:val="41E222B8"/>
    <w:rsid w:val="41F758E6"/>
    <w:rsid w:val="41F763B8"/>
    <w:rsid w:val="41FD7226"/>
    <w:rsid w:val="41FF5F66"/>
    <w:rsid w:val="42015B4E"/>
    <w:rsid w:val="42094C6B"/>
    <w:rsid w:val="420E7FC8"/>
    <w:rsid w:val="42312C06"/>
    <w:rsid w:val="4233047D"/>
    <w:rsid w:val="423B39A6"/>
    <w:rsid w:val="423C0ED7"/>
    <w:rsid w:val="42500295"/>
    <w:rsid w:val="42511D62"/>
    <w:rsid w:val="42515440"/>
    <w:rsid w:val="425448DA"/>
    <w:rsid w:val="425711F4"/>
    <w:rsid w:val="42626572"/>
    <w:rsid w:val="426D4A6E"/>
    <w:rsid w:val="42853C81"/>
    <w:rsid w:val="429A0977"/>
    <w:rsid w:val="42A44D09"/>
    <w:rsid w:val="42A86B7C"/>
    <w:rsid w:val="42B024F4"/>
    <w:rsid w:val="42B35085"/>
    <w:rsid w:val="42BC6237"/>
    <w:rsid w:val="42BC6AC9"/>
    <w:rsid w:val="42BE4111"/>
    <w:rsid w:val="42C94300"/>
    <w:rsid w:val="42C96D4E"/>
    <w:rsid w:val="42CC7C91"/>
    <w:rsid w:val="42D137C8"/>
    <w:rsid w:val="42D21C54"/>
    <w:rsid w:val="42DA12A5"/>
    <w:rsid w:val="42E056CA"/>
    <w:rsid w:val="42EE1115"/>
    <w:rsid w:val="42FB6319"/>
    <w:rsid w:val="42FC2FFD"/>
    <w:rsid w:val="4307480D"/>
    <w:rsid w:val="4309016F"/>
    <w:rsid w:val="43102858"/>
    <w:rsid w:val="4310504D"/>
    <w:rsid w:val="43166574"/>
    <w:rsid w:val="43232C46"/>
    <w:rsid w:val="43256201"/>
    <w:rsid w:val="432B3440"/>
    <w:rsid w:val="4331231B"/>
    <w:rsid w:val="433A5BA3"/>
    <w:rsid w:val="4340383B"/>
    <w:rsid w:val="43480132"/>
    <w:rsid w:val="435019F7"/>
    <w:rsid w:val="43583F3F"/>
    <w:rsid w:val="435A333D"/>
    <w:rsid w:val="436E172F"/>
    <w:rsid w:val="437F0710"/>
    <w:rsid w:val="4380345A"/>
    <w:rsid w:val="438C0178"/>
    <w:rsid w:val="439A13D4"/>
    <w:rsid w:val="439C29B2"/>
    <w:rsid w:val="43A47A0F"/>
    <w:rsid w:val="43A53C6F"/>
    <w:rsid w:val="43A92ED0"/>
    <w:rsid w:val="43A934FB"/>
    <w:rsid w:val="43AA1D5F"/>
    <w:rsid w:val="43AA46E7"/>
    <w:rsid w:val="43B567CB"/>
    <w:rsid w:val="43B72474"/>
    <w:rsid w:val="43BB28E9"/>
    <w:rsid w:val="43BC5961"/>
    <w:rsid w:val="43BE17CE"/>
    <w:rsid w:val="43C14C38"/>
    <w:rsid w:val="43C25380"/>
    <w:rsid w:val="43D35CF3"/>
    <w:rsid w:val="43D513F2"/>
    <w:rsid w:val="43EF2284"/>
    <w:rsid w:val="43F0136F"/>
    <w:rsid w:val="43F33C8F"/>
    <w:rsid w:val="43F42AEA"/>
    <w:rsid w:val="44052FC7"/>
    <w:rsid w:val="440545E1"/>
    <w:rsid w:val="4406283A"/>
    <w:rsid w:val="440C4E6F"/>
    <w:rsid w:val="441C704C"/>
    <w:rsid w:val="44245173"/>
    <w:rsid w:val="443123E6"/>
    <w:rsid w:val="443E2DF7"/>
    <w:rsid w:val="443E3070"/>
    <w:rsid w:val="444C39CA"/>
    <w:rsid w:val="445438ED"/>
    <w:rsid w:val="44571E41"/>
    <w:rsid w:val="446657B8"/>
    <w:rsid w:val="44705C57"/>
    <w:rsid w:val="447913A7"/>
    <w:rsid w:val="4482270A"/>
    <w:rsid w:val="4486484F"/>
    <w:rsid w:val="448D0FCE"/>
    <w:rsid w:val="449843DF"/>
    <w:rsid w:val="449E2604"/>
    <w:rsid w:val="44A37089"/>
    <w:rsid w:val="44A55FBB"/>
    <w:rsid w:val="44A6692C"/>
    <w:rsid w:val="44B96F41"/>
    <w:rsid w:val="44BC13CA"/>
    <w:rsid w:val="44C279DB"/>
    <w:rsid w:val="44C864ED"/>
    <w:rsid w:val="44CB7C28"/>
    <w:rsid w:val="44CE5225"/>
    <w:rsid w:val="44DA48E1"/>
    <w:rsid w:val="44E0741E"/>
    <w:rsid w:val="44E12395"/>
    <w:rsid w:val="44E12C67"/>
    <w:rsid w:val="44E43A96"/>
    <w:rsid w:val="44F71CAB"/>
    <w:rsid w:val="44F849EB"/>
    <w:rsid w:val="44FA7F6C"/>
    <w:rsid w:val="450655CE"/>
    <w:rsid w:val="451F2606"/>
    <w:rsid w:val="452024CC"/>
    <w:rsid w:val="45322A65"/>
    <w:rsid w:val="453249D4"/>
    <w:rsid w:val="45326349"/>
    <w:rsid w:val="4533751C"/>
    <w:rsid w:val="45344173"/>
    <w:rsid w:val="453A240C"/>
    <w:rsid w:val="45492563"/>
    <w:rsid w:val="455060CB"/>
    <w:rsid w:val="455A18F9"/>
    <w:rsid w:val="455E2B9B"/>
    <w:rsid w:val="456B4CAB"/>
    <w:rsid w:val="457775CD"/>
    <w:rsid w:val="457D2D72"/>
    <w:rsid w:val="45815103"/>
    <w:rsid w:val="458200CA"/>
    <w:rsid w:val="45830026"/>
    <w:rsid w:val="45850C7F"/>
    <w:rsid w:val="45875628"/>
    <w:rsid w:val="4589627C"/>
    <w:rsid w:val="459771CC"/>
    <w:rsid w:val="459B2C0B"/>
    <w:rsid w:val="459C6665"/>
    <w:rsid w:val="45D66BC0"/>
    <w:rsid w:val="45D83A3B"/>
    <w:rsid w:val="45EF484B"/>
    <w:rsid w:val="45F464E4"/>
    <w:rsid w:val="45F650F4"/>
    <w:rsid w:val="45FC6938"/>
    <w:rsid w:val="460242BE"/>
    <w:rsid w:val="46092AA8"/>
    <w:rsid w:val="460A647C"/>
    <w:rsid w:val="461064EC"/>
    <w:rsid w:val="461E6DC7"/>
    <w:rsid w:val="46265992"/>
    <w:rsid w:val="46276FEC"/>
    <w:rsid w:val="46295A86"/>
    <w:rsid w:val="46313DFC"/>
    <w:rsid w:val="46322D1B"/>
    <w:rsid w:val="4633763E"/>
    <w:rsid w:val="463B670F"/>
    <w:rsid w:val="463D788B"/>
    <w:rsid w:val="463E6582"/>
    <w:rsid w:val="463F5966"/>
    <w:rsid w:val="464C3835"/>
    <w:rsid w:val="46511F78"/>
    <w:rsid w:val="466A35A8"/>
    <w:rsid w:val="466C2C09"/>
    <w:rsid w:val="466D18C9"/>
    <w:rsid w:val="466E55CB"/>
    <w:rsid w:val="466F5215"/>
    <w:rsid w:val="4677752E"/>
    <w:rsid w:val="468A680B"/>
    <w:rsid w:val="46942BDD"/>
    <w:rsid w:val="46997A0F"/>
    <w:rsid w:val="469A41F4"/>
    <w:rsid w:val="46A22DFE"/>
    <w:rsid w:val="46AD42EB"/>
    <w:rsid w:val="46AF63C9"/>
    <w:rsid w:val="46B924BD"/>
    <w:rsid w:val="46C6759E"/>
    <w:rsid w:val="46C93BDE"/>
    <w:rsid w:val="46D628D2"/>
    <w:rsid w:val="46D72175"/>
    <w:rsid w:val="46D94EF5"/>
    <w:rsid w:val="46DF5EE1"/>
    <w:rsid w:val="46E0274A"/>
    <w:rsid w:val="46E949CF"/>
    <w:rsid w:val="46EA50E5"/>
    <w:rsid w:val="46ED17CA"/>
    <w:rsid w:val="46ED70E5"/>
    <w:rsid w:val="46F30DF8"/>
    <w:rsid w:val="46F60EF7"/>
    <w:rsid w:val="46FC4E7A"/>
    <w:rsid w:val="46FE0DF2"/>
    <w:rsid w:val="47064824"/>
    <w:rsid w:val="4715655B"/>
    <w:rsid w:val="471A6065"/>
    <w:rsid w:val="471E650B"/>
    <w:rsid w:val="47220313"/>
    <w:rsid w:val="473A29F4"/>
    <w:rsid w:val="473E7CBD"/>
    <w:rsid w:val="474166DA"/>
    <w:rsid w:val="475048FC"/>
    <w:rsid w:val="47521ABC"/>
    <w:rsid w:val="475566EE"/>
    <w:rsid w:val="475F54A7"/>
    <w:rsid w:val="47665985"/>
    <w:rsid w:val="476C646E"/>
    <w:rsid w:val="47734D63"/>
    <w:rsid w:val="4787449B"/>
    <w:rsid w:val="478C5674"/>
    <w:rsid w:val="478F489A"/>
    <w:rsid w:val="479929B4"/>
    <w:rsid w:val="47D11A35"/>
    <w:rsid w:val="47E01B45"/>
    <w:rsid w:val="47E30453"/>
    <w:rsid w:val="47E33187"/>
    <w:rsid w:val="47EA50EA"/>
    <w:rsid w:val="47EE0388"/>
    <w:rsid w:val="47EF32E2"/>
    <w:rsid w:val="47F02B45"/>
    <w:rsid w:val="47F125C0"/>
    <w:rsid w:val="47F152F1"/>
    <w:rsid w:val="480A0D72"/>
    <w:rsid w:val="480D74BF"/>
    <w:rsid w:val="48102B5F"/>
    <w:rsid w:val="481A4CC1"/>
    <w:rsid w:val="48233BDF"/>
    <w:rsid w:val="482B2B2A"/>
    <w:rsid w:val="4837087D"/>
    <w:rsid w:val="48401A9F"/>
    <w:rsid w:val="484117FF"/>
    <w:rsid w:val="48412DC1"/>
    <w:rsid w:val="4848178C"/>
    <w:rsid w:val="48526C5D"/>
    <w:rsid w:val="48566B0A"/>
    <w:rsid w:val="48605474"/>
    <w:rsid w:val="48686A23"/>
    <w:rsid w:val="48693A1F"/>
    <w:rsid w:val="487836B0"/>
    <w:rsid w:val="4895784B"/>
    <w:rsid w:val="489B779D"/>
    <w:rsid w:val="489E3931"/>
    <w:rsid w:val="48AE4F8A"/>
    <w:rsid w:val="48B647FE"/>
    <w:rsid w:val="48BA47F1"/>
    <w:rsid w:val="48BF230B"/>
    <w:rsid w:val="48C13673"/>
    <w:rsid w:val="48D17C29"/>
    <w:rsid w:val="48D9179E"/>
    <w:rsid w:val="48E84633"/>
    <w:rsid w:val="48FA2CE0"/>
    <w:rsid w:val="49015EF3"/>
    <w:rsid w:val="49022146"/>
    <w:rsid w:val="491B3104"/>
    <w:rsid w:val="491C31BD"/>
    <w:rsid w:val="491C353F"/>
    <w:rsid w:val="49205410"/>
    <w:rsid w:val="49413D51"/>
    <w:rsid w:val="49422471"/>
    <w:rsid w:val="494A0752"/>
    <w:rsid w:val="49501C3E"/>
    <w:rsid w:val="4956453E"/>
    <w:rsid w:val="4958359E"/>
    <w:rsid w:val="496A7BE8"/>
    <w:rsid w:val="496E7C4A"/>
    <w:rsid w:val="498B7FC8"/>
    <w:rsid w:val="499D657B"/>
    <w:rsid w:val="49AD044B"/>
    <w:rsid w:val="49AE1CB6"/>
    <w:rsid w:val="49C02368"/>
    <w:rsid w:val="49CB76AA"/>
    <w:rsid w:val="49E043B7"/>
    <w:rsid w:val="49EC2012"/>
    <w:rsid w:val="49F441D4"/>
    <w:rsid w:val="49F76163"/>
    <w:rsid w:val="49FC19AA"/>
    <w:rsid w:val="4A1242F8"/>
    <w:rsid w:val="4A2514A2"/>
    <w:rsid w:val="4A270483"/>
    <w:rsid w:val="4A327813"/>
    <w:rsid w:val="4A3946E1"/>
    <w:rsid w:val="4A3C5EBF"/>
    <w:rsid w:val="4A3D4998"/>
    <w:rsid w:val="4A4E47B5"/>
    <w:rsid w:val="4A545FE8"/>
    <w:rsid w:val="4A6844C0"/>
    <w:rsid w:val="4A7660C2"/>
    <w:rsid w:val="4A836B89"/>
    <w:rsid w:val="4A8558CF"/>
    <w:rsid w:val="4A864802"/>
    <w:rsid w:val="4A921967"/>
    <w:rsid w:val="4A962913"/>
    <w:rsid w:val="4AB25537"/>
    <w:rsid w:val="4AB3280E"/>
    <w:rsid w:val="4AB813ED"/>
    <w:rsid w:val="4AB829ED"/>
    <w:rsid w:val="4ABF733C"/>
    <w:rsid w:val="4AC374FA"/>
    <w:rsid w:val="4AC91BFE"/>
    <w:rsid w:val="4ACC3D6F"/>
    <w:rsid w:val="4ACD1F2B"/>
    <w:rsid w:val="4ADA48A2"/>
    <w:rsid w:val="4AE30CC8"/>
    <w:rsid w:val="4AF872B2"/>
    <w:rsid w:val="4AFE4B63"/>
    <w:rsid w:val="4B021736"/>
    <w:rsid w:val="4B053949"/>
    <w:rsid w:val="4B055EDF"/>
    <w:rsid w:val="4B073770"/>
    <w:rsid w:val="4B19483E"/>
    <w:rsid w:val="4B2127AA"/>
    <w:rsid w:val="4B252268"/>
    <w:rsid w:val="4B2A567C"/>
    <w:rsid w:val="4B2E2CAD"/>
    <w:rsid w:val="4B3106F9"/>
    <w:rsid w:val="4B381B76"/>
    <w:rsid w:val="4B385417"/>
    <w:rsid w:val="4B3E507F"/>
    <w:rsid w:val="4B410C98"/>
    <w:rsid w:val="4B42236A"/>
    <w:rsid w:val="4B4D3CCF"/>
    <w:rsid w:val="4B4F054E"/>
    <w:rsid w:val="4B512E58"/>
    <w:rsid w:val="4B527463"/>
    <w:rsid w:val="4B5E7B32"/>
    <w:rsid w:val="4B67313E"/>
    <w:rsid w:val="4B6748DC"/>
    <w:rsid w:val="4B6E144F"/>
    <w:rsid w:val="4B715C4C"/>
    <w:rsid w:val="4B7B24A6"/>
    <w:rsid w:val="4B903743"/>
    <w:rsid w:val="4B953A82"/>
    <w:rsid w:val="4BB505AE"/>
    <w:rsid w:val="4BB527DA"/>
    <w:rsid w:val="4BB65369"/>
    <w:rsid w:val="4BC1608A"/>
    <w:rsid w:val="4BE00D28"/>
    <w:rsid w:val="4BE20D81"/>
    <w:rsid w:val="4BE664C6"/>
    <w:rsid w:val="4BE67C42"/>
    <w:rsid w:val="4BE71F4E"/>
    <w:rsid w:val="4BEE4578"/>
    <w:rsid w:val="4BEF6E6E"/>
    <w:rsid w:val="4BF22F65"/>
    <w:rsid w:val="4BF63E2D"/>
    <w:rsid w:val="4C044C2C"/>
    <w:rsid w:val="4C06363F"/>
    <w:rsid w:val="4C07051A"/>
    <w:rsid w:val="4C0B7697"/>
    <w:rsid w:val="4C144F4C"/>
    <w:rsid w:val="4C160588"/>
    <w:rsid w:val="4C177D78"/>
    <w:rsid w:val="4C20777B"/>
    <w:rsid w:val="4C2F5CCF"/>
    <w:rsid w:val="4C351C81"/>
    <w:rsid w:val="4C37503C"/>
    <w:rsid w:val="4C55470A"/>
    <w:rsid w:val="4C5C37EA"/>
    <w:rsid w:val="4C6228D2"/>
    <w:rsid w:val="4C656D4A"/>
    <w:rsid w:val="4C715667"/>
    <w:rsid w:val="4C7739DF"/>
    <w:rsid w:val="4C7A774C"/>
    <w:rsid w:val="4C7D55BE"/>
    <w:rsid w:val="4C84523F"/>
    <w:rsid w:val="4C851EC1"/>
    <w:rsid w:val="4C85482F"/>
    <w:rsid w:val="4C8643F0"/>
    <w:rsid w:val="4C87334A"/>
    <w:rsid w:val="4C8F4459"/>
    <w:rsid w:val="4C9933E0"/>
    <w:rsid w:val="4CA2784F"/>
    <w:rsid w:val="4CAE5053"/>
    <w:rsid w:val="4CB84EA3"/>
    <w:rsid w:val="4CC40FEC"/>
    <w:rsid w:val="4CCA6B5F"/>
    <w:rsid w:val="4CDF2728"/>
    <w:rsid w:val="4CE00CB3"/>
    <w:rsid w:val="4CEF3B4D"/>
    <w:rsid w:val="4CF124C7"/>
    <w:rsid w:val="4CF65970"/>
    <w:rsid w:val="4D123B70"/>
    <w:rsid w:val="4D15528A"/>
    <w:rsid w:val="4D1B720E"/>
    <w:rsid w:val="4D1F15BA"/>
    <w:rsid w:val="4D1F2C14"/>
    <w:rsid w:val="4D274890"/>
    <w:rsid w:val="4D301AFD"/>
    <w:rsid w:val="4D443941"/>
    <w:rsid w:val="4D496E1C"/>
    <w:rsid w:val="4D4A68C7"/>
    <w:rsid w:val="4D4C3372"/>
    <w:rsid w:val="4D5E2942"/>
    <w:rsid w:val="4D622F05"/>
    <w:rsid w:val="4D6E6631"/>
    <w:rsid w:val="4D764187"/>
    <w:rsid w:val="4D7B03EA"/>
    <w:rsid w:val="4D965DFD"/>
    <w:rsid w:val="4D994429"/>
    <w:rsid w:val="4D9A42F3"/>
    <w:rsid w:val="4DA15C9D"/>
    <w:rsid w:val="4DA40F67"/>
    <w:rsid w:val="4DB20613"/>
    <w:rsid w:val="4DB55676"/>
    <w:rsid w:val="4DB84C81"/>
    <w:rsid w:val="4DB87D11"/>
    <w:rsid w:val="4DBD1F22"/>
    <w:rsid w:val="4DBE7397"/>
    <w:rsid w:val="4DC44E76"/>
    <w:rsid w:val="4DC70273"/>
    <w:rsid w:val="4DCE1A09"/>
    <w:rsid w:val="4DD03AA2"/>
    <w:rsid w:val="4DE4586D"/>
    <w:rsid w:val="4DE843C2"/>
    <w:rsid w:val="4DF81178"/>
    <w:rsid w:val="4DF876B8"/>
    <w:rsid w:val="4E017561"/>
    <w:rsid w:val="4E0550A8"/>
    <w:rsid w:val="4E0D09EE"/>
    <w:rsid w:val="4E110E26"/>
    <w:rsid w:val="4E224B29"/>
    <w:rsid w:val="4E257F72"/>
    <w:rsid w:val="4E27591F"/>
    <w:rsid w:val="4E2B208D"/>
    <w:rsid w:val="4E302B8C"/>
    <w:rsid w:val="4E3732D5"/>
    <w:rsid w:val="4E3B5214"/>
    <w:rsid w:val="4E3C4A25"/>
    <w:rsid w:val="4E4F6743"/>
    <w:rsid w:val="4E557D89"/>
    <w:rsid w:val="4E5C27BC"/>
    <w:rsid w:val="4E5C7345"/>
    <w:rsid w:val="4E6D703E"/>
    <w:rsid w:val="4E6F4364"/>
    <w:rsid w:val="4E7460C0"/>
    <w:rsid w:val="4E7E2B32"/>
    <w:rsid w:val="4E8C74D7"/>
    <w:rsid w:val="4E8F078D"/>
    <w:rsid w:val="4E966DD9"/>
    <w:rsid w:val="4E980A1B"/>
    <w:rsid w:val="4E9A7A2F"/>
    <w:rsid w:val="4E9D0B91"/>
    <w:rsid w:val="4EA22D28"/>
    <w:rsid w:val="4EAC7020"/>
    <w:rsid w:val="4EBA6725"/>
    <w:rsid w:val="4EBB01C1"/>
    <w:rsid w:val="4EC768A9"/>
    <w:rsid w:val="4ED54976"/>
    <w:rsid w:val="4ED81EF1"/>
    <w:rsid w:val="4EE008E3"/>
    <w:rsid w:val="4EE25458"/>
    <w:rsid w:val="4EE82F0F"/>
    <w:rsid w:val="4F006C82"/>
    <w:rsid w:val="4F07501B"/>
    <w:rsid w:val="4F110A83"/>
    <w:rsid w:val="4F2C1614"/>
    <w:rsid w:val="4F2D7CB8"/>
    <w:rsid w:val="4F347CAA"/>
    <w:rsid w:val="4F372FB8"/>
    <w:rsid w:val="4F3B07A5"/>
    <w:rsid w:val="4F474629"/>
    <w:rsid w:val="4F4A0523"/>
    <w:rsid w:val="4F4D6CE6"/>
    <w:rsid w:val="4F500D2C"/>
    <w:rsid w:val="4F546D2B"/>
    <w:rsid w:val="4F5C1AD6"/>
    <w:rsid w:val="4F6B4815"/>
    <w:rsid w:val="4F736557"/>
    <w:rsid w:val="4F9F1B0F"/>
    <w:rsid w:val="4FA013C6"/>
    <w:rsid w:val="4FA50CDE"/>
    <w:rsid w:val="4FB46D5A"/>
    <w:rsid w:val="4FB568AB"/>
    <w:rsid w:val="4FBE7257"/>
    <w:rsid w:val="4FBF0A5B"/>
    <w:rsid w:val="4FC026A3"/>
    <w:rsid w:val="4FC66A09"/>
    <w:rsid w:val="4FC83CCE"/>
    <w:rsid w:val="4FCA1917"/>
    <w:rsid w:val="4FD67F6F"/>
    <w:rsid w:val="4FEA41F3"/>
    <w:rsid w:val="4FF57F7E"/>
    <w:rsid w:val="500A2B55"/>
    <w:rsid w:val="500A3128"/>
    <w:rsid w:val="500E2085"/>
    <w:rsid w:val="501E1013"/>
    <w:rsid w:val="50205864"/>
    <w:rsid w:val="50264099"/>
    <w:rsid w:val="502B2EF8"/>
    <w:rsid w:val="502E0F7B"/>
    <w:rsid w:val="5032122C"/>
    <w:rsid w:val="5034482A"/>
    <w:rsid w:val="503A72EF"/>
    <w:rsid w:val="503D4643"/>
    <w:rsid w:val="50424F84"/>
    <w:rsid w:val="50431206"/>
    <w:rsid w:val="504A5148"/>
    <w:rsid w:val="505605DA"/>
    <w:rsid w:val="505A5888"/>
    <w:rsid w:val="50614A00"/>
    <w:rsid w:val="5069647E"/>
    <w:rsid w:val="506C5B4E"/>
    <w:rsid w:val="506E7EA4"/>
    <w:rsid w:val="50772FE3"/>
    <w:rsid w:val="50993944"/>
    <w:rsid w:val="50B07D0B"/>
    <w:rsid w:val="50BA6942"/>
    <w:rsid w:val="50DE0A32"/>
    <w:rsid w:val="50DE364A"/>
    <w:rsid w:val="50E06A31"/>
    <w:rsid w:val="50E4359F"/>
    <w:rsid w:val="50FF00B5"/>
    <w:rsid w:val="51022E89"/>
    <w:rsid w:val="510638A5"/>
    <w:rsid w:val="51074119"/>
    <w:rsid w:val="511078FA"/>
    <w:rsid w:val="51115A95"/>
    <w:rsid w:val="5119478A"/>
    <w:rsid w:val="51214BDD"/>
    <w:rsid w:val="512F52E7"/>
    <w:rsid w:val="51367978"/>
    <w:rsid w:val="51420108"/>
    <w:rsid w:val="514D0ADB"/>
    <w:rsid w:val="515355AD"/>
    <w:rsid w:val="515A20F7"/>
    <w:rsid w:val="516203CE"/>
    <w:rsid w:val="516E262F"/>
    <w:rsid w:val="51701D29"/>
    <w:rsid w:val="51711459"/>
    <w:rsid w:val="5173592A"/>
    <w:rsid w:val="517E5293"/>
    <w:rsid w:val="5189472C"/>
    <w:rsid w:val="51915DAB"/>
    <w:rsid w:val="5194489B"/>
    <w:rsid w:val="51A71DE1"/>
    <w:rsid w:val="51A92185"/>
    <w:rsid w:val="51AE2CDD"/>
    <w:rsid w:val="51BE1836"/>
    <w:rsid w:val="51BF1B89"/>
    <w:rsid w:val="51C24F8F"/>
    <w:rsid w:val="51D66D2B"/>
    <w:rsid w:val="51DB41B0"/>
    <w:rsid w:val="51DB4385"/>
    <w:rsid w:val="51E01F18"/>
    <w:rsid w:val="51E2314B"/>
    <w:rsid w:val="51E54DEB"/>
    <w:rsid w:val="51ED229D"/>
    <w:rsid w:val="51F82524"/>
    <w:rsid w:val="51FB196C"/>
    <w:rsid w:val="52003C4D"/>
    <w:rsid w:val="52010BEB"/>
    <w:rsid w:val="520E4C5F"/>
    <w:rsid w:val="520E5072"/>
    <w:rsid w:val="521F6601"/>
    <w:rsid w:val="522418CF"/>
    <w:rsid w:val="52256D11"/>
    <w:rsid w:val="522F4887"/>
    <w:rsid w:val="52406B9F"/>
    <w:rsid w:val="524A50BB"/>
    <w:rsid w:val="52500512"/>
    <w:rsid w:val="525974A9"/>
    <w:rsid w:val="525F0065"/>
    <w:rsid w:val="52671BF3"/>
    <w:rsid w:val="526C2AB2"/>
    <w:rsid w:val="526F2170"/>
    <w:rsid w:val="52784B93"/>
    <w:rsid w:val="528539D4"/>
    <w:rsid w:val="529B56DE"/>
    <w:rsid w:val="52A348BA"/>
    <w:rsid w:val="52A75DE0"/>
    <w:rsid w:val="52AB310B"/>
    <w:rsid w:val="52AE6427"/>
    <w:rsid w:val="52BC29AE"/>
    <w:rsid w:val="52D451CF"/>
    <w:rsid w:val="52D746BD"/>
    <w:rsid w:val="52DD626F"/>
    <w:rsid w:val="52E61CBB"/>
    <w:rsid w:val="52EE2C18"/>
    <w:rsid w:val="52F54159"/>
    <w:rsid w:val="52FC2C7D"/>
    <w:rsid w:val="530E5428"/>
    <w:rsid w:val="531122FB"/>
    <w:rsid w:val="531F3833"/>
    <w:rsid w:val="532F6885"/>
    <w:rsid w:val="53366707"/>
    <w:rsid w:val="53481D05"/>
    <w:rsid w:val="534C5BD7"/>
    <w:rsid w:val="534D60B9"/>
    <w:rsid w:val="535331D1"/>
    <w:rsid w:val="53551CE7"/>
    <w:rsid w:val="535D20D8"/>
    <w:rsid w:val="535D378F"/>
    <w:rsid w:val="535E1840"/>
    <w:rsid w:val="53605BD5"/>
    <w:rsid w:val="536374FF"/>
    <w:rsid w:val="537605AC"/>
    <w:rsid w:val="537A15FA"/>
    <w:rsid w:val="53856B03"/>
    <w:rsid w:val="53B00D5E"/>
    <w:rsid w:val="53B27310"/>
    <w:rsid w:val="53B86693"/>
    <w:rsid w:val="53C76D39"/>
    <w:rsid w:val="53C77109"/>
    <w:rsid w:val="53C84BB3"/>
    <w:rsid w:val="53D12790"/>
    <w:rsid w:val="53D22D84"/>
    <w:rsid w:val="53D513A2"/>
    <w:rsid w:val="53D5190E"/>
    <w:rsid w:val="53D63466"/>
    <w:rsid w:val="53D953DC"/>
    <w:rsid w:val="53F908BF"/>
    <w:rsid w:val="54125B36"/>
    <w:rsid w:val="54283384"/>
    <w:rsid w:val="542A1F4A"/>
    <w:rsid w:val="542A7EE1"/>
    <w:rsid w:val="543251BD"/>
    <w:rsid w:val="5435664F"/>
    <w:rsid w:val="543E626F"/>
    <w:rsid w:val="544C1D37"/>
    <w:rsid w:val="544D014F"/>
    <w:rsid w:val="5466371A"/>
    <w:rsid w:val="546E2505"/>
    <w:rsid w:val="548B2B8B"/>
    <w:rsid w:val="548D618F"/>
    <w:rsid w:val="5493189D"/>
    <w:rsid w:val="54956CC7"/>
    <w:rsid w:val="54AF1AB5"/>
    <w:rsid w:val="54B350E8"/>
    <w:rsid w:val="54C810E0"/>
    <w:rsid w:val="54C84C74"/>
    <w:rsid w:val="54E32144"/>
    <w:rsid w:val="54ED1E6A"/>
    <w:rsid w:val="54EE4909"/>
    <w:rsid w:val="5500249A"/>
    <w:rsid w:val="55073EEC"/>
    <w:rsid w:val="551159C5"/>
    <w:rsid w:val="551B0178"/>
    <w:rsid w:val="551E1785"/>
    <w:rsid w:val="551F5726"/>
    <w:rsid w:val="552802F7"/>
    <w:rsid w:val="552B4BC0"/>
    <w:rsid w:val="554F0000"/>
    <w:rsid w:val="55554823"/>
    <w:rsid w:val="556D758A"/>
    <w:rsid w:val="5570518D"/>
    <w:rsid w:val="558167BB"/>
    <w:rsid w:val="558533C5"/>
    <w:rsid w:val="559A620C"/>
    <w:rsid w:val="559D6901"/>
    <w:rsid w:val="55A26E7A"/>
    <w:rsid w:val="55A55FAD"/>
    <w:rsid w:val="55B20DA6"/>
    <w:rsid w:val="55B644CB"/>
    <w:rsid w:val="55B754D3"/>
    <w:rsid w:val="55BA3DF3"/>
    <w:rsid w:val="55C261B3"/>
    <w:rsid w:val="55CA100A"/>
    <w:rsid w:val="55CC775F"/>
    <w:rsid w:val="55D01707"/>
    <w:rsid w:val="55DC23B5"/>
    <w:rsid w:val="55DC4571"/>
    <w:rsid w:val="55E500C1"/>
    <w:rsid w:val="55E73894"/>
    <w:rsid w:val="55E824CB"/>
    <w:rsid w:val="55F1213B"/>
    <w:rsid w:val="55F83EAD"/>
    <w:rsid w:val="55FA4679"/>
    <w:rsid w:val="55FF7EB2"/>
    <w:rsid w:val="560611C7"/>
    <w:rsid w:val="561D7B21"/>
    <w:rsid w:val="561E084E"/>
    <w:rsid w:val="562C2AD0"/>
    <w:rsid w:val="562E2E32"/>
    <w:rsid w:val="563A01EF"/>
    <w:rsid w:val="563C0890"/>
    <w:rsid w:val="563F6A43"/>
    <w:rsid w:val="56455C5A"/>
    <w:rsid w:val="565A68D2"/>
    <w:rsid w:val="565C3BDA"/>
    <w:rsid w:val="56633CD7"/>
    <w:rsid w:val="566540CD"/>
    <w:rsid w:val="566D6B55"/>
    <w:rsid w:val="56703BE6"/>
    <w:rsid w:val="5671670C"/>
    <w:rsid w:val="56812DA3"/>
    <w:rsid w:val="569401A2"/>
    <w:rsid w:val="56947AED"/>
    <w:rsid w:val="569567CF"/>
    <w:rsid w:val="56A2336C"/>
    <w:rsid w:val="56A6594D"/>
    <w:rsid w:val="56A8546A"/>
    <w:rsid w:val="56AE13D3"/>
    <w:rsid w:val="56B615C5"/>
    <w:rsid w:val="56B72852"/>
    <w:rsid w:val="56C14A3A"/>
    <w:rsid w:val="56C46C70"/>
    <w:rsid w:val="56CD7009"/>
    <w:rsid w:val="56D10156"/>
    <w:rsid w:val="56D82F6F"/>
    <w:rsid w:val="56DA63F7"/>
    <w:rsid w:val="56E010E0"/>
    <w:rsid w:val="56E67AEA"/>
    <w:rsid w:val="56EA477B"/>
    <w:rsid w:val="56EB30AC"/>
    <w:rsid w:val="56EE3626"/>
    <w:rsid w:val="56F02919"/>
    <w:rsid w:val="56F87460"/>
    <w:rsid w:val="570C2948"/>
    <w:rsid w:val="570D3A2F"/>
    <w:rsid w:val="570E6532"/>
    <w:rsid w:val="5710222D"/>
    <w:rsid w:val="5713358D"/>
    <w:rsid w:val="571715E8"/>
    <w:rsid w:val="571C74EA"/>
    <w:rsid w:val="572052E3"/>
    <w:rsid w:val="57244C58"/>
    <w:rsid w:val="573065CA"/>
    <w:rsid w:val="5732781D"/>
    <w:rsid w:val="574A078A"/>
    <w:rsid w:val="574A43B4"/>
    <w:rsid w:val="57527B43"/>
    <w:rsid w:val="5778447D"/>
    <w:rsid w:val="57802894"/>
    <w:rsid w:val="57816450"/>
    <w:rsid w:val="579F514B"/>
    <w:rsid w:val="57A346B8"/>
    <w:rsid w:val="57A76CC7"/>
    <w:rsid w:val="57AC6D6D"/>
    <w:rsid w:val="57AD22E8"/>
    <w:rsid w:val="57B31482"/>
    <w:rsid w:val="57BE21DA"/>
    <w:rsid w:val="57C53EE5"/>
    <w:rsid w:val="57C6385A"/>
    <w:rsid w:val="57CC3880"/>
    <w:rsid w:val="57DF65EA"/>
    <w:rsid w:val="57E27933"/>
    <w:rsid w:val="57E363BF"/>
    <w:rsid w:val="57E75E8F"/>
    <w:rsid w:val="57ED0D93"/>
    <w:rsid w:val="57F62999"/>
    <w:rsid w:val="57F920E0"/>
    <w:rsid w:val="57FB63C2"/>
    <w:rsid w:val="58020BB3"/>
    <w:rsid w:val="5810539C"/>
    <w:rsid w:val="58182349"/>
    <w:rsid w:val="581E4A76"/>
    <w:rsid w:val="58203441"/>
    <w:rsid w:val="5821338E"/>
    <w:rsid w:val="58232C2F"/>
    <w:rsid w:val="5824372A"/>
    <w:rsid w:val="582834FA"/>
    <w:rsid w:val="58333F80"/>
    <w:rsid w:val="583C15C1"/>
    <w:rsid w:val="583E791C"/>
    <w:rsid w:val="584447C9"/>
    <w:rsid w:val="584A2DCC"/>
    <w:rsid w:val="584A4D95"/>
    <w:rsid w:val="585555A6"/>
    <w:rsid w:val="58605D9D"/>
    <w:rsid w:val="5867415F"/>
    <w:rsid w:val="586B7B56"/>
    <w:rsid w:val="58724BB1"/>
    <w:rsid w:val="58770BA7"/>
    <w:rsid w:val="58804F0A"/>
    <w:rsid w:val="589468D3"/>
    <w:rsid w:val="589F3E72"/>
    <w:rsid w:val="58AF5CD3"/>
    <w:rsid w:val="58B7617A"/>
    <w:rsid w:val="58B877D9"/>
    <w:rsid w:val="58C54C8E"/>
    <w:rsid w:val="58C60028"/>
    <w:rsid w:val="58CF1197"/>
    <w:rsid w:val="58CF14E1"/>
    <w:rsid w:val="58D5183D"/>
    <w:rsid w:val="58D6504B"/>
    <w:rsid w:val="58E21034"/>
    <w:rsid w:val="58E63A28"/>
    <w:rsid w:val="58EF08B1"/>
    <w:rsid w:val="58F011F8"/>
    <w:rsid w:val="58FE732D"/>
    <w:rsid w:val="590C4F5E"/>
    <w:rsid w:val="59100DCD"/>
    <w:rsid w:val="591070DA"/>
    <w:rsid w:val="59112C22"/>
    <w:rsid w:val="59194468"/>
    <w:rsid w:val="591D6B11"/>
    <w:rsid w:val="59293A6B"/>
    <w:rsid w:val="592E5E07"/>
    <w:rsid w:val="593608DB"/>
    <w:rsid w:val="59473E05"/>
    <w:rsid w:val="594E2FD1"/>
    <w:rsid w:val="59503EAA"/>
    <w:rsid w:val="595472C0"/>
    <w:rsid w:val="5956038B"/>
    <w:rsid w:val="59562671"/>
    <w:rsid w:val="595926AD"/>
    <w:rsid w:val="596646BA"/>
    <w:rsid w:val="59793D35"/>
    <w:rsid w:val="597D6124"/>
    <w:rsid w:val="598900F2"/>
    <w:rsid w:val="598A1205"/>
    <w:rsid w:val="599A0DF8"/>
    <w:rsid w:val="599C5E9C"/>
    <w:rsid w:val="599E4814"/>
    <w:rsid w:val="59A20F79"/>
    <w:rsid w:val="59AC26C8"/>
    <w:rsid w:val="59AD579A"/>
    <w:rsid w:val="59B55AA1"/>
    <w:rsid w:val="59C03AB5"/>
    <w:rsid w:val="59CE5BD6"/>
    <w:rsid w:val="59DB3CE4"/>
    <w:rsid w:val="59E52887"/>
    <w:rsid w:val="59EB10BF"/>
    <w:rsid w:val="59EC12DA"/>
    <w:rsid w:val="59ED2D3B"/>
    <w:rsid w:val="59F159BD"/>
    <w:rsid w:val="59FD6F73"/>
    <w:rsid w:val="5A0617E0"/>
    <w:rsid w:val="5A06687B"/>
    <w:rsid w:val="5A0C7E31"/>
    <w:rsid w:val="5A0D38CF"/>
    <w:rsid w:val="5A161286"/>
    <w:rsid w:val="5A2B7D7E"/>
    <w:rsid w:val="5A3626A6"/>
    <w:rsid w:val="5A401E05"/>
    <w:rsid w:val="5A412F68"/>
    <w:rsid w:val="5A4316B5"/>
    <w:rsid w:val="5A4F0534"/>
    <w:rsid w:val="5A513780"/>
    <w:rsid w:val="5A5F7B55"/>
    <w:rsid w:val="5A603554"/>
    <w:rsid w:val="5A6244F4"/>
    <w:rsid w:val="5A635EAD"/>
    <w:rsid w:val="5A67530A"/>
    <w:rsid w:val="5A6B4C29"/>
    <w:rsid w:val="5A6E6AC4"/>
    <w:rsid w:val="5A781720"/>
    <w:rsid w:val="5A782717"/>
    <w:rsid w:val="5A9419D5"/>
    <w:rsid w:val="5A9F5E12"/>
    <w:rsid w:val="5AA15175"/>
    <w:rsid w:val="5AA26F9D"/>
    <w:rsid w:val="5AAC6474"/>
    <w:rsid w:val="5AB07A25"/>
    <w:rsid w:val="5AB40AD4"/>
    <w:rsid w:val="5AB901A9"/>
    <w:rsid w:val="5AB920A3"/>
    <w:rsid w:val="5AD07D4D"/>
    <w:rsid w:val="5AE21E0B"/>
    <w:rsid w:val="5AE564F6"/>
    <w:rsid w:val="5AF36256"/>
    <w:rsid w:val="5AF80E1A"/>
    <w:rsid w:val="5AFD3BE0"/>
    <w:rsid w:val="5AFD71E3"/>
    <w:rsid w:val="5B001AE4"/>
    <w:rsid w:val="5B05625D"/>
    <w:rsid w:val="5B076A24"/>
    <w:rsid w:val="5B122EBC"/>
    <w:rsid w:val="5B1365E8"/>
    <w:rsid w:val="5B2F7DBA"/>
    <w:rsid w:val="5B3171A9"/>
    <w:rsid w:val="5B380E22"/>
    <w:rsid w:val="5B3949F4"/>
    <w:rsid w:val="5B512F45"/>
    <w:rsid w:val="5B5D5F88"/>
    <w:rsid w:val="5B650B26"/>
    <w:rsid w:val="5B6D5211"/>
    <w:rsid w:val="5B7D7341"/>
    <w:rsid w:val="5B814B41"/>
    <w:rsid w:val="5B926654"/>
    <w:rsid w:val="5B9A156C"/>
    <w:rsid w:val="5BA12FB8"/>
    <w:rsid w:val="5BAA3AEA"/>
    <w:rsid w:val="5BC2583F"/>
    <w:rsid w:val="5BC84A5F"/>
    <w:rsid w:val="5BC97F76"/>
    <w:rsid w:val="5BD00384"/>
    <w:rsid w:val="5BDE080B"/>
    <w:rsid w:val="5BE122F1"/>
    <w:rsid w:val="5BF13600"/>
    <w:rsid w:val="5BF732BD"/>
    <w:rsid w:val="5C003C17"/>
    <w:rsid w:val="5C0A6CF2"/>
    <w:rsid w:val="5C1C74BB"/>
    <w:rsid w:val="5C1E7606"/>
    <w:rsid w:val="5C246794"/>
    <w:rsid w:val="5C253018"/>
    <w:rsid w:val="5C26497A"/>
    <w:rsid w:val="5C2921F5"/>
    <w:rsid w:val="5C302865"/>
    <w:rsid w:val="5C345859"/>
    <w:rsid w:val="5C36261C"/>
    <w:rsid w:val="5C373F84"/>
    <w:rsid w:val="5C3B37FA"/>
    <w:rsid w:val="5C450636"/>
    <w:rsid w:val="5C46765C"/>
    <w:rsid w:val="5C4A63FB"/>
    <w:rsid w:val="5C5360D8"/>
    <w:rsid w:val="5C540C1D"/>
    <w:rsid w:val="5C6A6618"/>
    <w:rsid w:val="5C6C019B"/>
    <w:rsid w:val="5C6F4661"/>
    <w:rsid w:val="5C757AA4"/>
    <w:rsid w:val="5C775DAD"/>
    <w:rsid w:val="5C97125A"/>
    <w:rsid w:val="5C9B7E96"/>
    <w:rsid w:val="5CA0417D"/>
    <w:rsid w:val="5CA443ED"/>
    <w:rsid w:val="5CA67F94"/>
    <w:rsid w:val="5CA86355"/>
    <w:rsid w:val="5CB1533B"/>
    <w:rsid w:val="5CBE6C8B"/>
    <w:rsid w:val="5CCA7D28"/>
    <w:rsid w:val="5CD57404"/>
    <w:rsid w:val="5CDE5F6B"/>
    <w:rsid w:val="5CE61131"/>
    <w:rsid w:val="5CEF1BD2"/>
    <w:rsid w:val="5D0C446D"/>
    <w:rsid w:val="5D0D198F"/>
    <w:rsid w:val="5D197E2A"/>
    <w:rsid w:val="5D1B13EF"/>
    <w:rsid w:val="5D1B3449"/>
    <w:rsid w:val="5D214DF3"/>
    <w:rsid w:val="5D22629D"/>
    <w:rsid w:val="5D2E00BC"/>
    <w:rsid w:val="5D43123A"/>
    <w:rsid w:val="5D574C1C"/>
    <w:rsid w:val="5D5C23DB"/>
    <w:rsid w:val="5D711A62"/>
    <w:rsid w:val="5D75426A"/>
    <w:rsid w:val="5D762A86"/>
    <w:rsid w:val="5D7C6764"/>
    <w:rsid w:val="5D9510A7"/>
    <w:rsid w:val="5DA1302E"/>
    <w:rsid w:val="5DB168DB"/>
    <w:rsid w:val="5DB46EC1"/>
    <w:rsid w:val="5DB870AB"/>
    <w:rsid w:val="5DBA3392"/>
    <w:rsid w:val="5DCA6A6D"/>
    <w:rsid w:val="5DFE0428"/>
    <w:rsid w:val="5E021D9B"/>
    <w:rsid w:val="5E0F6395"/>
    <w:rsid w:val="5E122D8F"/>
    <w:rsid w:val="5E1F569E"/>
    <w:rsid w:val="5E23354D"/>
    <w:rsid w:val="5E291A09"/>
    <w:rsid w:val="5E300E81"/>
    <w:rsid w:val="5E3C40E2"/>
    <w:rsid w:val="5E3F131F"/>
    <w:rsid w:val="5E40428F"/>
    <w:rsid w:val="5E4349A9"/>
    <w:rsid w:val="5E4517D6"/>
    <w:rsid w:val="5E452B59"/>
    <w:rsid w:val="5E52656D"/>
    <w:rsid w:val="5E5570E9"/>
    <w:rsid w:val="5E5D15B3"/>
    <w:rsid w:val="5E5E5FF4"/>
    <w:rsid w:val="5E6359CE"/>
    <w:rsid w:val="5E670D9A"/>
    <w:rsid w:val="5E6768AA"/>
    <w:rsid w:val="5E6E2E7A"/>
    <w:rsid w:val="5E7218DA"/>
    <w:rsid w:val="5E74149E"/>
    <w:rsid w:val="5E7C3CCF"/>
    <w:rsid w:val="5E945819"/>
    <w:rsid w:val="5E9D2509"/>
    <w:rsid w:val="5E9E1E76"/>
    <w:rsid w:val="5EA0615F"/>
    <w:rsid w:val="5EA92E51"/>
    <w:rsid w:val="5EB121EB"/>
    <w:rsid w:val="5EB43548"/>
    <w:rsid w:val="5EB8120F"/>
    <w:rsid w:val="5EC23BE6"/>
    <w:rsid w:val="5EC94DA3"/>
    <w:rsid w:val="5EDA199B"/>
    <w:rsid w:val="5EDC1202"/>
    <w:rsid w:val="5EDF1B7E"/>
    <w:rsid w:val="5EE3498D"/>
    <w:rsid w:val="5EE50D36"/>
    <w:rsid w:val="5EF90693"/>
    <w:rsid w:val="5EFA1411"/>
    <w:rsid w:val="5EFA26E0"/>
    <w:rsid w:val="5EFB2144"/>
    <w:rsid w:val="5F002FD0"/>
    <w:rsid w:val="5F0F5595"/>
    <w:rsid w:val="5F16475D"/>
    <w:rsid w:val="5F1B242F"/>
    <w:rsid w:val="5F253B92"/>
    <w:rsid w:val="5F26550E"/>
    <w:rsid w:val="5F3F45EF"/>
    <w:rsid w:val="5F4164ED"/>
    <w:rsid w:val="5F487758"/>
    <w:rsid w:val="5F4D2D3D"/>
    <w:rsid w:val="5F5105EE"/>
    <w:rsid w:val="5F682332"/>
    <w:rsid w:val="5F766AF1"/>
    <w:rsid w:val="5F7E7BF2"/>
    <w:rsid w:val="5F863D61"/>
    <w:rsid w:val="5F897B0C"/>
    <w:rsid w:val="5F8D4775"/>
    <w:rsid w:val="5F8F0AF5"/>
    <w:rsid w:val="5FA75EB9"/>
    <w:rsid w:val="5FAE2D8E"/>
    <w:rsid w:val="5FB06458"/>
    <w:rsid w:val="5FB70A27"/>
    <w:rsid w:val="5FBA5F1E"/>
    <w:rsid w:val="5FBC777A"/>
    <w:rsid w:val="5FBD4B3B"/>
    <w:rsid w:val="5FC428CB"/>
    <w:rsid w:val="5FC921DD"/>
    <w:rsid w:val="5FD07EAE"/>
    <w:rsid w:val="5FD24305"/>
    <w:rsid w:val="5FD7090D"/>
    <w:rsid w:val="5FE535C8"/>
    <w:rsid w:val="5FEA506E"/>
    <w:rsid w:val="5FEA52E5"/>
    <w:rsid w:val="5FF10EC1"/>
    <w:rsid w:val="5FF24189"/>
    <w:rsid w:val="5FFE73FA"/>
    <w:rsid w:val="600E1A99"/>
    <w:rsid w:val="60104AAA"/>
    <w:rsid w:val="6012404A"/>
    <w:rsid w:val="602047BE"/>
    <w:rsid w:val="60237532"/>
    <w:rsid w:val="602724D5"/>
    <w:rsid w:val="60276DD5"/>
    <w:rsid w:val="60287C77"/>
    <w:rsid w:val="60313780"/>
    <w:rsid w:val="60340BCE"/>
    <w:rsid w:val="6035541B"/>
    <w:rsid w:val="60380B86"/>
    <w:rsid w:val="603B091E"/>
    <w:rsid w:val="604716A9"/>
    <w:rsid w:val="605670B8"/>
    <w:rsid w:val="60605AF4"/>
    <w:rsid w:val="60701A8E"/>
    <w:rsid w:val="60764EE4"/>
    <w:rsid w:val="607E1487"/>
    <w:rsid w:val="608A0107"/>
    <w:rsid w:val="608E343B"/>
    <w:rsid w:val="60910D96"/>
    <w:rsid w:val="60923F04"/>
    <w:rsid w:val="60925E35"/>
    <w:rsid w:val="60983CFD"/>
    <w:rsid w:val="609B1B16"/>
    <w:rsid w:val="609D625D"/>
    <w:rsid w:val="60A42B7F"/>
    <w:rsid w:val="60B10A88"/>
    <w:rsid w:val="60BD53E4"/>
    <w:rsid w:val="60C6053C"/>
    <w:rsid w:val="60CC5731"/>
    <w:rsid w:val="60D8790F"/>
    <w:rsid w:val="60DF2217"/>
    <w:rsid w:val="60E26337"/>
    <w:rsid w:val="60F21285"/>
    <w:rsid w:val="60FE1D2F"/>
    <w:rsid w:val="61067879"/>
    <w:rsid w:val="610D310F"/>
    <w:rsid w:val="611A0F11"/>
    <w:rsid w:val="612348C3"/>
    <w:rsid w:val="612367CB"/>
    <w:rsid w:val="612E0A29"/>
    <w:rsid w:val="61341408"/>
    <w:rsid w:val="61342C1E"/>
    <w:rsid w:val="613515E0"/>
    <w:rsid w:val="6137055D"/>
    <w:rsid w:val="61462DD4"/>
    <w:rsid w:val="61464539"/>
    <w:rsid w:val="614A1858"/>
    <w:rsid w:val="614A784A"/>
    <w:rsid w:val="614B4DFE"/>
    <w:rsid w:val="61501540"/>
    <w:rsid w:val="616D329F"/>
    <w:rsid w:val="617F6E2C"/>
    <w:rsid w:val="61875783"/>
    <w:rsid w:val="618773DE"/>
    <w:rsid w:val="619E3573"/>
    <w:rsid w:val="61A04CAE"/>
    <w:rsid w:val="61C23ABB"/>
    <w:rsid w:val="61C928D4"/>
    <w:rsid w:val="61D2193D"/>
    <w:rsid w:val="61E77039"/>
    <w:rsid w:val="61EC7332"/>
    <w:rsid w:val="620626A0"/>
    <w:rsid w:val="620E5934"/>
    <w:rsid w:val="622B013D"/>
    <w:rsid w:val="623672B3"/>
    <w:rsid w:val="623C6384"/>
    <w:rsid w:val="62415C73"/>
    <w:rsid w:val="62454E10"/>
    <w:rsid w:val="624A08BA"/>
    <w:rsid w:val="624B0BD0"/>
    <w:rsid w:val="624D74AA"/>
    <w:rsid w:val="626306F7"/>
    <w:rsid w:val="62653221"/>
    <w:rsid w:val="62666A4F"/>
    <w:rsid w:val="626A5935"/>
    <w:rsid w:val="627C60CD"/>
    <w:rsid w:val="62824208"/>
    <w:rsid w:val="62863904"/>
    <w:rsid w:val="629F08C9"/>
    <w:rsid w:val="629F35E0"/>
    <w:rsid w:val="62A255D3"/>
    <w:rsid w:val="62A63868"/>
    <w:rsid w:val="62BC50CB"/>
    <w:rsid w:val="62D37C20"/>
    <w:rsid w:val="62E64CA9"/>
    <w:rsid w:val="62ED754E"/>
    <w:rsid w:val="62ED7C26"/>
    <w:rsid w:val="630552A8"/>
    <w:rsid w:val="630678F1"/>
    <w:rsid w:val="6307386C"/>
    <w:rsid w:val="630C4058"/>
    <w:rsid w:val="63126976"/>
    <w:rsid w:val="631F6E1C"/>
    <w:rsid w:val="6320213B"/>
    <w:rsid w:val="63213C3A"/>
    <w:rsid w:val="6323300B"/>
    <w:rsid w:val="632C143E"/>
    <w:rsid w:val="63384BB7"/>
    <w:rsid w:val="6339563F"/>
    <w:rsid w:val="633A44CD"/>
    <w:rsid w:val="634A586B"/>
    <w:rsid w:val="634D65FB"/>
    <w:rsid w:val="63554E83"/>
    <w:rsid w:val="6356188F"/>
    <w:rsid w:val="635D64C8"/>
    <w:rsid w:val="636002E8"/>
    <w:rsid w:val="63604DB8"/>
    <w:rsid w:val="637B6739"/>
    <w:rsid w:val="63820A50"/>
    <w:rsid w:val="638A3488"/>
    <w:rsid w:val="638E3469"/>
    <w:rsid w:val="639573D2"/>
    <w:rsid w:val="639C4598"/>
    <w:rsid w:val="639D4CF9"/>
    <w:rsid w:val="63B23670"/>
    <w:rsid w:val="63BD3045"/>
    <w:rsid w:val="63BE721E"/>
    <w:rsid w:val="63BF5D1B"/>
    <w:rsid w:val="63C1075C"/>
    <w:rsid w:val="63C34619"/>
    <w:rsid w:val="63C4183E"/>
    <w:rsid w:val="63D107E5"/>
    <w:rsid w:val="63DD0B90"/>
    <w:rsid w:val="63E748CE"/>
    <w:rsid w:val="63F70790"/>
    <w:rsid w:val="63F903D3"/>
    <w:rsid w:val="640E2416"/>
    <w:rsid w:val="64170156"/>
    <w:rsid w:val="641D2140"/>
    <w:rsid w:val="641D559B"/>
    <w:rsid w:val="642F1B5A"/>
    <w:rsid w:val="64326843"/>
    <w:rsid w:val="643555CA"/>
    <w:rsid w:val="64392435"/>
    <w:rsid w:val="645A0F90"/>
    <w:rsid w:val="646838C2"/>
    <w:rsid w:val="646F7339"/>
    <w:rsid w:val="64707DA1"/>
    <w:rsid w:val="64760F47"/>
    <w:rsid w:val="647C290D"/>
    <w:rsid w:val="647D634D"/>
    <w:rsid w:val="647E45E0"/>
    <w:rsid w:val="647E703A"/>
    <w:rsid w:val="64922B72"/>
    <w:rsid w:val="64992E8C"/>
    <w:rsid w:val="64A760F6"/>
    <w:rsid w:val="64A77332"/>
    <w:rsid w:val="64A83BA5"/>
    <w:rsid w:val="64B7454D"/>
    <w:rsid w:val="64BA2B11"/>
    <w:rsid w:val="64C51FF2"/>
    <w:rsid w:val="64C53862"/>
    <w:rsid w:val="64D10258"/>
    <w:rsid w:val="64D12BA5"/>
    <w:rsid w:val="64D4676F"/>
    <w:rsid w:val="64D91E21"/>
    <w:rsid w:val="64DC0786"/>
    <w:rsid w:val="64E80465"/>
    <w:rsid w:val="64F075CA"/>
    <w:rsid w:val="64F95731"/>
    <w:rsid w:val="65022111"/>
    <w:rsid w:val="651D785F"/>
    <w:rsid w:val="651E2620"/>
    <w:rsid w:val="652148D2"/>
    <w:rsid w:val="654615D2"/>
    <w:rsid w:val="65561F7A"/>
    <w:rsid w:val="65565DFD"/>
    <w:rsid w:val="65643C6E"/>
    <w:rsid w:val="65645590"/>
    <w:rsid w:val="656601A4"/>
    <w:rsid w:val="656D4E36"/>
    <w:rsid w:val="657A5F08"/>
    <w:rsid w:val="65815191"/>
    <w:rsid w:val="65840BC3"/>
    <w:rsid w:val="6585466D"/>
    <w:rsid w:val="658968D5"/>
    <w:rsid w:val="658D1EF6"/>
    <w:rsid w:val="65920B67"/>
    <w:rsid w:val="65927E66"/>
    <w:rsid w:val="659473B3"/>
    <w:rsid w:val="659B185B"/>
    <w:rsid w:val="659F71E9"/>
    <w:rsid w:val="65AB1313"/>
    <w:rsid w:val="65AF4DB9"/>
    <w:rsid w:val="65B02F3E"/>
    <w:rsid w:val="65BC38FA"/>
    <w:rsid w:val="65BF3BE2"/>
    <w:rsid w:val="65BF6384"/>
    <w:rsid w:val="65D0110A"/>
    <w:rsid w:val="65D76BA2"/>
    <w:rsid w:val="65DF50CC"/>
    <w:rsid w:val="65E815D4"/>
    <w:rsid w:val="65EA546E"/>
    <w:rsid w:val="65F259C2"/>
    <w:rsid w:val="65F9468C"/>
    <w:rsid w:val="66002F7D"/>
    <w:rsid w:val="66072233"/>
    <w:rsid w:val="66095B9B"/>
    <w:rsid w:val="660A4357"/>
    <w:rsid w:val="660E1FBB"/>
    <w:rsid w:val="660E2F5D"/>
    <w:rsid w:val="660E638D"/>
    <w:rsid w:val="66117C5F"/>
    <w:rsid w:val="66120C79"/>
    <w:rsid w:val="66140FAB"/>
    <w:rsid w:val="661F43FB"/>
    <w:rsid w:val="66232ED7"/>
    <w:rsid w:val="66255753"/>
    <w:rsid w:val="663E49E4"/>
    <w:rsid w:val="66406EC6"/>
    <w:rsid w:val="66453D1D"/>
    <w:rsid w:val="66553CD3"/>
    <w:rsid w:val="665C2B36"/>
    <w:rsid w:val="666361D2"/>
    <w:rsid w:val="666665CA"/>
    <w:rsid w:val="66670987"/>
    <w:rsid w:val="667B5615"/>
    <w:rsid w:val="667B6789"/>
    <w:rsid w:val="667F57F4"/>
    <w:rsid w:val="668D709E"/>
    <w:rsid w:val="669A6741"/>
    <w:rsid w:val="669D4A06"/>
    <w:rsid w:val="66A025BE"/>
    <w:rsid w:val="66A0311A"/>
    <w:rsid w:val="66B26CE0"/>
    <w:rsid w:val="66B76BB2"/>
    <w:rsid w:val="66BC0839"/>
    <w:rsid w:val="66C0149B"/>
    <w:rsid w:val="66C07023"/>
    <w:rsid w:val="66C3050C"/>
    <w:rsid w:val="66C33328"/>
    <w:rsid w:val="66CC1217"/>
    <w:rsid w:val="66CD3C37"/>
    <w:rsid w:val="66EE6499"/>
    <w:rsid w:val="66F126BF"/>
    <w:rsid w:val="66F1619C"/>
    <w:rsid w:val="66F263CB"/>
    <w:rsid w:val="66FB037C"/>
    <w:rsid w:val="66FE34FF"/>
    <w:rsid w:val="6707056E"/>
    <w:rsid w:val="67071F8D"/>
    <w:rsid w:val="67127037"/>
    <w:rsid w:val="671B490C"/>
    <w:rsid w:val="67224B16"/>
    <w:rsid w:val="672E15A1"/>
    <w:rsid w:val="673E3CF4"/>
    <w:rsid w:val="6740741E"/>
    <w:rsid w:val="674076D0"/>
    <w:rsid w:val="67533F58"/>
    <w:rsid w:val="67561C1A"/>
    <w:rsid w:val="67597877"/>
    <w:rsid w:val="675B502A"/>
    <w:rsid w:val="676B1A81"/>
    <w:rsid w:val="676C6D0C"/>
    <w:rsid w:val="676D020D"/>
    <w:rsid w:val="676F7407"/>
    <w:rsid w:val="67784DC3"/>
    <w:rsid w:val="677B41D2"/>
    <w:rsid w:val="677B7C9C"/>
    <w:rsid w:val="677C4E48"/>
    <w:rsid w:val="678650B7"/>
    <w:rsid w:val="67A20D94"/>
    <w:rsid w:val="67A75820"/>
    <w:rsid w:val="67AF0F79"/>
    <w:rsid w:val="67B219E3"/>
    <w:rsid w:val="67B2507C"/>
    <w:rsid w:val="67B91964"/>
    <w:rsid w:val="67BC7F07"/>
    <w:rsid w:val="67C31CD0"/>
    <w:rsid w:val="67D30302"/>
    <w:rsid w:val="67D5446A"/>
    <w:rsid w:val="67DB2518"/>
    <w:rsid w:val="680C273D"/>
    <w:rsid w:val="680E7C3B"/>
    <w:rsid w:val="68126AE8"/>
    <w:rsid w:val="68181983"/>
    <w:rsid w:val="68200047"/>
    <w:rsid w:val="682D4725"/>
    <w:rsid w:val="683847F4"/>
    <w:rsid w:val="683A6C9E"/>
    <w:rsid w:val="684357D5"/>
    <w:rsid w:val="684B36C6"/>
    <w:rsid w:val="684F22FB"/>
    <w:rsid w:val="685B7D3F"/>
    <w:rsid w:val="685F15C3"/>
    <w:rsid w:val="686A375D"/>
    <w:rsid w:val="686D1852"/>
    <w:rsid w:val="68805667"/>
    <w:rsid w:val="68977FDF"/>
    <w:rsid w:val="689B44DE"/>
    <w:rsid w:val="68A634BD"/>
    <w:rsid w:val="68A87A7F"/>
    <w:rsid w:val="68A9528E"/>
    <w:rsid w:val="68AD3297"/>
    <w:rsid w:val="68CC54B1"/>
    <w:rsid w:val="68DE35DA"/>
    <w:rsid w:val="68E7606A"/>
    <w:rsid w:val="68E76D60"/>
    <w:rsid w:val="690249EB"/>
    <w:rsid w:val="69242AF8"/>
    <w:rsid w:val="692979D8"/>
    <w:rsid w:val="69351EEF"/>
    <w:rsid w:val="69421302"/>
    <w:rsid w:val="696C3F69"/>
    <w:rsid w:val="696D3C91"/>
    <w:rsid w:val="696E5922"/>
    <w:rsid w:val="697E0165"/>
    <w:rsid w:val="697F6C73"/>
    <w:rsid w:val="698A1F63"/>
    <w:rsid w:val="698D3883"/>
    <w:rsid w:val="699B2F81"/>
    <w:rsid w:val="69A13C7E"/>
    <w:rsid w:val="69A23C15"/>
    <w:rsid w:val="69A308EF"/>
    <w:rsid w:val="69A42786"/>
    <w:rsid w:val="69B24EFF"/>
    <w:rsid w:val="69BE30D6"/>
    <w:rsid w:val="69C730DF"/>
    <w:rsid w:val="69D346F0"/>
    <w:rsid w:val="69E80860"/>
    <w:rsid w:val="69ED606C"/>
    <w:rsid w:val="69FD7279"/>
    <w:rsid w:val="6A065E9C"/>
    <w:rsid w:val="6A1C732D"/>
    <w:rsid w:val="6A2A237B"/>
    <w:rsid w:val="6A2C70D1"/>
    <w:rsid w:val="6A30205A"/>
    <w:rsid w:val="6A3379EC"/>
    <w:rsid w:val="6A42738D"/>
    <w:rsid w:val="6A513EEA"/>
    <w:rsid w:val="6A562406"/>
    <w:rsid w:val="6A5D2E71"/>
    <w:rsid w:val="6A633786"/>
    <w:rsid w:val="6A6A7B8F"/>
    <w:rsid w:val="6A7449B2"/>
    <w:rsid w:val="6A763B20"/>
    <w:rsid w:val="6A7E0B45"/>
    <w:rsid w:val="6A7F045E"/>
    <w:rsid w:val="6A7F57B9"/>
    <w:rsid w:val="6A7F69C0"/>
    <w:rsid w:val="6A871F84"/>
    <w:rsid w:val="6A8D2C26"/>
    <w:rsid w:val="6A9049FA"/>
    <w:rsid w:val="6A9A617C"/>
    <w:rsid w:val="6A9C7F41"/>
    <w:rsid w:val="6AAB42C3"/>
    <w:rsid w:val="6AAE2EA7"/>
    <w:rsid w:val="6AAE79F1"/>
    <w:rsid w:val="6AAF06E2"/>
    <w:rsid w:val="6AB86A4B"/>
    <w:rsid w:val="6AC3780F"/>
    <w:rsid w:val="6AC64B5A"/>
    <w:rsid w:val="6AC85933"/>
    <w:rsid w:val="6ACB7B5D"/>
    <w:rsid w:val="6ACF3657"/>
    <w:rsid w:val="6AD071F4"/>
    <w:rsid w:val="6AD1599A"/>
    <w:rsid w:val="6AD42E6D"/>
    <w:rsid w:val="6AE850B2"/>
    <w:rsid w:val="6AE91D5A"/>
    <w:rsid w:val="6AED5A85"/>
    <w:rsid w:val="6AF02282"/>
    <w:rsid w:val="6AFA0A14"/>
    <w:rsid w:val="6B080E2D"/>
    <w:rsid w:val="6B0B423E"/>
    <w:rsid w:val="6B120717"/>
    <w:rsid w:val="6B277418"/>
    <w:rsid w:val="6B307C0C"/>
    <w:rsid w:val="6B310C8B"/>
    <w:rsid w:val="6B317E42"/>
    <w:rsid w:val="6B3828EF"/>
    <w:rsid w:val="6B397A9B"/>
    <w:rsid w:val="6B3F6718"/>
    <w:rsid w:val="6B400C03"/>
    <w:rsid w:val="6B414B86"/>
    <w:rsid w:val="6B5224A2"/>
    <w:rsid w:val="6B603CF2"/>
    <w:rsid w:val="6B67413E"/>
    <w:rsid w:val="6B6E015A"/>
    <w:rsid w:val="6B8335EB"/>
    <w:rsid w:val="6B834072"/>
    <w:rsid w:val="6B8C6C80"/>
    <w:rsid w:val="6B9A6E4A"/>
    <w:rsid w:val="6B9C1BC6"/>
    <w:rsid w:val="6BA41B7E"/>
    <w:rsid w:val="6BB5603A"/>
    <w:rsid w:val="6BB67BDD"/>
    <w:rsid w:val="6BC7327D"/>
    <w:rsid w:val="6BC74AC3"/>
    <w:rsid w:val="6BC8055E"/>
    <w:rsid w:val="6BC926B3"/>
    <w:rsid w:val="6BCB2BF9"/>
    <w:rsid w:val="6BD832AA"/>
    <w:rsid w:val="6BE545C2"/>
    <w:rsid w:val="6BE63FDB"/>
    <w:rsid w:val="6C041C46"/>
    <w:rsid w:val="6C053E44"/>
    <w:rsid w:val="6C187802"/>
    <w:rsid w:val="6C193C00"/>
    <w:rsid w:val="6C230877"/>
    <w:rsid w:val="6C290353"/>
    <w:rsid w:val="6C2A4142"/>
    <w:rsid w:val="6C2E074A"/>
    <w:rsid w:val="6C38569E"/>
    <w:rsid w:val="6C3C16D3"/>
    <w:rsid w:val="6C576B61"/>
    <w:rsid w:val="6C5E72EB"/>
    <w:rsid w:val="6C6C60E2"/>
    <w:rsid w:val="6C754860"/>
    <w:rsid w:val="6C89214F"/>
    <w:rsid w:val="6C911116"/>
    <w:rsid w:val="6C9E758C"/>
    <w:rsid w:val="6CA26D32"/>
    <w:rsid w:val="6CAB5074"/>
    <w:rsid w:val="6CB83E1C"/>
    <w:rsid w:val="6CB862FE"/>
    <w:rsid w:val="6CBE0A70"/>
    <w:rsid w:val="6CD70D36"/>
    <w:rsid w:val="6CE556A7"/>
    <w:rsid w:val="6CF430E5"/>
    <w:rsid w:val="6CFD2570"/>
    <w:rsid w:val="6D0C1B9F"/>
    <w:rsid w:val="6D0D120B"/>
    <w:rsid w:val="6D167E01"/>
    <w:rsid w:val="6D1E3089"/>
    <w:rsid w:val="6D1E3563"/>
    <w:rsid w:val="6D1F5453"/>
    <w:rsid w:val="6D261CBB"/>
    <w:rsid w:val="6D274799"/>
    <w:rsid w:val="6D387BAB"/>
    <w:rsid w:val="6D3A206A"/>
    <w:rsid w:val="6D4227C9"/>
    <w:rsid w:val="6D455A47"/>
    <w:rsid w:val="6D49520D"/>
    <w:rsid w:val="6D4E197D"/>
    <w:rsid w:val="6D5475BB"/>
    <w:rsid w:val="6D5B073A"/>
    <w:rsid w:val="6D5E2B2F"/>
    <w:rsid w:val="6D614100"/>
    <w:rsid w:val="6D6378F9"/>
    <w:rsid w:val="6D64583F"/>
    <w:rsid w:val="6D670174"/>
    <w:rsid w:val="6D754F47"/>
    <w:rsid w:val="6D7B6662"/>
    <w:rsid w:val="6D8E0ED6"/>
    <w:rsid w:val="6D9E4DDC"/>
    <w:rsid w:val="6DA1373E"/>
    <w:rsid w:val="6DA754A0"/>
    <w:rsid w:val="6DB81371"/>
    <w:rsid w:val="6DBA744D"/>
    <w:rsid w:val="6DBC64DA"/>
    <w:rsid w:val="6DC3446E"/>
    <w:rsid w:val="6DCE1517"/>
    <w:rsid w:val="6DD50CA2"/>
    <w:rsid w:val="6DD51C60"/>
    <w:rsid w:val="6DD747A8"/>
    <w:rsid w:val="6DD866D0"/>
    <w:rsid w:val="6DDD61D3"/>
    <w:rsid w:val="6DEC4957"/>
    <w:rsid w:val="6DF458F7"/>
    <w:rsid w:val="6E0024D4"/>
    <w:rsid w:val="6E01130C"/>
    <w:rsid w:val="6E0D1AB4"/>
    <w:rsid w:val="6E1174A2"/>
    <w:rsid w:val="6E1436F5"/>
    <w:rsid w:val="6E196349"/>
    <w:rsid w:val="6E1A473E"/>
    <w:rsid w:val="6E1A5C87"/>
    <w:rsid w:val="6E1E6385"/>
    <w:rsid w:val="6E3E02B3"/>
    <w:rsid w:val="6E3F51E6"/>
    <w:rsid w:val="6E406A67"/>
    <w:rsid w:val="6E4312CD"/>
    <w:rsid w:val="6E433B5C"/>
    <w:rsid w:val="6E437A7D"/>
    <w:rsid w:val="6E517B4E"/>
    <w:rsid w:val="6E527C93"/>
    <w:rsid w:val="6E6760F8"/>
    <w:rsid w:val="6E687D3B"/>
    <w:rsid w:val="6E69608A"/>
    <w:rsid w:val="6E6F2232"/>
    <w:rsid w:val="6E7633CD"/>
    <w:rsid w:val="6E8E6186"/>
    <w:rsid w:val="6E9334FF"/>
    <w:rsid w:val="6E9B2B83"/>
    <w:rsid w:val="6EA326B1"/>
    <w:rsid w:val="6EA914A9"/>
    <w:rsid w:val="6EAF7328"/>
    <w:rsid w:val="6EB579C4"/>
    <w:rsid w:val="6EC25408"/>
    <w:rsid w:val="6ECC4FAA"/>
    <w:rsid w:val="6ECE3FDE"/>
    <w:rsid w:val="6ED017B0"/>
    <w:rsid w:val="6EEC3D59"/>
    <w:rsid w:val="6EF20E6F"/>
    <w:rsid w:val="6EF447C1"/>
    <w:rsid w:val="6EF549EE"/>
    <w:rsid w:val="6EF84907"/>
    <w:rsid w:val="6EF95E0F"/>
    <w:rsid w:val="6EFC7C9B"/>
    <w:rsid w:val="6F050B76"/>
    <w:rsid w:val="6F096252"/>
    <w:rsid w:val="6F0E0E44"/>
    <w:rsid w:val="6F280FB8"/>
    <w:rsid w:val="6F2815FB"/>
    <w:rsid w:val="6F305143"/>
    <w:rsid w:val="6F380AD9"/>
    <w:rsid w:val="6F3E3CAE"/>
    <w:rsid w:val="6F450B6B"/>
    <w:rsid w:val="6F4E701D"/>
    <w:rsid w:val="6F536D40"/>
    <w:rsid w:val="6F5E13CE"/>
    <w:rsid w:val="6F64147D"/>
    <w:rsid w:val="6F701145"/>
    <w:rsid w:val="6F722B69"/>
    <w:rsid w:val="6F783649"/>
    <w:rsid w:val="6F843DEA"/>
    <w:rsid w:val="6F8C69C2"/>
    <w:rsid w:val="6F9139C9"/>
    <w:rsid w:val="6F98321E"/>
    <w:rsid w:val="6FA13F1C"/>
    <w:rsid w:val="6FA55237"/>
    <w:rsid w:val="6FAC2CB8"/>
    <w:rsid w:val="6FB355EF"/>
    <w:rsid w:val="6FBF6ECE"/>
    <w:rsid w:val="6FC16A4D"/>
    <w:rsid w:val="6FC546A5"/>
    <w:rsid w:val="6FC75626"/>
    <w:rsid w:val="6FCD242E"/>
    <w:rsid w:val="6FE8403E"/>
    <w:rsid w:val="6FEE62D7"/>
    <w:rsid w:val="6FFE2396"/>
    <w:rsid w:val="700233CF"/>
    <w:rsid w:val="7008322D"/>
    <w:rsid w:val="700B4D0F"/>
    <w:rsid w:val="7021130B"/>
    <w:rsid w:val="702B7E17"/>
    <w:rsid w:val="703273E6"/>
    <w:rsid w:val="70362B41"/>
    <w:rsid w:val="70415CC0"/>
    <w:rsid w:val="70423D55"/>
    <w:rsid w:val="70457A46"/>
    <w:rsid w:val="704D5086"/>
    <w:rsid w:val="705C6343"/>
    <w:rsid w:val="706330D0"/>
    <w:rsid w:val="706C5AB4"/>
    <w:rsid w:val="70713DCC"/>
    <w:rsid w:val="70770840"/>
    <w:rsid w:val="708466BF"/>
    <w:rsid w:val="70904088"/>
    <w:rsid w:val="709B49BF"/>
    <w:rsid w:val="70A6526A"/>
    <w:rsid w:val="70B36316"/>
    <w:rsid w:val="70B5443C"/>
    <w:rsid w:val="70BC14F8"/>
    <w:rsid w:val="70BE4650"/>
    <w:rsid w:val="70C764ED"/>
    <w:rsid w:val="70D11950"/>
    <w:rsid w:val="70DD5DCE"/>
    <w:rsid w:val="70E26357"/>
    <w:rsid w:val="70E347E5"/>
    <w:rsid w:val="70EE6E0D"/>
    <w:rsid w:val="70F50DF8"/>
    <w:rsid w:val="70F53A3D"/>
    <w:rsid w:val="710518EC"/>
    <w:rsid w:val="71160883"/>
    <w:rsid w:val="71195834"/>
    <w:rsid w:val="711C5491"/>
    <w:rsid w:val="713155BB"/>
    <w:rsid w:val="71375F3F"/>
    <w:rsid w:val="71386E22"/>
    <w:rsid w:val="713C237C"/>
    <w:rsid w:val="7145020A"/>
    <w:rsid w:val="714E3D58"/>
    <w:rsid w:val="71556600"/>
    <w:rsid w:val="7165161E"/>
    <w:rsid w:val="71665045"/>
    <w:rsid w:val="71692464"/>
    <w:rsid w:val="717D5D7B"/>
    <w:rsid w:val="71882C43"/>
    <w:rsid w:val="71907A1A"/>
    <w:rsid w:val="7193587A"/>
    <w:rsid w:val="71935FF4"/>
    <w:rsid w:val="719447C9"/>
    <w:rsid w:val="719D6743"/>
    <w:rsid w:val="71A627A0"/>
    <w:rsid w:val="71AA7051"/>
    <w:rsid w:val="71AC1969"/>
    <w:rsid w:val="71AC46B0"/>
    <w:rsid w:val="71B817DE"/>
    <w:rsid w:val="71B969C6"/>
    <w:rsid w:val="71B97420"/>
    <w:rsid w:val="71BC08B3"/>
    <w:rsid w:val="71CD6977"/>
    <w:rsid w:val="71D447D0"/>
    <w:rsid w:val="71D75FCE"/>
    <w:rsid w:val="71E01C22"/>
    <w:rsid w:val="71EC6D97"/>
    <w:rsid w:val="720B5786"/>
    <w:rsid w:val="72271EF6"/>
    <w:rsid w:val="722731FB"/>
    <w:rsid w:val="722D0B71"/>
    <w:rsid w:val="723A73FD"/>
    <w:rsid w:val="724C5027"/>
    <w:rsid w:val="72696517"/>
    <w:rsid w:val="72724451"/>
    <w:rsid w:val="72737AF2"/>
    <w:rsid w:val="727971BE"/>
    <w:rsid w:val="727C3DDC"/>
    <w:rsid w:val="729031BA"/>
    <w:rsid w:val="72903CE0"/>
    <w:rsid w:val="729467EF"/>
    <w:rsid w:val="729900B5"/>
    <w:rsid w:val="72990C59"/>
    <w:rsid w:val="72A055E3"/>
    <w:rsid w:val="72A76462"/>
    <w:rsid w:val="72AA2D58"/>
    <w:rsid w:val="72AC167D"/>
    <w:rsid w:val="72C22F53"/>
    <w:rsid w:val="72D300BA"/>
    <w:rsid w:val="72E56C1D"/>
    <w:rsid w:val="72E61ACE"/>
    <w:rsid w:val="72EB57F4"/>
    <w:rsid w:val="72F05906"/>
    <w:rsid w:val="72FD3E44"/>
    <w:rsid w:val="72FE5FDC"/>
    <w:rsid w:val="730E55D1"/>
    <w:rsid w:val="731D0927"/>
    <w:rsid w:val="731F2E34"/>
    <w:rsid w:val="732D5948"/>
    <w:rsid w:val="733363D9"/>
    <w:rsid w:val="733C1940"/>
    <w:rsid w:val="73402D9B"/>
    <w:rsid w:val="73434D14"/>
    <w:rsid w:val="7344477C"/>
    <w:rsid w:val="73451238"/>
    <w:rsid w:val="734B2D2F"/>
    <w:rsid w:val="73564A0D"/>
    <w:rsid w:val="73592C1E"/>
    <w:rsid w:val="73637440"/>
    <w:rsid w:val="73637C8F"/>
    <w:rsid w:val="73662B9A"/>
    <w:rsid w:val="73665764"/>
    <w:rsid w:val="736F27DA"/>
    <w:rsid w:val="737675D7"/>
    <w:rsid w:val="73903B50"/>
    <w:rsid w:val="73945807"/>
    <w:rsid w:val="739A51B5"/>
    <w:rsid w:val="73A52D90"/>
    <w:rsid w:val="73A73610"/>
    <w:rsid w:val="73A93B7A"/>
    <w:rsid w:val="73B753E1"/>
    <w:rsid w:val="73BB6C2A"/>
    <w:rsid w:val="73BE22C1"/>
    <w:rsid w:val="73BE3711"/>
    <w:rsid w:val="73CF238D"/>
    <w:rsid w:val="73D517B6"/>
    <w:rsid w:val="73D81614"/>
    <w:rsid w:val="73E33789"/>
    <w:rsid w:val="73EB4C07"/>
    <w:rsid w:val="73EB6280"/>
    <w:rsid w:val="73EE3523"/>
    <w:rsid w:val="73F65711"/>
    <w:rsid w:val="73F7573E"/>
    <w:rsid w:val="74073840"/>
    <w:rsid w:val="740D5FE9"/>
    <w:rsid w:val="74111A29"/>
    <w:rsid w:val="7420130C"/>
    <w:rsid w:val="743203B5"/>
    <w:rsid w:val="743453B3"/>
    <w:rsid w:val="74433DC5"/>
    <w:rsid w:val="74561F7F"/>
    <w:rsid w:val="745A2664"/>
    <w:rsid w:val="745E732A"/>
    <w:rsid w:val="746F4195"/>
    <w:rsid w:val="74716C3C"/>
    <w:rsid w:val="74770BB9"/>
    <w:rsid w:val="74771590"/>
    <w:rsid w:val="74786E1A"/>
    <w:rsid w:val="74787F8B"/>
    <w:rsid w:val="747C074F"/>
    <w:rsid w:val="748868DF"/>
    <w:rsid w:val="74894CDE"/>
    <w:rsid w:val="74934771"/>
    <w:rsid w:val="74A02FD6"/>
    <w:rsid w:val="74A408F7"/>
    <w:rsid w:val="74A514B1"/>
    <w:rsid w:val="74A63B9A"/>
    <w:rsid w:val="74AA40F0"/>
    <w:rsid w:val="74B64BCC"/>
    <w:rsid w:val="74B76994"/>
    <w:rsid w:val="74BA64B2"/>
    <w:rsid w:val="74BC198C"/>
    <w:rsid w:val="74BE7C38"/>
    <w:rsid w:val="74C75B38"/>
    <w:rsid w:val="74C96A95"/>
    <w:rsid w:val="74CE709A"/>
    <w:rsid w:val="74F26AE2"/>
    <w:rsid w:val="74F35E7E"/>
    <w:rsid w:val="74F90DE8"/>
    <w:rsid w:val="75015D7A"/>
    <w:rsid w:val="75031C81"/>
    <w:rsid w:val="75081368"/>
    <w:rsid w:val="751E6897"/>
    <w:rsid w:val="75407DB7"/>
    <w:rsid w:val="755775AC"/>
    <w:rsid w:val="755C16F2"/>
    <w:rsid w:val="755D5406"/>
    <w:rsid w:val="756B49B3"/>
    <w:rsid w:val="75710B7F"/>
    <w:rsid w:val="757150C7"/>
    <w:rsid w:val="758F1528"/>
    <w:rsid w:val="75905003"/>
    <w:rsid w:val="759940E1"/>
    <w:rsid w:val="759E6D1A"/>
    <w:rsid w:val="75F97CFC"/>
    <w:rsid w:val="75FA6476"/>
    <w:rsid w:val="75FD3640"/>
    <w:rsid w:val="76070689"/>
    <w:rsid w:val="76282C0D"/>
    <w:rsid w:val="76361937"/>
    <w:rsid w:val="76430996"/>
    <w:rsid w:val="765217A4"/>
    <w:rsid w:val="76561D59"/>
    <w:rsid w:val="765B56A6"/>
    <w:rsid w:val="765D2FC2"/>
    <w:rsid w:val="76665E09"/>
    <w:rsid w:val="767955ED"/>
    <w:rsid w:val="76827C75"/>
    <w:rsid w:val="769A11F8"/>
    <w:rsid w:val="76A2205B"/>
    <w:rsid w:val="76A271B8"/>
    <w:rsid w:val="76B566D8"/>
    <w:rsid w:val="76B65C60"/>
    <w:rsid w:val="76B70B60"/>
    <w:rsid w:val="76BE0491"/>
    <w:rsid w:val="76C84E84"/>
    <w:rsid w:val="76CB5700"/>
    <w:rsid w:val="76D063FB"/>
    <w:rsid w:val="76D20713"/>
    <w:rsid w:val="76D26913"/>
    <w:rsid w:val="76D41AF4"/>
    <w:rsid w:val="76E94BA1"/>
    <w:rsid w:val="76F367F7"/>
    <w:rsid w:val="76FD793B"/>
    <w:rsid w:val="77006856"/>
    <w:rsid w:val="77024064"/>
    <w:rsid w:val="77135E56"/>
    <w:rsid w:val="77174FFE"/>
    <w:rsid w:val="771D289A"/>
    <w:rsid w:val="772A1C35"/>
    <w:rsid w:val="77331D0F"/>
    <w:rsid w:val="773524F2"/>
    <w:rsid w:val="77371772"/>
    <w:rsid w:val="773F122E"/>
    <w:rsid w:val="77454A2A"/>
    <w:rsid w:val="77562589"/>
    <w:rsid w:val="77566A78"/>
    <w:rsid w:val="77585CAD"/>
    <w:rsid w:val="77635C51"/>
    <w:rsid w:val="77645827"/>
    <w:rsid w:val="777846D8"/>
    <w:rsid w:val="777849BF"/>
    <w:rsid w:val="777C3840"/>
    <w:rsid w:val="777E089F"/>
    <w:rsid w:val="777E43C4"/>
    <w:rsid w:val="77827EDF"/>
    <w:rsid w:val="77892388"/>
    <w:rsid w:val="778A521D"/>
    <w:rsid w:val="77977FC3"/>
    <w:rsid w:val="77997368"/>
    <w:rsid w:val="779A0D76"/>
    <w:rsid w:val="779E794E"/>
    <w:rsid w:val="77BA175D"/>
    <w:rsid w:val="77BA74CF"/>
    <w:rsid w:val="77BB7D96"/>
    <w:rsid w:val="77BE2C0F"/>
    <w:rsid w:val="77C4430A"/>
    <w:rsid w:val="77D5716B"/>
    <w:rsid w:val="77E42641"/>
    <w:rsid w:val="77EB17CA"/>
    <w:rsid w:val="77ED7EA9"/>
    <w:rsid w:val="77F02895"/>
    <w:rsid w:val="77F203AE"/>
    <w:rsid w:val="77FD2CEC"/>
    <w:rsid w:val="78000461"/>
    <w:rsid w:val="780326FB"/>
    <w:rsid w:val="780E39D0"/>
    <w:rsid w:val="781030B0"/>
    <w:rsid w:val="7811526E"/>
    <w:rsid w:val="781571D4"/>
    <w:rsid w:val="7817436F"/>
    <w:rsid w:val="781A704F"/>
    <w:rsid w:val="7822201E"/>
    <w:rsid w:val="782A47F9"/>
    <w:rsid w:val="7836794F"/>
    <w:rsid w:val="78376D61"/>
    <w:rsid w:val="783E2C47"/>
    <w:rsid w:val="78430E74"/>
    <w:rsid w:val="78444736"/>
    <w:rsid w:val="785104C3"/>
    <w:rsid w:val="7855679F"/>
    <w:rsid w:val="7859045F"/>
    <w:rsid w:val="785D460F"/>
    <w:rsid w:val="786618BA"/>
    <w:rsid w:val="786E2A12"/>
    <w:rsid w:val="787D3E52"/>
    <w:rsid w:val="787E2C59"/>
    <w:rsid w:val="788043C9"/>
    <w:rsid w:val="78827DF6"/>
    <w:rsid w:val="7885213F"/>
    <w:rsid w:val="78914E44"/>
    <w:rsid w:val="78916274"/>
    <w:rsid w:val="78A02130"/>
    <w:rsid w:val="78B3610E"/>
    <w:rsid w:val="78DF7A20"/>
    <w:rsid w:val="78EB08A4"/>
    <w:rsid w:val="78ED4900"/>
    <w:rsid w:val="79093EAB"/>
    <w:rsid w:val="790B6B65"/>
    <w:rsid w:val="79276150"/>
    <w:rsid w:val="79286B5A"/>
    <w:rsid w:val="792B660C"/>
    <w:rsid w:val="792C1DFF"/>
    <w:rsid w:val="793D2125"/>
    <w:rsid w:val="794651B5"/>
    <w:rsid w:val="794D31C6"/>
    <w:rsid w:val="79561C7E"/>
    <w:rsid w:val="795D6AC2"/>
    <w:rsid w:val="795E1D0E"/>
    <w:rsid w:val="795E67C5"/>
    <w:rsid w:val="796A7D39"/>
    <w:rsid w:val="796C1171"/>
    <w:rsid w:val="79835D08"/>
    <w:rsid w:val="798C798B"/>
    <w:rsid w:val="79920645"/>
    <w:rsid w:val="799406B6"/>
    <w:rsid w:val="799A3BF8"/>
    <w:rsid w:val="79A24B95"/>
    <w:rsid w:val="79A579A6"/>
    <w:rsid w:val="79A611C8"/>
    <w:rsid w:val="79BA0147"/>
    <w:rsid w:val="79C54B9F"/>
    <w:rsid w:val="79D5460E"/>
    <w:rsid w:val="79E17AC3"/>
    <w:rsid w:val="79EE0298"/>
    <w:rsid w:val="79F43135"/>
    <w:rsid w:val="79F45F9E"/>
    <w:rsid w:val="79F658C8"/>
    <w:rsid w:val="79FB3B45"/>
    <w:rsid w:val="7A030F47"/>
    <w:rsid w:val="7A08514E"/>
    <w:rsid w:val="7A161F9D"/>
    <w:rsid w:val="7A18119D"/>
    <w:rsid w:val="7A1955C4"/>
    <w:rsid w:val="7A292C27"/>
    <w:rsid w:val="7A2B3DE4"/>
    <w:rsid w:val="7A5018EA"/>
    <w:rsid w:val="7A527B3A"/>
    <w:rsid w:val="7A560222"/>
    <w:rsid w:val="7A564C8E"/>
    <w:rsid w:val="7A5966D6"/>
    <w:rsid w:val="7A5C2845"/>
    <w:rsid w:val="7A5F16D0"/>
    <w:rsid w:val="7A66217A"/>
    <w:rsid w:val="7A694288"/>
    <w:rsid w:val="7A6A2AC3"/>
    <w:rsid w:val="7A716F1C"/>
    <w:rsid w:val="7A720FFB"/>
    <w:rsid w:val="7A8E5DA2"/>
    <w:rsid w:val="7A8F1A60"/>
    <w:rsid w:val="7A904973"/>
    <w:rsid w:val="7A95001A"/>
    <w:rsid w:val="7AA35808"/>
    <w:rsid w:val="7AA64B90"/>
    <w:rsid w:val="7AA86C32"/>
    <w:rsid w:val="7ADC75FA"/>
    <w:rsid w:val="7AE729B3"/>
    <w:rsid w:val="7AEE75AF"/>
    <w:rsid w:val="7B01729D"/>
    <w:rsid w:val="7B02566F"/>
    <w:rsid w:val="7B0E1F26"/>
    <w:rsid w:val="7B1748DB"/>
    <w:rsid w:val="7B1B0E4A"/>
    <w:rsid w:val="7B1C53CE"/>
    <w:rsid w:val="7B304A15"/>
    <w:rsid w:val="7B33717A"/>
    <w:rsid w:val="7B3D1372"/>
    <w:rsid w:val="7B485B75"/>
    <w:rsid w:val="7B5036C6"/>
    <w:rsid w:val="7B5153D4"/>
    <w:rsid w:val="7B541AF1"/>
    <w:rsid w:val="7B5E41AA"/>
    <w:rsid w:val="7B6358FD"/>
    <w:rsid w:val="7B657330"/>
    <w:rsid w:val="7B6B2590"/>
    <w:rsid w:val="7B7079B8"/>
    <w:rsid w:val="7B721A6D"/>
    <w:rsid w:val="7B734165"/>
    <w:rsid w:val="7B747A44"/>
    <w:rsid w:val="7B7D7ED7"/>
    <w:rsid w:val="7B8045EF"/>
    <w:rsid w:val="7B915DC7"/>
    <w:rsid w:val="7BA34DCB"/>
    <w:rsid w:val="7BA812BE"/>
    <w:rsid w:val="7BAA2B2D"/>
    <w:rsid w:val="7BB14E2F"/>
    <w:rsid w:val="7BB279E4"/>
    <w:rsid w:val="7BC65C2B"/>
    <w:rsid w:val="7BC75D9C"/>
    <w:rsid w:val="7BDE70C3"/>
    <w:rsid w:val="7BE130B9"/>
    <w:rsid w:val="7BED2C5E"/>
    <w:rsid w:val="7BFA271F"/>
    <w:rsid w:val="7BFE24C5"/>
    <w:rsid w:val="7C11680E"/>
    <w:rsid w:val="7C171ECC"/>
    <w:rsid w:val="7C1742A4"/>
    <w:rsid w:val="7C242985"/>
    <w:rsid w:val="7C2D3372"/>
    <w:rsid w:val="7C3A497B"/>
    <w:rsid w:val="7C4073E3"/>
    <w:rsid w:val="7C491555"/>
    <w:rsid w:val="7C497537"/>
    <w:rsid w:val="7C554018"/>
    <w:rsid w:val="7C565CFC"/>
    <w:rsid w:val="7C577C1A"/>
    <w:rsid w:val="7C5E577B"/>
    <w:rsid w:val="7C666835"/>
    <w:rsid w:val="7C751FEC"/>
    <w:rsid w:val="7C814C94"/>
    <w:rsid w:val="7C873410"/>
    <w:rsid w:val="7C945C01"/>
    <w:rsid w:val="7CA677BE"/>
    <w:rsid w:val="7CB403D0"/>
    <w:rsid w:val="7CBA5DF7"/>
    <w:rsid w:val="7CBD7CE3"/>
    <w:rsid w:val="7CBE359A"/>
    <w:rsid w:val="7CBF096F"/>
    <w:rsid w:val="7CC47D4E"/>
    <w:rsid w:val="7CD22B75"/>
    <w:rsid w:val="7CD37BF1"/>
    <w:rsid w:val="7CD650E2"/>
    <w:rsid w:val="7CDE2AFC"/>
    <w:rsid w:val="7CE34A45"/>
    <w:rsid w:val="7CE43BE1"/>
    <w:rsid w:val="7CF74FFF"/>
    <w:rsid w:val="7CF820F4"/>
    <w:rsid w:val="7CFC1F84"/>
    <w:rsid w:val="7CFC3338"/>
    <w:rsid w:val="7CFD6A88"/>
    <w:rsid w:val="7D0F79FA"/>
    <w:rsid w:val="7D163D2C"/>
    <w:rsid w:val="7D1917CA"/>
    <w:rsid w:val="7D1F16F2"/>
    <w:rsid w:val="7D25693B"/>
    <w:rsid w:val="7D376720"/>
    <w:rsid w:val="7D483033"/>
    <w:rsid w:val="7D4E379C"/>
    <w:rsid w:val="7D6361C8"/>
    <w:rsid w:val="7D642F3E"/>
    <w:rsid w:val="7D6C7DBA"/>
    <w:rsid w:val="7D6D6001"/>
    <w:rsid w:val="7D6E37A3"/>
    <w:rsid w:val="7D765562"/>
    <w:rsid w:val="7D7B3801"/>
    <w:rsid w:val="7D8F29F4"/>
    <w:rsid w:val="7D9C0E73"/>
    <w:rsid w:val="7DA4173E"/>
    <w:rsid w:val="7DA62E82"/>
    <w:rsid w:val="7DAE7C1F"/>
    <w:rsid w:val="7DAF1E97"/>
    <w:rsid w:val="7DAF5861"/>
    <w:rsid w:val="7DC120F7"/>
    <w:rsid w:val="7DC15411"/>
    <w:rsid w:val="7DC17F8F"/>
    <w:rsid w:val="7DCA500E"/>
    <w:rsid w:val="7DE35235"/>
    <w:rsid w:val="7DEA47E9"/>
    <w:rsid w:val="7DEF784C"/>
    <w:rsid w:val="7DF65A34"/>
    <w:rsid w:val="7DFC51BD"/>
    <w:rsid w:val="7E027BAF"/>
    <w:rsid w:val="7E102F0D"/>
    <w:rsid w:val="7E1E5952"/>
    <w:rsid w:val="7E202C3C"/>
    <w:rsid w:val="7E273521"/>
    <w:rsid w:val="7E284A36"/>
    <w:rsid w:val="7E4841D7"/>
    <w:rsid w:val="7E486D2F"/>
    <w:rsid w:val="7E4F09B9"/>
    <w:rsid w:val="7E5D7709"/>
    <w:rsid w:val="7E5F392B"/>
    <w:rsid w:val="7E6164CB"/>
    <w:rsid w:val="7E633BE8"/>
    <w:rsid w:val="7E694BE6"/>
    <w:rsid w:val="7E762339"/>
    <w:rsid w:val="7E776F54"/>
    <w:rsid w:val="7E7B49E2"/>
    <w:rsid w:val="7E7B6765"/>
    <w:rsid w:val="7E7C0657"/>
    <w:rsid w:val="7E830983"/>
    <w:rsid w:val="7E8935C3"/>
    <w:rsid w:val="7E9B51A5"/>
    <w:rsid w:val="7E9D1230"/>
    <w:rsid w:val="7EAE1213"/>
    <w:rsid w:val="7EC57B84"/>
    <w:rsid w:val="7ED611ED"/>
    <w:rsid w:val="7EDE20CC"/>
    <w:rsid w:val="7EE2570C"/>
    <w:rsid w:val="7EEA4CFB"/>
    <w:rsid w:val="7EED42B3"/>
    <w:rsid w:val="7EF4459D"/>
    <w:rsid w:val="7EF70113"/>
    <w:rsid w:val="7F0425D2"/>
    <w:rsid w:val="7F1B736E"/>
    <w:rsid w:val="7F256F94"/>
    <w:rsid w:val="7F2B7A6B"/>
    <w:rsid w:val="7F32094F"/>
    <w:rsid w:val="7F365EB8"/>
    <w:rsid w:val="7F3F7B3A"/>
    <w:rsid w:val="7F4933A5"/>
    <w:rsid w:val="7F5B4A15"/>
    <w:rsid w:val="7F5C7C93"/>
    <w:rsid w:val="7F6130AF"/>
    <w:rsid w:val="7F6249B7"/>
    <w:rsid w:val="7F633B49"/>
    <w:rsid w:val="7F6E71B0"/>
    <w:rsid w:val="7F7E0D53"/>
    <w:rsid w:val="7F840562"/>
    <w:rsid w:val="7F930A94"/>
    <w:rsid w:val="7F94593C"/>
    <w:rsid w:val="7F9605CF"/>
    <w:rsid w:val="7F967847"/>
    <w:rsid w:val="7FA53B1B"/>
    <w:rsid w:val="7FAD7E5F"/>
    <w:rsid w:val="7FB16D7D"/>
    <w:rsid w:val="7FB364CC"/>
    <w:rsid w:val="7FB61F4F"/>
    <w:rsid w:val="7FB65A15"/>
    <w:rsid w:val="7FB96362"/>
    <w:rsid w:val="7FC412C9"/>
    <w:rsid w:val="7FCE69A3"/>
    <w:rsid w:val="7FDE0FA6"/>
    <w:rsid w:val="7FE1741B"/>
    <w:rsid w:val="7FFD25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dashstyle="dash"/>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nhideWhenUsed="0" w:uiPriority="0" w:semiHidden="0" w:name="heading 6"/>
    <w:lsdException w:qFormat="1" w:uiPriority="0" w:name="heading 7"/>
    <w:lsdException w:qFormat="1" w:uiPriority="0" w:name="heading 8"/>
    <w:lsdException w:qFormat="1" w:uiPriority="0" w:name="heading 9"/>
    <w:lsdException w:qFormat="1" w:unhideWhenUsed="0" w:uiPriority="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iPriority="99"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11"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643" w:firstLineChars="200"/>
      <w:jc w:val="both"/>
    </w:pPr>
    <w:rPr>
      <w:rFonts w:ascii="Times New Roman" w:hAnsi="Times New Roman" w:eastAsia="仿宋" w:cs="Times New Roman"/>
      <w:kern w:val="2"/>
      <w:sz w:val="28"/>
      <w:szCs w:val="24"/>
      <w:lang w:val="en-US" w:eastAsia="zh-CN" w:bidi="ar-SA"/>
    </w:rPr>
  </w:style>
  <w:style w:type="paragraph" w:styleId="3">
    <w:name w:val="heading 1"/>
    <w:basedOn w:val="1"/>
    <w:next w:val="1"/>
    <w:link w:val="132"/>
    <w:qFormat/>
    <w:uiPriority w:val="0"/>
    <w:pPr>
      <w:keepNext/>
      <w:keepLines/>
      <w:ind w:firstLine="0" w:firstLineChars="0"/>
      <w:outlineLvl w:val="0"/>
    </w:pPr>
    <w:rPr>
      <w:b/>
      <w:kern w:val="44"/>
      <w:sz w:val="30"/>
    </w:rPr>
  </w:style>
  <w:style w:type="paragraph" w:styleId="4">
    <w:name w:val="heading 2"/>
    <w:basedOn w:val="1"/>
    <w:next w:val="1"/>
    <w:link w:val="138"/>
    <w:qFormat/>
    <w:uiPriority w:val="0"/>
    <w:pPr>
      <w:keepNext/>
      <w:keepLines/>
      <w:ind w:firstLine="0" w:firstLineChars="0"/>
      <w:outlineLvl w:val="1"/>
    </w:pPr>
    <w:rPr>
      <w:b/>
    </w:rPr>
  </w:style>
  <w:style w:type="paragraph" w:styleId="5">
    <w:name w:val="heading 3"/>
    <w:basedOn w:val="1"/>
    <w:next w:val="1"/>
    <w:qFormat/>
    <w:uiPriority w:val="0"/>
    <w:pPr>
      <w:keepNext/>
      <w:keepLines/>
      <w:outlineLvl w:val="2"/>
    </w:pPr>
    <w:rPr>
      <w:b/>
      <w:bCs/>
      <w:szCs w:val="32"/>
    </w:rPr>
  </w:style>
  <w:style w:type="paragraph" w:styleId="6">
    <w:name w:val="heading 4"/>
    <w:basedOn w:val="1"/>
    <w:next w:val="1"/>
    <w:qFormat/>
    <w:uiPriority w:val="0"/>
    <w:pPr>
      <w:keepNext/>
      <w:keepLines/>
      <w:outlineLvl w:val="3"/>
    </w:pPr>
    <w:rPr>
      <w:b/>
    </w:rPr>
  </w:style>
  <w:style w:type="paragraph" w:styleId="7">
    <w:name w:val="heading 6"/>
    <w:basedOn w:val="1"/>
    <w:next w:val="1"/>
    <w:qFormat/>
    <w:uiPriority w:val="0"/>
    <w:pPr>
      <w:keepNext/>
      <w:keepLines/>
      <w:autoSpaceDE w:val="0"/>
      <w:autoSpaceDN w:val="0"/>
      <w:spacing w:before="240" w:after="64" w:line="320" w:lineRule="atLeast"/>
      <w:ind w:firstLine="0" w:firstLineChars="0"/>
      <w:outlineLvl w:val="5"/>
    </w:pPr>
    <w:rPr>
      <w:rFonts w:ascii="Arial" w:hAnsi="Arial" w:eastAsia="黑体"/>
      <w:b/>
      <w:bCs/>
      <w:color w:val="000000"/>
      <w:kern w:val="0"/>
      <w:sz w:val="24"/>
      <w:lang w:val="zh-CN"/>
    </w:rPr>
  </w:style>
  <w:style w:type="character" w:default="1" w:styleId="42">
    <w:name w:val="Default Paragraph Font"/>
    <w:semiHidden/>
    <w:unhideWhenUsed/>
    <w:uiPriority w:val="1"/>
  </w:style>
  <w:style w:type="table" w:default="1" w:styleId="40">
    <w:name w:val="Normal Table"/>
    <w:semiHidden/>
    <w:unhideWhenUsed/>
    <w:qFormat/>
    <w:uiPriority w:val="99"/>
    <w:tblPr>
      <w:tblCellMar>
        <w:top w:w="0" w:type="dxa"/>
        <w:left w:w="108" w:type="dxa"/>
        <w:bottom w:w="0" w:type="dxa"/>
        <w:right w:w="108" w:type="dxa"/>
      </w:tblCellMar>
    </w:tblPr>
  </w:style>
  <w:style w:type="paragraph" w:customStyle="1" w:styleId="2">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8">
    <w:name w:val="toc 7"/>
    <w:basedOn w:val="1"/>
    <w:next w:val="1"/>
    <w:unhideWhenUsed/>
    <w:qFormat/>
    <w:uiPriority w:val="39"/>
    <w:pPr>
      <w:ind w:left="1440"/>
      <w:jc w:val="left"/>
    </w:pPr>
    <w:rPr>
      <w:rFonts w:ascii="Calibri" w:hAnsi="Calibri" w:cs="Calibri"/>
      <w:sz w:val="18"/>
      <w:szCs w:val="18"/>
    </w:rPr>
  </w:style>
  <w:style w:type="paragraph" w:styleId="9">
    <w:name w:val="List Number"/>
    <w:basedOn w:val="1"/>
    <w:next w:val="1"/>
    <w:qFormat/>
    <w:uiPriority w:val="0"/>
    <w:pPr>
      <w:numPr>
        <w:ilvl w:val="0"/>
        <w:numId w:val="1"/>
      </w:numPr>
      <w:spacing w:line="240" w:lineRule="auto"/>
    </w:pPr>
    <w:rPr>
      <w:sz w:val="21"/>
      <w:szCs w:val="21"/>
    </w:rPr>
  </w:style>
  <w:style w:type="paragraph" w:styleId="10">
    <w:name w:val="Normal Indent"/>
    <w:basedOn w:val="1"/>
    <w:link w:val="142"/>
    <w:qFormat/>
    <w:uiPriority w:val="0"/>
    <w:pPr>
      <w:ind w:firstLine="420"/>
    </w:pPr>
    <w:rPr>
      <w:rFonts w:hint="eastAsia" w:ascii="宋体" w:hAnsi="宋体"/>
      <w:szCs w:val="26"/>
    </w:rPr>
  </w:style>
  <w:style w:type="paragraph" w:styleId="11">
    <w:name w:val="Document Map"/>
    <w:basedOn w:val="1"/>
    <w:qFormat/>
    <w:uiPriority w:val="0"/>
    <w:pPr>
      <w:shd w:val="clear" w:color="auto" w:fill="000080"/>
    </w:pPr>
  </w:style>
  <w:style w:type="paragraph" w:styleId="12">
    <w:name w:val="toa heading"/>
    <w:basedOn w:val="1"/>
    <w:next w:val="1"/>
    <w:unhideWhenUsed/>
    <w:qFormat/>
    <w:uiPriority w:val="99"/>
    <w:pPr>
      <w:spacing w:before="120"/>
    </w:pPr>
    <w:rPr>
      <w:rFonts w:ascii="Arial" w:hAnsi="Arial"/>
      <w:sz w:val="24"/>
    </w:rPr>
  </w:style>
  <w:style w:type="paragraph" w:styleId="13">
    <w:name w:val="annotation text"/>
    <w:basedOn w:val="1"/>
    <w:link w:val="147"/>
    <w:qFormat/>
    <w:uiPriority w:val="0"/>
  </w:style>
  <w:style w:type="paragraph" w:styleId="14">
    <w:name w:val="Body Text"/>
    <w:basedOn w:val="1"/>
    <w:link w:val="127"/>
    <w:qFormat/>
    <w:uiPriority w:val="0"/>
    <w:pPr>
      <w:spacing w:after="120"/>
    </w:pPr>
    <w:rPr>
      <w:rFonts w:hint="eastAsia" w:ascii="宋体" w:hAnsi="宋体"/>
      <w:kern w:val="0"/>
      <w:szCs w:val="28"/>
      <w:lang w:eastAsia="en-US"/>
    </w:rPr>
  </w:style>
  <w:style w:type="paragraph" w:styleId="15">
    <w:name w:val="Body Text Indent"/>
    <w:basedOn w:val="1"/>
    <w:link w:val="139"/>
    <w:qFormat/>
    <w:uiPriority w:val="0"/>
    <w:pPr>
      <w:spacing w:after="120"/>
      <w:ind w:left="420" w:leftChars="200" w:firstLine="0" w:firstLineChars="0"/>
    </w:pPr>
    <w:rPr>
      <w:sz w:val="21"/>
      <w:szCs w:val="20"/>
    </w:rPr>
  </w:style>
  <w:style w:type="paragraph" w:styleId="16">
    <w:name w:val="List 2"/>
    <w:basedOn w:val="1"/>
    <w:qFormat/>
    <w:uiPriority w:val="0"/>
    <w:pPr>
      <w:ind w:left="100" w:leftChars="200" w:hanging="200" w:hangingChars="200"/>
      <w:contextualSpacing/>
    </w:pPr>
  </w:style>
  <w:style w:type="paragraph" w:styleId="17">
    <w:name w:val="toc 5"/>
    <w:basedOn w:val="1"/>
    <w:next w:val="1"/>
    <w:unhideWhenUsed/>
    <w:qFormat/>
    <w:uiPriority w:val="39"/>
    <w:pPr>
      <w:ind w:left="960"/>
      <w:jc w:val="left"/>
    </w:pPr>
    <w:rPr>
      <w:rFonts w:ascii="Calibri" w:hAnsi="Calibri" w:cs="Calibri"/>
      <w:sz w:val="18"/>
      <w:szCs w:val="18"/>
    </w:rPr>
  </w:style>
  <w:style w:type="paragraph" w:styleId="18">
    <w:name w:val="toc 3"/>
    <w:basedOn w:val="1"/>
    <w:next w:val="1"/>
    <w:qFormat/>
    <w:uiPriority w:val="39"/>
    <w:pPr>
      <w:ind w:left="510"/>
      <w:jc w:val="left"/>
    </w:pPr>
    <w:rPr>
      <w:rFonts w:cs="Calibri"/>
      <w:iCs/>
      <w:szCs w:val="20"/>
    </w:rPr>
  </w:style>
  <w:style w:type="paragraph" w:styleId="19">
    <w:name w:val="Plain Text"/>
    <w:basedOn w:val="1"/>
    <w:link w:val="134"/>
    <w:qFormat/>
    <w:uiPriority w:val="0"/>
    <w:rPr>
      <w:rFonts w:ascii="宋体" w:hAnsi="Courier New"/>
      <w:sz w:val="21"/>
      <w:szCs w:val="21"/>
    </w:rPr>
  </w:style>
  <w:style w:type="paragraph" w:styleId="20">
    <w:name w:val="toc 8"/>
    <w:basedOn w:val="1"/>
    <w:next w:val="1"/>
    <w:unhideWhenUsed/>
    <w:qFormat/>
    <w:uiPriority w:val="39"/>
    <w:pPr>
      <w:ind w:left="1680"/>
      <w:jc w:val="left"/>
    </w:pPr>
    <w:rPr>
      <w:rFonts w:ascii="Calibri" w:hAnsi="Calibri" w:cs="Calibri"/>
      <w:sz w:val="18"/>
      <w:szCs w:val="18"/>
    </w:rPr>
  </w:style>
  <w:style w:type="paragraph" w:styleId="21">
    <w:name w:val="Date"/>
    <w:basedOn w:val="1"/>
    <w:next w:val="1"/>
    <w:qFormat/>
    <w:uiPriority w:val="0"/>
    <w:pPr>
      <w:ind w:left="100" w:leftChars="2500"/>
    </w:pPr>
  </w:style>
  <w:style w:type="paragraph" w:styleId="22">
    <w:name w:val="Balloon Text"/>
    <w:basedOn w:val="1"/>
    <w:qFormat/>
    <w:uiPriority w:val="0"/>
    <w:rPr>
      <w:sz w:val="18"/>
      <w:szCs w:val="18"/>
    </w:rPr>
  </w:style>
  <w:style w:type="paragraph" w:styleId="23">
    <w:name w:val="footer"/>
    <w:basedOn w:val="1"/>
    <w:link w:val="149"/>
    <w:qFormat/>
    <w:uiPriority w:val="99"/>
    <w:pPr>
      <w:tabs>
        <w:tab w:val="center" w:pos="4153"/>
        <w:tab w:val="right" w:pos="8306"/>
      </w:tabs>
    </w:pPr>
    <w:rPr>
      <w:sz w:val="18"/>
      <w:szCs w:val="18"/>
    </w:rPr>
  </w:style>
  <w:style w:type="paragraph" w:styleId="24">
    <w:name w:val="header"/>
    <w:basedOn w:val="1"/>
    <w:link w:val="136"/>
    <w:qFormat/>
    <w:uiPriority w:val="99"/>
    <w:pPr>
      <w:pBdr>
        <w:bottom w:val="single" w:color="auto" w:sz="6" w:space="1"/>
      </w:pBdr>
      <w:tabs>
        <w:tab w:val="center" w:pos="4153"/>
        <w:tab w:val="right" w:pos="8306"/>
      </w:tabs>
      <w:jc w:val="center"/>
    </w:pPr>
    <w:rPr>
      <w:rFonts w:eastAsia="仿宋_GB2312"/>
      <w:sz w:val="18"/>
      <w:szCs w:val="18"/>
    </w:rPr>
  </w:style>
  <w:style w:type="paragraph" w:styleId="25">
    <w:name w:val="toc 1"/>
    <w:basedOn w:val="1"/>
    <w:next w:val="1"/>
    <w:qFormat/>
    <w:uiPriority w:val="39"/>
    <w:pPr>
      <w:jc w:val="left"/>
    </w:pPr>
    <w:rPr>
      <w:rFonts w:cs="Calibri"/>
      <w:b/>
      <w:bCs/>
      <w:caps/>
      <w:szCs w:val="20"/>
    </w:rPr>
  </w:style>
  <w:style w:type="paragraph" w:styleId="26">
    <w:name w:val="toc 4"/>
    <w:basedOn w:val="1"/>
    <w:next w:val="1"/>
    <w:unhideWhenUsed/>
    <w:qFormat/>
    <w:uiPriority w:val="39"/>
    <w:pPr>
      <w:ind w:left="720"/>
      <w:jc w:val="left"/>
    </w:pPr>
    <w:rPr>
      <w:rFonts w:ascii="Calibri" w:hAnsi="Calibri" w:cs="Calibri"/>
      <w:sz w:val="18"/>
      <w:szCs w:val="18"/>
    </w:rPr>
  </w:style>
  <w:style w:type="paragraph" w:styleId="27">
    <w:name w:val="index heading"/>
    <w:basedOn w:val="1"/>
    <w:next w:val="28"/>
    <w:semiHidden/>
    <w:qFormat/>
    <w:uiPriority w:val="0"/>
    <w:pPr>
      <w:ind w:firstLine="0" w:firstLineChars="0"/>
    </w:pPr>
    <w:rPr>
      <w:rFonts w:ascii="Arial" w:hAnsi="Arial" w:eastAsia="宋体" w:cs="Arial"/>
      <w:b/>
      <w:bCs/>
      <w:sz w:val="24"/>
    </w:rPr>
  </w:style>
  <w:style w:type="paragraph" w:styleId="28">
    <w:name w:val="index 1"/>
    <w:basedOn w:val="1"/>
    <w:next w:val="1"/>
    <w:semiHidden/>
    <w:qFormat/>
    <w:uiPriority w:val="0"/>
    <w:pPr>
      <w:ind w:firstLine="0"/>
    </w:pPr>
  </w:style>
  <w:style w:type="paragraph" w:styleId="29">
    <w:name w:val="Subtitle"/>
    <w:basedOn w:val="1"/>
    <w:next w:val="1"/>
    <w:link w:val="145"/>
    <w:qFormat/>
    <w:uiPriority w:val="11"/>
    <w:pPr>
      <w:spacing w:line="240" w:lineRule="auto"/>
      <w:jc w:val="center"/>
    </w:pPr>
    <w:rPr>
      <w:bCs/>
      <w:kern w:val="28"/>
      <w:sz w:val="21"/>
      <w:szCs w:val="32"/>
    </w:rPr>
  </w:style>
  <w:style w:type="paragraph" w:styleId="30">
    <w:name w:val="List"/>
    <w:basedOn w:val="1"/>
    <w:qFormat/>
    <w:uiPriority w:val="0"/>
    <w:pPr>
      <w:spacing w:line="240" w:lineRule="auto"/>
      <w:ind w:left="420" w:hanging="420"/>
    </w:pPr>
    <w:rPr>
      <w:sz w:val="21"/>
      <w:szCs w:val="21"/>
    </w:rPr>
  </w:style>
  <w:style w:type="paragraph" w:styleId="31">
    <w:name w:val="toc 6"/>
    <w:basedOn w:val="1"/>
    <w:next w:val="1"/>
    <w:unhideWhenUsed/>
    <w:qFormat/>
    <w:uiPriority w:val="39"/>
    <w:pPr>
      <w:ind w:left="1200"/>
      <w:jc w:val="left"/>
    </w:pPr>
    <w:rPr>
      <w:rFonts w:ascii="Calibri" w:hAnsi="Calibri" w:cs="Calibri"/>
      <w:sz w:val="18"/>
      <w:szCs w:val="18"/>
    </w:rPr>
  </w:style>
  <w:style w:type="paragraph" w:styleId="32">
    <w:name w:val="Body Text Indent 3"/>
    <w:basedOn w:val="1"/>
    <w:qFormat/>
    <w:uiPriority w:val="0"/>
    <w:pPr>
      <w:spacing w:line="500" w:lineRule="exact"/>
      <w:ind w:firstLine="538" w:firstLineChars="192"/>
    </w:pPr>
    <w:rPr>
      <w:rFonts w:ascii="仿宋_GB2312"/>
      <w:szCs w:val="20"/>
    </w:rPr>
  </w:style>
  <w:style w:type="paragraph" w:styleId="33">
    <w:name w:val="toc 2"/>
    <w:basedOn w:val="1"/>
    <w:next w:val="1"/>
    <w:qFormat/>
    <w:uiPriority w:val="39"/>
    <w:pPr>
      <w:ind w:left="238"/>
      <w:jc w:val="left"/>
    </w:pPr>
    <w:rPr>
      <w:rFonts w:cs="Calibri"/>
      <w:smallCaps/>
      <w:szCs w:val="20"/>
    </w:rPr>
  </w:style>
  <w:style w:type="paragraph" w:styleId="34">
    <w:name w:val="toc 9"/>
    <w:basedOn w:val="1"/>
    <w:next w:val="1"/>
    <w:unhideWhenUsed/>
    <w:qFormat/>
    <w:uiPriority w:val="39"/>
    <w:pPr>
      <w:ind w:left="1920"/>
      <w:jc w:val="left"/>
    </w:pPr>
    <w:rPr>
      <w:rFonts w:ascii="Calibri" w:hAnsi="Calibri" w:cs="Calibri"/>
      <w:sz w:val="18"/>
      <w:szCs w:val="18"/>
    </w:rPr>
  </w:style>
  <w:style w:type="paragraph" w:styleId="35">
    <w:name w:val="HTML Preformatted"/>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firstLineChars="0"/>
    </w:pPr>
    <w:rPr>
      <w:rFonts w:ascii="Arial" w:hAnsi="Arial" w:eastAsia="宋体" w:cs="Arial"/>
      <w:kern w:val="0"/>
      <w:sz w:val="24"/>
    </w:rPr>
  </w:style>
  <w:style w:type="paragraph" w:styleId="36">
    <w:name w:val="Normal (Web)"/>
    <w:basedOn w:val="1"/>
    <w:qFormat/>
    <w:uiPriority w:val="0"/>
    <w:pPr>
      <w:widowControl/>
      <w:spacing w:before="100" w:beforeAutospacing="1" w:after="100" w:afterAutospacing="1"/>
      <w:ind w:firstLine="0" w:firstLineChars="0"/>
    </w:pPr>
    <w:rPr>
      <w:rFonts w:ascii="宋体" w:hAnsi="宋体" w:eastAsia="宋体" w:cs="宋体"/>
      <w:kern w:val="0"/>
      <w:sz w:val="24"/>
    </w:rPr>
  </w:style>
  <w:style w:type="paragraph" w:styleId="37">
    <w:name w:val="annotation subject"/>
    <w:basedOn w:val="13"/>
    <w:next w:val="13"/>
    <w:qFormat/>
    <w:uiPriority w:val="0"/>
    <w:rPr>
      <w:b/>
      <w:bCs/>
    </w:rPr>
  </w:style>
  <w:style w:type="paragraph" w:styleId="38">
    <w:name w:val="Body Text First Indent"/>
    <w:basedOn w:val="14"/>
    <w:qFormat/>
    <w:uiPriority w:val="0"/>
    <w:pPr>
      <w:ind w:firstLine="420" w:firstLineChars="100"/>
    </w:pPr>
    <w:rPr>
      <w:rFonts w:eastAsia="宋体"/>
      <w:sz w:val="24"/>
      <w:szCs w:val="20"/>
    </w:rPr>
  </w:style>
  <w:style w:type="paragraph" w:styleId="39">
    <w:name w:val="Body Text First Indent 2"/>
    <w:basedOn w:val="15"/>
    <w:next w:val="38"/>
    <w:link w:val="118"/>
    <w:qFormat/>
    <w:uiPriority w:val="0"/>
    <w:pPr>
      <w:ind w:firstLine="420" w:firstLineChars="200"/>
    </w:pPr>
  </w:style>
  <w:style w:type="table" w:styleId="41">
    <w:name w:val="Table Grid"/>
    <w:basedOn w:val="40"/>
    <w:qFormat/>
    <w:uiPriority w:val="0"/>
    <w:pPr>
      <w:widowControl w:val="0"/>
      <w:ind w:firstLine="560" w:firstLineChars="20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3">
    <w:name w:val="Strong"/>
    <w:qFormat/>
    <w:uiPriority w:val="0"/>
    <w:rPr>
      <w:b/>
      <w:bCs/>
    </w:rPr>
  </w:style>
  <w:style w:type="character" w:styleId="44">
    <w:name w:val="page number"/>
    <w:basedOn w:val="42"/>
    <w:qFormat/>
    <w:uiPriority w:val="0"/>
  </w:style>
  <w:style w:type="character" w:styleId="45">
    <w:name w:val="FollowedHyperlink"/>
    <w:qFormat/>
    <w:uiPriority w:val="0"/>
    <w:rPr>
      <w:color w:val="000000"/>
      <w:u w:val="none"/>
    </w:rPr>
  </w:style>
  <w:style w:type="character" w:styleId="46">
    <w:name w:val="Emphasis"/>
    <w:qFormat/>
    <w:uiPriority w:val="0"/>
    <w:rPr>
      <w:i/>
    </w:rPr>
  </w:style>
  <w:style w:type="character" w:styleId="47">
    <w:name w:val="Hyperlink"/>
    <w:qFormat/>
    <w:uiPriority w:val="99"/>
    <w:rPr>
      <w:rFonts w:ascii="宋体" w:hAnsi="宋体" w:cs="宋体"/>
      <w:color w:val="0000FF"/>
      <w:szCs w:val="26"/>
      <w:u w:val="single"/>
    </w:rPr>
  </w:style>
  <w:style w:type="character" w:styleId="48">
    <w:name w:val="annotation reference"/>
    <w:qFormat/>
    <w:uiPriority w:val="0"/>
    <w:rPr>
      <w:sz w:val="21"/>
      <w:szCs w:val="21"/>
    </w:rPr>
  </w:style>
  <w:style w:type="paragraph" w:customStyle="1" w:styleId="49">
    <w:name w:val="标题4-C"/>
    <w:basedOn w:val="6"/>
    <w:next w:val="38"/>
    <w:qFormat/>
    <w:uiPriority w:val="0"/>
    <w:pPr>
      <w:numPr>
        <w:ilvl w:val="3"/>
        <w:numId w:val="2"/>
      </w:numPr>
      <w:adjustRightInd/>
      <w:snapToGrid/>
      <w:spacing w:before="50" w:beforeLines="50"/>
      <w:ind w:firstLineChars="0"/>
    </w:pPr>
    <w:rPr>
      <w:rFonts w:ascii="Calibri" w:hAnsi="Calibri" w:eastAsia="宋体"/>
      <w:bCs/>
      <w:sz w:val="24"/>
      <w:szCs w:val="28"/>
    </w:rPr>
  </w:style>
  <w:style w:type="paragraph" w:customStyle="1" w:styleId="50">
    <w:name w:val="封面名称"/>
    <w:basedOn w:val="1"/>
    <w:next w:val="30"/>
    <w:qFormat/>
    <w:uiPriority w:val="0"/>
    <w:pPr>
      <w:spacing w:line="240" w:lineRule="auto"/>
      <w:jc w:val="center"/>
    </w:pPr>
    <w:rPr>
      <w:rFonts w:ascii="华文中宋" w:eastAsia="华文中宋"/>
      <w:kern w:val="0"/>
      <w:sz w:val="48"/>
      <w:szCs w:val="48"/>
    </w:rPr>
  </w:style>
  <w:style w:type="paragraph" w:customStyle="1" w:styleId="51">
    <w:name w:val="列出段落1"/>
    <w:basedOn w:val="1"/>
    <w:qFormat/>
    <w:uiPriority w:val="34"/>
    <w:pPr>
      <w:spacing w:line="240" w:lineRule="auto"/>
      <w:ind w:firstLine="420"/>
    </w:pPr>
    <w:rPr>
      <w:sz w:val="21"/>
      <w:szCs w:val="21"/>
    </w:rPr>
  </w:style>
  <w:style w:type="paragraph" w:customStyle="1" w:styleId="52">
    <w:name w:val="正文1"/>
    <w:qFormat/>
    <w:uiPriority w:val="0"/>
    <w:pPr>
      <w:jc w:val="both"/>
    </w:pPr>
    <w:rPr>
      <w:rFonts w:ascii="Times New Roman" w:hAnsi="Times New Roman" w:eastAsia="宋体" w:cs="Times New Roman"/>
      <w:kern w:val="2"/>
      <w:sz w:val="21"/>
      <w:szCs w:val="21"/>
      <w:lang w:val="en-US" w:eastAsia="zh-CN" w:bidi="ar-SA"/>
    </w:rPr>
  </w:style>
  <w:style w:type="paragraph" w:customStyle="1" w:styleId="53">
    <w:name w:val="样式16"/>
    <w:basedOn w:val="14"/>
    <w:link w:val="123"/>
    <w:qFormat/>
    <w:uiPriority w:val="0"/>
    <w:pPr>
      <w:spacing w:after="0"/>
      <w:ind w:firstLine="3360" w:firstLineChars="400"/>
    </w:pPr>
    <w:rPr>
      <w:rFonts w:hint="default" w:ascii="Times New Roman" w:hAnsi="Times New Roman"/>
      <w:b/>
      <w:sz w:val="21"/>
      <w:szCs w:val="20"/>
    </w:rPr>
  </w:style>
  <w:style w:type="paragraph" w:customStyle="1" w:styleId="54">
    <w:name w:val="正文表标题"/>
    <w:next w:val="1"/>
    <w:qFormat/>
    <w:uiPriority w:val="0"/>
    <w:pPr>
      <w:tabs>
        <w:tab w:val="left" w:pos="4600"/>
      </w:tabs>
      <w:ind w:left="4600" w:hanging="1800"/>
      <w:jc w:val="center"/>
    </w:pPr>
    <w:rPr>
      <w:rFonts w:ascii="黑体" w:hAnsi="Times New Roman" w:eastAsia="黑体" w:cs="Times New Roman"/>
      <w:sz w:val="21"/>
      <w:lang w:val="en-US" w:eastAsia="zh-CN" w:bidi="ar-SA"/>
    </w:rPr>
  </w:style>
  <w:style w:type="paragraph" w:customStyle="1" w:styleId="55">
    <w:name w:val="表格样式"/>
    <w:basedOn w:val="56"/>
    <w:qFormat/>
    <w:uiPriority w:val="0"/>
    <w:pPr>
      <w:adjustRightInd w:val="0"/>
      <w:snapToGrid w:val="0"/>
      <w:jc w:val="center"/>
    </w:pPr>
    <w:rPr>
      <w:sz w:val="28"/>
    </w:rPr>
  </w:style>
  <w:style w:type="paragraph" w:customStyle="1" w:styleId="56">
    <w:name w:val="正文 New New New New New New New New New New New New New New New New New New New New New New New New New New New New New New New New New New New New New New New New New New New New New New New New New New New New New New New New New New New New New New 68"/>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57">
    <w:name w:val="6-表头"/>
    <w:basedOn w:val="1"/>
    <w:qFormat/>
    <w:uiPriority w:val="0"/>
    <w:pPr>
      <w:autoSpaceDE w:val="0"/>
      <w:autoSpaceDN w:val="0"/>
      <w:snapToGrid/>
      <w:spacing w:beforeLines="70" w:line="240" w:lineRule="exact"/>
      <w:ind w:firstLine="0" w:firstLineChars="0"/>
      <w:jc w:val="center"/>
    </w:pPr>
    <w:rPr>
      <w:rFonts w:eastAsia="宋体"/>
      <w:b/>
      <w:bCs/>
      <w:sz w:val="21"/>
      <w:szCs w:val="21"/>
    </w:rPr>
  </w:style>
  <w:style w:type="paragraph" w:customStyle="1" w:styleId="58">
    <w:name w:val="正文3"/>
    <w:basedOn w:val="1"/>
    <w:next w:val="1"/>
    <w:qFormat/>
    <w:uiPriority w:val="0"/>
    <w:pPr>
      <w:widowControl/>
      <w:spacing w:line="529" w:lineRule="exact"/>
      <w:ind w:firstLine="420" w:firstLineChars="0"/>
    </w:pPr>
    <w:rPr>
      <w:rFonts w:ascii="宋体"/>
      <w:sz w:val="30"/>
      <w:szCs w:val="20"/>
    </w:rPr>
  </w:style>
  <w:style w:type="paragraph" w:customStyle="1" w:styleId="59">
    <w:name w:val="表中内容"/>
    <w:basedOn w:val="1"/>
    <w:qFormat/>
    <w:uiPriority w:val="0"/>
    <w:pPr>
      <w:spacing w:line="400" w:lineRule="exact"/>
      <w:ind w:firstLine="0" w:firstLineChars="0"/>
      <w:jc w:val="center"/>
    </w:pPr>
    <w:rPr>
      <w:rFonts w:ascii="Calibri" w:hAnsi="Calibri" w:eastAsia="新宋体"/>
      <w:bCs/>
      <w:color w:val="000000"/>
      <w:sz w:val="21"/>
      <w:szCs w:val="21"/>
    </w:rPr>
  </w:style>
  <w:style w:type="paragraph" w:customStyle="1" w:styleId="60">
    <w:name w:val="封面"/>
    <w:next w:val="30"/>
    <w:qFormat/>
    <w:uiPriority w:val="0"/>
    <w:pPr>
      <w:widowControl w:val="0"/>
    </w:pPr>
    <w:rPr>
      <w:rFonts w:ascii="黑体" w:hAnsi="Times New Roman" w:eastAsia="黑体" w:cs="Times New Roman"/>
      <w:sz w:val="28"/>
      <w:szCs w:val="28"/>
      <w:lang w:val="en-US" w:eastAsia="zh-CN" w:bidi="ar-SA"/>
    </w:rPr>
  </w:style>
  <w:style w:type="paragraph" w:customStyle="1" w:styleId="61">
    <w:name w:val="报告正文"/>
    <w:basedOn w:val="1"/>
    <w:next w:val="12"/>
    <w:link w:val="146"/>
    <w:qFormat/>
    <w:uiPriority w:val="0"/>
    <w:pPr>
      <w:ind w:firstLine="200"/>
    </w:pPr>
  </w:style>
  <w:style w:type="paragraph" w:customStyle="1" w:styleId="62">
    <w:name w:val="样式1"/>
    <w:basedOn w:val="1"/>
    <w:qFormat/>
    <w:uiPriority w:val="0"/>
    <w:pPr>
      <w:tabs>
        <w:tab w:val="center" w:pos="4153"/>
        <w:tab w:val="right" w:pos="8306"/>
      </w:tabs>
    </w:pPr>
    <w:rPr>
      <w:sz w:val="21"/>
      <w:szCs w:val="21"/>
    </w:rPr>
  </w:style>
  <w:style w:type="paragraph" w:customStyle="1" w:styleId="63">
    <w:name w:val="样式 标题 1"/>
    <w:basedOn w:val="1"/>
    <w:next w:val="1"/>
    <w:qFormat/>
    <w:uiPriority w:val="0"/>
    <w:pPr>
      <w:jc w:val="center"/>
    </w:pPr>
    <w:rPr>
      <w:rFonts w:ascii="仿宋_GB2312"/>
      <w:b/>
    </w:rPr>
  </w:style>
  <w:style w:type="paragraph" w:customStyle="1" w:styleId="64">
    <w:name w:val="word"/>
    <w:basedOn w:val="1"/>
    <w:qFormat/>
    <w:uiPriority w:val="0"/>
    <w:pPr>
      <w:ind w:firstLine="560"/>
    </w:pPr>
    <w:rPr>
      <w:rFonts w:ascii="仿宋_GB2312" w:hAnsi="宋体" w:eastAsia="仿宋_GB2312"/>
      <w:szCs w:val="28"/>
    </w:rPr>
  </w:style>
  <w:style w:type="paragraph" w:customStyle="1" w:styleId="65">
    <w:name w:val="表格内-C"/>
    <w:basedOn w:val="1"/>
    <w:link w:val="122"/>
    <w:qFormat/>
    <w:uiPriority w:val="0"/>
    <w:pPr>
      <w:widowControl/>
      <w:spacing w:line="240" w:lineRule="auto"/>
      <w:ind w:firstLine="0" w:firstLineChars="0"/>
      <w:contextualSpacing/>
      <w:jc w:val="center"/>
    </w:pPr>
    <w:rPr>
      <w:rFonts w:eastAsia="宋体"/>
      <w:sz w:val="21"/>
      <w:szCs w:val="20"/>
    </w:rPr>
  </w:style>
  <w:style w:type="paragraph" w:customStyle="1" w:styleId="66">
    <w:name w:val="报告"/>
    <w:basedOn w:val="1"/>
    <w:qFormat/>
    <w:uiPriority w:val="0"/>
    <w:pPr>
      <w:ind w:firstLine="505" w:firstLineChars="0"/>
      <w:textAlignment w:val="center"/>
    </w:pPr>
    <w:rPr>
      <w:rFonts w:ascii="TimesNewRoman" w:hAnsi="TimesNewRoman"/>
      <w:kern w:val="0"/>
      <w:szCs w:val="20"/>
    </w:rPr>
  </w:style>
  <w:style w:type="paragraph" w:customStyle="1" w:styleId="67">
    <w:name w:val="xl26"/>
    <w:basedOn w:val="1"/>
    <w:link w:val="119"/>
    <w:qFormat/>
    <w:uiPriority w:val="0"/>
    <w:pPr>
      <w:widowControl/>
      <w:spacing w:before="100" w:after="100"/>
      <w:ind w:firstLine="0" w:firstLineChars="0"/>
      <w:jc w:val="center"/>
    </w:pPr>
    <w:rPr>
      <w:kern w:val="0"/>
      <w:sz w:val="21"/>
      <w:szCs w:val="20"/>
    </w:rPr>
  </w:style>
  <w:style w:type="paragraph" w:customStyle="1" w:styleId="68">
    <w:name w:val="四级无标题条"/>
    <w:basedOn w:val="1"/>
    <w:qFormat/>
    <w:uiPriority w:val="0"/>
    <w:pPr>
      <w:tabs>
        <w:tab w:val="left" w:pos="1840"/>
      </w:tabs>
      <w:ind w:left="1840" w:hanging="720" w:firstLineChars="0"/>
    </w:pPr>
    <w:rPr>
      <w:rFonts w:eastAsia="宋体"/>
      <w:sz w:val="21"/>
    </w:rPr>
  </w:style>
  <w:style w:type="paragraph" w:customStyle="1" w:styleId="69">
    <w:name w:val="样式2"/>
    <w:basedOn w:val="1"/>
    <w:qFormat/>
    <w:uiPriority w:val="0"/>
    <w:pPr>
      <w:ind w:firstLine="533"/>
    </w:pPr>
    <w:rPr>
      <w:bCs/>
      <w:color w:val="0000FF"/>
    </w:rPr>
  </w:style>
  <w:style w:type="paragraph" w:customStyle="1" w:styleId="70">
    <w:name w:val="标题6-C"/>
    <w:basedOn w:val="7"/>
    <w:next w:val="38"/>
    <w:qFormat/>
    <w:uiPriority w:val="0"/>
    <w:pPr>
      <w:numPr>
        <w:ilvl w:val="5"/>
        <w:numId w:val="2"/>
      </w:numPr>
      <w:autoSpaceDE/>
      <w:autoSpaceDN/>
      <w:adjustRightInd/>
      <w:snapToGrid/>
      <w:spacing w:before="0" w:after="0" w:line="240" w:lineRule="auto"/>
      <w:jc w:val="center"/>
    </w:pPr>
    <w:rPr>
      <w:rFonts w:ascii="Calibri" w:hAnsi="Calibri" w:eastAsia="宋体"/>
      <w:color w:val="auto"/>
      <w:kern w:val="2"/>
      <w:sz w:val="21"/>
      <w:lang w:val="en-US"/>
    </w:rPr>
  </w:style>
  <w:style w:type="paragraph" w:customStyle="1" w:styleId="71">
    <w:name w:val="章标题"/>
    <w:next w:val="1"/>
    <w:qFormat/>
    <w:uiPriority w:val="0"/>
    <w:pPr>
      <w:tabs>
        <w:tab w:val="left" w:pos="1280"/>
      </w:tabs>
      <w:spacing w:before="50" w:after="50"/>
      <w:ind w:left="1280" w:hanging="720"/>
      <w:jc w:val="both"/>
      <w:outlineLvl w:val="1"/>
    </w:pPr>
    <w:rPr>
      <w:rFonts w:ascii="黑体" w:hAnsi="Times New Roman" w:eastAsia="黑体" w:cs="Times New Roman"/>
      <w:sz w:val="21"/>
      <w:lang w:val="en-US" w:eastAsia="zh-CN" w:bidi="ar-SA"/>
    </w:rPr>
  </w:style>
  <w:style w:type="paragraph" w:customStyle="1" w:styleId="72">
    <w:name w:val="Table Paragraph"/>
    <w:basedOn w:val="1"/>
    <w:qFormat/>
    <w:uiPriority w:val="1"/>
    <w:pPr>
      <w:spacing w:before="100" w:beforeAutospacing="1" w:line="240" w:lineRule="auto"/>
      <w:jc w:val="left"/>
    </w:pPr>
    <w:rPr>
      <w:rFonts w:ascii="Calibri" w:hAnsi="Calibri"/>
      <w:kern w:val="0"/>
      <w:sz w:val="22"/>
      <w:szCs w:val="22"/>
    </w:rPr>
  </w:style>
  <w:style w:type="paragraph" w:customStyle="1" w:styleId="73">
    <w:name w:val="Char Char Char Char Char2 Char Char Char Char"/>
    <w:basedOn w:val="1"/>
    <w:qFormat/>
    <w:uiPriority w:val="0"/>
    <w:pPr>
      <w:ind w:firstLine="200"/>
    </w:pPr>
    <w:rPr>
      <w:rFonts w:eastAsia="宋体"/>
      <w:sz w:val="21"/>
      <w:szCs w:val="20"/>
    </w:rPr>
  </w:style>
  <w:style w:type="paragraph" w:customStyle="1" w:styleId="74">
    <w:name w:val="表格文字."/>
    <w:basedOn w:val="1"/>
    <w:link w:val="135"/>
    <w:qFormat/>
    <w:uiPriority w:val="0"/>
    <w:pPr>
      <w:spacing w:line="240" w:lineRule="auto"/>
      <w:jc w:val="center"/>
    </w:pPr>
    <w:rPr>
      <w:snapToGrid w:val="0"/>
      <w:color w:val="000000"/>
      <w:kern w:val="0"/>
      <w:sz w:val="21"/>
      <w:szCs w:val="20"/>
    </w:rPr>
  </w:style>
  <w:style w:type="paragraph" w:customStyle="1" w:styleId="75">
    <w:name w:val="标题2-C"/>
    <w:basedOn w:val="4"/>
    <w:next w:val="38"/>
    <w:qFormat/>
    <w:uiPriority w:val="0"/>
    <w:pPr>
      <w:numPr>
        <w:ilvl w:val="1"/>
        <w:numId w:val="2"/>
      </w:numPr>
      <w:adjustRightInd/>
      <w:snapToGrid/>
      <w:spacing w:before="50" w:beforeLines="50"/>
    </w:pPr>
    <w:rPr>
      <w:rFonts w:eastAsia="宋体"/>
      <w:bCs/>
      <w:kern w:val="0"/>
      <w:sz w:val="30"/>
      <w:szCs w:val="32"/>
    </w:rPr>
  </w:style>
  <w:style w:type="paragraph" w:customStyle="1" w:styleId="76">
    <w:name w:val="图表文字"/>
    <w:basedOn w:val="1"/>
    <w:qFormat/>
    <w:uiPriority w:val="0"/>
    <w:pPr>
      <w:jc w:val="center"/>
    </w:pPr>
    <w:rPr>
      <w:rFonts w:ascii="仿宋_GB2312" w:eastAsia="仿宋_GB2312"/>
    </w:rPr>
  </w:style>
  <w:style w:type="paragraph" w:customStyle="1" w:styleId="77">
    <w:name w:val="样式4"/>
    <w:link w:val="124"/>
    <w:qFormat/>
    <w:uiPriority w:val="0"/>
    <w:pPr>
      <w:ind w:firstLine="463"/>
    </w:pPr>
    <w:rPr>
      <w:rFonts w:ascii="Times New Roman" w:hAnsi="Times New Roman" w:eastAsia="宋体" w:cs="Times New Roman"/>
      <w:lang w:val="en-US" w:eastAsia="zh-CN" w:bidi="ar-SA"/>
    </w:rPr>
  </w:style>
  <w:style w:type="paragraph" w:customStyle="1" w:styleId="78">
    <w:name w:val="标题1-C"/>
    <w:basedOn w:val="3"/>
    <w:next w:val="38"/>
    <w:qFormat/>
    <w:uiPriority w:val="0"/>
    <w:pPr>
      <w:numPr>
        <w:ilvl w:val="0"/>
        <w:numId w:val="2"/>
      </w:numPr>
      <w:adjustRightInd/>
      <w:snapToGrid/>
    </w:pPr>
    <w:rPr>
      <w:rFonts w:ascii="Calibri" w:hAnsi="Calibri" w:eastAsia="宋体"/>
      <w:bCs/>
      <w:sz w:val="32"/>
      <w:szCs w:val="44"/>
    </w:rPr>
  </w:style>
  <w:style w:type="paragraph" w:customStyle="1" w:styleId="79">
    <w:name w:val="样式10"/>
    <w:basedOn w:val="80"/>
    <w:qFormat/>
    <w:uiPriority w:val="0"/>
    <w:rPr>
      <w:color w:val="0000FF"/>
    </w:rPr>
  </w:style>
  <w:style w:type="paragraph" w:customStyle="1" w:styleId="80">
    <w:name w:val="样式7"/>
    <w:basedOn w:val="1"/>
    <w:qFormat/>
    <w:uiPriority w:val="0"/>
    <w:pPr>
      <w:ind w:firstLine="463"/>
      <w:outlineLvl w:val="1"/>
    </w:pPr>
    <w:rPr>
      <w:color w:val="000000"/>
    </w:rPr>
  </w:style>
  <w:style w:type="paragraph" w:styleId="81">
    <w:name w:val="List Paragraph"/>
    <w:basedOn w:val="1"/>
    <w:qFormat/>
    <w:uiPriority w:val="0"/>
    <w:pPr>
      <w:ind w:firstLine="420"/>
    </w:pPr>
    <w:rPr>
      <w:rFonts w:ascii="Calibri" w:hAnsi="Calibri" w:eastAsia="宋体"/>
      <w:sz w:val="21"/>
      <w:szCs w:val="22"/>
    </w:rPr>
  </w:style>
  <w:style w:type="paragraph" w:customStyle="1" w:styleId="82">
    <w:name w:val="【正文】"/>
    <w:basedOn w:val="1"/>
    <w:link w:val="117"/>
    <w:qFormat/>
    <w:uiPriority w:val="0"/>
    <w:pPr>
      <w:ind w:firstLine="513"/>
    </w:pPr>
    <w:rPr>
      <w:kern w:val="0"/>
      <w:sz w:val="20"/>
      <w:szCs w:val="20"/>
    </w:rPr>
  </w:style>
  <w:style w:type="paragraph" w:customStyle="1" w:styleId="83">
    <w:name w:val="封面下方"/>
    <w:next w:val="9"/>
    <w:link w:val="131"/>
    <w:qFormat/>
    <w:uiPriority w:val="0"/>
    <w:pPr>
      <w:widowControl w:val="0"/>
      <w:ind w:left="600" w:leftChars="600"/>
      <w:jc w:val="both"/>
    </w:pPr>
    <w:rPr>
      <w:rFonts w:ascii="Times New Roman" w:hAnsi="Times New Roman" w:eastAsia="黑体" w:cs="Times New Roman"/>
      <w:sz w:val="28"/>
      <w:lang w:val="en-US" w:eastAsia="zh-CN" w:bidi="ar-SA"/>
    </w:rPr>
  </w:style>
  <w:style w:type="paragraph" w:customStyle="1" w:styleId="84">
    <w:name w:val="Char Char Char1"/>
    <w:basedOn w:val="1"/>
    <w:qFormat/>
    <w:uiPriority w:val="0"/>
    <w:pPr>
      <w:widowControl/>
      <w:adjustRightInd/>
      <w:snapToGrid/>
      <w:spacing w:after="160" w:line="240" w:lineRule="exact"/>
      <w:ind w:firstLine="0" w:firstLineChars="0"/>
      <w:jc w:val="left"/>
    </w:pPr>
    <w:rPr>
      <w:rFonts w:eastAsia="宋体"/>
      <w:sz w:val="21"/>
      <w:szCs w:val="20"/>
    </w:rPr>
  </w:style>
  <w:style w:type="paragraph" w:customStyle="1" w:styleId="85">
    <w:name w:val="C2"/>
    <w:basedOn w:val="1"/>
    <w:qFormat/>
    <w:uiPriority w:val="0"/>
    <w:pPr>
      <w:spacing w:line="240" w:lineRule="auto"/>
    </w:pPr>
    <w:rPr>
      <w:kern w:val="0"/>
      <w:szCs w:val="20"/>
    </w:rPr>
  </w:style>
  <w:style w:type="paragraph" w:customStyle="1" w:styleId="86">
    <w:name w:val="标题5-C"/>
    <w:basedOn w:val="1"/>
    <w:next w:val="65"/>
    <w:link w:val="144"/>
    <w:qFormat/>
    <w:uiPriority w:val="0"/>
    <w:pPr>
      <w:numPr>
        <w:ilvl w:val="4"/>
        <w:numId w:val="2"/>
      </w:numPr>
      <w:tabs>
        <w:tab w:val="left" w:pos="0"/>
        <w:tab w:val="left" w:pos="4395"/>
        <w:tab w:val="left" w:pos="4819"/>
        <w:tab w:val="left" w:pos="8505"/>
        <w:tab w:val="left" w:pos="10347"/>
      </w:tabs>
      <w:adjustRightInd/>
      <w:snapToGrid/>
      <w:spacing w:line="240" w:lineRule="auto"/>
      <w:ind w:firstLineChars="0"/>
      <w:jc w:val="center"/>
    </w:pPr>
    <w:rPr>
      <w:rFonts w:eastAsia="黑体"/>
      <w:color w:val="00B050"/>
      <w:kern w:val="0"/>
      <w:sz w:val="21"/>
      <w:szCs w:val="20"/>
    </w:rPr>
  </w:style>
  <w:style w:type="paragraph" w:customStyle="1" w:styleId="87">
    <w:name w:val="表格文字"/>
    <w:basedOn w:val="1"/>
    <w:link w:val="133"/>
    <w:qFormat/>
    <w:uiPriority w:val="0"/>
    <w:pPr>
      <w:spacing w:line="240" w:lineRule="auto"/>
      <w:jc w:val="center"/>
    </w:pPr>
  </w:style>
  <w:style w:type="paragraph" w:customStyle="1" w:styleId="88">
    <w:name w:val="标题 31"/>
    <w:basedOn w:val="1"/>
    <w:qFormat/>
    <w:uiPriority w:val="0"/>
    <w:pPr>
      <w:ind w:left="109"/>
      <w:jc w:val="left"/>
      <w:outlineLvl w:val="3"/>
    </w:pPr>
    <w:rPr>
      <w:rFonts w:hint="eastAsia" w:ascii="Microsoft JhengHei" w:hAnsi="Microsoft JhengHei" w:eastAsia="Microsoft JhengHei"/>
      <w:b/>
      <w:kern w:val="0"/>
      <w:szCs w:val="28"/>
    </w:rPr>
  </w:style>
  <w:style w:type="paragraph" w:customStyle="1" w:styleId="89">
    <w:name w:val="样式 首行缩进: 0 厘米"/>
    <w:basedOn w:val="1"/>
    <w:qFormat/>
    <w:uiPriority w:val="0"/>
    <w:rPr>
      <w:rFonts w:cs="宋体"/>
      <w:sz w:val="24"/>
      <w:szCs w:val="20"/>
    </w:rPr>
  </w:style>
  <w:style w:type="paragraph" w:customStyle="1" w:styleId="90">
    <w:name w:val="正文图标题"/>
    <w:next w:val="1"/>
    <w:qFormat/>
    <w:uiPriority w:val="0"/>
    <w:pPr>
      <w:tabs>
        <w:tab w:val="left" w:pos="5520"/>
      </w:tabs>
      <w:ind w:left="5520" w:hanging="2160"/>
      <w:jc w:val="center"/>
    </w:pPr>
    <w:rPr>
      <w:rFonts w:ascii="黑体" w:hAnsi="Times New Roman" w:eastAsia="黑体" w:cs="Times New Roman"/>
      <w:sz w:val="21"/>
      <w:lang w:val="en-US" w:eastAsia="zh-CN" w:bidi="ar-SA"/>
    </w:rPr>
  </w:style>
  <w:style w:type="paragraph" w:customStyle="1" w:styleId="91">
    <w:name w:val="表格内容居中"/>
    <w:qFormat/>
    <w:uiPriority w:val="0"/>
    <w:pPr>
      <w:adjustRightInd w:val="0"/>
      <w:snapToGrid w:val="0"/>
      <w:jc w:val="center"/>
    </w:pPr>
    <w:rPr>
      <w:rFonts w:ascii="Times New Roman" w:hAnsi="Times New Roman" w:eastAsia="宋体" w:cs="Times New Roman"/>
      <w:snapToGrid w:val="0"/>
      <w:sz w:val="21"/>
      <w:lang w:val="en-US" w:eastAsia="zh-CN" w:bidi="ar-SA"/>
    </w:rPr>
  </w:style>
  <w:style w:type="paragraph" w:customStyle="1" w:styleId="92">
    <w:name w:val="样式5"/>
    <w:basedOn w:val="93"/>
    <w:qFormat/>
    <w:uiPriority w:val="0"/>
    <w:rPr>
      <w:rFonts w:ascii="黑体" w:hAnsi="Times New Roman"/>
    </w:rPr>
  </w:style>
  <w:style w:type="paragraph" w:customStyle="1" w:styleId="93">
    <w:name w:val="样式3"/>
    <w:basedOn w:val="1"/>
    <w:qFormat/>
    <w:uiPriority w:val="0"/>
    <w:pPr>
      <w:ind w:firstLine="0" w:firstLineChars="0"/>
      <w:jc w:val="center"/>
    </w:pPr>
    <w:rPr>
      <w:rFonts w:hAnsi="黑体" w:eastAsia="黑体"/>
      <w:color w:val="000000"/>
      <w:sz w:val="24"/>
    </w:rPr>
  </w:style>
  <w:style w:type="paragraph" w:customStyle="1" w:styleId="94">
    <w:name w:val="Other|1"/>
    <w:basedOn w:val="1"/>
    <w:qFormat/>
    <w:uiPriority w:val="0"/>
    <w:pPr>
      <w:adjustRightInd/>
      <w:snapToGrid/>
      <w:spacing w:line="347" w:lineRule="exact"/>
      <w:ind w:firstLine="560" w:firstLineChars="0"/>
    </w:pPr>
    <w:rPr>
      <w:rFonts w:ascii="MingLiU" w:hAnsi="MingLiU" w:eastAsia="MingLiU" w:cs="MingLiU"/>
      <w:sz w:val="20"/>
      <w:szCs w:val="20"/>
      <w:lang w:val="zh-TW" w:eastAsia="zh-TW" w:bidi="zh-TW"/>
    </w:rPr>
  </w:style>
  <w:style w:type="paragraph" w:customStyle="1" w:styleId="95">
    <w:name w:val="p0"/>
    <w:basedOn w:val="1"/>
    <w:qFormat/>
    <w:uiPriority w:val="0"/>
    <w:pPr>
      <w:widowControl/>
      <w:ind w:firstLine="420" w:firstLineChars="0"/>
    </w:pPr>
    <w:rPr>
      <w:rFonts w:eastAsia="宋体"/>
      <w:kern w:val="0"/>
      <w:szCs w:val="28"/>
    </w:rPr>
  </w:style>
  <w:style w:type="paragraph" w:customStyle="1" w:styleId="96">
    <w:name w:val="一级条标题"/>
    <w:basedOn w:val="71"/>
    <w:next w:val="1"/>
    <w:qFormat/>
    <w:uiPriority w:val="0"/>
    <w:pPr>
      <w:tabs>
        <w:tab w:val="left" w:pos="360"/>
        <w:tab w:val="clear" w:pos="1280"/>
      </w:tabs>
      <w:spacing w:before="0" w:after="0"/>
      <w:ind w:left="630" w:hanging="630"/>
      <w:outlineLvl w:val="2"/>
    </w:pPr>
  </w:style>
  <w:style w:type="paragraph" w:customStyle="1" w:styleId="97">
    <w:name w:val="Default"/>
    <w:qFormat/>
    <w:uiPriority w:val="99"/>
    <w:pPr>
      <w:widowControl w:val="0"/>
      <w:autoSpaceDE w:val="0"/>
      <w:autoSpaceDN w:val="0"/>
      <w:adjustRightInd w:val="0"/>
    </w:pPr>
    <w:rPr>
      <w:rFonts w:ascii="Calibri" w:hAnsi="Calibri" w:eastAsia="宋体" w:cs="Times New Roman"/>
      <w:color w:val="000000"/>
      <w:kern w:val="2"/>
      <w:sz w:val="24"/>
      <w:szCs w:val="24"/>
      <w:lang w:val="en-US" w:eastAsia="zh-CN" w:bidi="ar-SA"/>
    </w:rPr>
  </w:style>
  <w:style w:type="paragraph" w:customStyle="1" w:styleId="98">
    <w:name w:val="五级无标题条"/>
    <w:basedOn w:val="1"/>
    <w:qFormat/>
    <w:uiPriority w:val="0"/>
    <w:pPr>
      <w:tabs>
        <w:tab w:val="left" w:pos="2760"/>
      </w:tabs>
      <w:ind w:left="2760" w:hanging="1080" w:firstLineChars="0"/>
    </w:pPr>
    <w:rPr>
      <w:rFonts w:eastAsia="宋体"/>
      <w:sz w:val="21"/>
    </w:rPr>
  </w:style>
  <w:style w:type="paragraph" w:customStyle="1" w:styleId="99">
    <w:name w:val="Char"/>
    <w:basedOn w:val="1"/>
    <w:qFormat/>
    <w:uiPriority w:val="0"/>
    <w:pPr>
      <w:ind w:firstLine="200"/>
    </w:pPr>
    <w:rPr>
      <w:rFonts w:ascii="宋体" w:hAnsi="宋体" w:eastAsia="宋体" w:cs="宋体"/>
      <w:sz w:val="24"/>
    </w:rPr>
  </w:style>
  <w:style w:type="paragraph" w:customStyle="1" w:styleId="100">
    <w:name w:val="Char Char Char Char Char Char Char"/>
    <w:basedOn w:val="1"/>
    <w:qFormat/>
    <w:uiPriority w:val="0"/>
    <w:pPr>
      <w:widowControl/>
      <w:spacing w:after="160" w:line="240" w:lineRule="exact"/>
      <w:ind w:firstLine="0" w:firstLineChars="0"/>
    </w:pPr>
    <w:rPr>
      <w:rFonts w:eastAsia="宋体"/>
      <w:sz w:val="21"/>
    </w:rPr>
  </w:style>
  <w:style w:type="paragraph" w:customStyle="1" w:styleId="101">
    <w:name w:val="样式13"/>
    <w:basedOn w:val="79"/>
    <w:qFormat/>
    <w:uiPriority w:val="0"/>
    <w:pPr>
      <w:outlineLvl w:val="9"/>
    </w:pPr>
    <w:rPr>
      <w:rFonts w:eastAsia="宋体"/>
      <w:sz w:val="24"/>
    </w:rPr>
  </w:style>
  <w:style w:type="paragraph" w:customStyle="1" w:styleId="102">
    <w:name w:val="表格内容"/>
    <w:basedOn w:val="1"/>
    <w:qFormat/>
    <w:uiPriority w:val="0"/>
    <w:pPr>
      <w:spacing w:line="240" w:lineRule="auto"/>
      <w:ind w:firstLine="0" w:firstLineChars="0"/>
      <w:jc w:val="center"/>
    </w:pPr>
    <w:rPr>
      <w:sz w:val="21"/>
    </w:rPr>
  </w:style>
  <w:style w:type="paragraph" w:customStyle="1" w:styleId="103">
    <w:name w:val="一级无标题条"/>
    <w:basedOn w:val="1"/>
    <w:qFormat/>
    <w:uiPriority w:val="0"/>
    <w:pPr>
      <w:tabs>
        <w:tab w:val="left" w:pos="3680"/>
      </w:tabs>
      <w:ind w:left="3680" w:hanging="1440" w:firstLineChars="0"/>
    </w:pPr>
    <w:rPr>
      <w:rFonts w:eastAsia="宋体"/>
      <w:sz w:val="21"/>
    </w:rPr>
  </w:style>
  <w:style w:type="paragraph" w:customStyle="1" w:styleId="104">
    <w:name w:val="样式15"/>
    <w:basedOn w:val="5"/>
    <w:qFormat/>
    <w:uiPriority w:val="0"/>
    <w:pPr>
      <w:spacing w:before="156" w:beforeLines="50" w:after="156" w:afterLines="50"/>
      <w:ind w:firstLine="0" w:firstLineChars="0"/>
    </w:pPr>
    <w:rPr>
      <w:rFonts w:eastAsia="黑体"/>
      <w:sz w:val="24"/>
    </w:rPr>
  </w:style>
  <w:style w:type="paragraph" w:customStyle="1" w:styleId="105">
    <w:name w:val="样式17"/>
    <w:basedOn w:val="1"/>
    <w:next w:val="1"/>
    <w:qFormat/>
    <w:uiPriority w:val="99"/>
    <w:pPr>
      <w:ind w:firstLine="0" w:firstLineChars="0"/>
      <w:jc w:val="center"/>
    </w:pPr>
    <w:rPr>
      <w:rFonts w:eastAsia="宋体"/>
      <w:sz w:val="21"/>
    </w:rPr>
  </w:style>
  <w:style w:type="paragraph" w:customStyle="1" w:styleId="106">
    <w:name w:val="表题"/>
    <w:basedOn w:val="1"/>
    <w:qFormat/>
    <w:uiPriority w:val="0"/>
    <w:pPr>
      <w:autoSpaceDE w:val="0"/>
      <w:autoSpaceDN w:val="0"/>
      <w:spacing w:line="480" w:lineRule="atLeast"/>
      <w:jc w:val="center"/>
      <w:textAlignment w:val="baseline"/>
    </w:pPr>
    <w:rPr>
      <w:rFonts w:ascii="黑体" w:eastAsia="黑体"/>
      <w:kern w:val="16"/>
      <w:sz w:val="21"/>
      <w:szCs w:val="20"/>
    </w:rPr>
  </w:style>
  <w:style w:type="paragraph" w:customStyle="1" w:styleId="107">
    <w:name w:val="_Style 16"/>
    <w:basedOn w:val="1"/>
    <w:qFormat/>
    <w:uiPriority w:val="0"/>
    <w:pPr>
      <w:ind w:firstLine="200"/>
    </w:pPr>
  </w:style>
  <w:style w:type="paragraph" w:customStyle="1" w:styleId="108">
    <w:name w:val="样式29"/>
    <w:basedOn w:val="1"/>
    <w:link w:val="130"/>
    <w:qFormat/>
    <w:uiPriority w:val="0"/>
    <w:pPr>
      <w:ind w:firstLine="463"/>
    </w:pPr>
  </w:style>
  <w:style w:type="paragraph" w:customStyle="1" w:styleId="109">
    <w:name w:val="标题 21"/>
    <w:basedOn w:val="1"/>
    <w:qFormat/>
    <w:uiPriority w:val="0"/>
    <w:pPr>
      <w:ind w:left="109"/>
      <w:jc w:val="left"/>
      <w:outlineLvl w:val="2"/>
    </w:pPr>
    <w:rPr>
      <w:rFonts w:hint="eastAsia" w:ascii="Microsoft JhengHei" w:hAnsi="Microsoft JhengHei" w:eastAsia="Microsoft JhengHei"/>
      <w:b/>
      <w:kern w:val="0"/>
      <w:sz w:val="30"/>
      <w:szCs w:val="30"/>
    </w:rPr>
  </w:style>
  <w:style w:type="paragraph" w:customStyle="1" w:styleId="110">
    <w:name w:val="正文(首行缩进)"/>
    <w:basedOn w:val="1"/>
    <w:link w:val="120"/>
    <w:qFormat/>
    <w:uiPriority w:val="0"/>
    <w:pPr>
      <w:ind w:firstLine="200"/>
    </w:pPr>
    <w:rPr>
      <w:snapToGrid w:val="0"/>
      <w:kern w:val="0"/>
      <w:szCs w:val="20"/>
    </w:rPr>
  </w:style>
  <w:style w:type="paragraph" w:customStyle="1" w:styleId="111">
    <w:name w:val="Char Char1 Char"/>
    <w:basedOn w:val="1"/>
    <w:qFormat/>
    <w:uiPriority w:val="0"/>
    <w:pPr>
      <w:ind w:firstLine="0" w:firstLineChars="0"/>
    </w:pPr>
    <w:rPr>
      <w:rFonts w:eastAsia="宋体"/>
      <w:sz w:val="21"/>
    </w:rPr>
  </w:style>
  <w:style w:type="paragraph" w:customStyle="1" w:styleId="112">
    <w:name w:val="中等深浅网格 21"/>
    <w:basedOn w:val="1"/>
    <w:next w:val="1"/>
    <w:qFormat/>
    <w:uiPriority w:val="1"/>
    <w:pPr>
      <w:spacing w:line="240" w:lineRule="auto"/>
      <w:jc w:val="center"/>
    </w:pPr>
    <w:rPr>
      <w:sz w:val="21"/>
      <w:szCs w:val="22"/>
    </w:rPr>
  </w:style>
  <w:style w:type="paragraph" w:customStyle="1" w:styleId="113">
    <w:name w:val="表格"/>
    <w:basedOn w:val="1"/>
    <w:next w:val="1"/>
    <w:qFormat/>
    <w:uiPriority w:val="0"/>
    <w:pPr>
      <w:spacing w:line="260" w:lineRule="exact"/>
      <w:jc w:val="center"/>
    </w:pPr>
    <w:rPr>
      <w:rFonts w:ascii="仿宋_GB2312" w:eastAsia="仿宋_GB2312"/>
      <w:szCs w:val="21"/>
    </w:rPr>
  </w:style>
  <w:style w:type="paragraph" w:customStyle="1" w:styleId="114">
    <w:name w:val="标题3-C"/>
    <w:basedOn w:val="5"/>
    <w:next w:val="38"/>
    <w:qFormat/>
    <w:uiPriority w:val="0"/>
    <w:pPr>
      <w:numPr>
        <w:ilvl w:val="2"/>
        <w:numId w:val="2"/>
      </w:numPr>
      <w:adjustRightInd/>
      <w:snapToGrid/>
      <w:spacing w:before="50" w:beforeLines="50"/>
      <w:ind w:firstLineChars="0"/>
    </w:pPr>
    <w:rPr>
      <w:rFonts w:ascii="Calibri" w:hAnsi="Calibri" w:eastAsia="宋体"/>
      <w:kern w:val="0"/>
    </w:rPr>
  </w:style>
  <w:style w:type="paragraph" w:customStyle="1" w:styleId="115">
    <w:name w:val="正文文本格式"/>
    <w:basedOn w:val="1"/>
    <w:qFormat/>
    <w:uiPriority w:val="0"/>
    <w:pPr>
      <w:spacing w:line="480" w:lineRule="exact"/>
      <w:ind w:firstLine="567"/>
    </w:pPr>
    <w:rPr>
      <w:snapToGrid w:val="0"/>
      <w:kern w:val="0"/>
      <w:szCs w:val="28"/>
    </w:rPr>
  </w:style>
  <w:style w:type="character" w:customStyle="1" w:styleId="116">
    <w:name w:val="meter-bar"/>
    <w:basedOn w:val="42"/>
    <w:qFormat/>
    <w:uiPriority w:val="0"/>
  </w:style>
  <w:style w:type="character" w:customStyle="1" w:styleId="117">
    <w:name w:val="【正文】 Char"/>
    <w:link w:val="82"/>
    <w:qFormat/>
    <w:uiPriority w:val="0"/>
    <w:rPr>
      <w:rFonts w:ascii="Times New Roman" w:hAnsi="Times New Roman"/>
      <w:kern w:val="0"/>
    </w:rPr>
  </w:style>
  <w:style w:type="character" w:customStyle="1" w:styleId="118">
    <w:name w:val="正文文本首行缩进 2 字符"/>
    <w:link w:val="39"/>
    <w:qFormat/>
    <w:uiPriority w:val="0"/>
    <w:rPr>
      <w:kern w:val="2"/>
      <w:sz w:val="21"/>
    </w:rPr>
  </w:style>
  <w:style w:type="character" w:customStyle="1" w:styleId="119">
    <w:name w:val="xl26 Char"/>
    <w:link w:val="67"/>
    <w:qFormat/>
    <w:uiPriority w:val="0"/>
    <w:rPr>
      <w:rFonts w:eastAsia="宋体"/>
      <w:sz w:val="21"/>
      <w:lang w:val="en-US" w:eastAsia="zh-CN" w:bidi="ar-SA"/>
    </w:rPr>
  </w:style>
  <w:style w:type="character" w:customStyle="1" w:styleId="120">
    <w:name w:val="正文(首行缩进) Char"/>
    <w:link w:val="110"/>
    <w:qFormat/>
    <w:uiPriority w:val="0"/>
    <w:rPr>
      <w:rFonts w:eastAsia="宋体"/>
      <w:snapToGrid w:val="0"/>
      <w:sz w:val="24"/>
      <w:lang w:val="en-US" w:eastAsia="zh-CN" w:bidi="ar-SA"/>
    </w:rPr>
  </w:style>
  <w:style w:type="character" w:customStyle="1" w:styleId="121">
    <w:name w:val="strength-txt"/>
    <w:basedOn w:val="42"/>
    <w:qFormat/>
    <w:uiPriority w:val="0"/>
  </w:style>
  <w:style w:type="character" w:customStyle="1" w:styleId="122">
    <w:name w:val="表格内-C 字符"/>
    <w:link w:val="65"/>
    <w:qFormat/>
    <w:locked/>
    <w:uiPriority w:val="0"/>
    <w:rPr>
      <w:kern w:val="2"/>
      <w:sz w:val="21"/>
    </w:rPr>
  </w:style>
  <w:style w:type="character" w:customStyle="1" w:styleId="123">
    <w:name w:val="样式16 Char Char"/>
    <w:link w:val="53"/>
    <w:qFormat/>
    <w:uiPriority w:val="0"/>
    <w:rPr>
      <w:rFonts w:eastAsia="宋体"/>
      <w:b/>
      <w:sz w:val="21"/>
      <w:lang w:bidi="ar-SA"/>
    </w:rPr>
  </w:style>
  <w:style w:type="character" w:customStyle="1" w:styleId="124">
    <w:name w:val="样式4 Char"/>
    <w:link w:val="77"/>
    <w:qFormat/>
    <w:uiPriority w:val="0"/>
    <w:rPr>
      <w:lang w:val="en-US" w:eastAsia="zh-CN" w:bidi="ar-SA"/>
    </w:rPr>
  </w:style>
  <w:style w:type="character" w:customStyle="1" w:styleId="125">
    <w:name w:val="_Style 124"/>
    <w:unhideWhenUsed/>
    <w:qFormat/>
    <w:uiPriority w:val="99"/>
    <w:rPr>
      <w:color w:val="605E5C"/>
      <w:shd w:val="clear" w:color="auto" w:fill="E1DFDD"/>
    </w:rPr>
  </w:style>
  <w:style w:type="character" w:customStyle="1" w:styleId="126">
    <w:name w:val="close4"/>
    <w:basedOn w:val="42"/>
    <w:qFormat/>
    <w:uiPriority w:val="0"/>
  </w:style>
  <w:style w:type="character" w:customStyle="1" w:styleId="127">
    <w:name w:val="正文文本 字符"/>
    <w:link w:val="14"/>
    <w:qFormat/>
    <w:uiPriority w:val="0"/>
    <w:rPr>
      <w:rFonts w:hint="eastAsia" w:ascii="宋体" w:hAnsi="宋体" w:eastAsia="宋体" w:cs="宋体"/>
      <w:sz w:val="28"/>
      <w:szCs w:val="28"/>
      <w:lang w:eastAsia="en-US"/>
    </w:rPr>
  </w:style>
  <w:style w:type="character" w:customStyle="1" w:styleId="128">
    <w:name w:val="close5"/>
    <w:basedOn w:val="42"/>
    <w:qFormat/>
    <w:uiPriority w:val="0"/>
  </w:style>
  <w:style w:type="character" w:customStyle="1" w:styleId="129">
    <w:name w:val="ask-title2"/>
    <w:qFormat/>
    <w:uiPriority w:val="0"/>
  </w:style>
  <w:style w:type="character" w:customStyle="1" w:styleId="130">
    <w:name w:val="样式29 Char"/>
    <w:link w:val="108"/>
    <w:qFormat/>
    <w:uiPriority w:val="0"/>
    <w:rPr>
      <w:kern w:val="2"/>
      <w:sz w:val="24"/>
      <w:szCs w:val="24"/>
      <w:lang w:bidi="ar-SA"/>
    </w:rPr>
  </w:style>
  <w:style w:type="character" w:customStyle="1" w:styleId="131">
    <w:name w:val="封面下方 Char"/>
    <w:link w:val="83"/>
    <w:qFormat/>
    <w:uiPriority w:val="0"/>
    <w:rPr>
      <w:rFonts w:eastAsia="黑体"/>
      <w:sz w:val="28"/>
      <w:lang w:val="en-US" w:eastAsia="zh-CN" w:bidi="ar-SA"/>
    </w:rPr>
  </w:style>
  <w:style w:type="character" w:customStyle="1" w:styleId="132">
    <w:name w:val="标题 1 字符"/>
    <w:link w:val="3"/>
    <w:qFormat/>
    <w:uiPriority w:val="0"/>
    <w:rPr>
      <w:b/>
      <w:kern w:val="44"/>
      <w:sz w:val="30"/>
      <w:szCs w:val="24"/>
    </w:rPr>
  </w:style>
  <w:style w:type="character" w:customStyle="1" w:styleId="133">
    <w:name w:val="表格文字 Char"/>
    <w:link w:val="87"/>
    <w:qFormat/>
    <w:uiPriority w:val="0"/>
    <w:rPr>
      <w:rFonts w:ascii="Times New Roman" w:hAnsi="Times New Roman" w:eastAsia="仿宋"/>
      <w:kern w:val="2"/>
      <w:sz w:val="24"/>
      <w:szCs w:val="24"/>
    </w:rPr>
  </w:style>
  <w:style w:type="character" w:customStyle="1" w:styleId="134">
    <w:name w:val="纯文本 字符"/>
    <w:link w:val="19"/>
    <w:qFormat/>
    <w:uiPriority w:val="0"/>
    <w:rPr>
      <w:rFonts w:ascii="宋体" w:hAnsi="Courier New" w:eastAsia="宋体"/>
      <w:kern w:val="2"/>
      <w:sz w:val="21"/>
      <w:szCs w:val="21"/>
      <w:lang w:bidi="ar-SA"/>
    </w:rPr>
  </w:style>
  <w:style w:type="character" w:customStyle="1" w:styleId="135">
    <w:name w:val="表格文字. Char"/>
    <w:link w:val="74"/>
    <w:qFormat/>
    <w:uiPriority w:val="0"/>
    <w:rPr>
      <w:snapToGrid w:val="0"/>
      <w:color w:val="000000"/>
      <w:sz w:val="21"/>
    </w:rPr>
  </w:style>
  <w:style w:type="character" w:customStyle="1" w:styleId="136">
    <w:name w:val="页眉 字符"/>
    <w:link w:val="24"/>
    <w:qFormat/>
    <w:uiPriority w:val="99"/>
    <w:rPr>
      <w:rFonts w:eastAsia="仿宋_GB2312"/>
      <w:kern w:val="2"/>
      <w:sz w:val="18"/>
      <w:szCs w:val="18"/>
      <w:lang w:val="en-US" w:eastAsia="zh-CN" w:bidi="ar-SA"/>
    </w:rPr>
  </w:style>
  <w:style w:type="character" w:customStyle="1" w:styleId="137">
    <w:name w:val="apple-converted-space"/>
    <w:qFormat/>
    <w:uiPriority w:val="0"/>
    <w:rPr>
      <w:rFonts w:ascii="宋体" w:hAnsi="宋体" w:cs="宋体"/>
      <w:szCs w:val="26"/>
    </w:rPr>
  </w:style>
  <w:style w:type="character" w:customStyle="1" w:styleId="138">
    <w:name w:val="标题 2 字符"/>
    <w:link w:val="4"/>
    <w:qFormat/>
    <w:uiPriority w:val="0"/>
    <w:rPr>
      <w:rFonts w:ascii="Times New Roman" w:hAnsi="Times New Roman" w:eastAsia="仿宋"/>
      <w:b/>
      <w:kern w:val="2"/>
      <w:sz w:val="28"/>
      <w:szCs w:val="24"/>
      <w:lang w:val="en-US" w:eastAsia="zh-CN" w:bidi="ar-SA"/>
    </w:rPr>
  </w:style>
  <w:style w:type="character" w:customStyle="1" w:styleId="139">
    <w:name w:val="正文文本缩进 字符"/>
    <w:link w:val="15"/>
    <w:qFormat/>
    <w:uiPriority w:val="0"/>
    <w:rPr>
      <w:kern w:val="2"/>
      <w:sz w:val="21"/>
    </w:rPr>
  </w:style>
  <w:style w:type="character" w:customStyle="1" w:styleId="140">
    <w:name w:val="font11"/>
    <w:qFormat/>
    <w:uiPriority w:val="0"/>
    <w:rPr>
      <w:rFonts w:hint="default" w:ascii="Times New Roman" w:hAnsi="Times New Roman" w:cs="Times New Roman"/>
      <w:color w:val="000000"/>
      <w:sz w:val="24"/>
      <w:szCs w:val="24"/>
      <w:u w:val="none"/>
    </w:rPr>
  </w:style>
  <w:style w:type="character" w:customStyle="1" w:styleId="141">
    <w:name w:val="apple-style-span"/>
    <w:qFormat/>
    <w:uiPriority w:val="0"/>
    <w:rPr>
      <w:rFonts w:ascii="宋体" w:hAnsi="宋体" w:cs="宋体"/>
      <w:szCs w:val="26"/>
    </w:rPr>
  </w:style>
  <w:style w:type="character" w:customStyle="1" w:styleId="142">
    <w:name w:val="正文缩进 字符"/>
    <w:link w:val="10"/>
    <w:qFormat/>
    <w:uiPriority w:val="0"/>
    <w:rPr>
      <w:rFonts w:hint="eastAsia" w:ascii="宋体" w:hAnsi="宋体" w:eastAsia="宋体" w:cs="宋体"/>
      <w:kern w:val="2"/>
      <w:sz w:val="24"/>
      <w:szCs w:val="26"/>
    </w:rPr>
  </w:style>
  <w:style w:type="character" w:customStyle="1" w:styleId="143">
    <w:name w:val="font21"/>
    <w:qFormat/>
    <w:uiPriority w:val="0"/>
    <w:rPr>
      <w:rFonts w:hint="eastAsia" w:ascii="仿宋" w:hAnsi="仿宋" w:eastAsia="仿宋" w:cs="仿宋"/>
      <w:color w:val="000000"/>
      <w:sz w:val="24"/>
      <w:szCs w:val="24"/>
      <w:u w:val="none"/>
    </w:rPr>
  </w:style>
  <w:style w:type="character" w:customStyle="1" w:styleId="144">
    <w:name w:val="标题5-C 字符"/>
    <w:link w:val="86"/>
    <w:qFormat/>
    <w:uiPriority w:val="0"/>
    <w:rPr>
      <w:rFonts w:eastAsia="黑体"/>
      <w:color w:val="00B050"/>
      <w:sz w:val="21"/>
    </w:rPr>
  </w:style>
  <w:style w:type="character" w:customStyle="1" w:styleId="145">
    <w:name w:val="副标题 字符"/>
    <w:link w:val="29"/>
    <w:qFormat/>
    <w:uiPriority w:val="11"/>
    <w:rPr>
      <w:bCs/>
      <w:kern w:val="28"/>
      <w:sz w:val="21"/>
      <w:szCs w:val="32"/>
    </w:rPr>
  </w:style>
  <w:style w:type="character" w:customStyle="1" w:styleId="146">
    <w:name w:val="报告正文 Char"/>
    <w:link w:val="61"/>
    <w:qFormat/>
    <w:uiPriority w:val="0"/>
    <w:rPr>
      <w:rFonts w:eastAsia="仿宋"/>
      <w:kern w:val="2"/>
      <w:sz w:val="28"/>
      <w:szCs w:val="24"/>
    </w:rPr>
  </w:style>
  <w:style w:type="character" w:customStyle="1" w:styleId="147">
    <w:name w:val="批注文字 字符"/>
    <w:link w:val="13"/>
    <w:qFormat/>
    <w:uiPriority w:val="0"/>
    <w:rPr>
      <w:rFonts w:eastAsia="仿宋"/>
      <w:kern w:val="2"/>
      <w:sz w:val="28"/>
      <w:szCs w:val="24"/>
    </w:rPr>
  </w:style>
  <w:style w:type="table" w:customStyle="1" w:styleId="148">
    <w:name w:val="Table Normal"/>
    <w:basedOn w:val="40"/>
    <w:semiHidden/>
    <w:qFormat/>
    <w:uiPriority w:val="0"/>
    <w:pPr>
      <w:widowControl w:val="0"/>
    </w:pPr>
    <w:rPr>
      <w:rFonts w:ascii="Calibri" w:hAnsi="Calibri"/>
      <w:sz w:val="22"/>
      <w:szCs w:val="22"/>
      <w:lang w:eastAsia="en-US"/>
    </w:rPr>
    <w:tblPr>
      <w:tblCellMar>
        <w:left w:w="0" w:type="dxa"/>
        <w:right w:w="0" w:type="dxa"/>
      </w:tblCellMar>
    </w:tblPr>
  </w:style>
  <w:style w:type="character" w:customStyle="1" w:styleId="149">
    <w:name w:val="页脚 字符"/>
    <w:basedOn w:val="42"/>
    <w:link w:val="23"/>
    <w:qFormat/>
    <w:uiPriority w:val="99"/>
    <w:rPr>
      <w:rFonts w:eastAsia="仿宋"/>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5" Type="http://schemas.openxmlformats.org/officeDocument/2006/relationships/fontTable" Target="fontTable.xml"/><Relationship Id="rId44" Type="http://schemas.openxmlformats.org/officeDocument/2006/relationships/customXml" Target="../customXml/item2.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12.jpeg"/><Relationship Id="rId40" Type="http://schemas.openxmlformats.org/officeDocument/2006/relationships/image" Target="media/image11.jpeg"/><Relationship Id="rId4" Type="http://schemas.openxmlformats.org/officeDocument/2006/relationships/header" Target="header2.xml"/><Relationship Id="rId39" Type="http://schemas.openxmlformats.org/officeDocument/2006/relationships/image" Target="media/image10.jpeg"/><Relationship Id="rId38" Type="http://schemas.openxmlformats.org/officeDocument/2006/relationships/image" Target="media/image9.jpeg"/><Relationship Id="rId37" Type="http://schemas.openxmlformats.org/officeDocument/2006/relationships/image" Target="media/image8.jpeg"/><Relationship Id="rId36" Type="http://schemas.openxmlformats.org/officeDocument/2006/relationships/image" Target="media/image7.emf"/><Relationship Id="rId35" Type="http://schemas.openxmlformats.org/officeDocument/2006/relationships/image" Target="media/image6.emf"/><Relationship Id="rId34" Type="http://schemas.openxmlformats.org/officeDocument/2006/relationships/image" Target="media/image5.jpeg"/><Relationship Id="rId33" Type="http://schemas.openxmlformats.org/officeDocument/2006/relationships/image" Target="media/image4.jpeg"/><Relationship Id="rId32" Type="http://schemas.openxmlformats.org/officeDocument/2006/relationships/image" Target="media/image3.jpeg"/><Relationship Id="rId31" Type="http://schemas.openxmlformats.org/officeDocument/2006/relationships/image" Target="media/image2.jpeg"/><Relationship Id="rId30" Type="http://schemas.openxmlformats.org/officeDocument/2006/relationships/image" Target="media/image1.jpeg"/><Relationship Id="rId3" Type="http://schemas.openxmlformats.org/officeDocument/2006/relationships/header" Target="header1.xml"/><Relationship Id="rId29" Type="http://schemas.openxmlformats.org/officeDocument/2006/relationships/theme" Target="theme/theme1.xml"/><Relationship Id="rId28" Type="http://schemas.openxmlformats.org/officeDocument/2006/relationships/footer" Target="footer21.xml"/><Relationship Id="rId27" Type="http://schemas.openxmlformats.org/officeDocument/2006/relationships/footer" Target="footer20.xml"/><Relationship Id="rId26" Type="http://schemas.openxmlformats.org/officeDocument/2006/relationships/footer" Target="footer19.xml"/><Relationship Id="rId25" Type="http://schemas.openxmlformats.org/officeDocument/2006/relationships/footer" Target="footer18.xml"/><Relationship Id="rId24" Type="http://schemas.openxmlformats.org/officeDocument/2006/relationships/footer" Target="footer17.xml"/><Relationship Id="rId23" Type="http://schemas.openxmlformats.org/officeDocument/2006/relationships/footer" Target="footer16.xml"/><Relationship Id="rId22" Type="http://schemas.openxmlformats.org/officeDocument/2006/relationships/footer" Target="footer15.xml"/><Relationship Id="rId21" Type="http://schemas.openxmlformats.org/officeDocument/2006/relationships/footer" Target="footer14.xml"/><Relationship Id="rId20" Type="http://schemas.openxmlformats.org/officeDocument/2006/relationships/footer" Target="footer13.xml"/><Relationship Id="rId2" Type="http://schemas.openxmlformats.org/officeDocument/2006/relationships/settings" Target="settings.xml"/><Relationship Id="rId19" Type="http://schemas.openxmlformats.org/officeDocument/2006/relationships/footer" Target="footer12.xml"/><Relationship Id="rId18" Type="http://schemas.openxmlformats.org/officeDocument/2006/relationships/footer" Target="footer11.xml"/><Relationship Id="rId17" Type="http://schemas.openxmlformats.org/officeDocument/2006/relationships/footer" Target="footer10.xml"/><Relationship Id="rId16" Type="http://schemas.openxmlformats.org/officeDocument/2006/relationships/footer" Target="footer9.xml"/><Relationship Id="rId15" Type="http://schemas.openxmlformats.org/officeDocument/2006/relationships/footer" Target="footer8.xml"/><Relationship Id="rId14" Type="http://schemas.openxmlformats.org/officeDocument/2006/relationships/header" Target="header5.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54F2D50-6B48-4541-8B15-66E644B31C5E}">
  <ds:schemaRefs/>
</ds:datastoreItem>
</file>

<file path=docProps/app.xml><?xml version="1.0" encoding="utf-8"?>
<Properties xmlns="http://schemas.openxmlformats.org/officeDocument/2006/extended-properties" xmlns:vt="http://schemas.openxmlformats.org/officeDocument/2006/docPropsVTypes">
  <Template>Normal</Template>
  <Company>信念技术论坛</Company>
  <Pages>107</Pages>
  <Words>9818</Words>
  <Characters>55964</Characters>
  <Lines>466</Lines>
  <Paragraphs>131</Paragraphs>
  <TotalTime>0</TotalTime>
  <ScaleCrop>false</ScaleCrop>
  <LinksUpToDate>false</LinksUpToDate>
  <CharactersWithSpaces>65651</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2017-09-21T09:53:00Z</dcterms:created>
  <dc:creator>User</dc:creator>
  <cp:lastModifiedBy>殿下SAMA</cp:lastModifiedBy>
  <cp:lastPrinted>2021-01-27T03:17:49Z</cp:lastPrinted>
  <dcterms:modified xsi:type="dcterms:W3CDTF">2021-01-27T03:18:36Z</dcterms:modified>
  <dc:title>第一章 总则</dc:title>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