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ind w:firstLine="640"/>
        <w:rPr>
          <w:rFonts w:hint="default" w:ascii="Times New Roman" w:hAnsi="Times New Roman" w:eastAsia="仿宋" w:cs="Times New Roman"/>
          <w:color w:val="auto"/>
        </w:rPr>
      </w:pPr>
    </w:p>
    <w:p>
      <w:pPr>
        <w:pStyle w:val="7"/>
        <w:ind w:firstLine="640"/>
        <w:rPr>
          <w:rFonts w:hint="default" w:ascii="Times New Roman" w:hAnsi="Times New Roman" w:eastAsia="仿宋" w:cs="Times New Roman"/>
          <w:color w:val="auto"/>
        </w:rPr>
      </w:pPr>
    </w:p>
    <w:p>
      <w:pPr>
        <w:pStyle w:val="7"/>
        <w:ind w:firstLine="640"/>
        <w:rPr>
          <w:rFonts w:hint="default" w:ascii="Times New Roman" w:hAnsi="Times New Roman" w:eastAsia="仿宋" w:cs="Times New Roman"/>
          <w:color w:val="auto"/>
        </w:rPr>
      </w:pPr>
    </w:p>
    <w:p>
      <w:pPr>
        <w:pStyle w:val="7"/>
        <w:ind w:firstLine="640"/>
        <w:rPr>
          <w:rFonts w:hint="default" w:ascii="Times New Roman" w:hAnsi="Times New Roman" w:eastAsia="仿宋" w:cs="Times New Roman"/>
          <w:color w:val="auto"/>
        </w:rPr>
      </w:pPr>
    </w:p>
    <w:p>
      <w:pPr>
        <w:pStyle w:val="7"/>
        <w:ind w:firstLine="640"/>
        <w:rPr>
          <w:rFonts w:hint="default" w:ascii="Times New Roman" w:hAnsi="Times New Roman" w:eastAsia="仿宋" w:cs="Times New Roman"/>
          <w:color w:val="auto"/>
        </w:rPr>
      </w:pPr>
    </w:p>
    <w:p>
      <w:pPr>
        <w:pStyle w:val="17"/>
        <w:tabs>
          <w:tab w:val="right" w:leader="dot" w:pos="9174"/>
        </w:tabs>
        <w:spacing w:line="360" w:lineRule="auto"/>
        <w:jc w:val="center"/>
        <w:rPr>
          <w:rFonts w:hint="default" w:ascii="Times New Roman" w:hAnsi="Times New Roman" w:eastAsia="仿宋" w:cs="Times New Roman"/>
          <w:b/>
          <w:color w:val="auto"/>
          <w:sz w:val="44"/>
          <w:szCs w:val="44"/>
          <w:lang w:eastAsia="zh-CN"/>
        </w:rPr>
      </w:pPr>
      <w:r>
        <w:rPr>
          <w:rFonts w:hint="eastAsia" w:eastAsia="仿宋" w:cs="Times New Roman"/>
          <w:b/>
          <w:color w:val="auto"/>
          <w:sz w:val="44"/>
          <w:szCs w:val="44"/>
          <w:lang w:eastAsia="zh-CN"/>
        </w:rPr>
        <w:t>陕西勇轩建材有限公司</w:t>
      </w:r>
    </w:p>
    <w:p>
      <w:pPr>
        <w:pStyle w:val="17"/>
        <w:tabs>
          <w:tab w:val="right" w:leader="dot" w:pos="9174"/>
        </w:tabs>
        <w:spacing w:line="360" w:lineRule="auto"/>
        <w:jc w:val="center"/>
        <w:rPr>
          <w:rFonts w:hint="default" w:ascii="Times New Roman" w:hAnsi="Times New Roman" w:eastAsia="仿宋" w:cs="Times New Roman"/>
          <w:b/>
          <w:color w:val="auto"/>
          <w:sz w:val="36"/>
          <w:szCs w:val="36"/>
        </w:rPr>
      </w:pPr>
      <w:r>
        <w:rPr>
          <w:rFonts w:hint="default" w:ascii="Times New Roman" w:hAnsi="Times New Roman" w:eastAsia="仿宋" w:cs="Times New Roman"/>
          <w:b/>
          <w:color w:val="auto"/>
          <w:sz w:val="44"/>
          <w:szCs w:val="44"/>
        </w:rPr>
        <w:t>突发环境事件风险评估报告</w:t>
      </w: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rPr>
          <w:rFonts w:hint="default" w:ascii="Times New Roman" w:hAnsi="Times New Roman" w:eastAsia="仿宋" w:cs="Times New Roman"/>
          <w:color w:val="auto"/>
          <w:sz w:val="32"/>
          <w:szCs w:val="32"/>
        </w:rPr>
      </w:pPr>
    </w:p>
    <w:p>
      <w:pPr>
        <w:pStyle w:val="7"/>
        <w:ind w:firstLine="640"/>
        <w:rPr>
          <w:rFonts w:hint="default" w:ascii="Times New Roman" w:hAnsi="Times New Roman" w:eastAsia="仿宋" w:cs="Times New Roman"/>
          <w:color w:val="auto"/>
        </w:rPr>
      </w:pPr>
    </w:p>
    <w:p>
      <w:pPr>
        <w:pStyle w:val="17"/>
        <w:tabs>
          <w:tab w:val="right" w:leader="dot" w:pos="9174"/>
        </w:tabs>
        <w:spacing w:line="360" w:lineRule="auto"/>
        <w:jc w:val="center"/>
        <w:rPr>
          <w:rFonts w:hint="default" w:ascii="Times New Roman" w:hAnsi="Times New Roman" w:eastAsia="仿宋" w:cs="Times New Roman"/>
          <w:color w:val="auto"/>
          <w:sz w:val="32"/>
          <w:szCs w:val="32"/>
        </w:rPr>
      </w:pPr>
    </w:p>
    <w:p>
      <w:pPr>
        <w:rPr>
          <w:rFonts w:hint="default" w:ascii="Times New Roman" w:hAnsi="Times New Roman" w:eastAsia="仿宋" w:cs="Times New Roman"/>
          <w:color w:val="auto"/>
        </w:rPr>
      </w:pPr>
    </w:p>
    <w:p>
      <w:pPr>
        <w:pStyle w:val="17"/>
        <w:tabs>
          <w:tab w:val="right" w:leader="dot" w:pos="9174"/>
        </w:tabs>
        <w:spacing w:line="360" w:lineRule="auto"/>
        <w:jc w:val="center"/>
        <w:rPr>
          <w:rFonts w:hint="default" w:ascii="Times New Roman" w:hAnsi="Times New Roman" w:eastAsia="仿宋" w:cs="Times New Roman"/>
          <w:color w:val="auto"/>
          <w:sz w:val="32"/>
          <w:szCs w:val="32"/>
          <w:lang w:eastAsia="zh-CN"/>
        </w:rPr>
      </w:pPr>
      <w:r>
        <w:rPr>
          <w:rFonts w:hint="eastAsia" w:eastAsia="仿宋" w:cs="Times New Roman"/>
          <w:b/>
          <w:color w:val="auto"/>
          <w:sz w:val="36"/>
          <w:szCs w:val="36"/>
          <w:lang w:eastAsia="zh-CN"/>
        </w:rPr>
        <w:t>陕西勇轩建材有限公司</w:t>
      </w:r>
    </w:p>
    <w:p>
      <w:pPr>
        <w:pStyle w:val="17"/>
        <w:tabs>
          <w:tab w:val="right" w:leader="dot" w:pos="9174"/>
        </w:tabs>
        <w:spacing w:line="360" w:lineRule="auto"/>
        <w:jc w:val="center"/>
        <w:rPr>
          <w:rFonts w:hint="default" w:ascii="Times New Roman" w:hAnsi="Times New Roman" w:eastAsia="仿宋" w:cs="Times New Roman"/>
          <w:b/>
          <w:color w:val="auto"/>
          <w:sz w:val="36"/>
          <w:szCs w:val="36"/>
        </w:rPr>
        <w:sectPr>
          <w:headerReference r:id="rId3" w:type="default"/>
          <w:footerReference r:id="rId4" w:type="default"/>
          <w:pgSz w:w="11906" w:h="16838"/>
          <w:pgMar w:top="1440" w:right="1800" w:bottom="1440" w:left="1800" w:header="851" w:footer="992" w:gutter="0"/>
          <w:pgNumType w:fmt="decimal"/>
          <w:cols w:space="720" w:num="1"/>
          <w:docGrid w:type="lines" w:linePitch="312" w:charSpace="0"/>
        </w:sectPr>
      </w:pPr>
      <w:r>
        <w:rPr>
          <w:rFonts w:hint="default" w:ascii="Times New Roman" w:hAnsi="Times New Roman" w:eastAsia="仿宋" w:cs="Times New Roman"/>
          <w:b/>
          <w:color w:val="auto"/>
          <w:sz w:val="36"/>
          <w:szCs w:val="36"/>
        </w:rPr>
        <w:t>20</w:t>
      </w:r>
      <w:r>
        <w:rPr>
          <w:rFonts w:hint="default" w:ascii="Times New Roman" w:hAnsi="Times New Roman" w:eastAsia="仿宋" w:cs="Times New Roman"/>
          <w:b/>
          <w:color w:val="auto"/>
          <w:sz w:val="36"/>
          <w:szCs w:val="36"/>
          <w:lang w:val="en-US" w:eastAsia="zh-CN"/>
        </w:rPr>
        <w:t>20</w:t>
      </w:r>
      <w:r>
        <w:rPr>
          <w:rFonts w:hint="default" w:ascii="Times New Roman" w:hAnsi="Times New Roman" w:eastAsia="仿宋" w:cs="Times New Roman"/>
          <w:b/>
          <w:color w:val="auto"/>
          <w:sz w:val="36"/>
          <w:szCs w:val="36"/>
        </w:rPr>
        <w:t>年</w:t>
      </w:r>
      <w:r>
        <w:rPr>
          <w:rFonts w:hint="eastAsia" w:eastAsia="仿宋" w:cs="Times New Roman"/>
          <w:b/>
          <w:color w:val="auto"/>
          <w:sz w:val="36"/>
          <w:szCs w:val="36"/>
          <w:lang w:val="en-US" w:eastAsia="zh-CN"/>
        </w:rPr>
        <w:t>12</w:t>
      </w:r>
      <w:r>
        <w:rPr>
          <w:rFonts w:hint="default" w:ascii="Times New Roman" w:hAnsi="Times New Roman" w:eastAsia="仿宋" w:cs="Times New Roman"/>
          <w:b/>
          <w:color w:val="auto"/>
          <w:sz w:val="36"/>
          <w:szCs w:val="36"/>
        </w:rPr>
        <w:t>月</w:t>
      </w:r>
    </w:p>
    <w:p>
      <w:pPr>
        <w:rPr>
          <w:rFonts w:hint="default" w:ascii="Times New Roman" w:hAnsi="Times New Roman" w:eastAsia="仿宋" w:cs="Times New Roman"/>
          <w:color w:val="auto"/>
        </w:rPr>
        <w:sectPr>
          <w:pgSz w:w="11906" w:h="16838"/>
          <w:pgMar w:top="1440" w:right="1800" w:bottom="1440" w:left="1800" w:header="851" w:footer="992" w:gutter="0"/>
          <w:pgNumType w:fmt="decimal"/>
          <w:cols w:space="720" w:num="1"/>
          <w:docGrid w:type="lines" w:linePitch="312" w:charSpace="0"/>
        </w:sectPr>
      </w:pPr>
    </w:p>
    <w:p>
      <w:pPr>
        <w:topLinePunct/>
        <w:adjustRightInd w:val="0"/>
        <w:snapToGrid w:val="0"/>
        <w:spacing w:line="360" w:lineRule="auto"/>
        <w:ind w:right="1160"/>
        <w:jc w:val="center"/>
        <w:rPr>
          <w:rFonts w:hint="default" w:ascii="Times New Roman" w:hAnsi="Times New Roman" w:eastAsia="仿宋" w:cs="Times New Roman"/>
          <w:b/>
          <w:snapToGrid w:val="0"/>
          <w:color w:val="auto"/>
          <w:kern w:val="0"/>
          <w:sz w:val="36"/>
        </w:rPr>
      </w:pPr>
      <w:r>
        <w:rPr>
          <w:rFonts w:hint="default" w:ascii="Times New Roman" w:hAnsi="Times New Roman" w:eastAsia="仿宋" w:cs="Times New Roman"/>
          <w:b/>
          <w:snapToGrid w:val="0"/>
          <w:color w:val="auto"/>
          <w:kern w:val="0"/>
          <w:sz w:val="36"/>
        </w:rPr>
        <w:t>目  录</w:t>
      </w:r>
    </w:p>
    <w:p>
      <w:pPr>
        <w:pStyle w:val="17"/>
        <w:tabs>
          <w:tab w:val="right" w:leader="dot" w:pos="8618"/>
        </w:tabs>
        <w:rPr>
          <w:color w:val="auto"/>
          <w:sz w:val="28"/>
          <w:szCs w:val="28"/>
        </w:rPr>
      </w:pPr>
      <w:r>
        <w:rPr>
          <w:rFonts w:hint="default" w:ascii="Times New Roman" w:hAnsi="Times New Roman" w:eastAsia="仿宋" w:cs="Times New Roman"/>
          <w:b/>
          <w:bCs/>
          <w:color w:val="auto"/>
          <w:sz w:val="28"/>
          <w:szCs w:val="28"/>
        </w:rPr>
        <w:fldChar w:fldCharType="begin"/>
      </w:r>
      <w:r>
        <w:rPr>
          <w:rFonts w:hint="default" w:ascii="Times New Roman" w:hAnsi="Times New Roman" w:eastAsia="仿宋" w:cs="Times New Roman"/>
          <w:b/>
          <w:bCs/>
          <w:color w:val="auto"/>
          <w:sz w:val="28"/>
          <w:szCs w:val="28"/>
        </w:rPr>
        <w:instrText xml:space="preserve">TOC \o "1-2" \h \u </w:instrText>
      </w:r>
      <w:r>
        <w:rPr>
          <w:rFonts w:hint="default" w:ascii="Times New Roman" w:hAnsi="Times New Roman" w:eastAsia="仿宋" w:cs="Times New Roman"/>
          <w:b/>
          <w:bCs/>
          <w:color w:val="auto"/>
          <w:sz w:val="28"/>
          <w:szCs w:val="28"/>
        </w:rPr>
        <w:fldChar w:fldCharType="separate"/>
      </w: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_Toc9169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snapToGrid w:val="0"/>
          <w:color w:val="auto"/>
          <w:kern w:val="0"/>
          <w:sz w:val="28"/>
          <w:szCs w:val="28"/>
        </w:rPr>
        <w:t>1、前言</w:t>
      </w:r>
      <w:r>
        <w:rPr>
          <w:color w:val="auto"/>
          <w:sz w:val="28"/>
          <w:szCs w:val="28"/>
        </w:rPr>
        <w:tab/>
      </w:r>
      <w:r>
        <w:rPr>
          <w:color w:val="auto"/>
          <w:sz w:val="28"/>
          <w:szCs w:val="28"/>
        </w:rPr>
        <w:fldChar w:fldCharType="begin"/>
      </w:r>
      <w:r>
        <w:rPr>
          <w:color w:val="auto"/>
          <w:sz w:val="28"/>
          <w:szCs w:val="28"/>
        </w:rPr>
        <w:instrText xml:space="preserve"> PAGEREF _Toc9169 </w:instrText>
      </w:r>
      <w:r>
        <w:rPr>
          <w:color w:val="auto"/>
          <w:sz w:val="28"/>
          <w:szCs w:val="28"/>
        </w:rPr>
        <w:fldChar w:fldCharType="separate"/>
      </w:r>
      <w:r>
        <w:rPr>
          <w:color w:val="auto"/>
          <w:sz w:val="28"/>
          <w:szCs w:val="28"/>
        </w:rPr>
        <w:t>1</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_Toc5429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snapToGrid w:val="0"/>
          <w:color w:val="auto"/>
          <w:kern w:val="0"/>
          <w:sz w:val="28"/>
          <w:szCs w:val="28"/>
        </w:rPr>
        <w:t>2、总则</w:t>
      </w:r>
      <w:r>
        <w:rPr>
          <w:color w:val="auto"/>
          <w:sz w:val="28"/>
          <w:szCs w:val="28"/>
        </w:rPr>
        <w:tab/>
      </w:r>
      <w:r>
        <w:rPr>
          <w:color w:val="auto"/>
          <w:sz w:val="28"/>
          <w:szCs w:val="28"/>
        </w:rPr>
        <w:fldChar w:fldCharType="begin"/>
      </w:r>
      <w:r>
        <w:rPr>
          <w:color w:val="auto"/>
          <w:sz w:val="28"/>
          <w:szCs w:val="28"/>
        </w:rPr>
        <w:instrText xml:space="preserve"> PAGEREF _Toc5429 </w:instrText>
      </w:r>
      <w:r>
        <w:rPr>
          <w:color w:val="auto"/>
          <w:sz w:val="28"/>
          <w:szCs w:val="28"/>
        </w:rPr>
        <w:fldChar w:fldCharType="separate"/>
      </w:r>
      <w:r>
        <w:rPr>
          <w:color w:val="auto"/>
          <w:sz w:val="28"/>
          <w:szCs w:val="28"/>
        </w:rPr>
        <w:t>2</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_Toc28686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2.1编制原则</w:t>
      </w:r>
      <w:r>
        <w:rPr>
          <w:color w:val="auto"/>
          <w:sz w:val="28"/>
          <w:szCs w:val="28"/>
        </w:rPr>
        <w:tab/>
      </w:r>
      <w:r>
        <w:rPr>
          <w:color w:val="auto"/>
          <w:sz w:val="28"/>
          <w:szCs w:val="28"/>
        </w:rPr>
        <w:fldChar w:fldCharType="begin"/>
      </w:r>
      <w:r>
        <w:rPr>
          <w:color w:val="auto"/>
          <w:sz w:val="28"/>
          <w:szCs w:val="28"/>
        </w:rPr>
        <w:instrText xml:space="preserve"> PAGEREF _Toc28686 </w:instrText>
      </w:r>
      <w:r>
        <w:rPr>
          <w:color w:val="auto"/>
          <w:sz w:val="28"/>
          <w:szCs w:val="28"/>
        </w:rPr>
        <w:fldChar w:fldCharType="separate"/>
      </w:r>
      <w:r>
        <w:rPr>
          <w:color w:val="auto"/>
          <w:sz w:val="28"/>
          <w:szCs w:val="28"/>
        </w:rPr>
        <w:t>2</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_Toc29223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2.2编制依据</w:t>
      </w:r>
      <w:r>
        <w:rPr>
          <w:color w:val="auto"/>
          <w:sz w:val="28"/>
          <w:szCs w:val="28"/>
        </w:rPr>
        <w:tab/>
      </w:r>
      <w:r>
        <w:rPr>
          <w:color w:val="auto"/>
          <w:sz w:val="28"/>
          <w:szCs w:val="28"/>
        </w:rPr>
        <w:fldChar w:fldCharType="begin"/>
      </w:r>
      <w:r>
        <w:rPr>
          <w:color w:val="auto"/>
          <w:sz w:val="28"/>
          <w:szCs w:val="28"/>
        </w:rPr>
        <w:instrText xml:space="preserve"> PAGEREF _Toc29223 </w:instrText>
      </w:r>
      <w:r>
        <w:rPr>
          <w:color w:val="auto"/>
          <w:sz w:val="28"/>
          <w:szCs w:val="28"/>
        </w:rPr>
        <w:fldChar w:fldCharType="separate"/>
      </w:r>
      <w:r>
        <w:rPr>
          <w:color w:val="auto"/>
          <w:sz w:val="28"/>
          <w:szCs w:val="28"/>
        </w:rPr>
        <w:t>2</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_Toc5346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2.3评估范围</w:t>
      </w:r>
      <w:r>
        <w:rPr>
          <w:color w:val="auto"/>
          <w:sz w:val="28"/>
          <w:szCs w:val="28"/>
        </w:rPr>
        <w:tab/>
      </w:r>
      <w:r>
        <w:rPr>
          <w:color w:val="auto"/>
          <w:sz w:val="28"/>
          <w:szCs w:val="28"/>
        </w:rPr>
        <w:fldChar w:fldCharType="begin"/>
      </w:r>
      <w:r>
        <w:rPr>
          <w:color w:val="auto"/>
          <w:sz w:val="28"/>
          <w:szCs w:val="28"/>
        </w:rPr>
        <w:instrText xml:space="preserve"> PAGEREF _Toc5346 </w:instrText>
      </w:r>
      <w:r>
        <w:rPr>
          <w:color w:val="auto"/>
          <w:sz w:val="28"/>
          <w:szCs w:val="28"/>
        </w:rPr>
        <w:fldChar w:fldCharType="separate"/>
      </w:r>
      <w:r>
        <w:rPr>
          <w:color w:val="auto"/>
          <w:sz w:val="28"/>
          <w:szCs w:val="28"/>
        </w:rPr>
        <w:t>5</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_Toc20174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2.4突发环境事件风险评估程序</w:t>
      </w:r>
      <w:r>
        <w:rPr>
          <w:color w:val="auto"/>
          <w:sz w:val="28"/>
          <w:szCs w:val="28"/>
        </w:rPr>
        <w:tab/>
      </w:r>
      <w:r>
        <w:rPr>
          <w:color w:val="auto"/>
          <w:sz w:val="28"/>
          <w:szCs w:val="28"/>
        </w:rPr>
        <w:fldChar w:fldCharType="begin"/>
      </w:r>
      <w:r>
        <w:rPr>
          <w:color w:val="auto"/>
          <w:sz w:val="28"/>
          <w:szCs w:val="28"/>
        </w:rPr>
        <w:instrText xml:space="preserve"> PAGEREF _Toc20174 </w:instrText>
      </w:r>
      <w:r>
        <w:rPr>
          <w:color w:val="auto"/>
          <w:sz w:val="28"/>
          <w:szCs w:val="28"/>
        </w:rPr>
        <w:fldChar w:fldCharType="separate"/>
      </w:r>
      <w:r>
        <w:rPr>
          <w:color w:val="auto"/>
          <w:sz w:val="28"/>
          <w:szCs w:val="28"/>
        </w:rPr>
        <w:t>5</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_Toc8989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snapToGrid w:val="0"/>
          <w:color w:val="auto"/>
          <w:kern w:val="0"/>
          <w:sz w:val="28"/>
          <w:szCs w:val="28"/>
        </w:rPr>
        <w:t>3、资料准备与环境风险识别</w:t>
      </w:r>
      <w:r>
        <w:rPr>
          <w:color w:val="auto"/>
          <w:sz w:val="28"/>
          <w:szCs w:val="28"/>
        </w:rPr>
        <w:tab/>
      </w:r>
      <w:r>
        <w:rPr>
          <w:color w:val="auto"/>
          <w:sz w:val="28"/>
          <w:szCs w:val="28"/>
        </w:rPr>
        <w:fldChar w:fldCharType="begin"/>
      </w:r>
      <w:r>
        <w:rPr>
          <w:color w:val="auto"/>
          <w:sz w:val="28"/>
          <w:szCs w:val="28"/>
        </w:rPr>
        <w:instrText xml:space="preserve"> PAGEREF _Toc8989 </w:instrText>
      </w:r>
      <w:r>
        <w:rPr>
          <w:color w:val="auto"/>
          <w:sz w:val="28"/>
          <w:szCs w:val="28"/>
        </w:rPr>
        <w:fldChar w:fldCharType="separate"/>
      </w:r>
      <w:r>
        <w:rPr>
          <w:color w:val="auto"/>
          <w:sz w:val="28"/>
          <w:szCs w:val="28"/>
        </w:rPr>
        <w:t>6</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_Toc9898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3.1企业基本信息</w:t>
      </w:r>
      <w:r>
        <w:rPr>
          <w:color w:val="auto"/>
          <w:sz w:val="28"/>
          <w:szCs w:val="28"/>
        </w:rPr>
        <w:tab/>
      </w:r>
      <w:r>
        <w:rPr>
          <w:color w:val="auto"/>
          <w:sz w:val="28"/>
          <w:szCs w:val="28"/>
        </w:rPr>
        <w:fldChar w:fldCharType="begin"/>
      </w:r>
      <w:r>
        <w:rPr>
          <w:color w:val="auto"/>
          <w:sz w:val="28"/>
          <w:szCs w:val="28"/>
        </w:rPr>
        <w:instrText xml:space="preserve"> PAGEREF _Toc9898 </w:instrText>
      </w:r>
      <w:r>
        <w:rPr>
          <w:color w:val="auto"/>
          <w:sz w:val="28"/>
          <w:szCs w:val="28"/>
        </w:rPr>
        <w:fldChar w:fldCharType="separate"/>
      </w:r>
      <w:r>
        <w:rPr>
          <w:color w:val="auto"/>
          <w:sz w:val="28"/>
          <w:szCs w:val="28"/>
        </w:rPr>
        <w:t>6</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_Toc18052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3.2自然地理概况</w:t>
      </w:r>
      <w:r>
        <w:rPr>
          <w:color w:val="auto"/>
          <w:sz w:val="28"/>
          <w:szCs w:val="28"/>
        </w:rPr>
        <w:tab/>
      </w:r>
      <w:r>
        <w:rPr>
          <w:color w:val="auto"/>
          <w:sz w:val="28"/>
          <w:szCs w:val="28"/>
        </w:rPr>
        <w:fldChar w:fldCharType="begin"/>
      </w:r>
      <w:r>
        <w:rPr>
          <w:color w:val="auto"/>
          <w:sz w:val="28"/>
          <w:szCs w:val="28"/>
        </w:rPr>
        <w:instrText xml:space="preserve"> PAGEREF _Toc18052 </w:instrText>
      </w:r>
      <w:r>
        <w:rPr>
          <w:color w:val="auto"/>
          <w:sz w:val="28"/>
          <w:szCs w:val="28"/>
        </w:rPr>
        <w:fldChar w:fldCharType="separate"/>
      </w:r>
      <w:r>
        <w:rPr>
          <w:color w:val="auto"/>
          <w:sz w:val="28"/>
          <w:szCs w:val="28"/>
        </w:rPr>
        <w:t>7</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_Toc9123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3.3企业周边环境风险受体情况</w:t>
      </w:r>
      <w:r>
        <w:rPr>
          <w:color w:val="auto"/>
          <w:sz w:val="28"/>
          <w:szCs w:val="28"/>
        </w:rPr>
        <w:tab/>
      </w:r>
      <w:r>
        <w:rPr>
          <w:color w:val="auto"/>
          <w:sz w:val="28"/>
          <w:szCs w:val="28"/>
        </w:rPr>
        <w:fldChar w:fldCharType="begin"/>
      </w:r>
      <w:r>
        <w:rPr>
          <w:color w:val="auto"/>
          <w:sz w:val="28"/>
          <w:szCs w:val="28"/>
        </w:rPr>
        <w:instrText xml:space="preserve"> PAGEREF _Toc9123 </w:instrText>
      </w:r>
      <w:r>
        <w:rPr>
          <w:color w:val="auto"/>
          <w:sz w:val="28"/>
          <w:szCs w:val="28"/>
        </w:rPr>
        <w:fldChar w:fldCharType="separate"/>
      </w:r>
      <w:r>
        <w:rPr>
          <w:color w:val="auto"/>
          <w:sz w:val="28"/>
          <w:szCs w:val="28"/>
        </w:rPr>
        <w:t>10</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_Toc25009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3.4涉及的环境风险物质</w:t>
      </w:r>
      <w:r>
        <w:rPr>
          <w:color w:val="auto"/>
          <w:sz w:val="28"/>
          <w:szCs w:val="28"/>
        </w:rPr>
        <w:tab/>
      </w:r>
      <w:r>
        <w:rPr>
          <w:color w:val="auto"/>
          <w:sz w:val="28"/>
          <w:szCs w:val="28"/>
        </w:rPr>
        <w:fldChar w:fldCharType="begin"/>
      </w:r>
      <w:r>
        <w:rPr>
          <w:color w:val="auto"/>
          <w:sz w:val="28"/>
          <w:szCs w:val="28"/>
        </w:rPr>
        <w:instrText xml:space="preserve"> PAGEREF _Toc25009 </w:instrText>
      </w:r>
      <w:r>
        <w:rPr>
          <w:color w:val="auto"/>
          <w:sz w:val="28"/>
          <w:szCs w:val="28"/>
        </w:rPr>
        <w:fldChar w:fldCharType="separate"/>
      </w:r>
      <w:r>
        <w:rPr>
          <w:color w:val="auto"/>
          <w:sz w:val="28"/>
          <w:szCs w:val="28"/>
        </w:rPr>
        <w:t>13</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_Toc17652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3.5工艺流程</w:t>
      </w:r>
      <w:r>
        <w:rPr>
          <w:color w:val="auto"/>
          <w:sz w:val="28"/>
          <w:szCs w:val="28"/>
        </w:rPr>
        <w:tab/>
      </w:r>
      <w:r>
        <w:rPr>
          <w:color w:val="auto"/>
          <w:sz w:val="28"/>
          <w:szCs w:val="28"/>
        </w:rPr>
        <w:fldChar w:fldCharType="begin"/>
      </w:r>
      <w:r>
        <w:rPr>
          <w:color w:val="auto"/>
          <w:sz w:val="28"/>
          <w:szCs w:val="28"/>
        </w:rPr>
        <w:instrText xml:space="preserve"> PAGEREF _Toc17652 </w:instrText>
      </w:r>
      <w:r>
        <w:rPr>
          <w:color w:val="auto"/>
          <w:sz w:val="28"/>
          <w:szCs w:val="28"/>
        </w:rPr>
        <w:fldChar w:fldCharType="separate"/>
      </w:r>
      <w:r>
        <w:rPr>
          <w:color w:val="auto"/>
          <w:sz w:val="28"/>
          <w:szCs w:val="28"/>
        </w:rPr>
        <w:t>15</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_Toc10709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3.6 安全生产管理</w:t>
      </w:r>
      <w:r>
        <w:rPr>
          <w:color w:val="auto"/>
          <w:sz w:val="28"/>
          <w:szCs w:val="28"/>
        </w:rPr>
        <w:tab/>
      </w:r>
      <w:r>
        <w:rPr>
          <w:color w:val="auto"/>
          <w:sz w:val="28"/>
          <w:szCs w:val="28"/>
        </w:rPr>
        <w:fldChar w:fldCharType="begin"/>
      </w:r>
      <w:r>
        <w:rPr>
          <w:color w:val="auto"/>
          <w:sz w:val="28"/>
          <w:szCs w:val="28"/>
        </w:rPr>
        <w:instrText xml:space="preserve"> PAGEREF _Toc10709 </w:instrText>
      </w:r>
      <w:r>
        <w:rPr>
          <w:color w:val="auto"/>
          <w:sz w:val="28"/>
          <w:szCs w:val="28"/>
        </w:rPr>
        <w:fldChar w:fldCharType="separate"/>
      </w:r>
      <w:r>
        <w:rPr>
          <w:color w:val="auto"/>
          <w:sz w:val="28"/>
          <w:szCs w:val="28"/>
        </w:rPr>
        <w:t>15</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_Toc23142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3.7 现有环境风险防控与应急措施</w:t>
      </w:r>
      <w:r>
        <w:rPr>
          <w:color w:val="auto"/>
          <w:sz w:val="28"/>
          <w:szCs w:val="28"/>
        </w:rPr>
        <w:tab/>
      </w:r>
      <w:r>
        <w:rPr>
          <w:color w:val="auto"/>
          <w:sz w:val="28"/>
          <w:szCs w:val="28"/>
        </w:rPr>
        <w:fldChar w:fldCharType="begin"/>
      </w:r>
      <w:r>
        <w:rPr>
          <w:color w:val="auto"/>
          <w:sz w:val="28"/>
          <w:szCs w:val="28"/>
        </w:rPr>
        <w:instrText xml:space="preserve"> PAGEREF _Toc23142 </w:instrText>
      </w:r>
      <w:r>
        <w:rPr>
          <w:color w:val="auto"/>
          <w:sz w:val="28"/>
          <w:szCs w:val="28"/>
        </w:rPr>
        <w:fldChar w:fldCharType="separate"/>
      </w:r>
      <w:r>
        <w:rPr>
          <w:color w:val="auto"/>
          <w:sz w:val="28"/>
          <w:szCs w:val="28"/>
        </w:rPr>
        <w:t>16</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_Toc18820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3.8现有应急物资与装备、救援队伍情况</w:t>
      </w:r>
      <w:r>
        <w:rPr>
          <w:color w:val="auto"/>
          <w:sz w:val="28"/>
          <w:szCs w:val="28"/>
        </w:rPr>
        <w:tab/>
      </w:r>
      <w:r>
        <w:rPr>
          <w:color w:val="auto"/>
          <w:sz w:val="28"/>
          <w:szCs w:val="28"/>
        </w:rPr>
        <w:fldChar w:fldCharType="begin"/>
      </w:r>
      <w:r>
        <w:rPr>
          <w:color w:val="auto"/>
          <w:sz w:val="28"/>
          <w:szCs w:val="28"/>
        </w:rPr>
        <w:instrText xml:space="preserve"> PAGEREF _Toc18820 </w:instrText>
      </w:r>
      <w:r>
        <w:rPr>
          <w:color w:val="auto"/>
          <w:sz w:val="28"/>
          <w:szCs w:val="28"/>
        </w:rPr>
        <w:fldChar w:fldCharType="separate"/>
      </w:r>
      <w:r>
        <w:rPr>
          <w:color w:val="auto"/>
          <w:sz w:val="28"/>
          <w:szCs w:val="28"/>
        </w:rPr>
        <w:t>21</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_Toc24167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sz w:val="28"/>
          <w:szCs w:val="28"/>
        </w:rPr>
        <w:t>4</w:t>
      </w:r>
      <w:r>
        <w:rPr>
          <w:rFonts w:hint="default" w:ascii="Times New Roman" w:hAnsi="Times New Roman" w:eastAsia="仿宋" w:cs="Times New Roman"/>
          <w:bCs/>
          <w:color w:val="auto"/>
          <w:kern w:val="21"/>
          <w:sz w:val="28"/>
          <w:szCs w:val="28"/>
        </w:rPr>
        <w:t>、突发环境事件及其后果分析</w:t>
      </w:r>
      <w:r>
        <w:rPr>
          <w:color w:val="auto"/>
          <w:sz w:val="28"/>
          <w:szCs w:val="28"/>
        </w:rPr>
        <w:tab/>
      </w:r>
      <w:r>
        <w:rPr>
          <w:color w:val="auto"/>
          <w:sz w:val="28"/>
          <w:szCs w:val="28"/>
        </w:rPr>
        <w:fldChar w:fldCharType="begin"/>
      </w:r>
      <w:r>
        <w:rPr>
          <w:color w:val="auto"/>
          <w:sz w:val="28"/>
          <w:szCs w:val="28"/>
        </w:rPr>
        <w:instrText xml:space="preserve"> PAGEREF _Toc24167 </w:instrText>
      </w:r>
      <w:r>
        <w:rPr>
          <w:color w:val="auto"/>
          <w:sz w:val="28"/>
          <w:szCs w:val="28"/>
        </w:rPr>
        <w:fldChar w:fldCharType="separate"/>
      </w:r>
      <w:r>
        <w:rPr>
          <w:color w:val="auto"/>
          <w:sz w:val="28"/>
          <w:szCs w:val="28"/>
        </w:rPr>
        <w:t>23</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_Toc2810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21"/>
          <w:sz w:val="28"/>
          <w:szCs w:val="28"/>
        </w:rPr>
        <w:t>4.1 突发环境事件情景分析</w:t>
      </w:r>
      <w:r>
        <w:rPr>
          <w:color w:val="auto"/>
          <w:sz w:val="28"/>
          <w:szCs w:val="28"/>
        </w:rPr>
        <w:tab/>
      </w:r>
      <w:r>
        <w:rPr>
          <w:color w:val="auto"/>
          <w:sz w:val="28"/>
          <w:szCs w:val="28"/>
        </w:rPr>
        <w:fldChar w:fldCharType="begin"/>
      </w:r>
      <w:r>
        <w:rPr>
          <w:color w:val="auto"/>
          <w:sz w:val="28"/>
          <w:szCs w:val="28"/>
        </w:rPr>
        <w:instrText xml:space="preserve"> PAGEREF _Toc2810 </w:instrText>
      </w:r>
      <w:r>
        <w:rPr>
          <w:color w:val="auto"/>
          <w:sz w:val="28"/>
          <w:szCs w:val="28"/>
        </w:rPr>
        <w:fldChar w:fldCharType="separate"/>
      </w:r>
      <w:r>
        <w:rPr>
          <w:color w:val="auto"/>
          <w:sz w:val="28"/>
          <w:szCs w:val="28"/>
        </w:rPr>
        <w:t>23</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_Toc19898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21"/>
          <w:sz w:val="28"/>
          <w:szCs w:val="28"/>
        </w:rPr>
        <w:t>4.2</w:t>
      </w:r>
      <w:r>
        <w:rPr>
          <w:rFonts w:hint="default" w:ascii="Times New Roman" w:hAnsi="Times New Roman" w:eastAsia="仿宋" w:cs="Times New Roman"/>
          <w:color w:val="auto"/>
          <w:kern w:val="0"/>
          <w:sz w:val="28"/>
          <w:szCs w:val="28"/>
          <w:lang w:eastAsia="zh-CN"/>
        </w:rPr>
        <w:t>项目</w:t>
      </w:r>
      <w:r>
        <w:rPr>
          <w:rFonts w:hint="default" w:ascii="Times New Roman" w:hAnsi="Times New Roman" w:eastAsia="仿宋" w:cs="Times New Roman"/>
          <w:color w:val="auto"/>
          <w:kern w:val="0"/>
          <w:sz w:val="28"/>
          <w:szCs w:val="28"/>
        </w:rPr>
        <w:t>主要风险识别</w:t>
      </w:r>
      <w:r>
        <w:rPr>
          <w:color w:val="auto"/>
          <w:sz w:val="28"/>
          <w:szCs w:val="28"/>
        </w:rPr>
        <w:tab/>
      </w:r>
      <w:r>
        <w:rPr>
          <w:color w:val="auto"/>
          <w:sz w:val="28"/>
          <w:szCs w:val="28"/>
        </w:rPr>
        <w:fldChar w:fldCharType="begin"/>
      </w:r>
      <w:r>
        <w:rPr>
          <w:color w:val="auto"/>
          <w:sz w:val="28"/>
          <w:szCs w:val="28"/>
        </w:rPr>
        <w:instrText xml:space="preserve"> PAGEREF _Toc19898 </w:instrText>
      </w:r>
      <w:r>
        <w:rPr>
          <w:color w:val="auto"/>
          <w:sz w:val="28"/>
          <w:szCs w:val="28"/>
        </w:rPr>
        <w:fldChar w:fldCharType="separate"/>
      </w:r>
      <w:r>
        <w:rPr>
          <w:color w:val="auto"/>
          <w:sz w:val="28"/>
          <w:szCs w:val="28"/>
        </w:rPr>
        <w:t>23</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_Toc19838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21"/>
          <w:sz w:val="28"/>
          <w:szCs w:val="28"/>
        </w:rPr>
        <w:t>4.3突发环境事件情景分析</w:t>
      </w:r>
      <w:r>
        <w:rPr>
          <w:color w:val="auto"/>
          <w:sz w:val="28"/>
          <w:szCs w:val="28"/>
        </w:rPr>
        <w:tab/>
      </w:r>
      <w:r>
        <w:rPr>
          <w:color w:val="auto"/>
          <w:sz w:val="28"/>
          <w:szCs w:val="28"/>
        </w:rPr>
        <w:fldChar w:fldCharType="begin"/>
      </w:r>
      <w:r>
        <w:rPr>
          <w:color w:val="auto"/>
          <w:sz w:val="28"/>
          <w:szCs w:val="28"/>
        </w:rPr>
        <w:instrText xml:space="preserve"> PAGEREF _Toc19838 </w:instrText>
      </w:r>
      <w:r>
        <w:rPr>
          <w:color w:val="auto"/>
          <w:sz w:val="28"/>
          <w:szCs w:val="28"/>
        </w:rPr>
        <w:fldChar w:fldCharType="separate"/>
      </w:r>
      <w:r>
        <w:rPr>
          <w:color w:val="auto"/>
          <w:sz w:val="28"/>
          <w:szCs w:val="28"/>
        </w:rPr>
        <w:t>24</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_Toc20954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color w:val="auto"/>
          <w:kern w:val="21"/>
          <w:sz w:val="28"/>
          <w:szCs w:val="28"/>
        </w:rPr>
        <w:t>4.4释放环境风险物质的扩散途径、涉及环境风险防控与应急措施、应急资源情况分析</w:t>
      </w:r>
      <w:r>
        <w:rPr>
          <w:color w:val="auto"/>
          <w:sz w:val="28"/>
          <w:szCs w:val="28"/>
        </w:rPr>
        <w:tab/>
      </w:r>
      <w:r>
        <w:rPr>
          <w:color w:val="auto"/>
          <w:sz w:val="28"/>
          <w:szCs w:val="28"/>
        </w:rPr>
        <w:fldChar w:fldCharType="begin"/>
      </w:r>
      <w:r>
        <w:rPr>
          <w:color w:val="auto"/>
          <w:sz w:val="28"/>
          <w:szCs w:val="28"/>
        </w:rPr>
        <w:instrText xml:space="preserve"> PAGEREF _Toc20954 </w:instrText>
      </w:r>
      <w:r>
        <w:rPr>
          <w:color w:val="auto"/>
          <w:sz w:val="28"/>
          <w:szCs w:val="28"/>
        </w:rPr>
        <w:fldChar w:fldCharType="separate"/>
      </w:r>
      <w:r>
        <w:rPr>
          <w:color w:val="auto"/>
          <w:sz w:val="28"/>
          <w:szCs w:val="28"/>
        </w:rPr>
        <w:t>25</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_Toc26305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21"/>
          <w:sz w:val="28"/>
          <w:szCs w:val="28"/>
        </w:rPr>
        <w:t>4.5突发环境事件事故后果分析</w:t>
      </w:r>
      <w:r>
        <w:rPr>
          <w:color w:val="auto"/>
          <w:sz w:val="28"/>
          <w:szCs w:val="28"/>
        </w:rPr>
        <w:tab/>
      </w:r>
      <w:r>
        <w:rPr>
          <w:color w:val="auto"/>
          <w:sz w:val="28"/>
          <w:szCs w:val="28"/>
        </w:rPr>
        <w:fldChar w:fldCharType="begin"/>
      </w:r>
      <w:r>
        <w:rPr>
          <w:color w:val="auto"/>
          <w:sz w:val="28"/>
          <w:szCs w:val="28"/>
        </w:rPr>
        <w:instrText xml:space="preserve"> PAGEREF _Toc26305 </w:instrText>
      </w:r>
      <w:r>
        <w:rPr>
          <w:color w:val="auto"/>
          <w:sz w:val="28"/>
          <w:szCs w:val="28"/>
        </w:rPr>
        <w:fldChar w:fldCharType="separate"/>
      </w:r>
      <w:r>
        <w:rPr>
          <w:color w:val="auto"/>
          <w:sz w:val="28"/>
          <w:szCs w:val="28"/>
        </w:rPr>
        <w:t>28</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_Toc31557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val="0"/>
          <w:color w:val="auto"/>
          <w:sz w:val="28"/>
          <w:szCs w:val="28"/>
        </w:rPr>
        <w:t>5现有环境风险防控和应急措施差距分析</w:t>
      </w:r>
      <w:r>
        <w:rPr>
          <w:color w:val="auto"/>
          <w:sz w:val="28"/>
          <w:szCs w:val="28"/>
        </w:rPr>
        <w:tab/>
      </w:r>
      <w:r>
        <w:rPr>
          <w:color w:val="auto"/>
          <w:sz w:val="28"/>
          <w:szCs w:val="28"/>
        </w:rPr>
        <w:fldChar w:fldCharType="begin"/>
      </w:r>
      <w:r>
        <w:rPr>
          <w:color w:val="auto"/>
          <w:sz w:val="28"/>
          <w:szCs w:val="28"/>
        </w:rPr>
        <w:instrText xml:space="preserve"> PAGEREF _Toc31557 </w:instrText>
      </w:r>
      <w:r>
        <w:rPr>
          <w:color w:val="auto"/>
          <w:sz w:val="28"/>
          <w:szCs w:val="28"/>
        </w:rPr>
        <w:fldChar w:fldCharType="separate"/>
      </w:r>
      <w:r>
        <w:rPr>
          <w:color w:val="auto"/>
          <w:sz w:val="28"/>
          <w:szCs w:val="28"/>
        </w:rPr>
        <w:t>32</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_Toc22650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color w:val="auto"/>
          <w:sz w:val="28"/>
          <w:szCs w:val="28"/>
        </w:rPr>
        <w:t>5.1环境风险管理制度</w:t>
      </w:r>
      <w:r>
        <w:rPr>
          <w:color w:val="auto"/>
          <w:sz w:val="28"/>
          <w:szCs w:val="28"/>
        </w:rPr>
        <w:tab/>
      </w:r>
      <w:r>
        <w:rPr>
          <w:color w:val="auto"/>
          <w:sz w:val="28"/>
          <w:szCs w:val="28"/>
        </w:rPr>
        <w:fldChar w:fldCharType="begin"/>
      </w:r>
      <w:r>
        <w:rPr>
          <w:color w:val="auto"/>
          <w:sz w:val="28"/>
          <w:szCs w:val="28"/>
        </w:rPr>
        <w:instrText xml:space="preserve"> PAGEREF _Toc22650 </w:instrText>
      </w:r>
      <w:r>
        <w:rPr>
          <w:color w:val="auto"/>
          <w:sz w:val="28"/>
          <w:szCs w:val="28"/>
        </w:rPr>
        <w:fldChar w:fldCharType="separate"/>
      </w:r>
      <w:r>
        <w:rPr>
          <w:color w:val="auto"/>
          <w:sz w:val="28"/>
          <w:szCs w:val="28"/>
        </w:rPr>
        <w:t>32</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_Toc29513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color w:val="auto"/>
          <w:sz w:val="28"/>
          <w:szCs w:val="28"/>
        </w:rPr>
        <w:t>5.2环境风险防控与应急措施</w:t>
      </w:r>
      <w:r>
        <w:rPr>
          <w:color w:val="auto"/>
          <w:sz w:val="28"/>
          <w:szCs w:val="28"/>
        </w:rPr>
        <w:tab/>
      </w:r>
      <w:r>
        <w:rPr>
          <w:color w:val="auto"/>
          <w:sz w:val="28"/>
          <w:szCs w:val="28"/>
        </w:rPr>
        <w:fldChar w:fldCharType="begin"/>
      </w:r>
      <w:r>
        <w:rPr>
          <w:color w:val="auto"/>
          <w:sz w:val="28"/>
          <w:szCs w:val="28"/>
        </w:rPr>
        <w:instrText xml:space="preserve"> PAGEREF _Toc29513 </w:instrText>
      </w:r>
      <w:r>
        <w:rPr>
          <w:color w:val="auto"/>
          <w:sz w:val="28"/>
          <w:szCs w:val="28"/>
        </w:rPr>
        <w:fldChar w:fldCharType="separate"/>
      </w:r>
      <w:r>
        <w:rPr>
          <w:color w:val="auto"/>
          <w:sz w:val="28"/>
          <w:szCs w:val="28"/>
        </w:rPr>
        <w:t>32</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_Toc17285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color w:val="auto"/>
          <w:sz w:val="28"/>
          <w:szCs w:val="28"/>
        </w:rPr>
        <w:t>5.3环境应急资源</w:t>
      </w:r>
      <w:r>
        <w:rPr>
          <w:color w:val="auto"/>
          <w:sz w:val="28"/>
          <w:szCs w:val="28"/>
        </w:rPr>
        <w:tab/>
      </w:r>
      <w:r>
        <w:rPr>
          <w:color w:val="auto"/>
          <w:sz w:val="28"/>
          <w:szCs w:val="28"/>
        </w:rPr>
        <w:fldChar w:fldCharType="begin"/>
      </w:r>
      <w:r>
        <w:rPr>
          <w:color w:val="auto"/>
          <w:sz w:val="28"/>
          <w:szCs w:val="28"/>
        </w:rPr>
        <w:instrText xml:space="preserve"> PAGEREF _Toc17285 </w:instrText>
      </w:r>
      <w:r>
        <w:rPr>
          <w:color w:val="auto"/>
          <w:sz w:val="28"/>
          <w:szCs w:val="28"/>
        </w:rPr>
        <w:fldChar w:fldCharType="separate"/>
      </w:r>
      <w:r>
        <w:rPr>
          <w:color w:val="auto"/>
          <w:sz w:val="28"/>
          <w:szCs w:val="28"/>
        </w:rPr>
        <w:t>33</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_Toc2311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color w:val="auto"/>
          <w:sz w:val="28"/>
          <w:szCs w:val="28"/>
        </w:rPr>
        <w:t>5.4历史经验总结教训</w:t>
      </w:r>
      <w:r>
        <w:rPr>
          <w:color w:val="auto"/>
          <w:sz w:val="28"/>
          <w:szCs w:val="28"/>
        </w:rPr>
        <w:tab/>
      </w:r>
      <w:r>
        <w:rPr>
          <w:color w:val="auto"/>
          <w:sz w:val="28"/>
          <w:szCs w:val="28"/>
        </w:rPr>
        <w:fldChar w:fldCharType="begin"/>
      </w:r>
      <w:r>
        <w:rPr>
          <w:color w:val="auto"/>
          <w:sz w:val="28"/>
          <w:szCs w:val="28"/>
        </w:rPr>
        <w:instrText xml:space="preserve"> PAGEREF _Toc2311 </w:instrText>
      </w:r>
      <w:r>
        <w:rPr>
          <w:color w:val="auto"/>
          <w:sz w:val="28"/>
          <w:szCs w:val="28"/>
        </w:rPr>
        <w:fldChar w:fldCharType="separate"/>
      </w:r>
      <w:r>
        <w:rPr>
          <w:color w:val="auto"/>
          <w:sz w:val="28"/>
          <w:szCs w:val="28"/>
        </w:rPr>
        <w:t>33</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_Toc3405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color w:val="auto"/>
          <w:sz w:val="28"/>
          <w:szCs w:val="28"/>
        </w:rPr>
        <w:t>5.5需要整改的短期、中期和长期内容</w:t>
      </w:r>
      <w:r>
        <w:rPr>
          <w:color w:val="auto"/>
          <w:sz w:val="28"/>
          <w:szCs w:val="28"/>
        </w:rPr>
        <w:tab/>
      </w:r>
      <w:r>
        <w:rPr>
          <w:color w:val="auto"/>
          <w:sz w:val="28"/>
          <w:szCs w:val="28"/>
        </w:rPr>
        <w:fldChar w:fldCharType="begin"/>
      </w:r>
      <w:r>
        <w:rPr>
          <w:color w:val="auto"/>
          <w:sz w:val="28"/>
          <w:szCs w:val="28"/>
        </w:rPr>
        <w:instrText xml:space="preserve"> PAGEREF _Toc3405 </w:instrText>
      </w:r>
      <w:r>
        <w:rPr>
          <w:color w:val="auto"/>
          <w:sz w:val="28"/>
          <w:szCs w:val="28"/>
        </w:rPr>
        <w:fldChar w:fldCharType="separate"/>
      </w:r>
      <w:r>
        <w:rPr>
          <w:color w:val="auto"/>
          <w:sz w:val="28"/>
          <w:szCs w:val="28"/>
        </w:rPr>
        <w:t>34</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_Toc23498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44"/>
          <w:sz w:val="28"/>
          <w:szCs w:val="28"/>
        </w:rPr>
        <w:t>6完善环境风险防控和应急措施的实施计划</w:t>
      </w:r>
      <w:r>
        <w:rPr>
          <w:color w:val="auto"/>
          <w:sz w:val="28"/>
          <w:szCs w:val="28"/>
        </w:rPr>
        <w:tab/>
      </w:r>
      <w:r>
        <w:rPr>
          <w:color w:val="auto"/>
          <w:sz w:val="28"/>
          <w:szCs w:val="28"/>
        </w:rPr>
        <w:fldChar w:fldCharType="begin"/>
      </w:r>
      <w:r>
        <w:rPr>
          <w:color w:val="auto"/>
          <w:sz w:val="28"/>
          <w:szCs w:val="28"/>
        </w:rPr>
        <w:instrText xml:space="preserve"> PAGEREF _Toc23498 </w:instrText>
      </w:r>
      <w:r>
        <w:rPr>
          <w:color w:val="auto"/>
          <w:sz w:val="28"/>
          <w:szCs w:val="28"/>
        </w:rPr>
        <w:fldChar w:fldCharType="separate"/>
      </w:r>
      <w:r>
        <w:rPr>
          <w:color w:val="auto"/>
          <w:sz w:val="28"/>
          <w:szCs w:val="28"/>
        </w:rPr>
        <w:t>35</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_Toc4435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44"/>
          <w:sz w:val="28"/>
          <w:szCs w:val="28"/>
        </w:rPr>
        <w:t>7企业突发环境事件风险等级</w:t>
      </w:r>
      <w:r>
        <w:rPr>
          <w:color w:val="auto"/>
          <w:sz w:val="28"/>
          <w:szCs w:val="28"/>
        </w:rPr>
        <w:tab/>
      </w:r>
      <w:r>
        <w:rPr>
          <w:color w:val="auto"/>
          <w:sz w:val="28"/>
          <w:szCs w:val="28"/>
        </w:rPr>
        <w:fldChar w:fldCharType="begin"/>
      </w:r>
      <w:r>
        <w:rPr>
          <w:color w:val="auto"/>
          <w:sz w:val="28"/>
          <w:szCs w:val="28"/>
        </w:rPr>
        <w:instrText xml:space="preserve"> PAGEREF _Toc4435 </w:instrText>
      </w:r>
      <w:r>
        <w:rPr>
          <w:color w:val="auto"/>
          <w:sz w:val="28"/>
          <w:szCs w:val="28"/>
        </w:rPr>
        <w:fldChar w:fldCharType="separate"/>
      </w:r>
      <w:r>
        <w:rPr>
          <w:color w:val="auto"/>
          <w:sz w:val="28"/>
          <w:szCs w:val="28"/>
        </w:rPr>
        <w:t>37</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_Toc13546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7.1突发大气环境事件风险分级</w:t>
      </w:r>
      <w:r>
        <w:rPr>
          <w:color w:val="auto"/>
          <w:sz w:val="28"/>
          <w:szCs w:val="28"/>
        </w:rPr>
        <w:tab/>
      </w:r>
      <w:r>
        <w:rPr>
          <w:color w:val="auto"/>
          <w:sz w:val="28"/>
          <w:szCs w:val="28"/>
        </w:rPr>
        <w:fldChar w:fldCharType="begin"/>
      </w:r>
      <w:r>
        <w:rPr>
          <w:color w:val="auto"/>
          <w:sz w:val="28"/>
          <w:szCs w:val="28"/>
        </w:rPr>
        <w:instrText xml:space="preserve"> PAGEREF _Toc13546 </w:instrText>
      </w:r>
      <w:r>
        <w:rPr>
          <w:color w:val="auto"/>
          <w:sz w:val="28"/>
          <w:szCs w:val="28"/>
        </w:rPr>
        <w:fldChar w:fldCharType="separate"/>
      </w:r>
      <w:r>
        <w:rPr>
          <w:color w:val="auto"/>
          <w:sz w:val="28"/>
          <w:szCs w:val="28"/>
        </w:rPr>
        <w:t>37</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_Toc18436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7.2突发水环境事件风险分级</w:t>
      </w:r>
      <w:r>
        <w:rPr>
          <w:color w:val="auto"/>
          <w:sz w:val="28"/>
          <w:szCs w:val="28"/>
        </w:rPr>
        <w:tab/>
      </w:r>
      <w:r>
        <w:rPr>
          <w:color w:val="auto"/>
          <w:sz w:val="28"/>
          <w:szCs w:val="28"/>
        </w:rPr>
        <w:fldChar w:fldCharType="begin"/>
      </w:r>
      <w:r>
        <w:rPr>
          <w:color w:val="auto"/>
          <w:sz w:val="28"/>
          <w:szCs w:val="28"/>
        </w:rPr>
        <w:instrText xml:space="preserve"> PAGEREF _Toc18436 </w:instrText>
      </w:r>
      <w:r>
        <w:rPr>
          <w:color w:val="auto"/>
          <w:sz w:val="28"/>
          <w:szCs w:val="28"/>
        </w:rPr>
        <w:fldChar w:fldCharType="separate"/>
      </w:r>
      <w:r>
        <w:rPr>
          <w:color w:val="auto"/>
          <w:sz w:val="28"/>
          <w:szCs w:val="28"/>
        </w:rPr>
        <w:t>38</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20"/>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_Toc30147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bCs/>
          <w:snapToGrid w:val="0"/>
          <w:color w:val="auto"/>
          <w:kern w:val="0"/>
          <w:sz w:val="28"/>
          <w:szCs w:val="28"/>
        </w:rPr>
        <w:t>7.3企业突发环境事件风险等级确定与调整</w:t>
      </w:r>
      <w:r>
        <w:rPr>
          <w:color w:val="auto"/>
          <w:sz w:val="28"/>
          <w:szCs w:val="28"/>
        </w:rPr>
        <w:tab/>
      </w:r>
      <w:r>
        <w:rPr>
          <w:color w:val="auto"/>
          <w:sz w:val="28"/>
          <w:szCs w:val="28"/>
        </w:rPr>
        <w:fldChar w:fldCharType="begin"/>
      </w:r>
      <w:r>
        <w:rPr>
          <w:color w:val="auto"/>
          <w:sz w:val="28"/>
          <w:szCs w:val="28"/>
        </w:rPr>
        <w:instrText xml:space="preserve"> PAGEREF _Toc30147 </w:instrText>
      </w:r>
      <w:r>
        <w:rPr>
          <w:color w:val="auto"/>
          <w:sz w:val="28"/>
          <w:szCs w:val="28"/>
        </w:rPr>
        <w:fldChar w:fldCharType="separate"/>
      </w:r>
      <w:r>
        <w:rPr>
          <w:color w:val="auto"/>
          <w:sz w:val="28"/>
          <w:szCs w:val="28"/>
        </w:rPr>
        <w:t>39</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pStyle w:val="17"/>
        <w:tabs>
          <w:tab w:val="right" w:leader="dot" w:pos="8618"/>
        </w:tabs>
        <w:rPr>
          <w:color w:val="auto"/>
          <w:sz w:val="28"/>
          <w:szCs w:val="28"/>
        </w:rPr>
      </w:pPr>
      <w:r>
        <w:rPr>
          <w:rFonts w:hint="default" w:ascii="Times New Roman" w:hAnsi="Times New Roman" w:eastAsia="仿宋" w:cs="Times New Roman"/>
          <w:bCs/>
          <w:color w:val="auto"/>
          <w:sz w:val="28"/>
          <w:szCs w:val="28"/>
        </w:rPr>
        <w:fldChar w:fldCharType="begin"/>
      </w:r>
      <w:r>
        <w:rPr>
          <w:rFonts w:hint="default" w:ascii="Times New Roman" w:hAnsi="Times New Roman" w:eastAsia="仿宋" w:cs="Times New Roman"/>
          <w:bCs/>
          <w:color w:val="auto"/>
          <w:sz w:val="28"/>
          <w:szCs w:val="28"/>
        </w:rPr>
        <w:instrText xml:space="preserve"> HYPERLINK \l _Toc21834 </w:instrText>
      </w:r>
      <w:r>
        <w:rPr>
          <w:rFonts w:hint="default" w:ascii="Times New Roman" w:hAnsi="Times New Roman" w:eastAsia="仿宋" w:cs="Times New Roman"/>
          <w:bCs/>
          <w:color w:val="auto"/>
          <w:sz w:val="28"/>
          <w:szCs w:val="28"/>
        </w:rPr>
        <w:fldChar w:fldCharType="separate"/>
      </w:r>
      <w:r>
        <w:rPr>
          <w:rFonts w:hint="default" w:ascii="Times New Roman" w:hAnsi="Times New Roman" w:eastAsia="仿宋" w:cs="Times New Roman"/>
          <w:color w:val="auto"/>
          <w:kern w:val="44"/>
          <w:sz w:val="28"/>
          <w:szCs w:val="28"/>
        </w:rPr>
        <w:t>8附图附件</w:t>
      </w:r>
      <w:r>
        <w:rPr>
          <w:color w:val="auto"/>
          <w:sz w:val="28"/>
          <w:szCs w:val="28"/>
        </w:rPr>
        <w:tab/>
      </w:r>
      <w:r>
        <w:rPr>
          <w:color w:val="auto"/>
          <w:sz w:val="28"/>
          <w:szCs w:val="28"/>
        </w:rPr>
        <w:fldChar w:fldCharType="begin"/>
      </w:r>
      <w:r>
        <w:rPr>
          <w:color w:val="auto"/>
          <w:sz w:val="28"/>
          <w:szCs w:val="28"/>
        </w:rPr>
        <w:instrText xml:space="preserve"> PAGEREF _Toc21834 </w:instrText>
      </w:r>
      <w:r>
        <w:rPr>
          <w:color w:val="auto"/>
          <w:sz w:val="28"/>
          <w:szCs w:val="28"/>
        </w:rPr>
        <w:fldChar w:fldCharType="separate"/>
      </w:r>
      <w:r>
        <w:rPr>
          <w:color w:val="auto"/>
          <w:sz w:val="28"/>
          <w:szCs w:val="28"/>
        </w:rPr>
        <w:t>40</w:t>
      </w:r>
      <w:r>
        <w:rPr>
          <w:color w:val="auto"/>
          <w:sz w:val="28"/>
          <w:szCs w:val="28"/>
        </w:rPr>
        <w:fldChar w:fldCharType="end"/>
      </w:r>
      <w:r>
        <w:rPr>
          <w:rFonts w:hint="default" w:ascii="Times New Roman" w:hAnsi="Times New Roman" w:eastAsia="仿宋" w:cs="Times New Roman"/>
          <w:bCs/>
          <w:color w:val="auto"/>
          <w:sz w:val="28"/>
          <w:szCs w:val="28"/>
        </w:rPr>
        <w:fldChar w:fldCharType="end"/>
      </w:r>
    </w:p>
    <w:p>
      <w:pPr>
        <w:spacing w:line="360" w:lineRule="auto"/>
        <w:outlineLvl w:val="0"/>
        <w:rPr>
          <w:rFonts w:hint="default" w:ascii="Times New Roman" w:hAnsi="Times New Roman" w:eastAsia="仿宋" w:cs="Times New Roman"/>
          <w:bCs/>
          <w:color w:val="auto"/>
          <w:sz w:val="28"/>
          <w:szCs w:val="28"/>
        </w:rPr>
        <w:sectPr>
          <w:headerReference r:id="rId5" w:type="default"/>
          <w:footerReference r:id="rId6" w:type="default"/>
          <w:pgSz w:w="11906" w:h="16838"/>
          <w:pgMar w:top="1440" w:right="1587" w:bottom="1440" w:left="1701" w:header="851" w:footer="992" w:gutter="0"/>
          <w:pgNumType w:fmt="decimal" w:start="1"/>
          <w:cols w:space="720" w:num="1"/>
          <w:docGrid w:type="lines" w:linePitch="312" w:charSpace="0"/>
        </w:sectPr>
      </w:pPr>
      <w:r>
        <w:rPr>
          <w:rFonts w:hint="default" w:ascii="Times New Roman" w:hAnsi="Times New Roman" w:eastAsia="仿宋" w:cs="Times New Roman"/>
          <w:bCs/>
          <w:color w:val="auto"/>
          <w:sz w:val="28"/>
          <w:szCs w:val="28"/>
        </w:rPr>
        <w:fldChar w:fldCharType="end"/>
      </w:r>
      <w:bookmarkStart w:id="0" w:name="_Toc22054"/>
      <w:bookmarkStart w:id="1" w:name="_Toc22707"/>
      <w:bookmarkStart w:id="2" w:name="_Toc28674_WPSOffice_Level1"/>
      <w:bookmarkStart w:id="3" w:name="_Toc24476_WPSOffice_Level1"/>
      <w:bookmarkStart w:id="4" w:name="_Toc31604_WPSOffice_Level1"/>
      <w:bookmarkStart w:id="5" w:name="_Toc3383"/>
      <w:bookmarkStart w:id="6" w:name="_Toc30281_WPSOffice_Level1"/>
    </w:p>
    <w:p>
      <w:pPr>
        <w:spacing w:line="360" w:lineRule="auto"/>
        <w:outlineLvl w:val="0"/>
        <w:rPr>
          <w:rFonts w:hint="default" w:ascii="Times New Roman" w:hAnsi="Times New Roman" w:eastAsia="仿宋" w:cs="Times New Roman"/>
          <w:b/>
          <w:snapToGrid w:val="0"/>
          <w:color w:val="auto"/>
          <w:kern w:val="0"/>
          <w:sz w:val="28"/>
          <w:szCs w:val="28"/>
        </w:rPr>
      </w:pPr>
      <w:bookmarkStart w:id="7" w:name="_Toc9169"/>
      <w:r>
        <w:rPr>
          <w:rFonts w:hint="default" w:ascii="Times New Roman" w:hAnsi="Times New Roman" w:eastAsia="仿宋" w:cs="Times New Roman"/>
          <w:b/>
          <w:snapToGrid w:val="0"/>
          <w:color w:val="auto"/>
          <w:kern w:val="0"/>
          <w:sz w:val="28"/>
          <w:szCs w:val="28"/>
        </w:rPr>
        <w:t>1、</w:t>
      </w:r>
      <w:bookmarkEnd w:id="0"/>
      <w:bookmarkEnd w:id="1"/>
      <w:r>
        <w:rPr>
          <w:rFonts w:hint="default" w:ascii="Times New Roman" w:hAnsi="Times New Roman" w:eastAsia="仿宋" w:cs="Times New Roman"/>
          <w:b/>
          <w:snapToGrid w:val="0"/>
          <w:color w:val="auto"/>
          <w:kern w:val="0"/>
          <w:sz w:val="28"/>
          <w:szCs w:val="28"/>
        </w:rPr>
        <w:t>前言</w:t>
      </w:r>
      <w:bookmarkEnd w:id="2"/>
      <w:bookmarkEnd w:id="3"/>
      <w:bookmarkEnd w:id="4"/>
      <w:bookmarkEnd w:id="5"/>
      <w:bookmarkEnd w:id="6"/>
      <w:bookmarkEnd w:id="7"/>
    </w:p>
    <w:p>
      <w:pPr>
        <w:pStyle w:val="7"/>
        <w:spacing w:line="360" w:lineRule="auto"/>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当前，我国已进入突发环境事件多发期和矛盾凸显期，环境问题日益成为威胁人体健康、公共安全和社会稳定的重要原因。为贯彻落实环境风险防控任务，保障人民群众的身体健康和环境安全，规范企业突发环境事件风险评估行为，为企业提高环境风险防控能力提供切实指导，环保部先后出台了《关于印发&lt;企业突发环境事件风险评估指南(试行)&gt;的通知》(环办[2014]34号)、《突发环境事件调查处理办法》（环保部令 第32号）、《突发环境事件应急管理办法》（环保部令 第34号）、《关于印发企业事业单位突发环境事件应急预案备案管理办法（试行）的通知》（环发[2015]4号）、《企业突发环境事件风险分级方法》（HJ 941-2018）（环办[2018]14号）等一系列部门规章。</w:t>
      </w:r>
    </w:p>
    <w:p>
      <w:pPr>
        <w:pStyle w:val="7"/>
        <w:spacing w:line="360" w:lineRule="auto"/>
        <w:ind w:firstLine="560"/>
        <w:rPr>
          <w:rFonts w:hint="default" w:ascii="Times New Roman" w:hAnsi="Times New Roman" w:eastAsia="仿宋" w:cs="Times New Roman"/>
          <w:color w:val="auto"/>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为认真做好环境安全风险防控工作，编制完成了《</w:t>
      </w: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突发环境事件风险评估报告》。通过开展突发环境事件风险评估，企业可以掌握自身环境风险状况，明确环境风险防控措施，为日常环境风险监管奠定基础，最终达到有效防范突发环境事件发生的目标，同时有利于各级环保部门对该企业开展针对性的监督管理，提高管理效率，降低管理成本。</w:t>
      </w:r>
    </w:p>
    <w:p>
      <w:pPr>
        <w:pStyle w:val="7"/>
        <w:spacing w:line="360" w:lineRule="auto"/>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环境风险评估的最终目的是确定各种政策法规或生态环境的风险大小，以及确定什么样的风险水平是社会和公众可接受的，如何将无法接受的风险水平降至社会可接受的最低限度。</w:t>
      </w:r>
    </w:p>
    <w:p>
      <w:pPr>
        <w:pStyle w:val="7"/>
        <w:spacing w:line="360" w:lineRule="auto"/>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环境风险评估是环境管理的科学基础和重要依据。</w:t>
      </w:r>
    </w:p>
    <w:p>
      <w:pPr>
        <w:pStyle w:val="7"/>
        <w:spacing w:line="360" w:lineRule="auto"/>
        <w:ind w:firstLine="560"/>
        <w:rPr>
          <w:rFonts w:hint="default" w:ascii="Times New Roman" w:hAnsi="Times New Roman" w:eastAsia="仿宋" w:cs="Times New Roman"/>
          <w:color w:val="auto"/>
          <w:sz w:val="28"/>
          <w:szCs w:val="28"/>
        </w:rPr>
        <w:sectPr>
          <w:headerReference r:id="rId7" w:type="default"/>
          <w:footerReference r:id="rId8" w:type="default"/>
          <w:pgSz w:w="11906" w:h="16838"/>
          <w:pgMar w:top="1440" w:right="1587" w:bottom="1440" w:left="1701" w:header="851" w:footer="992" w:gutter="0"/>
          <w:pgNumType w:fmt="decimal" w:start="1"/>
          <w:cols w:space="720" w:num="1"/>
          <w:docGrid w:type="lines" w:linePitch="312" w:charSpace="0"/>
        </w:sectPr>
      </w:pPr>
    </w:p>
    <w:p>
      <w:pPr>
        <w:spacing w:line="360" w:lineRule="auto"/>
        <w:outlineLvl w:val="0"/>
        <w:rPr>
          <w:rFonts w:hint="default" w:ascii="Times New Roman" w:hAnsi="Times New Roman" w:eastAsia="仿宋" w:cs="Times New Roman"/>
          <w:b/>
          <w:snapToGrid w:val="0"/>
          <w:color w:val="auto"/>
          <w:kern w:val="0"/>
          <w:sz w:val="28"/>
          <w:szCs w:val="28"/>
        </w:rPr>
      </w:pPr>
      <w:bookmarkStart w:id="8" w:name="_Toc944_WPSOffice_Level1"/>
      <w:bookmarkStart w:id="9" w:name="_Toc2679_WPSOffice_Level1"/>
      <w:bookmarkStart w:id="10" w:name="_Toc2282_WPSOffice_Level1"/>
      <w:bookmarkStart w:id="11" w:name="_Toc30701_WPSOffice_Level1"/>
      <w:bookmarkStart w:id="12" w:name="_Toc5429"/>
      <w:bookmarkStart w:id="13" w:name="_Toc24090"/>
      <w:r>
        <w:rPr>
          <w:rFonts w:hint="default" w:ascii="Times New Roman" w:hAnsi="Times New Roman" w:eastAsia="仿宋" w:cs="Times New Roman"/>
          <w:b/>
          <w:snapToGrid w:val="0"/>
          <w:color w:val="auto"/>
          <w:kern w:val="0"/>
          <w:sz w:val="28"/>
          <w:szCs w:val="28"/>
        </w:rPr>
        <w:t>2、总则</w:t>
      </w:r>
      <w:bookmarkEnd w:id="8"/>
      <w:bookmarkEnd w:id="9"/>
      <w:bookmarkEnd w:id="10"/>
      <w:bookmarkEnd w:id="11"/>
      <w:bookmarkEnd w:id="12"/>
      <w:bookmarkEnd w:id="13"/>
    </w:p>
    <w:p>
      <w:pPr>
        <w:spacing w:line="360" w:lineRule="auto"/>
        <w:outlineLvl w:val="1"/>
        <w:rPr>
          <w:rFonts w:hint="default" w:ascii="Times New Roman" w:hAnsi="Times New Roman" w:eastAsia="仿宋" w:cs="Times New Roman"/>
          <w:b/>
          <w:bCs/>
          <w:snapToGrid w:val="0"/>
          <w:color w:val="auto"/>
          <w:kern w:val="0"/>
          <w:sz w:val="28"/>
          <w:szCs w:val="28"/>
        </w:rPr>
      </w:pPr>
      <w:bookmarkStart w:id="14" w:name="_Toc8083"/>
      <w:bookmarkStart w:id="15" w:name="_Toc30701_WPSOffice_Level2"/>
      <w:bookmarkStart w:id="16" w:name="_Toc2282_WPSOffice_Level2"/>
      <w:bookmarkStart w:id="17" w:name="_Toc11415"/>
      <w:bookmarkStart w:id="18" w:name="_Toc2679_WPSOffice_Level2"/>
      <w:bookmarkStart w:id="19" w:name="_Toc28686"/>
      <w:bookmarkStart w:id="20" w:name="_Toc944_WPSOffice_Level2"/>
      <w:r>
        <w:rPr>
          <w:rFonts w:hint="default" w:ascii="Times New Roman" w:hAnsi="Times New Roman" w:eastAsia="仿宋" w:cs="Times New Roman"/>
          <w:b/>
          <w:bCs/>
          <w:snapToGrid w:val="0"/>
          <w:color w:val="auto"/>
          <w:kern w:val="0"/>
          <w:sz w:val="28"/>
          <w:szCs w:val="28"/>
        </w:rPr>
        <w:t>2.1</w:t>
      </w:r>
      <w:bookmarkEnd w:id="14"/>
      <w:r>
        <w:rPr>
          <w:rFonts w:hint="default" w:ascii="Times New Roman" w:hAnsi="Times New Roman" w:eastAsia="仿宋" w:cs="Times New Roman"/>
          <w:b/>
          <w:bCs/>
          <w:snapToGrid w:val="0"/>
          <w:color w:val="auto"/>
          <w:kern w:val="0"/>
          <w:sz w:val="28"/>
          <w:szCs w:val="28"/>
        </w:rPr>
        <w:t>编制原则</w:t>
      </w:r>
      <w:bookmarkEnd w:id="15"/>
      <w:bookmarkEnd w:id="16"/>
      <w:bookmarkEnd w:id="17"/>
      <w:bookmarkEnd w:id="18"/>
      <w:bookmarkEnd w:id="19"/>
      <w:bookmarkEnd w:id="20"/>
    </w:p>
    <w:p>
      <w:pPr>
        <w:topLinePunct/>
        <w:spacing w:line="360" w:lineRule="auto"/>
        <w:ind w:firstLine="560" w:firstLineChars="200"/>
        <w:rPr>
          <w:rFonts w:hint="default" w:ascii="Times New Roman" w:hAnsi="Times New Roman" w:eastAsia="仿宋" w:cs="Times New Roman"/>
          <w:color w:val="auto"/>
          <w:kern w:val="0"/>
          <w:sz w:val="28"/>
          <w:szCs w:val="28"/>
          <w:lang w:bidi="ar"/>
        </w:rPr>
      </w:pPr>
      <w:bookmarkStart w:id="21" w:name="_Toc7512_WPSOffice_Level2"/>
      <w:bookmarkStart w:id="22" w:name="_Toc863"/>
      <w:bookmarkStart w:id="23" w:name="_Toc3532_WPSOffice_Level2"/>
      <w:bookmarkStart w:id="24" w:name="_Toc4042_WPSOffice_Level2"/>
      <w:bookmarkStart w:id="25" w:name="_Toc5881_WPSOffice_Level2"/>
      <w:r>
        <w:rPr>
          <w:rFonts w:hint="default" w:ascii="Times New Roman" w:hAnsi="Times New Roman" w:eastAsia="仿宋" w:cs="Times New Roman"/>
          <w:color w:val="auto"/>
          <w:kern w:val="0"/>
          <w:sz w:val="28"/>
          <w:szCs w:val="28"/>
          <w:lang w:bidi="ar"/>
        </w:rPr>
        <w:t>（1）环境风险评估报告的编制应体现科学性、规范性、客观性和真实性的原则。</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（2）环境风险评估过程中应贯彻执行国家环保相关法律法规、标准、政策，分析</w:t>
      </w:r>
      <w:r>
        <w:rPr>
          <w:rFonts w:hint="default" w:ascii="Times New Roman" w:hAnsi="Times New Roman" w:eastAsia="仿宋" w:cs="Times New Roman"/>
          <w:color w:val="auto"/>
          <w:kern w:val="0"/>
          <w:sz w:val="28"/>
          <w:szCs w:val="28"/>
          <w:lang w:eastAsia="zh-CN" w:bidi="ar"/>
        </w:rPr>
        <w:t>公司</w:t>
      </w:r>
      <w:r>
        <w:rPr>
          <w:rFonts w:hint="default" w:ascii="Times New Roman" w:hAnsi="Times New Roman" w:eastAsia="仿宋" w:cs="Times New Roman"/>
          <w:color w:val="auto"/>
          <w:kern w:val="0"/>
          <w:sz w:val="28"/>
          <w:szCs w:val="28"/>
          <w:lang w:bidi="ar"/>
        </w:rPr>
        <w:t>自身环境风险状况，明确环境风险防控措施。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（3）评估报告中的内容和格式应符合《关于印发〈企业事业单位突发环境事件应急预案备案管理办法（试行）〉的通知》（环发[2015]4 号）中的相关要求。</w:t>
      </w:r>
    </w:p>
    <w:p>
      <w:pPr>
        <w:spacing w:line="360" w:lineRule="auto"/>
        <w:outlineLvl w:val="1"/>
        <w:rPr>
          <w:rFonts w:hint="default" w:ascii="Times New Roman" w:hAnsi="Times New Roman" w:eastAsia="仿宋" w:cs="Times New Roman"/>
          <w:b/>
          <w:bCs/>
          <w:snapToGrid w:val="0"/>
          <w:color w:val="auto"/>
          <w:kern w:val="0"/>
          <w:sz w:val="28"/>
          <w:szCs w:val="28"/>
        </w:rPr>
      </w:pPr>
      <w:bookmarkStart w:id="26" w:name="_Toc29223"/>
      <w:r>
        <w:rPr>
          <w:rFonts w:hint="default" w:ascii="Times New Roman" w:hAnsi="Times New Roman" w:eastAsia="仿宋" w:cs="Times New Roman"/>
          <w:b/>
          <w:bCs/>
          <w:snapToGrid w:val="0"/>
          <w:color w:val="auto"/>
          <w:kern w:val="0"/>
          <w:sz w:val="28"/>
          <w:szCs w:val="28"/>
        </w:rPr>
        <w:t>2.2编制依据</w:t>
      </w:r>
      <w:bookmarkEnd w:id="21"/>
      <w:bookmarkEnd w:id="22"/>
      <w:bookmarkEnd w:id="23"/>
      <w:bookmarkEnd w:id="24"/>
      <w:bookmarkEnd w:id="25"/>
      <w:bookmarkEnd w:id="26"/>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bookmarkStart w:id="27" w:name="_Toc26181"/>
      <w:bookmarkStart w:id="28" w:name="_Toc8863"/>
      <w:bookmarkStart w:id="29" w:name="_Toc8886"/>
      <w:bookmarkStart w:id="30" w:name="_Toc25635"/>
      <w:r>
        <w:rPr>
          <w:rFonts w:hint="default" w:ascii="Times New Roman" w:hAnsi="Times New Roman" w:eastAsia="仿宋" w:cs="Times New Roman"/>
          <w:bCs w:val="0"/>
          <w:color w:val="auto"/>
          <w:kern w:val="0"/>
          <w:sz w:val="28"/>
          <w:szCs w:val="28"/>
          <w:lang w:bidi="ar"/>
        </w:rPr>
        <w:t>2.2.1法律法规、政策</w:t>
      </w:r>
      <w:bookmarkEnd w:id="27"/>
      <w:bookmarkEnd w:id="28"/>
      <w:bookmarkEnd w:id="29"/>
      <w:bookmarkEnd w:id="30"/>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（1）《中华人民共和国环境保护法》，主席令第九号，2015年1月1日起实施；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（2）《中华人民共和国大气污染防治法》</w:t>
      </w:r>
      <w:r>
        <w:rPr>
          <w:rFonts w:hint="eastAsia" w:ascii="仿宋" w:hAnsi="仿宋" w:eastAsia="仿宋" w:cs="仿宋"/>
          <w:bCs/>
          <w:snapToGrid w:val="0"/>
          <w:color w:val="auto"/>
          <w:kern w:val="0"/>
          <w:sz w:val="28"/>
          <w:szCs w:val="28"/>
          <w:lang w:val="en-US" w:eastAsia="zh-CN"/>
        </w:rPr>
        <w:t>2018年修订</w:t>
      </w:r>
      <w:r>
        <w:rPr>
          <w:rFonts w:hint="eastAsia" w:ascii="仿宋" w:hAnsi="仿宋" w:eastAsia="仿宋" w:cs="仿宋"/>
          <w:color w:val="auto"/>
          <w:sz w:val="28"/>
          <w:szCs w:val="28"/>
        </w:rPr>
        <w:t>，自201</w:t>
      </w: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rPr>
        <w:t>年1</w:t>
      </w:r>
      <w:r>
        <w:rPr>
          <w:rFonts w:hint="eastAsia" w:ascii="仿宋" w:hAnsi="仿宋" w:eastAsia="仿宋" w:cs="仿宋"/>
          <w:color w:val="auto"/>
          <w:sz w:val="28"/>
          <w:szCs w:val="28"/>
          <w:lang w:val="en-US" w:eastAsia="zh-CN"/>
        </w:rPr>
        <w:t>0</w:t>
      </w:r>
      <w:r>
        <w:rPr>
          <w:rFonts w:hint="eastAsia" w:ascii="仿宋" w:hAnsi="仿宋" w:eastAsia="仿宋" w:cs="仿宋"/>
          <w:color w:val="auto"/>
          <w:sz w:val="28"/>
          <w:szCs w:val="28"/>
        </w:rPr>
        <w:t>月</w:t>
      </w:r>
      <w:r>
        <w:rPr>
          <w:rFonts w:hint="eastAsia" w:ascii="仿宋" w:hAnsi="仿宋" w:eastAsia="仿宋" w:cs="仿宋"/>
          <w:color w:val="auto"/>
          <w:sz w:val="28"/>
          <w:szCs w:val="28"/>
          <w:lang w:val="en-US" w:eastAsia="zh-CN"/>
        </w:rPr>
        <w:t>26</w:t>
      </w:r>
      <w:r>
        <w:rPr>
          <w:rFonts w:hint="eastAsia" w:ascii="仿宋" w:hAnsi="仿宋" w:eastAsia="仿宋" w:cs="仿宋"/>
          <w:color w:val="auto"/>
          <w:sz w:val="28"/>
          <w:szCs w:val="28"/>
        </w:rPr>
        <w:t>日起施行</w:t>
      </w:r>
      <w:r>
        <w:rPr>
          <w:rFonts w:hint="default" w:ascii="Times New Roman" w:hAnsi="Times New Roman" w:eastAsia="仿宋" w:cs="Times New Roman"/>
          <w:color w:val="auto"/>
          <w:kern w:val="0"/>
          <w:sz w:val="28"/>
          <w:szCs w:val="28"/>
          <w:lang w:bidi="ar"/>
        </w:rPr>
        <w:t>；</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（3）《中华人民共和国水污染防治法》，第二届全国人民代表大会常务委员会第二十八次，</w:t>
      </w:r>
      <w:r>
        <w:rPr>
          <w:rFonts w:hint="default" w:ascii="Times New Roman" w:hAnsi="Times New Roman" w:eastAsia="仿宋" w:cs="Times New Roman"/>
          <w:color w:val="auto"/>
          <w:sz w:val="28"/>
          <w:szCs w:val="28"/>
        </w:rPr>
        <w:t>2018年1月1日</w:t>
      </w:r>
      <w:r>
        <w:rPr>
          <w:rFonts w:hint="default" w:ascii="Times New Roman" w:hAnsi="Times New Roman" w:eastAsia="仿宋" w:cs="Times New Roman"/>
          <w:color w:val="auto"/>
          <w:kern w:val="0"/>
          <w:sz w:val="28"/>
          <w:szCs w:val="28"/>
          <w:lang w:bidi="ar"/>
        </w:rPr>
        <w:t>起</w:t>
      </w:r>
      <w:r>
        <w:rPr>
          <w:rFonts w:hint="default" w:ascii="Times New Roman" w:hAnsi="Times New Roman" w:eastAsia="仿宋" w:cs="Times New Roman"/>
          <w:color w:val="auto"/>
          <w:sz w:val="28"/>
          <w:szCs w:val="28"/>
        </w:rPr>
        <w:t>施行；</w:t>
      </w:r>
    </w:p>
    <w:p>
      <w:pPr>
        <w:topLinePunct/>
        <w:spacing w:line="360" w:lineRule="auto"/>
        <w:ind w:firstLine="560" w:firstLineChars="200"/>
        <w:rPr>
          <w:rFonts w:hint="default" w:ascii="Times New Roman" w:hAnsi="Times New Roman" w:eastAsia="仿宋" w:cs="Times New Roman"/>
          <w:color w:val="auto"/>
          <w:kern w:val="0"/>
          <w:sz w:val="28"/>
          <w:szCs w:val="28"/>
          <w:lang w:eastAsia="zh-CN" w:bidi="ar"/>
        </w:rPr>
      </w:pPr>
      <w:r>
        <w:rPr>
          <w:rFonts w:hint="default" w:ascii="Times New Roman" w:hAnsi="Times New Roman" w:eastAsia="仿宋" w:cs="Times New Roman"/>
          <w:color w:val="auto"/>
          <w:kern w:val="0"/>
          <w:sz w:val="28"/>
          <w:szCs w:val="28"/>
          <w:lang w:bidi="ar"/>
        </w:rPr>
        <w:t>（4）《中华人民共和国固体废物污染环境防治法》，</w:t>
      </w:r>
      <w:r>
        <w:rPr>
          <w:rFonts w:hint="default" w:ascii="Times New Roman" w:hAnsi="Times New Roman" w:eastAsia="仿宋" w:cs="Times New Roman"/>
          <w:color w:val="auto"/>
          <w:kern w:val="0"/>
          <w:sz w:val="28"/>
          <w:szCs w:val="28"/>
          <w:lang w:eastAsia="zh-CN" w:bidi="ar"/>
        </w:rPr>
        <w:t>主席令第43号，2020年09月01日起实施；</w:t>
      </w:r>
    </w:p>
    <w:p>
      <w:pPr>
        <w:pStyle w:val="22"/>
        <w:ind w:firstLineChars="150"/>
        <w:rPr>
          <w:rFonts w:hint="default" w:ascii="Times New Roman" w:hAnsi="Times New Roman" w:eastAsia="仿宋" w:cs="Times New Roman"/>
          <w:bCs/>
          <w:snapToGrid w:val="0"/>
          <w:color w:val="auto"/>
          <w:kern w:val="0"/>
          <w:sz w:val="28"/>
          <w:szCs w:val="28"/>
        </w:rPr>
      </w:pPr>
      <w:r>
        <w:rPr>
          <w:rFonts w:hint="default" w:ascii="Times New Roman" w:hAnsi="Times New Roman" w:eastAsia="仿宋" w:cs="Times New Roman"/>
          <w:bCs/>
          <w:snapToGrid w:val="0"/>
          <w:color w:val="auto"/>
          <w:kern w:val="0"/>
          <w:sz w:val="28"/>
          <w:szCs w:val="28"/>
        </w:rPr>
        <w:t>（5）《中华人民共和国土壤污染防治法》（中华人民共和国主席令</w:t>
      </w:r>
    </w:p>
    <w:p>
      <w:pPr>
        <w:pStyle w:val="22"/>
        <w:ind w:firstLine="0" w:firstLineChars="0"/>
        <w:rPr>
          <w:rFonts w:hint="default" w:ascii="Times New Roman" w:hAnsi="Times New Roman" w:eastAsia="仿宋" w:cs="Times New Roman"/>
          <w:bCs/>
          <w:snapToGrid w:val="0"/>
          <w:color w:val="auto"/>
          <w:kern w:val="0"/>
          <w:sz w:val="28"/>
          <w:szCs w:val="28"/>
        </w:rPr>
      </w:pPr>
      <w:r>
        <w:rPr>
          <w:rFonts w:hint="default" w:ascii="Times New Roman" w:hAnsi="Times New Roman" w:eastAsia="仿宋" w:cs="Times New Roman"/>
          <w:bCs/>
          <w:snapToGrid w:val="0"/>
          <w:color w:val="auto"/>
          <w:kern w:val="0"/>
          <w:sz w:val="28"/>
          <w:szCs w:val="28"/>
        </w:rPr>
        <w:t>第八号，2018年8月31日第十三届全国人民代表大会常务委员会第五次会议通过，自2019年1月1日起施行）；</w:t>
      </w:r>
    </w:p>
    <w:p>
      <w:pPr>
        <w:topLinePunct/>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（6）《中华人民共和国安全生产法》，主席令第十三号，2014年12月1日起实施；</w:t>
      </w:r>
    </w:p>
    <w:p>
      <w:pPr>
        <w:topLinePunct/>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kern w:val="0"/>
          <w:sz w:val="28"/>
          <w:szCs w:val="28"/>
          <w:lang w:bidi="ar"/>
        </w:rPr>
        <w:t>（7）《中华人民共和国突发事件应对法》，主席令第六十九号，2007年8月30日发布，2007年11月1日起实施。</w:t>
      </w:r>
    </w:p>
    <w:p>
      <w:pPr>
        <w:pStyle w:val="4"/>
        <w:widowControl/>
        <w:topLinePunct/>
        <w:autoSpaceDN w:val="0"/>
        <w:spacing w:before="0" w:after="0" w:line="240" w:lineRule="auto"/>
        <w:jc w:val="left"/>
        <w:rPr>
          <w:rFonts w:hint="default" w:ascii="Times New Roman" w:hAnsi="Times New Roman" w:eastAsia="仿宋" w:cs="Times New Roman"/>
          <w:bCs w:val="0"/>
          <w:color w:val="auto"/>
          <w:kern w:val="0"/>
          <w:sz w:val="28"/>
          <w:szCs w:val="28"/>
          <w:lang w:bidi="ar"/>
        </w:rPr>
      </w:pPr>
      <w:bookmarkStart w:id="31" w:name="_Toc1587"/>
      <w:bookmarkStart w:id="32" w:name="_Toc5597"/>
      <w:bookmarkStart w:id="33" w:name="_Toc25041"/>
      <w:bookmarkStart w:id="34" w:name="_Toc995"/>
      <w:r>
        <w:rPr>
          <w:rFonts w:hint="default" w:ascii="Times New Roman" w:hAnsi="Times New Roman" w:eastAsia="仿宋" w:cs="Times New Roman"/>
          <w:bCs w:val="0"/>
          <w:color w:val="auto"/>
          <w:kern w:val="0"/>
          <w:sz w:val="28"/>
          <w:szCs w:val="28"/>
          <w:lang w:bidi="ar"/>
        </w:rPr>
        <w:t>2.2.2技术指南、标准规范</w:t>
      </w:r>
      <w:bookmarkEnd w:id="31"/>
      <w:bookmarkEnd w:id="32"/>
      <w:bookmarkEnd w:id="33"/>
      <w:bookmarkEnd w:id="34"/>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（1）《建设项目环境风险评价技术导则》（HJ 169-2018）；</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w:t>
      </w:r>
      <w:r>
        <w:rPr>
          <w:rFonts w:hint="default" w:ascii="Times New Roman" w:hAnsi="Times New Roman" w:eastAsia="仿宋" w:cs="Times New Roman"/>
          <w:color w:val="auto"/>
          <w:kern w:val="0"/>
          <w:sz w:val="28"/>
          <w:szCs w:val="28"/>
          <w:lang w:bidi="ar"/>
        </w:rPr>
        <w:t>《企业突发环境事件风险分级方法》（HJ 941-2018），环办[2018]14号</w:t>
      </w:r>
      <w:r>
        <w:rPr>
          <w:rFonts w:hint="default" w:ascii="Times New Roman" w:hAnsi="Times New Roman" w:eastAsia="仿宋" w:cs="Times New Roman"/>
          <w:color w:val="auto"/>
          <w:sz w:val="28"/>
          <w:szCs w:val="28"/>
        </w:rPr>
        <w:t>，2018年3月1日；</w:t>
      </w:r>
    </w:p>
    <w:p>
      <w:pPr>
        <w:spacing w:line="360" w:lineRule="auto"/>
        <w:ind w:firstLine="560" w:firstLineChars="200"/>
        <w:rPr>
          <w:rFonts w:hint="default" w:ascii="Times New Roman" w:hAnsi="Times New Roman" w:eastAsia="仿宋" w:cs="Times New Roman"/>
          <w:color w:val="auto"/>
        </w:rPr>
      </w:pPr>
      <w:r>
        <w:rPr>
          <w:rFonts w:hint="default" w:ascii="Times New Roman" w:hAnsi="Times New Roman" w:eastAsia="仿宋" w:cs="Times New Roman"/>
          <w:color w:val="auto"/>
          <w:kern w:val="0"/>
          <w:sz w:val="28"/>
          <w:szCs w:val="28"/>
          <w:lang w:bidi="ar"/>
        </w:rPr>
        <w:t>（3）《危险化学品目录（2015年版）》；</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（4）《危险化学品重大危险源辨识》（GB18218-2018）；</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（5）《环境风险评价实用技术和方法》（胡二邦主编，中国环境出版社）；</w:t>
      </w:r>
    </w:p>
    <w:p>
      <w:pPr>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sz w:val="28"/>
          <w:szCs w:val="28"/>
        </w:rPr>
        <w:t>（6）</w:t>
      </w:r>
      <w:r>
        <w:rPr>
          <w:rFonts w:hint="default" w:ascii="Times New Roman" w:hAnsi="Times New Roman" w:eastAsia="仿宋" w:cs="Times New Roman"/>
          <w:color w:val="auto"/>
          <w:kern w:val="0"/>
          <w:sz w:val="28"/>
          <w:szCs w:val="28"/>
          <w:lang w:bidi="ar"/>
        </w:rPr>
        <w:t>《国家突发环境事件应急预案》，国办函[2014]119号；</w:t>
      </w:r>
    </w:p>
    <w:p>
      <w:pPr>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（7）《危险化学品安全管理条例》，国务院令第591号，2011年12月1日起实施；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（8）《建设项目环境保护管理条例》，国务院令第682号，2017年10月1日起实施；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（9）关于印发《突发环境事件应急预案管理暂行办法》的通知，环发〔2010〕113号，2010年9月28日起实施；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（10）《</w:t>
      </w:r>
      <w:bookmarkStart w:id="35" w:name="OLE_LINK7"/>
      <w:r>
        <w:rPr>
          <w:rFonts w:hint="default" w:ascii="Times New Roman" w:hAnsi="Times New Roman" w:eastAsia="仿宋" w:cs="Times New Roman"/>
          <w:color w:val="auto"/>
          <w:kern w:val="0"/>
          <w:sz w:val="28"/>
          <w:szCs w:val="28"/>
          <w:lang w:bidi="ar"/>
        </w:rPr>
        <w:t>关于加强企业应急管理工作的意见》，国办发[2007]13号，2007年2月28日</w:t>
      </w:r>
      <w:bookmarkEnd w:id="35"/>
      <w:r>
        <w:rPr>
          <w:rFonts w:hint="default" w:ascii="Times New Roman" w:hAnsi="Times New Roman" w:eastAsia="仿宋" w:cs="Times New Roman"/>
          <w:color w:val="auto"/>
          <w:kern w:val="0"/>
          <w:sz w:val="28"/>
          <w:szCs w:val="28"/>
          <w:lang w:bidi="ar"/>
        </w:rPr>
        <w:t>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（11）陕西省人民办公室关于印发《陕西省突发环境事件应急预案》的通知，陕政办函〔2015〕128号，2015年6月19日起实施；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（12）陕西省环境保护厅办公室《关于进一步加强突发环境事件应急预案工作的通知》，陕环办发[2012]126号，2012年9月17日起实施；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（13）《</w:t>
      </w:r>
      <w:bookmarkStart w:id="36" w:name="OLE_LINK6"/>
      <w:r>
        <w:rPr>
          <w:rFonts w:hint="default" w:ascii="Times New Roman" w:hAnsi="Times New Roman" w:eastAsia="仿宋" w:cs="Times New Roman"/>
          <w:color w:val="auto"/>
          <w:kern w:val="0"/>
          <w:sz w:val="28"/>
          <w:szCs w:val="28"/>
          <w:lang w:bidi="ar"/>
        </w:rPr>
        <w:t>陕西省突发事件应急预案管理暂行办法</w:t>
      </w:r>
      <w:bookmarkEnd w:id="36"/>
      <w:r>
        <w:rPr>
          <w:rFonts w:hint="default" w:ascii="Times New Roman" w:hAnsi="Times New Roman" w:eastAsia="仿宋" w:cs="Times New Roman"/>
          <w:color w:val="auto"/>
          <w:kern w:val="0"/>
          <w:sz w:val="28"/>
          <w:szCs w:val="28"/>
          <w:lang w:bidi="ar"/>
        </w:rPr>
        <w:t>》，陕政办发[2009]125号，2011年10月15日起实施；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（14）陕西省环境保护厅关于印发《陕西省环境保护厅突发环境事件应急预案》的通知，陕环发[2016]45号，2016年10月21日起实施；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（15）《突发环境事件应急管理办法》，环境保护部令第34号，2015年6月5日起实施；</w:t>
      </w:r>
    </w:p>
    <w:p>
      <w:pPr>
        <w:topLinePunct/>
        <w:spacing w:line="360" w:lineRule="auto"/>
        <w:ind w:firstLine="560" w:firstLineChars="200"/>
        <w:rPr>
          <w:rFonts w:hint="default" w:ascii="Times New Roman" w:hAnsi="Times New Roman" w:eastAsia="仿宋" w:cs="Times New Roman"/>
          <w:color w:val="auto"/>
          <w:kern w:val="0"/>
          <w:sz w:val="28"/>
          <w:szCs w:val="28"/>
          <w:lang w:bidi="ar"/>
        </w:rPr>
      </w:pPr>
      <w:r>
        <w:rPr>
          <w:rFonts w:hint="default" w:ascii="Times New Roman" w:hAnsi="Times New Roman" w:eastAsia="仿宋" w:cs="Times New Roman"/>
          <w:color w:val="auto"/>
          <w:kern w:val="0"/>
          <w:sz w:val="28"/>
          <w:szCs w:val="28"/>
          <w:lang w:bidi="ar"/>
        </w:rPr>
        <w:t>（16）《突发环境事件调查处理办法》，环境保护部令第32号，2015年3月1日起实施；</w:t>
      </w:r>
    </w:p>
    <w:p>
      <w:pPr>
        <w:pStyle w:val="10"/>
        <w:spacing w:after="0"/>
        <w:ind w:left="0" w:leftChars="0" w:firstLine="420" w:firstLineChars="15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（17）《关于进一步加强环境影响评价管理防范环境风险的通知》（环发[2012]77号）；</w:t>
      </w:r>
    </w:p>
    <w:p>
      <w:pPr>
        <w:pStyle w:val="10"/>
        <w:spacing w:after="0"/>
        <w:ind w:left="0" w:leftChars="0" w:firstLine="420" w:firstLineChars="150"/>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18</w:t>
      </w:r>
      <w:r>
        <w:rPr>
          <w:rFonts w:hint="default" w:ascii="Times New Roman" w:hAnsi="Times New Roman" w:eastAsia="仿宋" w:cs="Times New Roman"/>
          <w:color w:val="auto"/>
          <w:sz w:val="28"/>
          <w:szCs w:val="28"/>
        </w:rPr>
        <w:t>）《关于印发&lt;企业突环境事件风险评估指南(试行)的通知&gt;》（环办[2014]34号）</w:t>
      </w:r>
      <w:r>
        <w:rPr>
          <w:rFonts w:hint="eastAsia" w:eastAsia="仿宋" w:cs="Times New Roman"/>
          <w:color w:val="auto"/>
          <w:sz w:val="28"/>
          <w:szCs w:val="28"/>
          <w:lang w:eastAsia="zh-CN"/>
        </w:rPr>
        <w:t>。</w:t>
      </w:r>
    </w:p>
    <w:p>
      <w:pPr>
        <w:pStyle w:val="4"/>
        <w:widowControl/>
        <w:topLinePunct/>
        <w:autoSpaceDN w:val="0"/>
        <w:spacing w:before="0" w:after="0" w:line="240" w:lineRule="auto"/>
        <w:jc w:val="left"/>
        <w:rPr>
          <w:rFonts w:hint="default" w:ascii="Times New Roman" w:hAnsi="Times New Roman" w:eastAsia="仿宋" w:cs="Times New Roman"/>
          <w:color w:val="auto"/>
          <w:sz w:val="28"/>
          <w:szCs w:val="28"/>
        </w:rPr>
      </w:pPr>
      <w:r>
        <w:rPr>
          <w:rFonts w:hint="default" w:ascii="Times New Roman" w:hAnsi="Times New Roman" w:eastAsia="仿宋" w:cs="Times New Roman"/>
          <w:bCs w:val="0"/>
          <w:color w:val="auto"/>
          <w:kern w:val="0"/>
          <w:sz w:val="28"/>
          <w:szCs w:val="28"/>
          <w:lang w:bidi="ar"/>
        </w:rPr>
        <w:t>2.2.3项目资料</w:t>
      </w:r>
    </w:p>
    <w:p>
      <w:pPr>
        <w:pStyle w:val="10"/>
        <w:numPr>
          <w:ilvl w:val="0"/>
          <w:numId w:val="1"/>
        </w:numPr>
        <w:spacing w:after="0"/>
        <w:ind w:left="0" w:leftChars="0" w:firstLine="420" w:firstLineChars="15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《陕西勇轩混凝土有限公司年产经营30万</w:t>
      </w:r>
      <w:r>
        <w:rPr>
          <w:rFonts w:hint="eastAsia" w:eastAsia="仿宋" w:cs="Times New Roman"/>
          <w:color w:val="auto"/>
          <w:sz w:val="28"/>
          <w:szCs w:val="28"/>
          <w:lang w:eastAsia="zh-CN"/>
        </w:rPr>
        <w:t>立方米</w:t>
      </w:r>
      <w:r>
        <w:rPr>
          <w:rFonts w:hint="default" w:ascii="Times New Roman" w:hAnsi="Times New Roman" w:eastAsia="仿宋" w:cs="Times New Roman"/>
          <w:color w:val="auto"/>
          <w:sz w:val="28"/>
          <w:szCs w:val="28"/>
          <w:lang w:eastAsia="zh-CN"/>
        </w:rPr>
        <w:t>预拌混凝土和30万</w:t>
      </w:r>
      <w:r>
        <w:rPr>
          <w:rFonts w:hint="eastAsia" w:eastAsia="仿宋" w:cs="Times New Roman"/>
          <w:color w:val="auto"/>
          <w:sz w:val="28"/>
          <w:szCs w:val="28"/>
          <w:lang w:eastAsia="zh-CN"/>
        </w:rPr>
        <w:t>吨干粉砂浆</w:t>
      </w:r>
      <w:r>
        <w:rPr>
          <w:rFonts w:hint="default" w:ascii="Times New Roman" w:hAnsi="Times New Roman" w:eastAsia="仿宋" w:cs="Times New Roman"/>
          <w:color w:val="auto"/>
          <w:sz w:val="28"/>
          <w:szCs w:val="28"/>
          <w:lang w:eastAsia="zh-CN"/>
        </w:rPr>
        <w:t>项目环境影响报告表》，核工业二O三研究所，2015年9月</w:t>
      </w:r>
      <w:r>
        <w:rPr>
          <w:rFonts w:hint="eastAsia" w:eastAsia="仿宋" w:cs="Times New Roman"/>
          <w:color w:val="auto"/>
          <w:sz w:val="28"/>
          <w:szCs w:val="28"/>
          <w:lang w:eastAsia="zh-CN"/>
        </w:rPr>
        <w:t>；</w:t>
      </w:r>
    </w:p>
    <w:p>
      <w:pPr>
        <w:pStyle w:val="10"/>
        <w:numPr>
          <w:ilvl w:val="0"/>
          <w:numId w:val="1"/>
        </w:numPr>
        <w:spacing w:after="0"/>
        <w:ind w:left="0" w:leftChars="0" w:firstLine="420" w:firstLineChars="15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陕西省西咸新区秦汉新城规划建设环保和房屋管理局《关于陕西勇轩混凝土有限公司年产经营30万</w:t>
      </w:r>
      <w:r>
        <w:rPr>
          <w:rFonts w:hint="eastAsia" w:eastAsia="仿宋" w:cs="Times New Roman"/>
          <w:color w:val="auto"/>
          <w:sz w:val="28"/>
          <w:szCs w:val="28"/>
          <w:lang w:eastAsia="zh-CN"/>
        </w:rPr>
        <w:t>立方米</w:t>
      </w:r>
      <w:r>
        <w:rPr>
          <w:rFonts w:hint="default" w:ascii="Times New Roman" w:hAnsi="Times New Roman" w:eastAsia="仿宋" w:cs="Times New Roman"/>
          <w:color w:val="auto"/>
          <w:sz w:val="28"/>
          <w:szCs w:val="28"/>
          <w:lang w:eastAsia="zh-CN"/>
        </w:rPr>
        <w:t>预拌混凝土和30万</w:t>
      </w:r>
      <w:r>
        <w:rPr>
          <w:rFonts w:hint="eastAsia" w:eastAsia="仿宋" w:cs="Times New Roman"/>
          <w:color w:val="auto"/>
          <w:sz w:val="28"/>
          <w:szCs w:val="28"/>
          <w:lang w:eastAsia="zh-CN"/>
        </w:rPr>
        <w:t>吨干粉砂浆</w:t>
      </w:r>
      <w:r>
        <w:rPr>
          <w:rFonts w:hint="default" w:ascii="Times New Roman" w:hAnsi="Times New Roman" w:eastAsia="仿宋" w:cs="Times New Roman"/>
          <w:color w:val="auto"/>
          <w:sz w:val="28"/>
          <w:szCs w:val="28"/>
          <w:lang w:eastAsia="zh-CN"/>
        </w:rPr>
        <w:t>项目环境影响报告表的批复》（秦汉管规函[2015]108号）</w:t>
      </w:r>
      <w:r>
        <w:rPr>
          <w:rFonts w:hint="eastAsia" w:eastAsia="仿宋" w:cs="Times New Roman"/>
          <w:color w:val="auto"/>
          <w:sz w:val="28"/>
          <w:szCs w:val="28"/>
          <w:lang w:eastAsia="zh-CN"/>
        </w:rPr>
        <w:t>；</w:t>
      </w:r>
    </w:p>
    <w:p>
      <w:pPr>
        <w:pStyle w:val="10"/>
        <w:numPr>
          <w:ilvl w:val="0"/>
          <w:numId w:val="1"/>
        </w:numPr>
        <w:spacing w:after="0"/>
        <w:ind w:left="0" w:leftChars="0" w:firstLine="420" w:firstLineChars="15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陕西省西咸新区秦汉新城规划建设环保和房屋管理局《关于陕西勇轩混凝土有限公司年产经营30万</w:t>
      </w:r>
      <w:r>
        <w:rPr>
          <w:rFonts w:hint="eastAsia" w:eastAsia="仿宋" w:cs="Times New Roman"/>
          <w:color w:val="auto"/>
          <w:sz w:val="28"/>
          <w:szCs w:val="28"/>
          <w:lang w:eastAsia="zh-CN"/>
        </w:rPr>
        <w:t>立方米</w:t>
      </w:r>
      <w:r>
        <w:rPr>
          <w:rFonts w:hint="default" w:ascii="Times New Roman" w:hAnsi="Times New Roman" w:eastAsia="仿宋" w:cs="Times New Roman"/>
          <w:color w:val="auto"/>
          <w:sz w:val="28"/>
          <w:szCs w:val="28"/>
          <w:lang w:eastAsia="zh-CN"/>
        </w:rPr>
        <w:t>预拌混凝土和30万</w:t>
      </w:r>
      <w:r>
        <w:rPr>
          <w:rFonts w:hint="eastAsia" w:eastAsia="仿宋" w:cs="Times New Roman"/>
          <w:color w:val="auto"/>
          <w:sz w:val="28"/>
          <w:szCs w:val="28"/>
          <w:lang w:eastAsia="zh-CN"/>
        </w:rPr>
        <w:t>吨干粉砂浆</w:t>
      </w:r>
      <w:r>
        <w:rPr>
          <w:rFonts w:hint="default" w:ascii="Times New Roman" w:hAnsi="Times New Roman" w:eastAsia="仿宋" w:cs="Times New Roman"/>
          <w:color w:val="auto"/>
          <w:sz w:val="28"/>
          <w:szCs w:val="28"/>
          <w:lang w:eastAsia="zh-CN"/>
        </w:rPr>
        <w:t>项目变更批复》（秦汉管规函[2016]23号）。</w:t>
      </w:r>
    </w:p>
    <w:p>
      <w:pPr>
        <w:spacing w:line="360" w:lineRule="auto"/>
        <w:outlineLvl w:val="1"/>
        <w:rPr>
          <w:rFonts w:hint="default" w:ascii="Times New Roman" w:hAnsi="Times New Roman" w:eastAsia="仿宋" w:cs="Times New Roman"/>
          <w:b/>
          <w:bCs/>
          <w:snapToGrid w:val="0"/>
          <w:color w:val="auto"/>
          <w:kern w:val="0"/>
          <w:sz w:val="28"/>
          <w:szCs w:val="28"/>
        </w:rPr>
      </w:pPr>
      <w:bookmarkStart w:id="37" w:name="_Toc5346"/>
      <w:bookmarkStart w:id="38" w:name="_Toc23861"/>
      <w:bookmarkStart w:id="39" w:name="_Toc20851"/>
      <w:bookmarkStart w:id="40" w:name="_Toc20970"/>
      <w:bookmarkStart w:id="41" w:name="_Toc23230"/>
      <w:bookmarkStart w:id="42" w:name="_Toc27579"/>
      <w:bookmarkStart w:id="43" w:name="_Toc1048"/>
      <w:r>
        <w:rPr>
          <w:rFonts w:hint="default" w:ascii="Times New Roman" w:hAnsi="Times New Roman" w:eastAsia="仿宋" w:cs="Times New Roman"/>
          <w:b/>
          <w:bCs/>
          <w:snapToGrid w:val="0"/>
          <w:color w:val="auto"/>
          <w:kern w:val="0"/>
          <w:sz w:val="28"/>
          <w:szCs w:val="28"/>
        </w:rPr>
        <w:t>2.3评估范围</w:t>
      </w:r>
      <w:bookmarkEnd w:id="37"/>
      <w:bookmarkEnd w:id="38"/>
      <w:bookmarkEnd w:id="39"/>
    </w:p>
    <w:p>
      <w:pPr>
        <w:spacing w:line="360" w:lineRule="auto"/>
        <w:ind w:firstLine="560" w:firstLineChars="200"/>
        <w:rPr>
          <w:rFonts w:hint="default" w:ascii="Times New Roman" w:hAnsi="Times New Roman" w:eastAsia="仿宋" w:cs="Times New Roman"/>
          <w:iCs/>
          <w:color w:val="auto"/>
          <w:sz w:val="28"/>
          <w:szCs w:val="28"/>
        </w:rPr>
      </w:pPr>
      <w:r>
        <w:rPr>
          <w:rFonts w:hint="default" w:ascii="Times New Roman" w:hAnsi="Times New Roman" w:eastAsia="仿宋" w:cs="Times New Roman"/>
          <w:color w:val="auto"/>
          <w:kern w:val="0"/>
          <w:sz w:val="28"/>
          <w:szCs w:val="28"/>
        </w:rPr>
        <w:t>本次评估报告对</w:t>
      </w:r>
      <w:r>
        <w:rPr>
          <w:rFonts w:hint="eastAsia" w:eastAsia="仿宋" w:cs="Times New Roman"/>
          <w:iCs/>
          <w:color w:val="auto"/>
          <w:sz w:val="28"/>
          <w:szCs w:val="28"/>
          <w:lang w:eastAsia="zh-CN"/>
        </w:rPr>
        <w:t>陕西勇轩建材有限公司</w:t>
      </w:r>
      <w:r>
        <w:rPr>
          <w:rFonts w:hint="default" w:ascii="Times New Roman" w:hAnsi="Times New Roman" w:eastAsia="仿宋" w:cs="Times New Roman"/>
          <w:iCs/>
          <w:color w:val="auto"/>
          <w:sz w:val="28"/>
          <w:szCs w:val="28"/>
          <w:lang w:eastAsia="zh-CN"/>
        </w:rPr>
        <w:t>厂</w:t>
      </w:r>
      <w:r>
        <w:rPr>
          <w:rFonts w:hint="default" w:ascii="Times New Roman" w:hAnsi="Times New Roman" w:eastAsia="仿宋" w:cs="Times New Roman"/>
          <w:color w:val="auto"/>
          <w:sz w:val="28"/>
          <w:szCs w:val="28"/>
        </w:rPr>
        <w:t>区现状</w:t>
      </w:r>
      <w:r>
        <w:rPr>
          <w:rFonts w:hint="default" w:ascii="Times New Roman" w:hAnsi="Times New Roman" w:eastAsia="仿宋" w:cs="Times New Roman"/>
          <w:color w:val="auto"/>
          <w:kern w:val="0"/>
          <w:sz w:val="28"/>
          <w:szCs w:val="28"/>
        </w:rPr>
        <w:t>进行评估。</w:t>
      </w:r>
    </w:p>
    <w:p>
      <w:pPr>
        <w:spacing w:line="360" w:lineRule="auto"/>
        <w:outlineLvl w:val="1"/>
        <w:rPr>
          <w:rFonts w:hint="default" w:ascii="Times New Roman" w:hAnsi="Times New Roman" w:eastAsia="仿宋" w:cs="Times New Roman"/>
          <w:b/>
          <w:bCs/>
          <w:snapToGrid w:val="0"/>
          <w:color w:val="auto"/>
          <w:kern w:val="0"/>
          <w:sz w:val="28"/>
          <w:szCs w:val="28"/>
        </w:rPr>
      </w:pPr>
      <w:bookmarkStart w:id="44" w:name="_Toc1775"/>
      <w:bookmarkStart w:id="45" w:name="_Toc20174"/>
      <w:bookmarkStart w:id="46" w:name="_Toc3341"/>
      <w:r>
        <w:rPr>
          <w:rFonts w:hint="default" w:ascii="Times New Roman" w:hAnsi="Times New Roman" w:eastAsia="仿宋" w:cs="Times New Roman"/>
          <w:b/>
          <w:bCs/>
          <w:snapToGrid w:val="0"/>
          <w:color w:val="auto"/>
          <w:kern w:val="0"/>
          <w:sz w:val="28"/>
          <w:szCs w:val="28"/>
        </w:rPr>
        <w:t>2.4突发环境事件风险评估程序</w:t>
      </w:r>
      <w:bookmarkEnd w:id="44"/>
      <w:bookmarkEnd w:id="45"/>
      <w:bookmarkEnd w:id="46"/>
    </w:p>
    <w:p>
      <w:pPr>
        <w:spacing w:line="360" w:lineRule="auto"/>
        <w:ind w:firstLine="560" w:firstLineChars="200"/>
        <w:rPr>
          <w:rFonts w:hint="default" w:ascii="Times New Roman" w:hAnsi="Times New Roman" w:eastAsia="仿宋" w:cs="Times New Roman"/>
          <w:iCs/>
          <w:color w:val="auto"/>
          <w:sz w:val="28"/>
          <w:szCs w:val="28"/>
        </w:rPr>
      </w:pPr>
      <w:r>
        <w:rPr>
          <w:rFonts w:hint="default" w:ascii="Times New Roman" w:hAnsi="Times New Roman" w:eastAsia="仿宋" w:cs="Times New Roman"/>
          <w:iCs/>
          <w:color w:val="auto"/>
          <w:sz w:val="28"/>
          <w:szCs w:val="28"/>
        </w:rPr>
        <w:t>突发环境事件风险评估程序见图2-1。</w:t>
      </w:r>
    </w:p>
    <w:p>
      <w:pPr>
        <w:spacing w:line="360" w:lineRule="auto"/>
        <w:jc w:val="center"/>
        <w:rPr>
          <w:rFonts w:hint="default" w:ascii="Times New Roman" w:hAnsi="Times New Roman" w:eastAsia="仿宋" w:cs="Times New Roman"/>
          <w:iCs/>
          <w:color w:val="auto"/>
          <w:sz w:val="24"/>
        </w:rPr>
      </w:pPr>
      <w:r>
        <w:rPr>
          <w:rFonts w:hint="default" w:ascii="Times New Roman" w:hAnsi="Times New Roman" w:eastAsia="仿宋" w:cs="Times New Roman"/>
          <w:iCs/>
          <w:color w:val="auto"/>
          <w:sz w:val="24"/>
        </w:rPr>
        <w:drawing>
          <wp:inline distT="0" distB="0" distL="114300" distR="114300">
            <wp:extent cx="4501515" cy="3594100"/>
            <wp:effectExtent l="0" t="0" r="13335" b="6350"/>
            <wp:docPr id="65"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9"/>
                    <pic:cNvPicPr>
                      <a:picLocks noChangeAspect="1"/>
                    </pic:cNvPicPr>
                  </pic:nvPicPr>
                  <pic:blipFill>
                    <a:blip r:embed="rId17"/>
                    <a:stretch>
                      <a:fillRect/>
                    </a:stretch>
                  </pic:blipFill>
                  <pic:spPr>
                    <a:xfrm>
                      <a:off x="0" y="0"/>
                      <a:ext cx="4501515" cy="3594100"/>
                    </a:xfrm>
                    <a:prstGeom prst="rect">
                      <a:avLst/>
                    </a:prstGeom>
                    <a:noFill/>
                    <a:ln w="9525">
                      <a:noFill/>
                    </a:ln>
                  </pic:spPr>
                </pic:pic>
              </a:graphicData>
            </a:graphic>
          </wp:inline>
        </w:drawing>
      </w:r>
    </w:p>
    <w:p>
      <w:pPr>
        <w:widowControl/>
        <w:spacing w:line="360" w:lineRule="auto"/>
        <w:jc w:val="center"/>
        <w:rPr>
          <w:rFonts w:hint="default" w:ascii="Times New Roman" w:hAnsi="Times New Roman" w:eastAsia="仿宋" w:cs="Times New Roman"/>
          <w:b/>
          <w:bCs/>
          <w:color w:val="auto"/>
          <w:kern w:val="0"/>
          <w:szCs w:val="21"/>
        </w:rPr>
      </w:pPr>
      <w:r>
        <w:rPr>
          <w:rFonts w:hint="default" w:ascii="Times New Roman" w:hAnsi="Times New Roman" w:eastAsia="仿宋" w:cs="Times New Roman"/>
          <w:b/>
          <w:bCs/>
          <w:color w:val="auto"/>
          <w:kern w:val="0"/>
          <w:sz w:val="28"/>
          <w:szCs w:val="28"/>
        </w:rPr>
        <w:t>图2-1  突发环境事件风险评估程序示意图</w:t>
      </w:r>
    </w:p>
    <w:p>
      <w:pPr>
        <w:spacing w:line="360" w:lineRule="auto"/>
        <w:outlineLvl w:val="0"/>
        <w:rPr>
          <w:rFonts w:hint="default" w:ascii="Times New Roman" w:hAnsi="Times New Roman" w:eastAsia="仿宋" w:cs="Times New Roman"/>
          <w:b/>
          <w:snapToGrid w:val="0"/>
          <w:color w:val="auto"/>
          <w:kern w:val="0"/>
          <w:sz w:val="28"/>
          <w:szCs w:val="28"/>
        </w:rPr>
        <w:sectPr>
          <w:footerReference r:id="rId9" w:type="default"/>
          <w:pgSz w:w="11906" w:h="16838"/>
          <w:pgMar w:top="1440" w:right="1587" w:bottom="1440" w:left="1701" w:header="851" w:footer="992" w:gutter="0"/>
          <w:pgNumType w:fmt="decimal"/>
          <w:cols w:space="720" w:num="1"/>
          <w:docGrid w:type="lines" w:linePitch="312" w:charSpace="0"/>
        </w:sectPr>
      </w:pPr>
    </w:p>
    <w:p>
      <w:pPr>
        <w:spacing w:line="360" w:lineRule="auto"/>
        <w:outlineLvl w:val="0"/>
        <w:rPr>
          <w:rFonts w:hint="default" w:ascii="Times New Roman" w:hAnsi="Times New Roman" w:eastAsia="仿宋" w:cs="Times New Roman"/>
          <w:color w:val="auto"/>
          <w:kern w:val="0"/>
          <w:sz w:val="28"/>
          <w:szCs w:val="28"/>
        </w:rPr>
      </w:pPr>
      <w:bookmarkStart w:id="47" w:name="_Toc8989"/>
      <w:r>
        <w:rPr>
          <w:rFonts w:hint="default" w:ascii="Times New Roman" w:hAnsi="Times New Roman" w:eastAsia="仿宋" w:cs="Times New Roman"/>
          <w:b/>
          <w:snapToGrid w:val="0"/>
          <w:color w:val="auto"/>
          <w:kern w:val="0"/>
          <w:sz w:val="28"/>
          <w:szCs w:val="28"/>
        </w:rPr>
        <w:t>3、资料准备与环境风险识别</w:t>
      </w:r>
      <w:bookmarkEnd w:id="47"/>
    </w:p>
    <w:p>
      <w:pPr>
        <w:spacing w:line="360" w:lineRule="auto"/>
        <w:outlineLvl w:val="1"/>
        <w:rPr>
          <w:rFonts w:hint="default" w:ascii="Times New Roman" w:hAnsi="Times New Roman" w:eastAsia="仿宋" w:cs="Times New Roman"/>
          <w:b/>
          <w:bCs/>
          <w:snapToGrid w:val="0"/>
          <w:color w:val="auto"/>
          <w:kern w:val="0"/>
          <w:sz w:val="28"/>
          <w:szCs w:val="28"/>
        </w:rPr>
      </w:pPr>
      <w:bookmarkStart w:id="48" w:name="_Toc9898"/>
      <w:r>
        <w:rPr>
          <w:rFonts w:hint="default" w:ascii="Times New Roman" w:hAnsi="Times New Roman" w:eastAsia="仿宋" w:cs="Times New Roman"/>
          <w:b/>
          <w:bCs/>
          <w:snapToGrid w:val="0"/>
          <w:color w:val="auto"/>
          <w:kern w:val="0"/>
          <w:sz w:val="28"/>
          <w:szCs w:val="28"/>
        </w:rPr>
        <w:t>3.1企业</w:t>
      </w:r>
      <w:bookmarkEnd w:id="40"/>
      <w:r>
        <w:rPr>
          <w:rFonts w:hint="default" w:ascii="Times New Roman" w:hAnsi="Times New Roman" w:eastAsia="仿宋" w:cs="Times New Roman"/>
          <w:b/>
          <w:bCs/>
          <w:snapToGrid w:val="0"/>
          <w:color w:val="auto"/>
          <w:kern w:val="0"/>
          <w:sz w:val="28"/>
          <w:szCs w:val="28"/>
        </w:rPr>
        <w:t>基本信息</w:t>
      </w:r>
      <w:bookmarkEnd w:id="48"/>
    </w:p>
    <w:p>
      <w:pPr>
        <w:spacing w:line="360" w:lineRule="auto"/>
        <w:ind w:firstLine="560" w:firstLineChars="200"/>
        <w:rPr>
          <w:rFonts w:hint="default" w:ascii="Times New Roman" w:hAnsi="Times New Roman" w:eastAsia="仿宋" w:cs="Times New Roman"/>
          <w:bCs/>
          <w:color w:val="auto"/>
          <w:sz w:val="28"/>
          <w:szCs w:val="28"/>
          <w:lang w:eastAsia="zh-CN"/>
        </w:rPr>
      </w:pPr>
      <w:r>
        <w:rPr>
          <w:rFonts w:hint="eastAsia" w:ascii="仿宋" w:hAnsi="仿宋" w:eastAsia="仿宋" w:cs="仿宋"/>
          <w:bCs/>
          <w:color w:val="auto"/>
          <w:sz w:val="28"/>
          <w:szCs w:val="28"/>
          <w:lang w:eastAsia="zh-CN"/>
        </w:rPr>
        <w:t>陕西勇轩建材有限公司位于陕西省西咸新区秦汉新城正阳街道办张家湾村，地理坐标为：E108°57'27.87"，N34°26'04.36"。项目北侧为农田，西侧隔生产路为饲料厂，南侧为空地，东侧为陕西卓建永固建材有限公司。建设内容主要包括生产区、生活区，占地面积为21000㎡，建设年产30万立方预拌混凝土生产线。项目原料主要为水泥、石子、河沙、粉煤灰、外加剂（聚羧酸减水剂）等。</w:t>
      </w:r>
    </w:p>
    <w:p>
      <w:pPr>
        <w:spacing w:line="360" w:lineRule="auto"/>
        <w:ind w:firstLine="560" w:firstLineChars="200"/>
        <w:rPr>
          <w:rFonts w:hint="default" w:ascii="Times New Roman" w:hAnsi="Times New Roman" w:eastAsia="仿宋" w:cs="Times New Roman"/>
          <w:bCs/>
          <w:color w:val="auto"/>
          <w:sz w:val="28"/>
          <w:szCs w:val="28"/>
        </w:rPr>
      </w:pPr>
      <w:r>
        <w:rPr>
          <w:rFonts w:hint="default" w:ascii="Times New Roman" w:hAnsi="Times New Roman" w:eastAsia="仿宋" w:cs="Times New Roman"/>
          <w:bCs/>
          <w:color w:val="auto"/>
          <w:sz w:val="28"/>
          <w:szCs w:val="28"/>
          <w:lang w:eastAsia="zh-CN"/>
        </w:rPr>
        <w:t>厂区</w:t>
      </w:r>
      <w:r>
        <w:rPr>
          <w:rFonts w:hint="default" w:ascii="Times New Roman" w:hAnsi="Times New Roman" w:eastAsia="仿宋" w:cs="Times New Roman"/>
          <w:bCs/>
          <w:color w:val="auto"/>
          <w:sz w:val="28"/>
          <w:szCs w:val="28"/>
        </w:rPr>
        <w:t>给水为市政给水，项目生产废水循环利用，不外排</w:t>
      </w:r>
      <w:r>
        <w:rPr>
          <w:rFonts w:hint="eastAsia" w:eastAsia="仿宋" w:cs="Times New Roman"/>
          <w:bCs/>
          <w:color w:val="auto"/>
          <w:sz w:val="28"/>
          <w:szCs w:val="28"/>
          <w:lang w:eastAsia="zh-CN"/>
        </w:rPr>
        <w:t>，</w:t>
      </w:r>
      <w:r>
        <w:rPr>
          <w:rFonts w:hint="default" w:ascii="Times New Roman" w:hAnsi="Times New Roman" w:eastAsia="仿宋" w:cs="Times New Roman"/>
          <w:bCs/>
          <w:color w:val="auto"/>
          <w:sz w:val="28"/>
          <w:szCs w:val="28"/>
        </w:rPr>
        <w:t>排水主要是生活污水和雨水。</w:t>
      </w:r>
      <w:r>
        <w:rPr>
          <w:rFonts w:hint="eastAsia" w:eastAsia="仿宋" w:cs="Times New Roman"/>
          <w:bCs/>
          <w:color w:val="auto"/>
          <w:sz w:val="28"/>
          <w:szCs w:val="28"/>
          <w:lang w:eastAsia="zh-CN"/>
        </w:rPr>
        <w:t>雨水进入厂区三级沉淀池，沉淀后用于厂区洒水和生产用水；</w:t>
      </w:r>
      <w:r>
        <w:rPr>
          <w:rFonts w:hint="default" w:ascii="Times New Roman" w:hAnsi="Times New Roman" w:eastAsia="仿宋" w:cs="Times New Roman"/>
          <w:bCs/>
          <w:color w:val="auto"/>
          <w:sz w:val="28"/>
          <w:szCs w:val="28"/>
        </w:rPr>
        <w:t>餐饮废水经隔油池预处理后，与其他</w:t>
      </w:r>
      <w:r>
        <w:rPr>
          <w:rFonts w:hint="eastAsia" w:eastAsia="仿宋" w:cs="Times New Roman"/>
          <w:bCs/>
          <w:color w:val="auto"/>
          <w:sz w:val="28"/>
          <w:szCs w:val="28"/>
          <w:lang w:eastAsia="zh-CN"/>
        </w:rPr>
        <w:t>生活</w:t>
      </w:r>
      <w:r>
        <w:rPr>
          <w:rFonts w:hint="default" w:ascii="Times New Roman" w:hAnsi="Times New Roman" w:eastAsia="仿宋" w:cs="Times New Roman"/>
          <w:bCs/>
          <w:color w:val="auto"/>
          <w:sz w:val="28"/>
          <w:szCs w:val="28"/>
        </w:rPr>
        <w:t>废水一同进入陕西卓建永固建材有限公司化粪池，然后进入地下一体化污水处理系统处理，用于厂区洒水，不外排。</w:t>
      </w:r>
    </w:p>
    <w:p>
      <w:pPr>
        <w:spacing w:line="360" w:lineRule="auto"/>
        <w:ind w:firstLine="560" w:firstLineChars="200"/>
        <w:rPr>
          <w:rFonts w:hint="default" w:ascii="Times New Roman" w:hAnsi="Times New Roman" w:eastAsia="仿宋" w:cs="Times New Roman"/>
          <w:bCs/>
          <w:color w:val="auto"/>
          <w:sz w:val="28"/>
          <w:szCs w:val="28"/>
          <w:lang w:eastAsia="zh-CN"/>
        </w:rPr>
      </w:pPr>
      <w:r>
        <w:rPr>
          <w:rFonts w:hint="eastAsia" w:eastAsia="仿宋" w:cs="Times New Roman"/>
          <w:bCs/>
          <w:color w:val="auto"/>
          <w:sz w:val="28"/>
          <w:szCs w:val="28"/>
          <w:lang w:eastAsia="zh-CN"/>
        </w:rPr>
        <w:t>陕西勇轩建材有限公司</w:t>
      </w:r>
      <w:r>
        <w:rPr>
          <w:rFonts w:hint="default" w:ascii="Times New Roman" w:hAnsi="Times New Roman" w:eastAsia="仿宋" w:cs="Times New Roman"/>
          <w:bCs/>
          <w:color w:val="auto"/>
          <w:sz w:val="28"/>
          <w:szCs w:val="28"/>
        </w:rPr>
        <w:t>于</w:t>
      </w:r>
      <w:r>
        <w:rPr>
          <w:rFonts w:hint="eastAsia" w:eastAsia="仿宋" w:cs="Times New Roman"/>
          <w:bCs/>
          <w:color w:val="auto"/>
          <w:sz w:val="28"/>
          <w:szCs w:val="28"/>
          <w:lang w:val="en-US" w:eastAsia="zh-CN"/>
        </w:rPr>
        <w:t>2015</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9</w:t>
      </w:r>
      <w:r>
        <w:rPr>
          <w:rFonts w:hint="default" w:ascii="Times New Roman" w:hAnsi="Times New Roman" w:eastAsia="仿宋" w:cs="Times New Roman"/>
          <w:bCs/>
          <w:color w:val="auto"/>
          <w:sz w:val="28"/>
          <w:szCs w:val="28"/>
          <w:lang w:val="en-US" w:eastAsia="zh-CN"/>
        </w:rPr>
        <w:t>月</w:t>
      </w:r>
      <w:r>
        <w:rPr>
          <w:rFonts w:hint="default" w:ascii="Times New Roman" w:hAnsi="Times New Roman" w:eastAsia="仿宋" w:cs="Times New Roman"/>
          <w:bCs/>
          <w:color w:val="auto"/>
          <w:sz w:val="28"/>
          <w:szCs w:val="28"/>
          <w:lang w:eastAsia="zh-CN"/>
        </w:rPr>
        <w:t>委托</w:t>
      </w:r>
      <w:r>
        <w:rPr>
          <w:rFonts w:hint="default" w:ascii="Times New Roman" w:hAnsi="Times New Roman" w:eastAsia="仿宋" w:cs="Times New Roman"/>
          <w:bCs/>
          <w:color w:val="auto"/>
          <w:sz w:val="28"/>
          <w:szCs w:val="28"/>
        </w:rPr>
        <w:t>编制</w:t>
      </w:r>
      <w:r>
        <w:rPr>
          <w:rFonts w:hint="eastAsia" w:ascii="Times New Roman" w:hAnsi="Times New Roman" w:eastAsia="仿宋" w:cs="Times New Roman"/>
          <w:bCs/>
          <w:color w:val="auto"/>
          <w:sz w:val="28"/>
          <w:szCs w:val="28"/>
          <w:lang w:eastAsia="zh-CN"/>
        </w:rPr>
        <w:t>了</w:t>
      </w:r>
      <w:r>
        <w:rPr>
          <w:rFonts w:hint="default" w:ascii="Times New Roman" w:hAnsi="Times New Roman" w:eastAsia="仿宋" w:cs="Times New Roman"/>
          <w:bCs/>
          <w:color w:val="auto"/>
          <w:sz w:val="28"/>
          <w:szCs w:val="28"/>
        </w:rPr>
        <w:t>《</w:t>
      </w:r>
      <w:r>
        <w:rPr>
          <w:rFonts w:hint="eastAsia" w:eastAsia="仿宋" w:cs="Times New Roman"/>
          <w:bCs/>
          <w:color w:val="auto"/>
          <w:sz w:val="28"/>
          <w:szCs w:val="28"/>
          <w:lang w:eastAsia="zh-CN"/>
        </w:rPr>
        <w:t>陕西勇轩混凝土有限公司年产经营30万立方米预拌混凝土和30万吨干粉砂浆项目环境影响报告表</w:t>
      </w:r>
      <w:r>
        <w:rPr>
          <w:rFonts w:hint="default" w:ascii="Times New Roman" w:hAnsi="Times New Roman" w:eastAsia="仿宋" w:cs="Times New Roman"/>
          <w:bCs/>
          <w:color w:val="auto"/>
          <w:sz w:val="28"/>
          <w:szCs w:val="28"/>
        </w:rPr>
        <w:t>》，于20</w:t>
      </w:r>
      <w:r>
        <w:rPr>
          <w:rFonts w:hint="eastAsia" w:eastAsia="仿宋" w:cs="Times New Roman"/>
          <w:bCs/>
          <w:color w:val="auto"/>
          <w:sz w:val="28"/>
          <w:szCs w:val="28"/>
          <w:lang w:val="en-US" w:eastAsia="zh-CN"/>
        </w:rPr>
        <w:t>15</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9</w:t>
      </w:r>
      <w:r>
        <w:rPr>
          <w:rFonts w:hint="default" w:ascii="Times New Roman" w:hAnsi="Times New Roman" w:eastAsia="仿宋" w:cs="Times New Roman"/>
          <w:bCs/>
          <w:color w:val="auto"/>
          <w:sz w:val="28"/>
          <w:szCs w:val="28"/>
        </w:rPr>
        <w:t>月</w:t>
      </w:r>
      <w:r>
        <w:rPr>
          <w:rFonts w:hint="eastAsia" w:eastAsia="仿宋" w:cs="Times New Roman"/>
          <w:bCs/>
          <w:color w:val="auto"/>
          <w:sz w:val="28"/>
          <w:szCs w:val="28"/>
          <w:lang w:val="en-US" w:eastAsia="zh-CN"/>
        </w:rPr>
        <w:t>6</w:t>
      </w:r>
      <w:r>
        <w:rPr>
          <w:rFonts w:hint="default" w:ascii="Times New Roman" w:hAnsi="Times New Roman" w:eastAsia="仿宋" w:cs="Times New Roman"/>
          <w:bCs/>
          <w:color w:val="auto"/>
          <w:sz w:val="28"/>
          <w:szCs w:val="28"/>
        </w:rPr>
        <w:t>日取得</w:t>
      </w:r>
      <w:r>
        <w:rPr>
          <w:rFonts w:hint="default" w:ascii="Times New Roman" w:hAnsi="Times New Roman" w:eastAsia="仿宋" w:cs="Times New Roman"/>
          <w:bCs/>
          <w:color w:val="auto"/>
          <w:sz w:val="28"/>
          <w:szCs w:val="28"/>
          <w:lang w:eastAsia="zh-CN"/>
        </w:rPr>
        <w:t>陕西省西咸新区秦汉新城规划建设环保和房屋管理局《关于陕西勇轩混凝土有限公司年产经营30万立方米预拌混凝土和30万</w:t>
      </w:r>
      <w:r>
        <w:rPr>
          <w:rFonts w:hint="eastAsia" w:eastAsia="仿宋" w:cs="Times New Roman"/>
          <w:bCs/>
          <w:color w:val="auto"/>
          <w:sz w:val="28"/>
          <w:szCs w:val="28"/>
          <w:lang w:eastAsia="zh-CN"/>
        </w:rPr>
        <w:t>吨干粉砂浆</w:t>
      </w:r>
      <w:r>
        <w:rPr>
          <w:rFonts w:hint="default" w:ascii="Times New Roman" w:hAnsi="Times New Roman" w:eastAsia="仿宋" w:cs="Times New Roman"/>
          <w:bCs/>
          <w:color w:val="auto"/>
          <w:sz w:val="28"/>
          <w:szCs w:val="28"/>
          <w:lang w:eastAsia="zh-CN"/>
        </w:rPr>
        <w:t>项目环境影响报告表的批复》（</w:t>
      </w:r>
      <w:r>
        <w:rPr>
          <w:rFonts w:hint="eastAsia" w:ascii="Times New Roman" w:hAnsi="Times New Roman" w:eastAsia="仿宋" w:cs="Times New Roman"/>
          <w:bCs/>
          <w:color w:val="auto"/>
          <w:sz w:val="28"/>
          <w:szCs w:val="28"/>
          <w:lang w:eastAsia="zh-CN"/>
        </w:rPr>
        <w:t>秦汉管规函[2015]108号</w:t>
      </w:r>
      <w:r>
        <w:rPr>
          <w:rFonts w:hint="default" w:ascii="Times New Roman" w:hAnsi="Times New Roman" w:eastAsia="仿宋" w:cs="Times New Roman"/>
          <w:bCs/>
          <w:color w:val="auto"/>
          <w:sz w:val="28"/>
          <w:szCs w:val="28"/>
          <w:lang w:eastAsia="zh-CN"/>
        </w:rPr>
        <w:t>），</w:t>
      </w:r>
      <w:r>
        <w:rPr>
          <w:rFonts w:hint="default" w:ascii="Times New Roman" w:hAnsi="Times New Roman" w:eastAsia="仿宋" w:cs="Times New Roman"/>
          <w:bCs/>
          <w:color w:val="auto"/>
          <w:sz w:val="28"/>
          <w:szCs w:val="28"/>
        </w:rPr>
        <w:t>于20</w:t>
      </w:r>
      <w:r>
        <w:rPr>
          <w:rFonts w:hint="eastAsia" w:eastAsia="仿宋" w:cs="Times New Roman"/>
          <w:bCs/>
          <w:color w:val="auto"/>
          <w:sz w:val="28"/>
          <w:szCs w:val="28"/>
          <w:lang w:val="en-US" w:eastAsia="zh-CN"/>
        </w:rPr>
        <w:t>16</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3</w:t>
      </w:r>
      <w:r>
        <w:rPr>
          <w:rFonts w:hint="default" w:ascii="Times New Roman" w:hAnsi="Times New Roman" w:eastAsia="仿宋" w:cs="Times New Roman"/>
          <w:bCs/>
          <w:color w:val="auto"/>
          <w:sz w:val="28"/>
          <w:szCs w:val="28"/>
        </w:rPr>
        <w:t>月</w:t>
      </w:r>
      <w:r>
        <w:rPr>
          <w:rFonts w:hint="eastAsia" w:eastAsia="仿宋" w:cs="Times New Roman"/>
          <w:bCs/>
          <w:color w:val="auto"/>
          <w:sz w:val="28"/>
          <w:szCs w:val="28"/>
          <w:lang w:val="en-US" w:eastAsia="zh-CN"/>
        </w:rPr>
        <w:t>15</w:t>
      </w:r>
      <w:r>
        <w:rPr>
          <w:rFonts w:hint="default" w:ascii="Times New Roman" w:hAnsi="Times New Roman" w:eastAsia="仿宋" w:cs="Times New Roman"/>
          <w:bCs/>
          <w:color w:val="auto"/>
          <w:sz w:val="28"/>
          <w:szCs w:val="28"/>
        </w:rPr>
        <w:t>日取得</w:t>
      </w:r>
      <w:r>
        <w:rPr>
          <w:rFonts w:hint="default" w:ascii="Times New Roman" w:hAnsi="Times New Roman" w:eastAsia="仿宋" w:cs="Times New Roman"/>
          <w:bCs/>
          <w:color w:val="auto"/>
          <w:sz w:val="28"/>
          <w:szCs w:val="28"/>
          <w:lang w:eastAsia="zh-CN"/>
        </w:rPr>
        <w:t>陕西省西咸新区秦汉新城规划建设环保和房屋管理局《关于陕西勇轩混凝土有限公司年产经营30万立方米预拌混凝土和30万</w:t>
      </w:r>
      <w:r>
        <w:rPr>
          <w:rFonts w:hint="eastAsia" w:eastAsia="仿宋" w:cs="Times New Roman"/>
          <w:bCs/>
          <w:color w:val="auto"/>
          <w:sz w:val="28"/>
          <w:szCs w:val="28"/>
          <w:lang w:eastAsia="zh-CN"/>
        </w:rPr>
        <w:t>吨干粉砂浆</w:t>
      </w:r>
      <w:r>
        <w:rPr>
          <w:rFonts w:hint="default" w:ascii="Times New Roman" w:hAnsi="Times New Roman" w:eastAsia="仿宋" w:cs="Times New Roman"/>
          <w:bCs/>
          <w:color w:val="auto"/>
          <w:sz w:val="28"/>
          <w:szCs w:val="28"/>
          <w:lang w:eastAsia="zh-CN"/>
        </w:rPr>
        <w:t>项目变更批复》（</w:t>
      </w:r>
      <w:r>
        <w:rPr>
          <w:rFonts w:hint="eastAsia" w:ascii="Times New Roman" w:hAnsi="Times New Roman" w:eastAsia="仿宋" w:cs="Times New Roman"/>
          <w:bCs/>
          <w:color w:val="auto"/>
          <w:sz w:val="28"/>
          <w:szCs w:val="28"/>
          <w:lang w:eastAsia="zh-CN"/>
        </w:rPr>
        <w:t>秦汉管规函[2016]23号</w:t>
      </w:r>
      <w:r>
        <w:rPr>
          <w:rFonts w:hint="default" w:ascii="Times New Roman" w:hAnsi="Times New Roman" w:eastAsia="仿宋" w:cs="Times New Roman"/>
          <w:bCs/>
          <w:color w:val="auto"/>
          <w:sz w:val="28"/>
          <w:szCs w:val="28"/>
          <w:lang w:eastAsia="zh-CN"/>
        </w:rPr>
        <w:t>）</w:t>
      </w:r>
      <w:r>
        <w:rPr>
          <w:rFonts w:hint="eastAsia" w:eastAsia="仿宋" w:cs="Times New Roman"/>
          <w:bCs/>
          <w:color w:val="auto"/>
          <w:sz w:val="28"/>
          <w:szCs w:val="28"/>
          <w:lang w:eastAsia="zh-CN"/>
        </w:rPr>
        <w:t>；2016年3月，经陕西省西咸新区秦汉新城规划建设环保和房屋管理局批准，30万吨干粉砂浆项目建设主体变更为陕西卓建永固建材有限公司，其他环评内容不变；本厂于</w:t>
      </w:r>
      <w:r>
        <w:rPr>
          <w:rFonts w:hint="eastAsia" w:eastAsia="仿宋" w:cs="Times New Roman"/>
          <w:bCs/>
          <w:color w:val="auto"/>
          <w:sz w:val="28"/>
          <w:szCs w:val="28"/>
          <w:lang w:val="en-US" w:eastAsia="zh-CN"/>
        </w:rPr>
        <w:t>2019年8月委托完成《陕西勇轩建材有限公司年产经营30万立方米预拌混凝土项目竣工环境保护验收监测报告表》，于2019年9月18日取得陕西省西咸新区秦汉新城行政审批与服务局文件《关于陕西勇轩建材有限公司年产经营30万立方米预拌混凝土项目固废污染防治设施竣工换保护验收的批复》（秦汉审服准[2019]213号）</w:t>
      </w:r>
      <w:r>
        <w:rPr>
          <w:rFonts w:hint="default" w:ascii="Times New Roman" w:hAnsi="Times New Roman" w:eastAsia="仿宋" w:cs="Times New Roman"/>
          <w:bCs/>
          <w:color w:val="auto"/>
          <w:sz w:val="28"/>
          <w:szCs w:val="28"/>
          <w:lang w:eastAsia="zh-CN"/>
        </w:rPr>
        <w:t>。</w:t>
      </w:r>
    </w:p>
    <w:p>
      <w:pPr>
        <w:spacing w:line="360" w:lineRule="auto"/>
        <w:outlineLvl w:val="1"/>
        <w:rPr>
          <w:rFonts w:hint="default" w:ascii="Times New Roman" w:hAnsi="Times New Roman" w:eastAsia="仿宋" w:cs="Times New Roman"/>
          <w:b/>
          <w:bCs/>
          <w:snapToGrid w:val="0"/>
          <w:color w:val="auto"/>
          <w:kern w:val="0"/>
          <w:sz w:val="28"/>
          <w:szCs w:val="28"/>
        </w:rPr>
      </w:pPr>
      <w:bookmarkStart w:id="49" w:name="_Toc18052"/>
      <w:r>
        <w:rPr>
          <w:rFonts w:hint="default" w:ascii="Times New Roman" w:hAnsi="Times New Roman" w:eastAsia="仿宋" w:cs="Times New Roman"/>
          <w:b/>
          <w:bCs/>
          <w:snapToGrid w:val="0"/>
          <w:color w:val="auto"/>
          <w:kern w:val="0"/>
          <w:sz w:val="28"/>
          <w:szCs w:val="28"/>
        </w:rPr>
        <w:t>3.2自然地理概况</w:t>
      </w:r>
      <w:bookmarkEnd w:id="49"/>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3.2.1地理位置</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西咸新区是在2014年1月6日，国务院发布国函〔2014〕2号文件 ，正式批复陕西设立西咸新区。至此，西咸新区正式成为国家级新区，是中国的第七个国家级新区。  西咸新区是经国务院批准设立的首个以创新城市发展方式为主题的国家级新区。位于陕西省西安市和咸阳市建成区之间，区域范围涉及西安、咸阳两市所辖7县（区）23个乡镇和街道办事处，规划控制面积882平方公里。</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西咸新区是关中—天水经济区的核心区域，区位优势明显、经济基础良好、教育科技人才汇集、历史文化底蕴深厚、自然生态环境较好，具备加快发展地条件和实力。 西咸新区位于陕西省西安市和咸阳市建成区之间，区域范围涉及西安、咸阳两市所辖7县（区）23个乡镇和街道办事处，规划控制面积882平方公里。</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eastAsia" w:eastAsia="仿宋" w:cs="Times New Roman"/>
          <w:color w:val="auto"/>
          <w:kern w:val="0"/>
          <w:sz w:val="28"/>
          <w:szCs w:val="28"/>
          <w:lang w:eastAsia="zh-CN"/>
        </w:rPr>
        <w:t>陕西勇轩建材有限公司</w:t>
      </w:r>
      <w:r>
        <w:rPr>
          <w:rFonts w:hint="default" w:ascii="Times New Roman" w:hAnsi="Times New Roman" w:eastAsia="仿宋" w:cs="Times New Roman"/>
          <w:color w:val="auto"/>
          <w:kern w:val="0"/>
          <w:sz w:val="28"/>
          <w:szCs w:val="28"/>
        </w:rPr>
        <w:t>位于</w:t>
      </w:r>
      <w:r>
        <w:rPr>
          <w:rFonts w:hint="eastAsia" w:eastAsia="仿宋" w:cs="Times New Roman"/>
          <w:color w:val="auto"/>
          <w:kern w:val="0"/>
          <w:sz w:val="28"/>
          <w:szCs w:val="28"/>
          <w:lang w:eastAsia="zh-CN"/>
        </w:rPr>
        <w:t>陕西省西咸新区秦汉新城正阳街道办张家湾村</w:t>
      </w:r>
      <w:r>
        <w:rPr>
          <w:rFonts w:hint="default" w:ascii="Times New Roman" w:hAnsi="Times New Roman" w:eastAsia="仿宋" w:cs="Times New Roman"/>
          <w:color w:val="auto"/>
          <w:kern w:val="0"/>
          <w:sz w:val="28"/>
          <w:szCs w:val="28"/>
        </w:rPr>
        <w:t>。</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3.2.2地形、地貌、地质</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咸阳市地势北高南低，呈阶梯状。东北部的旬邑县石门山峰海拔1885.3米，为全市最高点。东南部的三原县大程镇清河出境地，海拔362米，为全市最低处。北部属渭北黄土高原半干旱沟壑区的南缘，海拔1000米至1800米，面积6374.2平方公里。南部为渭河盆地，属关中平原的一部分，面积2684.3平方公里，地势平坦。农垦历史悠久，南部平原除栽培树种外，自然植被分布较少；渭北黄土高原上仅在旬邑县的马栏、石门山区保留一定面积的天然次生林，在淳化县北部的黄花山，泾阳县北部的嵯峨山、北仲山以及永寿县的槐平山残存极少量的天然次生林，绝大部分地方天然植被已被人工植树所代替，森林覆盖率为17.5%。</w:t>
      </w:r>
    </w:p>
    <w:p>
      <w:pPr>
        <w:keepNext w:val="0"/>
        <w:keepLines w:val="0"/>
        <w:pageBreakBefore w:val="0"/>
        <w:widowControl w:val="0"/>
        <w:kinsoku/>
        <w:wordWrap/>
        <w:overflowPunct/>
        <w:topLinePunct w:val="0"/>
        <w:autoSpaceDE/>
        <w:autoSpaceDN/>
        <w:bidi w:val="0"/>
        <w:spacing w:line="360" w:lineRule="auto"/>
        <w:ind w:firstLine="560" w:firstLineChars="200"/>
        <w:textAlignment w:val="baseline"/>
        <w:rPr>
          <w:rFonts w:hint="eastAsia" w:ascii="仿宋" w:hAnsi="仿宋" w:eastAsia="仿宋" w:cs="仿宋"/>
          <w:color w:val="auto"/>
          <w:kern w:val="0"/>
          <w:sz w:val="28"/>
          <w:szCs w:val="28"/>
        </w:rPr>
      </w:pPr>
      <w:r>
        <w:rPr>
          <w:rFonts w:hint="eastAsia" w:ascii="仿宋" w:hAnsi="仿宋" w:eastAsia="仿宋" w:cs="仿宋"/>
          <w:color w:val="auto"/>
          <w:sz w:val="28"/>
          <w:szCs w:val="28"/>
          <w:lang w:eastAsia="zh-CN"/>
        </w:rPr>
        <w:t>根据《建筑抗震设计规范》GB50011-2010(2016版)，本地区地震烈度为</w:t>
      </w:r>
      <w:r>
        <w:rPr>
          <w:rFonts w:hint="eastAsia" w:ascii="仿宋" w:hAnsi="仿宋" w:eastAsia="仿宋" w:cs="仿宋"/>
          <w:color w:val="auto"/>
          <w:sz w:val="28"/>
          <w:szCs w:val="28"/>
          <w:lang w:val="en-US" w:eastAsia="zh-CN"/>
        </w:rPr>
        <w:t>8度，</w:t>
      </w:r>
      <w:r>
        <w:rPr>
          <w:rFonts w:hint="eastAsia" w:ascii="仿宋" w:hAnsi="仿宋" w:eastAsia="仿宋" w:cs="仿宋"/>
          <w:color w:val="auto"/>
          <w:sz w:val="28"/>
          <w:szCs w:val="28"/>
          <w:lang w:eastAsia="zh-CN"/>
        </w:rPr>
        <w:t>动峰值加速度为0.20g，分组为第二组。</w:t>
      </w:r>
    </w:p>
    <w:p>
      <w:pPr>
        <w:spacing w:line="360" w:lineRule="auto"/>
        <w:ind w:firstLine="560" w:firstLineChars="200"/>
        <w:textAlignment w:val="baseline"/>
        <w:rPr>
          <w:rFonts w:hint="default" w:ascii="Times New Roman" w:hAnsi="Times New Roman" w:eastAsia="仿宋" w:cs="Times New Roman"/>
          <w:color w:val="auto"/>
          <w:kern w:val="0"/>
          <w:sz w:val="28"/>
          <w:szCs w:val="28"/>
        </w:rPr>
      </w:pPr>
      <w:r>
        <w:rPr>
          <w:rFonts w:hint="eastAsia" w:eastAsia="仿宋" w:cs="Times New Roman"/>
          <w:color w:val="auto"/>
          <w:kern w:val="0"/>
          <w:sz w:val="28"/>
          <w:szCs w:val="28"/>
          <w:lang w:eastAsia="zh-CN"/>
        </w:rPr>
        <w:t>陕西勇轩建材有限公司</w:t>
      </w:r>
      <w:r>
        <w:rPr>
          <w:rFonts w:hint="default" w:ascii="Times New Roman" w:hAnsi="Times New Roman" w:eastAsia="仿宋" w:cs="Times New Roman"/>
          <w:color w:val="auto"/>
          <w:kern w:val="0"/>
          <w:sz w:val="28"/>
          <w:szCs w:val="28"/>
        </w:rPr>
        <w:t>选址地质情况较好，</w:t>
      </w:r>
      <w:r>
        <w:rPr>
          <w:rFonts w:hint="default" w:ascii="Times New Roman" w:hAnsi="Times New Roman" w:eastAsia="仿宋" w:cs="Times New Roman"/>
          <w:color w:val="auto"/>
          <w:kern w:val="0"/>
          <w:sz w:val="28"/>
          <w:szCs w:val="28"/>
          <w:lang w:eastAsia="zh-CN"/>
        </w:rPr>
        <w:t>厂区</w:t>
      </w:r>
      <w:r>
        <w:rPr>
          <w:rFonts w:hint="default" w:ascii="Times New Roman" w:hAnsi="Times New Roman" w:eastAsia="仿宋" w:cs="Times New Roman"/>
          <w:color w:val="auto"/>
          <w:kern w:val="0"/>
          <w:sz w:val="28"/>
          <w:szCs w:val="28"/>
        </w:rPr>
        <w:t>内地势较为平坦，未发现不良地质现象。</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3.2.3气候、气象</w:t>
      </w:r>
    </w:p>
    <w:p>
      <w:pPr>
        <w:pStyle w:val="22"/>
        <w:ind w:firstLine="560"/>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咸阳市四季分明，地处暖温带，属大陆性季风气候，四季冷热干湿分明，气候温和，光、热、水资源较丰富，有利于农、林、牧、渔各业发展。全年平均降水量为537毫米—650毫米，平均温度9.0℃—13.2℃。热量条件南北差异明显，年均气温南部一般比北部高4.2℃。累计年光照时数平均为2017.2小时—2346.9小时，6月、7月、8月3个月的日照时数占全年的32%左右，对夏收作物的成熟和秋收作物的生长发育很有利。北部无霜期为172天—205天；南部无霜期为212天—223天。</w:t>
      </w:r>
    </w:p>
    <w:p>
      <w:pPr>
        <w:spacing w:line="360" w:lineRule="auto"/>
        <w:ind w:firstLine="560" w:firstLineChars="200"/>
        <w:rPr>
          <w:rFonts w:hint="default" w:ascii="Times New Roman" w:hAnsi="Times New Roman" w:eastAsia="仿宋" w:cs="Times New Roman"/>
          <w:color w:val="auto"/>
          <w:kern w:val="0"/>
          <w:sz w:val="28"/>
          <w:szCs w:val="28"/>
        </w:rPr>
      </w:pP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eastAsia="zh-CN" w:bidi="ar"/>
        </w:rPr>
      </w:pPr>
      <w:r>
        <w:rPr>
          <w:rFonts w:hint="default" w:ascii="Times New Roman" w:hAnsi="Times New Roman" w:eastAsia="仿宋" w:cs="Times New Roman"/>
          <w:bCs w:val="0"/>
          <w:color w:val="auto"/>
          <w:kern w:val="0"/>
          <w:sz w:val="28"/>
          <w:szCs w:val="28"/>
          <w:lang w:bidi="ar"/>
        </w:rPr>
        <w:t>3.2.4水文</w:t>
      </w:r>
      <w:r>
        <w:rPr>
          <w:rFonts w:hint="default" w:ascii="Times New Roman" w:hAnsi="Times New Roman" w:eastAsia="仿宋" w:cs="Times New Roman"/>
          <w:bCs w:val="0"/>
          <w:color w:val="auto"/>
          <w:kern w:val="0"/>
          <w:sz w:val="28"/>
          <w:szCs w:val="28"/>
          <w:lang w:eastAsia="zh-CN" w:bidi="ar"/>
        </w:rPr>
        <w:t>地质</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kern w:val="0"/>
          <w:sz w:val="28"/>
          <w:szCs w:val="28"/>
        </w:rPr>
        <w:t>咸阳市境内河流均属黄河流域渭河水系，主要有渭河、泾河、沣河、漆水河、清峪河、三水河、黑河、泔河、冶峪河。其中渭河为黄河一级支流，境内流长91.5公里，流域面积3612.5平方公里；泾河为渭河一级支流，境内流长262.3公里，流域面积6705.4平方公里。全市共有大小河流及沟道5400余条。其中，流域面积在10平方公里以上的有158条，100平方公里以上的有26条，1000平方公里以上的有8条。河网密度0.86公里/平方公里。境内河流的补给以雨水为主，河流水情变化与降水关系密切。由于降雨具有明显的季风性特点，年内分配不均，年际变化大，因而河流径流量的季节分配也不均匀，各年的水量不稳定，洪、枯流量变化很大。</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3.2.5生物多样性</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咸阳市境内优势树种有辽东栎、山杨、白桦、油松等。中草药资源已发现品种多达626种，分布遍及全市。野生果类植物、野生油料植物、纤维植物、香料和化工原料植物等蕴藏量丰富。 药用植物分布广、种类多，共有107科、484种，其中豆科、菊科、禾本科最多。主要有黄芪、生地、板兰、北沙参、沙棘、穿龙薯芋、酸枣、款冬花、防风、苍术、柴胡、黄芩、地骨皮、瓜蒌、沙苑子、茵陈、甘遂、罗布麻、茜草、三颗针等。野生果类的品种主要有海棠、山杏、山桃、野山楂、李子、杜梨、君迁子、酸枣、沙棘和草莓等。野生油料植物有山核桃、漆树、连翘、松柏、花椒等。纤维植物主要有柳条、荆条、桑条、紫穗槐、马兰、枸树皮、芦苇、白茅等。</w:t>
      </w:r>
    </w:p>
    <w:p>
      <w:pPr>
        <w:spacing w:line="360" w:lineRule="auto"/>
        <w:ind w:firstLine="560" w:firstLineChars="200"/>
        <w:textAlignment w:val="baseline"/>
        <w:rPr>
          <w:rFonts w:hint="eastAsia" w:ascii="仿宋" w:hAnsi="仿宋" w:eastAsia="仿宋" w:cs="仿宋"/>
          <w:color w:val="auto"/>
          <w:sz w:val="28"/>
          <w:szCs w:val="28"/>
        </w:rPr>
      </w:pPr>
      <w:r>
        <w:rPr>
          <w:rFonts w:hint="eastAsia" w:ascii="仿宋" w:hAnsi="仿宋" w:eastAsia="仿宋" w:cs="仿宋"/>
          <w:color w:val="auto"/>
          <w:sz w:val="28"/>
          <w:szCs w:val="28"/>
        </w:rPr>
        <w:t>咸阳市境内野生动物资源有鸟类14目30科140余种，兽类6目14科约40种，经济价值高的野生动物有狸、獾、鼬及鸣禽等。 主要经济兽类有草兔、黄鼬、狗獾、赤狐、狍、艾虎。此外，比较重要的野生动物还有青鼬（黄猺）、花面狸、狼、林麝、野猪等。啮齿类的鼢鼠、岩松鼠、花鼠、达吾尔鼠，也有一定经济价值。经济鸟类有环颈雉、石鸡、赤麻鸭、绿头鸭、豆雁、岩鸽、白鹭、苍鹭、池鹭、鸢、老鹰、红脚隼、灰鹤、大鸨。此外，还有大量捕食鼠类的鸮类（猫头鹰）、雀鹰等，大量捕食昆虫，保护农、林、牧业的益鸟杜鹃、燕类等以及夜鹭、绿翅鸭、金雕、鹌鹑、珠颈斑鸠等经济鸟类。</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经现场勘查，项目所在地周边并无自然保护区、风景名胜区、饮用水水源地保护区及国家明令保护的珍稀、濒危野生动植物分布。</w:t>
      </w:r>
    </w:p>
    <w:p>
      <w:pPr>
        <w:spacing w:line="360" w:lineRule="auto"/>
        <w:outlineLvl w:val="1"/>
        <w:rPr>
          <w:rFonts w:hint="default" w:ascii="Times New Roman" w:hAnsi="Times New Roman" w:eastAsia="仿宋" w:cs="Times New Roman"/>
          <w:b/>
          <w:bCs/>
          <w:snapToGrid w:val="0"/>
          <w:color w:val="auto"/>
          <w:kern w:val="0"/>
          <w:sz w:val="28"/>
          <w:szCs w:val="28"/>
        </w:rPr>
      </w:pPr>
      <w:bookmarkStart w:id="50" w:name="_Toc9123"/>
      <w:r>
        <w:rPr>
          <w:rFonts w:hint="default" w:ascii="Times New Roman" w:hAnsi="Times New Roman" w:eastAsia="仿宋" w:cs="Times New Roman"/>
          <w:b/>
          <w:bCs/>
          <w:snapToGrid w:val="0"/>
          <w:color w:val="auto"/>
          <w:kern w:val="0"/>
          <w:sz w:val="28"/>
          <w:szCs w:val="28"/>
        </w:rPr>
        <w:t>3.3企业周边环境风险受体情况</w:t>
      </w:r>
      <w:bookmarkEnd w:id="50"/>
    </w:p>
    <w:p>
      <w:pPr>
        <w:spacing w:line="360" w:lineRule="auto"/>
        <w:ind w:firstLine="560" w:firstLineChars="200"/>
        <w:rPr>
          <w:rFonts w:hint="default" w:ascii="Times New Roman" w:hAnsi="Times New Roman" w:eastAsia="仿宋" w:cs="Times New Roman"/>
          <w:snapToGrid w:val="0"/>
          <w:color w:val="auto"/>
          <w:kern w:val="0"/>
          <w:sz w:val="28"/>
          <w:szCs w:val="28"/>
        </w:rPr>
      </w:pPr>
      <w:r>
        <w:rPr>
          <w:rFonts w:hint="default" w:ascii="Times New Roman" w:hAnsi="Times New Roman" w:eastAsia="仿宋" w:cs="Times New Roman"/>
          <w:snapToGrid w:val="0"/>
          <w:color w:val="auto"/>
          <w:kern w:val="0"/>
          <w:sz w:val="28"/>
          <w:szCs w:val="28"/>
        </w:rPr>
        <w:t>环境风险受体分为大气环境风险受体、土壤环境风险受体和水环境风险受体。其中，大气环境风险受体主要包括居住、医疗卫生、文化教育、科研、行政办公、重要基础设施、企业等主要功能区域内的人群、保护单位等，按人口数量进行指标量化；土壤环境风险受体主要为企业周边的基本农田保护区、居住商用地等区域；水环境风险受体主要包括河流、水库等水体。</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3.3.1大气环境风险受体</w:t>
      </w:r>
    </w:p>
    <w:p>
      <w:pPr>
        <w:spacing w:line="360" w:lineRule="auto"/>
        <w:ind w:firstLine="560" w:firstLineChars="200"/>
        <w:rPr>
          <w:rFonts w:hint="default" w:ascii="Times New Roman" w:hAnsi="Times New Roman" w:eastAsia="仿宋" w:cs="Times New Roman"/>
          <w:snapToGrid w:val="0"/>
          <w:color w:val="auto"/>
          <w:kern w:val="0"/>
          <w:sz w:val="28"/>
          <w:szCs w:val="28"/>
        </w:rPr>
      </w:pPr>
      <w:r>
        <w:rPr>
          <w:rFonts w:hint="default" w:ascii="Times New Roman" w:hAnsi="Times New Roman" w:eastAsia="仿宋" w:cs="Times New Roman"/>
          <w:snapToGrid w:val="0"/>
          <w:color w:val="auto"/>
          <w:kern w:val="0"/>
          <w:sz w:val="28"/>
          <w:szCs w:val="28"/>
          <w:lang w:eastAsia="zh-CN"/>
        </w:rPr>
        <w:t>项目</w:t>
      </w:r>
      <w:r>
        <w:rPr>
          <w:rFonts w:hint="default" w:ascii="Times New Roman" w:hAnsi="Times New Roman" w:eastAsia="仿宋" w:cs="Times New Roman"/>
          <w:snapToGrid w:val="0"/>
          <w:color w:val="auto"/>
          <w:kern w:val="0"/>
          <w:sz w:val="28"/>
          <w:szCs w:val="28"/>
        </w:rPr>
        <w:t>周边</w:t>
      </w:r>
      <w:r>
        <w:rPr>
          <w:rFonts w:hint="default" w:ascii="Times New Roman" w:hAnsi="Times New Roman" w:eastAsia="仿宋" w:cs="Times New Roman"/>
          <w:snapToGrid w:val="0"/>
          <w:color w:val="auto"/>
          <w:kern w:val="0"/>
          <w:sz w:val="28"/>
          <w:szCs w:val="28"/>
          <w:lang w:val="en-US" w:eastAsia="zh-CN"/>
        </w:rPr>
        <w:t>5</w:t>
      </w:r>
      <w:r>
        <w:rPr>
          <w:rFonts w:hint="default" w:ascii="Times New Roman" w:hAnsi="Times New Roman" w:eastAsia="仿宋" w:cs="Times New Roman"/>
          <w:snapToGrid w:val="0"/>
          <w:color w:val="auto"/>
          <w:kern w:val="0"/>
          <w:sz w:val="28"/>
          <w:szCs w:val="28"/>
        </w:rPr>
        <w:t>公里大气环境风险受体见表3-1。</w:t>
      </w:r>
    </w:p>
    <w:p>
      <w:pPr>
        <w:jc w:val="center"/>
        <w:rPr>
          <w:rFonts w:hint="default" w:ascii="Times New Roman" w:hAnsi="Times New Roman" w:eastAsia="仿宋" w:cs="Times New Roman"/>
          <w:b/>
          <w:bCs/>
          <w:snapToGrid w:val="0"/>
          <w:color w:val="auto"/>
          <w:kern w:val="0"/>
          <w:sz w:val="28"/>
          <w:szCs w:val="28"/>
        </w:rPr>
      </w:pPr>
    </w:p>
    <w:p>
      <w:pPr>
        <w:jc w:val="center"/>
        <w:rPr>
          <w:rFonts w:hint="default" w:ascii="Times New Roman" w:hAnsi="Times New Roman" w:eastAsia="仿宋" w:cs="Times New Roman"/>
          <w:b/>
          <w:bCs/>
          <w:snapToGrid w:val="0"/>
          <w:color w:val="auto"/>
          <w:kern w:val="0"/>
          <w:sz w:val="28"/>
          <w:szCs w:val="28"/>
        </w:rPr>
      </w:pPr>
    </w:p>
    <w:p>
      <w:pPr>
        <w:jc w:val="center"/>
        <w:rPr>
          <w:rFonts w:hint="default" w:ascii="Times New Roman" w:hAnsi="Times New Roman" w:eastAsia="仿宋" w:cs="Times New Roman"/>
          <w:b/>
          <w:bCs/>
          <w:snapToGrid w:val="0"/>
          <w:color w:val="auto"/>
          <w:kern w:val="0"/>
          <w:sz w:val="28"/>
          <w:szCs w:val="28"/>
        </w:rPr>
      </w:pPr>
      <w:r>
        <w:rPr>
          <w:rFonts w:hint="default" w:ascii="Times New Roman" w:hAnsi="Times New Roman" w:eastAsia="仿宋" w:cs="Times New Roman"/>
          <w:b/>
          <w:bCs/>
          <w:snapToGrid w:val="0"/>
          <w:color w:val="auto"/>
          <w:kern w:val="0"/>
          <w:sz w:val="28"/>
          <w:szCs w:val="28"/>
        </w:rPr>
        <w:t>表</w:t>
      </w:r>
      <w:r>
        <w:rPr>
          <w:rStyle w:val="54"/>
          <w:rFonts w:hint="default" w:ascii="Times New Roman" w:hAnsi="Times New Roman" w:eastAsia="仿宋" w:cs="Times New Roman"/>
          <w:b/>
          <w:bCs/>
          <w:snapToGrid w:val="0"/>
          <w:color w:val="auto"/>
          <w:kern w:val="0"/>
          <w:sz w:val="28"/>
        </w:rPr>
        <w:t>3-1</w:t>
      </w:r>
      <w:r>
        <w:rPr>
          <w:rFonts w:hint="default" w:ascii="Times New Roman" w:hAnsi="Times New Roman" w:eastAsia="仿宋" w:cs="Times New Roman"/>
          <w:b/>
          <w:bCs/>
          <w:snapToGrid w:val="0"/>
          <w:color w:val="auto"/>
          <w:kern w:val="0"/>
          <w:sz w:val="28"/>
          <w:szCs w:val="28"/>
        </w:rPr>
        <w:t xml:space="preserve">  主要环境风险受体</w:t>
      </w:r>
    </w:p>
    <w:tbl>
      <w:tblPr>
        <w:tblStyle w:val="23"/>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28" w:type="dxa"/>
          <w:bottom w:w="0" w:type="dxa"/>
          <w:right w:w="28" w:type="dxa"/>
        </w:tblCellMar>
      </w:tblPr>
      <w:tblGrid>
        <w:gridCol w:w="1477"/>
        <w:gridCol w:w="1780"/>
        <w:gridCol w:w="880"/>
        <w:gridCol w:w="1234"/>
        <w:gridCol w:w="1650"/>
        <w:gridCol w:w="165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范围</w:t>
            </w:r>
          </w:p>
        </w:tc>
        <w:tc>
          <w:tcPr>
            <w:tcW w:w="1026"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保护对象名称</w:t>
            </w:r>
          </w:p>
        </w:tc>
        <w:tc>
          <w:tcPr>
            <w:tcW w:w="507"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方位</w:t>
            </w:r>
          </w:p>
        </w:tc>
        <w:tc>
          <w:tcPr>
            <w:tcW w:w="711"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距离（m）</w:t>
            </w:r>
          </w:p>
        </w:tc>
        <w:tc>
          <w:tcPr>
            <w:tcW w:w="951" w:type="pct"/>
            <w:vAlign w:val="center"/>
          </w:tcPr>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保护人群</w:t>
            </w:r>
          </w:p>
          <w:p>
            <w:pPr>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（户数/人数）</w:t>
            </w:r>
          </w:p>
        </w:tc>
        <w:tc>
          <w:tcPr>
            <w:tcW w:w="951" w:type="pct"/>
            <w:vAlign w:val="center"/>
          </w:tcPr>
          <w:p>
            <w:pPr>
              <w:jc w:val="center"/>
              <w:rPr>
                <w:rFonts w:hint="eastAsia" w:ascii="Times New Roman" w:hAnsi="Times New Roman" w:eastAsia="仿宋" w:cs="Times New Roman"/>
                <w:b/>
                <w:bCs/>
                <w:color w:val="auto"/>
                <w:sz w:val="24"/>
                <w:szCs w:val="24"/>
                <w:lang w:eastAsia="zh-CN"/>
              </w:rPr>
            </w:pPr>
            <w:r>
              <w:rPr>
                <w:rFonts w:hint="eastAsia" w:eastAsia="仿宋" w:cs="Times New Roman"/>
                <w:b/>
                <w:bCs/>
                <w:color w:val="auto"/>
                <w:sz w:val="24"/>
                <w:szCs w:val="24"/>
                <w:lang w:eastAsia="zh-CN"/>
              </w:rPr>
              <w:t>联系方式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restart"/>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500m范围内</w:t>
            </w: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张家湾村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24</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800</w:t>
            </w:r>
          </w:p>
        </w:tc>
        <w:tc>
          <w:tcPr>
            <w:tcW w:w="951"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15991111432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马家湾</w:t>
            </w:r>
          </w:p>
        </w:tc>
        <w:tc>
          <w:tcPr>
            <w:tcW w:w="507"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NE</w:t>
            </w:r>
          </w:p>
        </w:tc>
        <w:tc>
          <w:tcPr>
            <w:tcW w:w="71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150</w:t>
            </w:r>
          </w:p>
        </w:tc>
        <w:tc>
          <w:tcPr>
            <w:tcW w:w="95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1100</w:t>
            </w:r>
          </w:p>
        </w:tc>
        <w:tc>
          <w:tcPr>
            <w:tcW w:w="951"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029-86067762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梁村</w:t>
            </w:r>
          </w:p>
        </w:tc>
        <w:tc>
          <w:tcPr>
            <w:tcW w:w="507"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SE</w:t>
            </w:r>
          </w:p>
        </w:tc>
        <w:tc>
          <w:tcPr>
            <w:tcW w:w="71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145</w:t>
            </w:r>
          </w:p>
        </w:tc>
        <w:tc>
          <w:tcPr>
            <w:tcW w:w="951" w:type="pct"/>
            <w:vAlign w:val="center"/>
          </w:tcPr>
          <w:p>
            <w:pPr>
              <w:jc w:val="center"/>
              <w:rPr>
                <w:rFonts w:hint="eastAsia"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300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18792775275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汉景帝阳陵博物院</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100</w:t>
            </w:r>
          </w:p>
        </w:tc>
        <w:tc>
          <w:tcPr>
            <w:tcW w:w="951"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029-62657530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restart"/>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500-</w:t>
            </w:r>
            <w:r>
              <w:rPr>
                <w:rFonts w:hint="default" w:ascii="Times New Roman" w:hAnsi="Times New Roman" w:eastAsia="仿宋" w:cs="Times New Roman"/>
                <w:color w:val="auto"/>
                <w:sz w:val="24"/>
                <w:szCs w:val="24"/>
                <w:lang w:val="en-US" w:eastAsia="zh-CN"/>
              </w:rPr>
              <w:t>5</w:t>
            </w:r>
            <w:r>
              <w:rPr>
                <w:rFonts w:hint="default" w:ascii="Times New Roman" w:hAnsi="Times New Roman" w:eastAsia="仿宋" w:cs="Times New Roman"/>
                <w:color w:val="auto"/>
                <w:sz w:val="24"/>
                <w:szCs w:val="24"/>
              </w:rPr>
              <w:t>000m范围</w:t>
            </w: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崔家塬</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1200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聂冯村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2000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店子王村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2700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泾渭镇</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2500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1100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米家崖村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3500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米家滩村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3450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5000</w:t>
            </w:r>
          </w:p>
        </w:tc>
        <w:tc>
          <w:tcPr>
            <w:tcW w:w="951" w:type="pct"/>
            <w:vAlign w:val="center"/>
          </w:tcPr>
          <w:p>
            <w:pPr>
              <w:jc w:val="center"/>
              <w:rPr>
                <w:rFonts w:hint="eastAsia" w:eastAsia="仿宋" w:cs="Times New Roman"/>
                <w:color w:val="auto"/>
                <w:kern w:val="2"/>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贾家滩村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80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王家棚村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陈家村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eastAsia="仿宋" w:cs="Times New Roman"/>
                <w:color w:val="auto"/>
                <w:sz w:val="24"/>
                <w:szCs w:val="24"/>
                <w:lang w:val="en-US" w:eastAsia="zh-CN"/>
              </w:rPr>
            </w:pPr>
            <w:r>
              <w:rPr>
                <w:rFonts w:hint="eastAsia" w:eastAsia="仿宋" w:cs="Times New Roman"/>
                <w:color w:val="auto"/>
                <w:sz w:val="24"/>
                <w:szCs w:val="24"/>
                <w:lang w:val="en-US" w:eastAsia="zh-CN"/>
              </w:rPr>
              <w:t>柳林村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SE</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4250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1000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草一村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71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sz w:val="24"/>
                <w:szCs w:val="24"/>
                <w:lang w:val="en-US" w:eastAsia="zh-CN"/>
              </w:rPr>
              <w:t>4550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eastAsia"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东河滩</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张旗寨</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同仁村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1400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龚沈村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2400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130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吴家村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3400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1800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东杨村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4300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2000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马神庙</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3200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r>
              <w:rPr>
                <w:rFonts w:hint="eastAsia" w:eastAsia="仿宋" w:cs="Times New Roman"/>
                <w:color w:val="auto"/>
                <w:kern w:val="2"/>
                <w:sz w:val="24"/>
                <w:szCs w:val="24"/>
                <w:lang w:val="en-US" w:eastAsia="zh-CN" w:bidi="ar-SA"/>
              </w:rPr>
              <w:t>350</w:t>
            </w:r>
          </w:p>
        </w:tc>
        <w:tc>
          <w:tcPr>
            <w:tcW w:w="951" w:type="pct"/>
            <w:vAlign w:val="center"/>
          </w:tcPr>
          <w:p>
            <w:pPr>
              <w:jc w:val="center"/>
              <w:rPr>
                <w:rFonts w:hint="default" w:ascii="Times New Roman" w:hAnsi="Times New Roman" w:eastAsia="仿宋" w:cs="Times New Roman"/>
                <w:color w:val="auto"/>
                <w:kern w:val="2"/>
                <w:sz w:val="24"/>
                <w:szCs w:val="24"/>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肖家村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2800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正阳</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2800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岩张村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九张村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2280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穆家村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四沟</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1300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马家台</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S</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任家沟村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3350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徐唐村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3900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柏刘村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徐家寨村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320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新庄村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3650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联家沟</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2700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700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樊家堡</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4260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刘家堡</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4200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马鼻梁</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2850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高庄村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980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毕家窑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1650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寿平村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520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新义村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4150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冉家村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3350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腰庄</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4000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芦家村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2950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350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桃园</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2960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高庄镇</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2500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木匠村</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1800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庙张</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2000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360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0" w:hRule="atLeast"/>
          <w:jc w:val="center"/>
        </w:trPr>
        <w:tc>
          <w:tcPr>
            <w:tcW w:w="851" w:type="pct"/>
            <w:vMerge w:val="continue"/>
            <w:vAlign w:val="center"/>
          </w:tcPr>
          <w:p>
            <w:pPr>
              <w:jc w:val="center"/>
              <w:rPr>
                <w:rFonts w:hint="default" w:ascii="Times New Roman" w:hAnsi="Times New Roman" w:eastAsia="仿宋" w:cs="Times New Roman"/>
                <w:color w:val="auto"/>
                <w:sz w:val="24"/>
                <w:szCs w:val="24"/>
              </w:rPr>
            </w:pPr>
          </w:p>
        </w:tc>
        <w:tc>
          <w:tcPr>
            <w:tcW w:w="1026" w:type="pct"/>
            <w:vAlign w:val="center"/>
          </w:tcPr>
          <w:p>
            <w:pPr>
              <w:jc w:val="center"/>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泾刘、泾吴</w:t>
            </w:r>
          </w:p>
        </w:tc>
        <w:tc>
          <w:tcPr>
            <w:tcW w:w="507"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NE</w:t>
            </w:r>
          </w:p>
        </w:tc>
        <w:tc>
          <w:tcPr>
            <w:tcW w:w="71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4600</w:t>
            </w:r>
          </w:p>
        </w:tc>
        <w:tc>
          <w:tcPr>
            <w:tcW w:w="951" w:type="pct"/>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600</w:t>
            </w:r>
          </w:p>
        </w:tc>
        <w:tc>
          <w:tcPr>
            <w:tcW w:w="951" w:type="pct"/>
            <w:vAlign w:val="center"/>
          </w:tcPr>
          <w:p>
            <w:pPr>
              <w:jc w:val="center"/>
              <w:rPr>
                <w:rFonts w:hint="default" w:ascii="Times New Roman" w:hAnsi="Times New Roman" w:eastAsia="仿宋" w:cs="Times New Roman"/>
                <w:color w:val="auto"/>
                <w:sz w:val="24"/>
                <w:szCs w:val="24"/>
                <w:lang w:val="en-US" w:eastAsia="zh-CN"/>
              </w:rPr>
            </w:pPr>
          </w:p>
        </w:tc>
      </w:tr>
    </w:tbl>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3.3.2土壤环境风险受体</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周边土壤环境风险受体保护目标主要为周边农田土壤。</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3.3.3水环境风险受体</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经调查，</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周边水环境风险受体主要是位于</w:t>
      </w:r>
      <w:r>
        <w:rPr>
          <w:rFonts w:hint="default" w:ascii="Times New Roman" w:hAnsi="Times New Roman" w:eastAsia="仿宋" w:cs="Times New Roman"/>
          <w:color w:val="auto"/>
          <w:sz w:val="28"/>
          <w:szCs w:val="28"/>
          <w:lang w:eastAsia="zh-CN"/>
        </w:rPr>
        <w:t>项目</w:t>
      </w:r>
      <w:r>
        <w:rPr>
          <w:rFonts w:hint="eastAsia" w:eastAsia="仿宋" w:cs="Times New Roman"/>
          <w:color w:val="auto"/>
          <w:sz w:val="28"/>
          <w:szCs w:val="28"/>
          <w:lang w:eastAsia="zh-CN"/>
        </w:rPr>
        <w:t>南侧1450m处的渭河、北侧</w:t>
      </w:r>
      <w:r>
        <w:rPr>
          <w:rFonts w:hint="eastAsia" w:eastAsia="仿宋" w:cs="Times New Roman"/>
          <w:color w:val="auto"/>
          <w:sz w:val="28"/>
          <w:szCs w:val="28"/>
          <w:lang w:val="en-US" w:eastAsia="zh-CN"/>
        </w:rPr>
        <w:t>1200m处的高干渠</w:t>
      </w:r>
      <w:r>
        <w:rPr>
          <w:rFonts w:hint="eastAsia" w:eastAsia="仿宋" w:cs="Times New Roman"/>
          <w:color w:val="auto"/>
          <w:sz w:val="28"/>
          <w:szCs w:val="28"/>
          <w:lang w:eastAsia="zh-CN"/>
        </w:rPr>
        <w:t>和东北方向</w:t>
      </w:r>
      <w:r>
        <w:rPr>
          <w:rFonts w:hint="eastAsia" w:eastAsia="仿宋" w:cs="Times New Roman"/>
          <w:color w:val="auto"/>
          <w:sz w:val="28"/>
          <w:szCs w:val="28"/>
          <w:lang w:val="en-US" w:eastAsia="zh-CN"/>
        </w:rPr>
        <w:t>2900m处</w:t>
      </w:r>
      <w:r>
        <w:rPr>
          <w:rFonts w:hint="eastAsia" w:ascii="Times New Roman" w:hAnsi="Times New Roman" w:eastAsia="仿宋" w:cs="Times New Roman"/>
          <w:color w:val="auto"/>
          <w:sz w:val="28"/>
          <w:szCs w:val="28"/>
          <w:lang w:val="en-US" w:eastAsia="zh-CN"/>
        </w:rPr>
        <w:t>的泾河</w:t>
      </w:r>
      <w:r>
        <w:rPr>
          <w:rFonts w:hint="eastAsia" w:ascii="Times New Roman" w:hAnsi="Times New Roman" w:eastAsia="仿宋" w:cs="Times New Roman"/>
          <w:color w:val="auto"/>
          <w:sz w:val="28"/>
          <w:szCs w:val="28"/>
          <w:lang w:eastAsia="zh-CN"/>
        </w:rPr>
        <w:t>。</w:t>
      </w:r>
      <w:r>
        <w:rPr>
          <w:rFonts w:hint="eastAsia" w:eastAsia="仿宋" w:cs="Times New Roman"/>
          <w:color w:val="auto"/>
          <w:sz w:val="28"/>
          <w:szCs w:val="28"/>
          <w:lang w:eastAsia="zh-CN"/>
        </w:rPr>
        <w:t>项目</w:t>
      </w:r>
      <w:r>
        <w:rPr>
          <w:rFonts w:hint="default" w:ascii="Times New Roman" w:hAnsi="Times New Roman" w:eastAsia="仿宋" w:cs="Times New Roman"/>
          <w:color w:val="auto"/>
          <w:sz w:val="28"/>
          <w:szCs w:val="28"/>
          <w:lang w:eastAsia="zh-CN"/>
        </w:rPr>
        <w:t>生产废水循环利用，不外排</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废水主要是生活污水</w:t>
      </w:r>
      <w:r>
        <w:rPr>
          <w:rFonts w:hint="eastAsia" w:eastAsia="仿宋" w:cs="Times New Roman"/>
          <w:color w:val="auto"/>
          <w:sz w:val="28"/>
          <w:szCs w:val="28"/>
          <w:lang w:eastAsia="zh-CN"/>
        </w:rPr>
        <w:t>，餐饮废水经隔油池预处理后，与其他生活废水一同进入陕西卓建永固建材有限公司化粪池，然后进入地下一体化污水处理系统处理，用于厂区洒水，不外排。厂内雨水进入厂区三级沉淀池，沉淀后用于厂区洒水和生产</w:t>
      </w:r>
      <w:r>
        <w:rPr>
          <w:rFonts w:hint="default" w:ascii="Times New Roman" w:hAnsi="Times New Roman" w:eastAsia="仿宋" w:cs="Times New Roman"/>
          <w:color w:val="auto"/>
          <w:sz w:val="28"/>
          <w:szCs w:val="28"/>
        </w:rPr>
        <w:t>。排水受纳水体情况见下表3-</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eastAsia="zh-CN"/>
        </w:rPr>
        <w:t>厂区</w:t>
      </w:r>
      <w:r>
        <w:rPr>
          <w:rFonts w:hint="default" w:ascii="Times New Roman" w:hAnsi="Times New Roman" w:eastAsia="仿宋" w:cs="Times New Roman"/>
          <w:color w:val="auto"/>
          <w:sz w:val="28"/>
          <w:szCs w:val="28"/>
        </w:rPr>
        <w:t>下游10km范围内的风险受体详见下表3-3。</w:t>
      </w:r>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 xml:space="preserve">表3-2  </w:t>
      </w:r>
      <w:r>
        <w:rPr>
          <w:rFonts w:hint="default" w:ascii="Times New Roman" w:hAnsi="Times New Roman" w:eastAsia="仿宋" w:cs="Times New Roman"/>
          <w:b/>
          <w:bCs/>
          <w:color w:val="auto"/>
          <w:sz w:val="28"/>
          <w:szCs w:val="28"/>
          <w:lang w:eastAsia="zh-CN"/>
        </w:rPr>
        <w:t>厂区</w:t>
      </w:r>
      <w:r>
        <w:rPr>
          <w:rFonts w:hint="default" w:ascii="Times New Roman" w:hAnsi="Times New Roman" w:eastAsia="仿宋" w:cs="Times New Roman"/>
          <w:b/>
          <w:bCs/>
          <w:color w:val="auto"/>
          <w:sz w:val="28"/>
          <w:szCs w:val="28"/>
        </w:rPr>
        <w:t>排污受纳水体基本情况表</w:t>
      </w:r>
    </w:p>
    <w:tbl>
      <w:tblPr>
        <w:tblStyle w:val="23"/>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17"/>
        <w:gridCol w:w="2537"/>
        <w:gridCol w:w="2611"/>
        <w:gridCol w:w="186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Merge w:val="restart"/>
            <w:vAlign w:val="center"/>
          </w:tcPr>
          <w:p>
            <w:pPr>
              <w:widowControl/>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分类</w:t>
            </w:r>
          </w:p>
        </w:tc>
        <w:tc>
          <w:tcPr>
            <w:tcW w:w="2537" w:type="dxa"/>
            <w:vMerge w:val="restart"/>
            <w:vAlign w:val="center"/>
          </w:tcPr>
          <w:p>
            <w:pPr>
              <w:widowControl/>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处理方式</w:t>
            </w:r>
          </w:p>
        </w:tc>
        <w:tc>
          <w:tcPr>
            <w:tcW w:w="4480" w:type="dxa"/>
            <w:gridSpan w:val="2"/>
            <w:vAlign w:val="center"/>
          </w:tcPr>
          <w:p>
            <w:pPr>
              <w:widowControl/>
              <w:snapToGrid w:val="0"/>
              <w:jc w:val="center"/>
              <w:rPr>
                <w:rFonts w:hint="default" w:ascii="Times New Roman" w:hAnsi="Times New Roman" w:eastAsia="仿宋" w:cs="Times New Roman"/>
                <w:b/>
                <w:bCs/>
                <w:color w:val="auto"/>
                <w:spacing w:val="-2"/>
                <w:kern w:val="0"/>
                <w:sz w:val="24"/>
                <w:szCs w:val="24"/>
              </w:rPr>
            </w:pPr>
            <w:r>
              <w:rPr>
                <w:rFonts w:hint="default" w:ascii="Times New Roman" w:hAnsi="Times New Roman" w:eastAsia="仿宋" w:cs="Times New Roman"/>
                <w:b/>
                <w:bCs/>
                <w:color w:val="auto"/>
                <w:spacing w:val="-2"/>
                <w:kern w:val="0"/>
                <w:sz w:val="24"/>
                <w:szCs w:val="24"/>
              </w:rPr>
              <w:t>受纳水体情况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Merge w:val="continue"/>
            <w:vAlign w:val="center"/>
          </w:tcPr>
          <w:p>
            <w:pPr>
              <w:widowControl/>
              <w:snapToGrid w:val="0"/>
              <w:jc w:val="center"/>
              <w:rPr>
                <w:rFonts w:hint="default" w:ascii="Times New Roman" w:hAnsi="Times New Roman" w:eastAsia="仿宋" w:cs="Times New Roman"/>
                <w:b/>
                <w:bCs/>
                <w:color w:val="auto"/>
                <w:sz w:val="24"/>
                <w:szCs w:val="24"/>
              </w:rPr>
            </w:pPr>
          </w:p>
        </w:tc>
        <w:tc>
          <w:tcPr>
            <w:tcW w:w="2537" w:type="dxa"/>
            <w:vMerge w:val="continue"/>
            <w:vAlign w:val="center"/>
          </w:tcPr>
          <w:p>
            <w:pPr>
              <w:widowControl/>
              <w:snapToGrid w:val="0"/>
              <w:jc w:val="center"/>
              <w:rPr>
                <w:rFonts w:hint="default" w:ascii="Times New Roman" w:hAnsi="Times New Roman" w:eastAsia="仿宋" w:cs="Times New Roman"/>
                <w:b/>
                <w:bCs/>
                <w:color w:val="auto"/>
                <w:sz w:val="24"/>
                <w:szCs w:val="24"/>
              </w:rPr>
            </w:pPr>
          </w:p>
        </w:tc>
        <w:tc>
          <w:tcPr>
            <w:tcW w:w="2611" w:type="dxa"/>
            <w:vAlign w:val="center"/>
          </w:tcPr>
          <w:p>
            <w:pPr>
              <w:widowControl/>
              <w:snapToGrid w:val="0"/>
              <w:jc w:val="center"/>
              <w:rPr>
                <w:rFonts w:hint="default" w:ascii="Times New Roman" w:hAnsi="Times New Roman" w:eastAsia="仿宋" w:cs="Times New Roman"/>
                <w:b/>
                <w:bCs/>
                <w:color w:val="auto"/>
                <w:spacing w:val="-2"/>
                <w:kern w:val="0"/>
                <w:sz w:val="24"/>
                <w:szCs w:val="24"/>
              </w:rPr>
            </w:pPr>
            <w:r>
              <w:rPr>
                <w:rFonts w:hint="default" w:ascii="Times New Roman" w:hAnsi="Times New Roman" w:eastAsia="仿宋" w:cs="Times New Roman"/>
                <w:b/>
                <w:bCs/>
                <w:color w:val="auto"/>
                <w:spacing w:val="-2"/>
                <w:kern w:val="0"/>
                <w:sz w:val="24"/>
                <w:szCs w:val="24"/>
              </w:rPr>
              <w:t>排放去向</w:t>
            </w:r>
          </w:p>
        </w:tc>
        <w:tc>
          <w:tcPr>
            <w:tcW w:w="1869" w:type="dxa"/>
            <w:vAlign w:val="center"/>
          </w:tcPr>
          <w:p>
            <w:pPr>
              <w:widowControl/>
              <w:snapToGrid w:val="0"/>
              <w:jc w:val="center"/>
              <w:rPr>
                <w:rFonts w:hint="default" w:ascii="Times New Roman" w:hAnsi="Times New Roman" w:eastAsia="仿宋" w:cs="Times New Roman"/>
                <w:b/>
                <w:bCs/>
                <w:color w:val="auto"/>
                <w:spacing w:val="-2"/>
                <w:kern w:val="0"/>
                <w:sz w:val="24"/>
                <w:szCs w:val="24"/>
              </w:rPr>
            </w:pPr>
            <w:r>
              <w:rPr>
                <w:rFonts w:hint="default" w:ascii="Times New Roman" w:hAnsi="Times New Roman" w:eastAsia="仿宋" w:cs="Times New Roman"/>
                <w:b/>
                <w:bCs/>
                <w:color w:val="auto"/>
                <w:spacing w:val="-2"/>
                <w:kern w:val="0"/>
                <w:sz w:val="24"/>
                <w:szCs w:val="24"/>
              </w:rPr>
              <w:t>最终流向</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Align w:val="center"/>
          </w:tcPr>
          <w:p>
            <w:pPr>
              <w:widowControl/>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雨水</w:t>
            </w:r>
          </w:p>
        </w:tc>
        <w:tc>
          <w:tcPr>
            <w:tcW w:w="2537" w:type="dxa"/>
            <w:vAlign w:val="center"/>
          </w:tcPr>
          <w:p>
            <w:pPr>
              <w:widowControl/>
              <w:snapToGrid w:val="0"/>
              <w:jc w:val="center"/>
              <w:rPr>
                <w:rFonts w:hint="eastAsia"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三级沉淀池</w:t>
            </w:r>
          </w:p>
        </w:tc>
        <w:tc>
          <w:tcPr>
            <w:tcW w:w="2611" w:type="dxa"/>
            <w:vAlign w:val="center"/>
          </w:tcPr>
          <w:p>
            <w:pPr>
              <w:widowControl/>
              <w:snapToGrid w:val="0"/>
              <w:jc w:val="center"/>
              <w:rPr>
                <w:rFonts w:hint="default" w:ascii="Times New Roman" w:hAnsi="Times New Roman" w:eastAsia="仿宋" w:cs="Times New Roman"/>
                <w:color w:val="auto"/>
                <w:spacing w:val="-2"/>
                <w:kern w:val="0"/>
                <w:sz w:val="24"/>
                <w:szCs w:val="24"/>
                <w:lang w:eastAsia="zh-CN"/>
              </w:rPr>
            </w:pPr>
            <w:r>
              <w:rPr>
                <w:rFonts w:hint="eastAsia" w:eastAsia="仿宋" w:cs="Times New Roman"/>
                <w:color w:val="auto"/>
                <w:sz w:val="24"/>
                <w:szCs w:val="24"/>
                <w:lang w:eastAsia="zh-CN"/>
              </w:rPr>
              <w:t>厂区洒水、回用于生产</w:t>
            </w:r>
          </w:p>
        </w:tc>
        <w:tc>
          <w:tcPr>
            <w:tcW w:w="1869" w:type="dxa"/>
            <w:vAlign w:val="center"/>
          </w:tcPr>
          <w:p>
            <w:pPr>
              <w:widowControl/>
              <w:snapToGrid w:val="0"/>
              <w:jc w:val="center"/>
              <w:rPr>
                <w:rFonts w:hint="default" w:ascii="Times New Roman" w:hAnsi="Times New Roman" w:eastAsia="仿宋" w:cs="Times New Roman"/>
                <w:color w:val="auto"/>
                <w:spacing w:val="-2"/>
                <w:kern w:val="0"/>
                <w:sz w:val="24"/>
                <w:szCs w:val="24"/>
                <w:lang w:eastAsia="zh-CN"/>
              </w:rPr>
            </w:pPr>
            <w:r>
              <w:rPr>
                <w:rFonts w:hint="eastAsia" w:eastAsia="仿宋" w:cs="Times New Roman"/>
                <w:color w:val="auto"/>
                <w:spacing w:val="-2"/>
                <w:kern w:val="0"/>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817" w:type="dxa"/>
            <w:vAlign w:val="center"/>
          </w:tcPr>
          <w:p>
            <w:pPr>
              <w:widowControl/>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生活废水</w:t>
            </w:r>
          </w:p>
        </w:tc>
        <w:tc>
          <w:tcPr>
            <w:tcW w:w="2537" w:type="dxa"/>
            <w:vAlign w:val="center"/>
          </w:tcPr>
          <w:p>
            <w:pPr>
              <w:widowControl/>
              <w:snapToGrid w:val="0"/>
              <w:jc w:val="center"/>
              <w:rPr>
                <w:rFonts w:hint="eastAsia"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依托陕西卓建永固建材有限公司化粪池，然后进入地下一体化污水处理系统处理</w:t>
            </w:r>
          </w:p>
        </w:tc>
        <w:tc>
          <w:tcPr>
            <w:tcW w:w="2611" w:type="dxa"/>
            <w:vAlign w:val="center"/>
          </w:tcPr>
          <w:p>
            <w:pPr>
              <w:widowControl/>
              <w:snapToGrid w:val="0"/>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厂区洒水抑尘</w:t>
            </w:r>
          </w:p>
        </w:tc>
        <w:tc>
          <w:tcPr>
            <w:tcW w:w="1869" w:type="dxa"/>
            <w:vAlign w:val="center"/>
          </w:tcPr>
          <w:p>
            <w:pPr>
              <w:widowControl/>
              <w:snapToGrid w:val="0"/>
              <w:jc w:val="center"/>
              <w:rPr>
                <w:rFonts w:hint="default" w:ascii="Times New Roman" w:hAnsi="Times New Roman" w:eastAsia="仿宋" w:cs="Times New Roman"/>
                <w:color w:val="auto"/>
                <w:spacing w:val="-2"/>
                <w:kern w:val="0"/>
                <w:sz w:val="24"/>
                <w:szCs w:val="24"/>
                <w:lang w:eastAsia="zh-CN"/>
              </w:rPr>
            </w:pPr>
            <w:r>
              <w:rPr>
                <w:rFonts w:hint="eastAsia" w:eastAsia="仿宋" w:cs="Times New Roman"/>
                <w:color w:val="auto"/>
                <w:spacing w:val="-2"/>
                <w:kern w:val="0"/>
                <w:sz w:val="24"/>
                <w:szCs w:val="24"/>
                <w:lang w:val="en-US" w:eastAsia="zh-CN"/>
              </w:rPr>
              <w:t>/</w:t>
            </w:r>
          </w:p>
        </w:tc>
      </w:tr>
    </w:tbl>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 xml:space="preserve">表3-3  </w:t>
      </w:r>
      <w:r>
        <w:rPr>
          <w:rFonts w:hint="default" w:ascii="Times New Roman" w:hAnsi="Times New Roman" w:eastAsia="仿宋" w:cs="Times New Roman"/>
          <w:b/>
          <w:bCs/>
          <w:color w:val="auto"/>
          <w:sz w:val="28"/>
          <w:szCs w:val="28"/>
          <w:lang w:eastAsia="zh-CN"/>
        </w:rPr>
        <w:t>厂区</w:t>
      </w:r>
      <w:r>
        <w:rPr>
          <w:rFonts w:hint="default" w:ascii="Times New Roman" w:hAnsi="Times New Roman" w:eastAsia="仿宋" w:cs="Times New Roman"/>
          <w:b/>
          <w:bCs/>
          <w:color w:val="auto"/>
          <w:sz w:val="28"/>
          <w:szCs w:val="28"/>
        </w:rPr>
        <w:t>10km范围内水环境风险受体分布表</w:t>
      </w:r>
    </w:p>
    <w:tbl>
      <w:tblPr>
        <w:tblStyle w:val="23"/>
        <w:tblW w:w="8834"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91"/>
        <w:gridCol w:w="2000"/>
        <w:gridCol w:w="951"/>
        <w:gridCol w:w="1239"/>
        <w:gridCol w:w="2148"/>
        <w:gridCol w:w="12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tcBorders>
              <w:tl2br w:val="nil"/>
              <w:tr2bl w:val="nil"/>
            </w:tcBorders>
            <w:vAlign w:val="center"/>
          </w:tcPr>
          <w:p>
            <w:pPr>
              <w:autoSpaceDE w:val="0"/>
              <w:autoSpaceDN w:val="0"/>
              <w:adjustRightInd w:val="0"/>
              <w:jc w:val="center"/>
              <w:rPr>
                <w:rFonts w:hint="eastAsia" w:ascii="仿宋" w:hAnsi="仿宋" w:eastAsia="仿宋" w:cs="仿宋"/>
                <w:b/>
                <w:color w:val="auto"/>
                <w:kern w:val="0"/>
                <w:sz w:val="24"/>
                <w:szCs w:val="24"/>
              </w:rPr>
            </w:pPr>
            <w:r>
              <w:rPr>
                <w:rFonts w:hint="eastAsia" w:ascii="仿宋" w:hAnsi="仿宋" w:eastAsia="仿宋" w:cs="仿宋"/>
                <w:b/>
                <w:color w:val="auto"/>
                <w:kern w:val="0"/>
                <w:sz w:val="24"/>
                <w:szCs w:val="24"/>
              </w:rPr>
              <w:t>性质</w:t>
            </w:r>
          </w:p>
        </w:tc>
        <w:tc>
          <w:tcPr>
            <w:tcW w:w="2000" w:type="dxa"/>
            <w:tcBorders>
              <w:tl2br w:val="nil"/>
              <w:tr2bl w:val="nil"/>
            </w:tcBorders>
            <w:vAlign w:val="center"/>
          </w:tcPr>
          <w:p>
            <w:pPr>
              <w:autoSpaceDE w:val="0"/>
              <w:autoSpaceDN w:val="0"/>
              <w:adjustRightInd w:val="0"/>
              <w:jc w:val="center"/>
              <w:rPr>
                <w:rFonts w:hint="eastAsia" w:ascii="仿宋" w:hAnsi="仿宋" w:eastAsia="仿宋" w:cs="仿宋"/>
                <w:b/>
                <w:color w:val="auto"/>
                <w:sz w:val="24"/>
                <w:szCs w:val="24"/>
              </w:rPr>
            </w:pPr>
            <w:r>
              <w:rPr>
                <w:rFonts w:hint="eastAsia" w:ascii="仿宋" w:hAnsi="仿宋" w:eastAsia="仿宋" w:cs="仿宋"/>
                <w:b/>
                <w:color w:val="auto"/>
                <w:kern w:val="0"/>
                <w:sz w:val="24"/>
                <w:szCs w:val="24"/>
              </w:rPr>
              <w:t>敏感目标</w:t>
            </w:r>
          </w:p>
        </w:tc>
        <w:tc>
          <w:tcPr>
            <w:tcW w:w="951" w:type="dxa"/>
            <w:tcBorders>
              <w:tl2br w:val="nil"/>
              <w:tr2bl w:val="nil"/>
            </w:tcBorders>
            <w:vAlign w:val="center"/>
          </w:tcPr>
          <w:p>
            <w:pPr>
              <w:autoSpaceDE w:val="0"/>
              <w:autoSpaceDN w:val="0"/>
              <w:adjustRightInd w:val="0"/>
              <w:jc w:val="center"/>
              <w:rPr>
                <w:rFonts w:hint="eastAsia" w:ascii="仿宋" w:hAnsi="仿宋" w:eastAsia="仿宋" w:cs="仿宋"/>
                <w:b/>
                <w:color w:val="auto"/>
                <w:sz w:val="24"/>
                <w:szCs w:val="24"/>
              </w:rPr>
            </w:pPr>
            <w:r>
              <w:rPr>
                <w:rFonts w:hint="eastAsia" w:ascii="仿宋" w:hAnsi="仿宋" w:eastAsia="仿宋" w:cs="仿宋"/>
                <w:b/>
                <w:color w:val="auto"/>
                <w:kern w:val="0"/>
                <w:sz w:val="24"/>
                <w:szCs w:val="24"/>
              </w:rPr>
              <w:t>方位</w:t>
            </w:r>
          </w:p>
        </w:tc>
        <w:tc>
          <w:tcPr>
            <w:tcW w:w="1239" w:type="dxa"/>
            <w:tcBorders>
              <w:tl2br w:val="nil"/>
              <w:tr2bl w:val="nil"/>
            </w:tcBorders>
            <w:vAlign w:val="center"/>
          </w:tcPr>
          <w:p>
            <w:pPr>
              <w:autoSpaceDE w:val="0"/>
              <w:autoSpaceDN w:val="0"/>
              <w:adjustRightInd w:val="0"/>
              <w:jc w:val="center"/>
              <w:rPr>
                <w:rFonts w:hint="eastAsia" w:ascii="仿宋" w:hAnsi="仿宋" w:eastAsia="仿宋" w:cs="仿宋"/>
                <w:b/>
                <w:color w:val="auto"/>
                <w:sz w:val="24"/>
                <w:szCs w:val="24"/>
              </w:rPr>
            </w:pPr>
            <w:r>
              <w:rPr>
                <w:rFonts w:hint="eastAsia" w:ascii="仿宋" w:hAnsi="仿宋" w:eastAsia="仿宋" w:cs="仿宋"/>
                <w:b/>
                <w:color w:val="auto"/>
                <w:kern w:val="0"/>
                <w:sz w:val="24"/>
                <w:szCs w:val="24"/>
              </w:rPr>
              <w:t>距离</w:t>
            </w:r>
          </w:p>
        </w:tc>
        <w:tc>
          <w:tcPr>
            <w:tcW w:w="3353" w:type="dxa"/>
            <w:gridSpan w:val="2"/>
            <w:tcBorders>
              <w:tl2br w:val="nil"/>
              <w:tr2bl w:val="nil"/>
            </w:tcBorders>
            <w:vAlign w:val="center"/>
          </w:tcPr>
          <w:p>
            <w:pPr>
              <w:autoSpaceDE w:val="0"/>
              <w:autoSpaceDN w:val="0"/>
              <w:adjustRightInd w:val="0"/>
              <w:jc w:val="center"/>
              <w:rPr>
                <w:rFonts w:hint="eastAsia" w:ascii="仿宋" w:hAnsi="仿宋" w:eastAsia="仿宋" w:cs="仿宋"/>
                <w:b/>
                <w:color w:val="auto"/>
                <w:kern w:val="0"/>
                <w:sz w:val="24"/>
                <w:szCs w:val="24"/>
              </w:rPr>
            </w:pPr>
            <w:r>
              <w:rPr>
                <w:rFonts w:hint="eastAsia" w:ascii="仿宋" w:hAnsi="仿宋" w:eastAsia="仿宋" w:cs="仿宋"/>
                <w:b/>
                <w:color w:val="auto"/>
                <w:kern w:val="0"/>
                <w:sz w:val="24"/>
                <w:szCs w:val="24"/>
              </w:rPr>
              <w:t>保护级别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vMerge w:val="restart"/>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地表水体</w:t>
            </w:r>
          </w:p>
        </w:tc>
        <w:tc>
          <w:tcPr>
            <w:tcW w:w="2000" w:type="dxa"/>
            <w:tcBorders>
              <w:tl2br w:val="nil"/>
              <w:tr2bl w:val="nil"/>
            </w:tcBorders>
            <w:vAlign w:val="center"/>
          </w:tcPr>
          <w:p>
            <w:pPr>
              <w:autoSpaceDE w:val="0"/>
              <w:autoSpaceDN w:val="0"/>
              <w:adjustRightIn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pacing w:val="-2"/>
                <w:kern w:val="0"/>
                <w:sz w:val="24"/>
                <w:szCs w:val="24"/>
                <w:lang w:eastAsia="zh-CN"/>
              </w:rPr>
              <w:t>渭河</w:t>
            </w:r>
          </w:p>
        </w:tc>
        <w:tc>
          <w:tcPr>
            <w:tcW w:w="951"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lang w:eastAsia="zh-CN"/>
              </w:rPr>
            </w:pPr>
            <w:r>
              <w:rPr>
                <w:rFonts w:hint="eastAsia" w:eastAsia="仿宋" w:cs="Times New Roman"/>
                <w:color w:val="auto"/>
                <w:kern w:val="0"/>
                <w:sz w:val="24"/>
                <w:szCs w:val="24"/>
                <w:lang w:eastAsia="zh-CN"/>
              </w:rPr>
              <w:t>南</w:t>
            </w:r>
          </w:p>
        </w:tc>
        <w:tc>
          <w:tcPr>
            <w:tcW w:w="1239"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eastAsia="仿宋" w:cs="Times New Roman"/>
                <w:color w:val="auto"/>
                <w:kern w:val="0"/>
                <w:sz w:val="24"/>
                <w:szCs w:val="24"/>
                <w:lang w:val="en-US" w:eastAsia="zh-CN"/>
              </w:rPr>
              <w:t>1.45</w:t>
            </w:r>
            <w:r>
              <w:rPr>
                <w:rFonts w:hint="default" w:ascii="Times New Roman" w:hAnsi="Times New Roman" w:eastAsia="仿宋" w:cs="Times New Roman"/>
                <w:color w:val="auto"/>
                <w:kern w:val="0"/>
                <w:sz w:val="24"/>
                <w:szCs w:val="24"/>
                <w:lang w:val="en-US" w:eastAsia="zh-CN"/>
              </w:rPr>
              <w:t>km</w:t>
            </w:r>
          </w:p>
        </w:tc>
        <w:tc>
          <w:tcPr>
            <w:tcW w:w="2148" w:type="dxa"/>
            <w:vMerge w:val="restart"/>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ascii="仿宋" w:hAnsi="仿宋" w:eastAsia="仿宋" w:cs="仿宋"/>
                <w:color w:val="auto"/>
                <w:sz w:val="24"/>
                <w:szCs w:val="24"/>
              </w:rPr>
              <w:t>《地表水环境质量标准》（GB3838-2002）</w:t>
            </w:r>
          </w:p>
        </w:tc>
        <w:tc>
          <w:tcPr>
            <w:tcW w:w="1205" w:type="dxa"/>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r>
              <w:rPr>
                <w:rFonts w:hint="eastAsia" w:ascii="仿宋" w:hAnsi="仿宋" w:eastAsia="仿宋" w:cs="仿宋"/>
                <w:color w:val="auto"/>
                <w:kern w:val="0"/>
                <w:sz w:val="24"/>
                <w:szCs w:val="24"/>
              </w:rPr>
              <w:t>Ⅳ</w:t>
            </w:r>
            <w:r>
              <w:rPr>
                <w:rFonts w:hint="eastAsia" w:ascii="仿宋" w:hAnsi="仿宋" w:eastAsia="仿宋" w:cs="仿宋"/>
                <w:color w:val="auto"/>
                <w:sz w:val="24"/>
                <w:szCs w:val="24"/>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p>
        </w:tc>
        <w:tc>
          <w:tcPr>
            <w:tcW w:w="2000" w:type="dxa"/>
            <w:tcBorders>
              <w:tl2br w:val="nil"/>
              <w:tr2bl w:val="nil"/>
            </w:tcBorders>
            <w:vAlign w:val="center"/>
          </w:tcPr>
          <w:p>
            <w:pPr>
              <w:autoSpaceDE w:val="0"/>
              <w:autoSpaceDN w:val="0"/>
              <w:adjustRightInd w:val="0"/>
              <w:jc w:val="center"/>
              <w:rPr>
                <w:rFonts w:hint="eastAsia" w:ascii="Times New Roman" w:hAnsi="Times New Roman" w:eastAsia="仿宋" w:cs="Times New Roman"/>
                <w:color w:val="auto"/>
                <w:spacing w:val="-2"/>
                <w:kern w:val="0"/>
                <w:sz w:val="24"/>
                <w:szCs w:val="24"/>
                <w:lang w:val="en-US" w:eastAsia="zh-CN" w:bidi="ar-SA"/>
              </w:rPr>
            </w:pPr>
            <w:r>
              <w:rPr>
                <w:rFonts w:hint="eastAsia" w:eastAsia="仿宋" w:cs="Times New Roman"/>
                <w:color w:val="auto"/>
                <w:spacing w:val="-2"/>
                <w:kern w:val="0"/>
                <w:sz w:val="24"/>
                <w:szCs w:val="24"/>
                <w:lang w:val="en-US" w:eastAsia="zh-CN"/>
              </w:rPr>
              <w:t>高干渠</w:t>
            </w:r>
          </w:p>
        </w:tc>
        <w:tc>
          <w:tcPr>
            <w:tcW w:w="951" w:type="dxa"/>
            <w:tcBorders>
              <w:tl2br w:val="nil"/>
              <w:tr2bl w:val="nil"/>
            </w:tcBorders>
            <w:vAlign w:val="center"/>
          </w:tcPr>
          <w:p>
            <w:pPr>
              <w:autoSpaceDE w:val="0"/>
              <w:autoSpaceDN w:val="0"/>
              <w:adjustRightInd w:val="0"/>
              <w:jc w:val="center"/>
              <w:rPr>
                <w:rFonts w:hint="eastAsia"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eastAsia="zh-CN"/>
              </w:rPr>
              <w:t>北</w:t>
            </w:r>
          </w:p>
        </w:tc>
        <w:tc>
          <w:tcPr>
            <w:tcW w:w="1239" w:type="dxa"/>
            <w:tcBorders>
              <w:tl2br w:val="nil"/>
              <w:tr2bl w:val="nil"/>
            </w:tcBorders>
            <w:vAlign w:val="center"/>
          </w:tcPr>
          <w:p>
            <w:pPr>
              <w:autoSpaceDE w:val="0"/>
              <w:autoSpaceDN w:val="0"/>
              <w:adjustRightInd w:val="0"/>
              <w:jc w:val="center"/>
              <w:rPr>
                <w:rFonts w:hint="eastAsia"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rPr>
              <w:t>1.2km</w:t>
            </w:r>
          </w:p>
        </w:tc>
        <w:tc>
          <w:tcPr>
            <w:tcW w:w="2148"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p>
        </w:tc>
        <w:tc>
          <w:tcPr>
            <w:tcW w:w="1205"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Ⅳ</w:t>
            </w:r>
            <w:r>
              <w:rPr>
                <w:rFonts w:hint="eastAsia" w:ascii="仿宋" w:hAnsi="仿宋" w:eastAsia="仿宋" w:cs="仿宋"/>
                <w:color w:val="auto"/>
                <w:sz w:val="24"/>
                <w:szCs w:val="24"/>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91"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rPr>
            </w:pPr>
          </w:p>
        </w:tc>
        <w:tc>
          <w:tcPr>
            <w:tcW w:w="2000" w:type="dxa"/>
            <w:tcBorders>
              <w:tl2br w:val="nil"/>
              <w:tr2bl w:val="nil"/>
            </w:tcBorders>
            <w:vAlign w:val="center"/>
          </w:tcPr>
          <w:p>
            <w:pPr>
              <w:autoSpaceDE w:val="0"/>
              <w:autoSpaceDN w:val="0"/>
              <w:adjustRightInd w:val="0"/>
              <w:jc w:val="center"/>
              <w:rPr>
                <w:rFonts w:hint="eastAsia" w:ascii="仿宋" w:hAnsi="仿宋" w:eastAsia="仿宋" w:cs="仿宋"/>
                <w:color w:val="auto"/>
                <w:spacing w:val="-2"/>
                <w:kern w:val="0"/>
                <w:sz w:val="24"/>
                <w:szCs w:val="24"/>
                <w:lang w:eastAsia="zh-CN"/>
              </w:rPr>
            </w:pPr>
            <w:r>
              <w:rPr>
                <w:rFonts w:hint="eastAsia" w:eastAsia="仿宋" w:cs="Times New Roman"/>
                <w:color w:val="auto"/>
                <w:spacing w:val="-2"/>
                <w:kern w:val="0"/>
                <w:sz w:val="24"/>
                <w:szCs w:val="24"/>
                <w:lang w:eastAsia="zh-CN"/>
              </w:rPr>
              <w:t>泾河</w:t>
            </w:r>
          </w:p>
        </w:tc>
        <w:tc>
          <w:tcPr>
            <w:tcW w:w="951"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lang w:eastAsia="zh-CN"/>
              </w:rPr>
            </w:pPr>
            <w:r>
              <w:rPr>
                <w:rFonts w:hint="eastAsia" w:eastAsia="仿宋" w:cs="Times New Roman"/>
                <w:color w:val="auto"/>
                <w:kern w:val="0"/>
                <w:sz w:val="24"/>
                <w:szCs w:val="24"/>
                <w:lang w:eastAsia="zh-CN"/>
              </w:rPr>
              <w:t>东北</w:t>
            </w:r>
          </w:p>
        </w:tc>
        <w:tc>
          <w:tcPr>
            <w:tcW w:w="1239" w:type="dxa"/>
            <w:tcBorders>
              <w:tl2br w:val="nil"/>
              <w:tr2bl w:val="nil"/>
            </w:tcBorders>
            <w:vAlign w:val="center"/>
          </w:tcPr>
          <w:p>
            <w:pPr>
              <w:autoSpaceDE w:val="0"/>
              <w:autoSpaceDN w:val="0"/>
              <w:adjustRightInd w:val="0"/>
              <w:jc w:val="center"/>
              <w:rPr>
                <w:rFonts w:hint="eastAsia" w:ascii="仿宋" w:hAnsi="仿宋" w:eastAsia="仿宋" w:cs="仿宋"/>
                <w:color w:val="auto"/>
                <w:kern w:val="0"/>
                <w:sz w:val="24"/>
                <w:szCs w:val="24"/>
                <w:lang w:val="en-US" w:eastAsia="zh-CN"/>
              </w:rPr>
            </w:pPr>
            <w:r>
              <w:rPr>
                <w:rFonts w:hint="eastAsia" w:eastAsia="仿宋" w:cs="Times New Roman"/>
                <w:color w:val="auto"/>
                <w:kern w:val="0"/>
                <w:sz w:val="24"/>
                <w:szCs w:val="24"/>
                <w:lang w:val="en-US" w:eastAsia="zh-CN"/>
              </w:rPr>
              <w:t>2.9</w:t>
            </w:r>
            <w:r>
              <w:rPr>
                <w:rFonts w:hint="default" w:ascii="Times New Roman" w:hAnsi="Times New Roman" w:eastAsia="仿宋" w:cs="Times New Roman"/>
                <w:color w:val="auto"/>
                <w:kern w:val="0"/>
                <w:sz w:val="24"/>
                <w:szCs w:val="24"/>
                <w:lang w:val="en-US" w:eastAsia="zh-CN"/>
              </w:rPr>
              <w:t>km</w:t>
            </w:r>
          </w:p>
        </w:tc>
        <w:tc>
          <w:tcPr>
            <w:tcW w:w="2148" w:type="dxa"/>
            <w:vMerge w:val="continue"/>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p>
        </w:tc>
        <w:tc>
          <w:tcPr>
            <w:tcW w:w="1205" w:type="dxa"/>
            <w:tcBorders>
              <w:tl2br w:val="nil"/>
              <w:tr2bl w:val="nil"/>
            </w:tcBorders>
            <w:vAlign w:val="center"/>
          </w:tcPr>
          <w:p>
            <w:pPr>
              <w:autoSpaceDE w:val="0"/>
              <w:autoSpaceDN w:val="0"/>
              <w:adjustRightInd w:val="0"/>
              <w:jc w:val="center"/>
              <w:rPr>
                <w:rFonts w:hint="eastAsia" w:ascii="仿宋" w:hAnsi="仿宋" w:eastAsia="仿宋" w:cs="仿宋"/>
                <w:color w:val="auto"/>
                <w:sz w:val="24"/>
                <w:szCs w:val="24"/>
              </w:rPr>
            </w:pPr>
            <w:r>
              <w:rPr>
                <w:rFonts w:hint="eastAsia" w:ascii="仿宋" w:hAnsi="仿宋" w:eastAsia="仿宋" w:cs="仿宋"/>
                <w:color w:val="auto"/>
                <w:sz w:val="24"/>
                <w:szCs w:val="24"/>
              </w:rPr>
              <w:t>Ⅲ类标准</w:t>
            </w:r>
          </w:p>
        </w:tc>
      </w:tr>
    </w:tbl>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3.3.4周边企业概况</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周边500m范围内企业</w:t>
      </w:r>
      <w:r>
        <w:rPr>
          <w:rFonts w:hint="default" w:ascii="Times New Roman" w:hAnsi="Times New Roman" w:eastAsia="仿宋" w:cs="Times New Roman"/>
          <w:color w:val="auto"/>
          <w:sz w:val="28"/>
          <w:szCs w:val="28"/>
          <w:lang w:eastAsia="zh-CN"/>
        </w:rPr>
        <w:t>主要为</w:t>
      </w:r>
      <w:r>
        <w:rPr>
          <w:rFonts w:hint="eastAsia" w:eastAsia="仿宋" w:cs="Times New Roman"/>
          <w:color w:val="auto"/>
          <w:sz w:val="28"/>
          <w:szCs w:val="28"/>
          <w:lang w:eastAsia="zh-CN"/>
        </w:rPr>
        <w:t>建筑材料</w:t>
      </w:r>
      <w:r>
        <w:rPr>
          <w:rFonts w:hint="default" w:ascii="Times New Roman" w:hAnsi="Times New Roman" w:eastAsia="仿宋" w:cs="Times New Roman"/>
          <w:color w:val="auto"/>
          <w:sz w:val="28"/>
          <w:szCs w:val="28"/>
          <w:lang w:eastAsia="zh-CN"/>
        </w:rPr>
        <w:t>企业</w:t>
      </w:r>
      <w:r>
        <w:rPr>
          <w:rFonts w:hint="default" w:ascii="Times New Roman" w:hAnsi="Times New Roman" w:eastAsia="仿宋" w:cs="Times New Roman"/>
          <w:color w:val="auto"/>
          <w:sz w:val="28"/>
          <w:szCs w:val="28"/>
        </w:rPr>
        <w:t>，主要环境风险物质为废机油</w:t>
      </w:r>
      <w:r>
        <w:rPr>
          <w:rFonts w:hint="default" w:ascii="Times New Roman" w:hAnsi="Times New Roman" w:eastAsia="仿宋" w:cs="Times New Roman"/>
          <w:color w:val="auto"/>
          <w:sz w:val="28"/>
          <w:szCs w:val="28"/>
          <w:lang w:eastAsia="zh-CN"/>
        </w:rPr>
        <w:t>等</w:t>
      </w:r>
      <w:r>
        <w:rPr>
          <w:rFonts w:hint="default" w:ascii="Times New Roman" w:hAnsi="Times New Roman" w:eastAsia="仿宋" w:cs="Times New Roman"/>
          <w:color w:val="auto"/>
          <w:sz w:val="28"/>
          <w:szCs w:val="28"/>
        </w:rPr>
        <w:t>，这些企业对</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存在一定的环境风险。</w:t>
      </w:r>
    </w:p>
    <w:p>
      <w:pPr>
        <w:spacing w:line="240" w:lineRule="auto"/>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w:t>
      </w:r>
      <w:r>
        <w:rPr>
          <w:rFonts w:hint="default" w:ascii="Times New Roman" w:hAnsi="Times New Roman" w:eastAsia="仿宋" w:cs="Times New Roman"/>
          <w:b/>
          <w:bCs/>
          <w:color w:val="auto"/>
          <w:sz w:val="28"/>
          <w:szCs w:val="28"/>
          <w:lang w:val="en-US" w:eastAsia="zh-CN"/>
        </w:rPr>
        <w:t>3-</w:t>
      </w:r>
      <w:r>
        <w:rPr>
          <w:rFonts w:hint="eastAsia" w:eastAsia="仿宋" w:cs="Times New Roman"/>
          <w:b/>
          <w:bCs/>
          <w:color w:val="auto"/>
          <w:sz w:val="28"/>
          <w:szCs w:val="28"/>
          <w:lang w:val="en-US" w:eastAsia="zh-CN"/>
        </w:rPr>
        <w:t>4</w:t>
      </w:r>
      <w:r>
        <w:rPr>
          <w:rFonts w:hint="default" w:ascii="Times New Roman" w:hAnsi="Times New Roman" w:eastAsia="仿宋" w:cs="Times New Roman"/>
          <w:b/>
          <w:bCs/>
          <w:color w:val="auto"/>
          <w:sz w:val="28"/>
          <w:szCs w:val="28"/>
          <w:lang w:val="en-US" w:eastAsia="zh-CN"/>
        </w:rPr>
        <w:t xml:space="preserve"> </w:t>
      </w:r>
      <w:r>
        <w:rPr>
          <w:rFonts w:hint="default" w:ascii="Times New Roman" w:hAnsi="Times New Roman" w:eastAsia="仿宋" w:cs="Times New Roman"/>
          <w:b/>
          <w:bCs/>
          <w:color w:val="auto"/>
          <w:sz w:val="28"/>
          <w:szCs w:val="28"/>
          <w:lang w:eastAsia="zh-CN"/>
        </w:rPr>
        <w:t>本项目</w:t>
      </w:r>
      <w:r>
        <w:rPr>
          <w:rFonts w:hint="default" w:ascii="Times New Roman" w:hAnsi="Times New Roman" w:eastAsia="仿宋" w:cs="Times New Roman"/>
          <w:b/>
          <w:bCs/>
          <w:color w:val="auto"/>
          <w:sz w:val="28"/>
          <w:szCs w:val="28"/>
          <w:lang w:val="en-US" w:eastAsia="zh-CN"/>
        </w:rPr>
        <w:t>500</w:t>
      </w:r>
      <w:r>
        <w:rPr>
          <w:rFonts w:hint="default" w:ascii="Times New Roman" w:hAnsi="Times New Roman" w:eastAsia="仿宋" w:cs="Times New Roman"/>
          <w:b/>
          <w:bCs/>
          <w:color w:val="auto"/>
          <w:sz w:val="28"/>
          <w:szCs w:val="28"/>
        </w:rPr>
        <w:t>范围内</w:t>
      </w:r>
      <w:r>
        <w:rPr>
          <w:rFonts w:hint="default" w:ascii="Times New Roman" w:hAnsi="Times New Roman" w:eastAsia="仿宋" w:cs="Times New Roman"/>
          <w:b/>
          <w:bCs/>
          <w:color w:val="auto"/>
          <w:sz w:val="28"/>
          <w:szCs w:val="28"/>
          <w:lang w:eastAsia="zh-CN"/>
        </w:rPr>
        <w:t>主要企业</w:t>
      </w:r>
      <w:r>
        <w:rPr>
          <w:rFonts w:hint="default" w:ascii="Times New Roman" w:hAnsi="Times New Roman" w:eastAsia="仿宋" w:cs="Times New Roman"/>
          <w:b/>
          <w:bCs/>
          <w:color w:val="auto"/>
          <w:sz w:val="28"/>
          <w:szCs w:val="28"/>
        </w:rPr>
        <w:t>分布表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7"/>
        <w:gridCol w:w="2622"/>
        <w:gridCol w:w="1242"/>
        <w:gridCol w:w="1281"/>
        <w:gridCol w:w="19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55" w:type="pct"/>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b/>
                <w:bCs w:val="0"/>
                <w:color w:val="auto"/>
                <w:kern w:val="0"/>
                <w:sz w:val="24"/>
                <w:szCs w:val="24"/>
                <w:shd w:val="clear" w:color="auto" w:fill="auto"/>
              </w:rPr>
            </w:pPr>
            <w:r>
              <w:rPr>
                <w:rFonts w:hint="default" w:ascii="Times New Roman" w:hAnsi="Times New Roman" w:eastAsia="仿宋" w:cs="Times New Roman"/>
                <w:b/>
                <w:bCs w:val="0"/>
                <w:color w:val="auto"/>
                <w:kern w:val="0"/>
                <w:sz w:val="24"/>
                <w:szCs w:val="24"/>
                <w:shd w:val="clear" w:color="auto" w:fill="auto"/>
              </w:rPr>
              <w:t>性质</w:t>
            </w:r>
          </w:p>
        </w:tc>
        <w:tc>
          <w:tcPr>
            <w:tcW w:w="1484" w:type="pct"/>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b/>
                <w:bCs w:val="0"/>
                <w:color w:val="auto"/>
                <w:sz w:val="24"/>
                <w:szCs w:val="24"/>
                <w:shd w:val="clear" w:color="auto" w:fill="auto"/>
                <w:lang w:val="en-US" w:eastAsia="zh-CN"/>
              </w:rPr>
            </w:pPr>
            <w:r>
              <w:rPr>
                <w:rFonts w:hint="default" w:ascii="Times New Roman" w:hAnsi="Times New Roman" w:eastAsia="仿宋" w:cs="Times New Roman"/>
                <w:b/>
                <w:bCs w:val="0"/>
                <w:color w:val="auto"/>
                <w:sz w:val="24"/>
                <w:szCs w:val="24"/>
                <w:shd w:val="clear" w:color="auto" w:fill="auto"/>
                <w:lang w:val="en-US" w:eastAsia="zh-CN"/>
              </w:rPr>
              <w:t>名称</w:t>
            </w:r>
          </w:p>
        </w:tc>
        <w:tc>
          <w:tcPr>
            <w:tcW w:w="703" w:type="pct"/>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b/>
                <w:bCs w:val="0"/>
                <w:color w:val="auto"/>
                <w:sz w:val="24"/>
                <w:szCs w:val="24"/>
                <w:shd w:val="clear" w:color="auto" w:fill="auto"/>
              </w:rPr>
            </w:pPr>
            <w:r>
              <w:rPr>
                <w:rFonts w:hint="default" w:ascii="Times New Roman" w:hAnsi="Times New Roman" w:eastAsia="仿宋" w:cs="Times New Roman"/>
                <w:b/>
                <w:bCs w:val="0"/>
                <w:color w:val="auto"/>
                <w:kern w:val="0"/>
                <w:sz w:val="24"/>
                <w:szCs w:val="24"/>
                <w:shd w:val="clear" w:color="auto" w:fill="auto"/>
              </w:rPr>
              <w:t>方位</w:t>
            </w:r>
          </w:p>
        </w:tc>
        <w:tc>
          <w:tcPr>
            <w:tcW w:w="725" w:type="pct"/>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b/>
                <w:bCs w:val="0"/>
                <w:color w:val="auto"/>
                <w:sz w:val="24"/>
                <w:szCs w:val="24"/>
                <w:shd w:val="clear" w:color="auto" w:fill="auto"/>
              </w:rPr>
            </w:pPr>
            <w:r>
              <w:rPr>
                <w:rFonts w:hint="default" w:ascii="Times New Roman" w:hAnsi="Times New Roman" w:eastAsia="仿宋" w:cs="Times New Roman"/>
                <w:b/>
                <w:bCs w:val="0"/>
                <w:color w:val="auto"/>
                <w:kern w:val="0"/>
                <w:sz w:val="24"/>
                <w:szCs w:val="24"/>
                <w:shd w:val="clear" w:color="auto" w:fill="auto"/>
              </w:rPr>
              <w:t>距离</w:t>
            </w:r>
          </w:p>
        </w:tc>
        <w:tc>
          <w:tcPr>
            <w:tcW w:w="1130" w:type="pct"/>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b/>
                <w:bCs w:val="0"/>
                <w:color w:val="auto"/>
                <w:kern w:val="0"/>
                <w:sz w:val="24"/>
                <w:szCs w:val="24"/>
                <w:shd w:val="clear" w:color="auto" w:fill="auto"/>
                <w:lang w:eastAsia="zh-CN"/>
              </w:rPr>
            </w:pPr>
            <w:r>
              <w:rPr>
                <w:rFonts w:hint="default" w:ascii="Times New Roman" w:hAnsi="Times New Roman" w:eastAsia="仿宋" w:cs="Times New Roman"/>
                <w:b/>
                <w:bCs w:val="0"/>
                <w:color w:val="auto"/>
                <w:kern w:val="0"/>
                <w:sz w:val="24"/>
                <w:szCs w:val="24"/>
                <w:shd w:val="clear" w:color="auto" w:fill="auto"/>
                <w:lang w:eastAsia="zh-CN"/>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5" w:type="pct"/>
            <w:vMerge w:val="restart"/>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color w:val="auto"/>
                <w:kern w:val="0"/>
                <w:sz w:val="24"/>
                <w:szCs w:val="24"/>
                <w:shd w:val="clear" w:color="auto" w:fill="auto"/>
                <w:lang w:eastAsia="zh-CN"/>
              </w:rPr>
            </w:pPr>
            <w:r>
              <w:rPr>
                <w:rFonts w:hint="default" w:ascii="Times New Roman" w:hAnsi="Times New Roman" w:eastAsia="仿宋" w:cs="Times New Roman"/>
                <w:color w:val="auto"/>
                <w:kern w:val="0"/>
                <w:sz w:val="24"/>
                <w:szCs w:val="24"/>
                <w:shd w:val="clear" w:color="auto" w:fill="auto"/>
                <w:lang w:eastAsia="zh-CN"/>
              </w:rPr>
              <w:t>企业</w:t>
            </w:r>
          </w:p>
        </w:tc>
        <w:tc>
          <w:tcPr>
            <w:tcW w:w="1484"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spacing w:val="-2"/>
                <w:kern w:val="0"/>
                <w:sz w:val="24"/>
                <w:szCs w:val="24"/>
                <w:lang w:val="en-US" w:eastAsia="zh-CN"/>
              </w:rPr>
            </w:pPr>
            <w:r>
              <w:rPr>
                <w:rFonts w:hint="eastAsia" w:ascii="Times New Roman" w:hAnsi="Times New Roman" w:eastAsia="仿宋" w:cs="Times New Roman"/>
                <w:color w:val="auto"/>
                <w:spacing w:val="-2"/>
                <w:kern w:val="0"/>
                <w:sz w:val="24"/>
                <w:szCs w:val="24"/>
                <w:lang w:eastAsia="zh-CN"/>
              </w:rPr>
              <w:t>陕西卓建永固建材有限公司</w:t>
            </w:r>
          </w:p>
        </w:tc>
        <w:tc>
          <w:tcPr>
            <w:tcW w:w="703"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spacing w:val="-2"/>
                <w:kern w:val="0"/>
                <w:sz w:val="24"/>
                <w:szCs w:val="24"/>
                <w:lang w:val="en-US" w:eastAsia="zh-CN"/>
              </w:rPr>
            </w:pPr>
            <w:r>
              <w:rPr>
                <w:rFonts w:hint="eastAsia" w:ascii="Times New Roman" w:hAnsi="Times New Roman" w:eastAsia="仿宋" w:cs="Times New Roman"/>
                <w:color w:val="auto"/>
                <w:spacing w:val="-2"/>
                <w:kern w:val="0"/>
                <w:sz w:val="24"/>
                <w:szCs w:val="24"/>
                <w:lang w:val="en-US" w:eastAsia="zh-CN"/>
              </w:rPr>
              <w:t>E</w:t>
            </w:r>
          </w:p>
        </w:tc>
        <w:tc>
          <w:tcPr>
            <w:tcW w:w="725"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spacing w:val="-2"/>
                <w:kern w:val="0"/>
                <w:sz w:val="24"/>
                <w:szCs w:val="24"/>
                <w:lang w:val="en-US" w:eastAsia="zh-CN"/>
              </w:rPr>
            </w:pPr>
            <w:r>
              <w:rPr>
                <w:rFonts w:hint="default" w:ascii="Times New Roman" w:hAnsi="Times New Roman" w:eastAsia="仿宋" w:cs="Times New Roman"/>
                <w:color w:val="auto"/>
                <w:spacing w:val="-2"/>
                <w:kern w:val="0"/>
                <w:sz w:val="24"/>
                <w:szCs w:val="24"/>
                <w:lang w:val="en-US" w:eastAsia="zh-CN"/>
              </w:rPr>
              <w:t>紧邻</w:t>
            </w:r>
          </w:p>
        </w:tc>
        <w:tc>
          <w:tcPr>
            <w:tcW w:w="1130"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spacing w:val="-2"/>
                <w:kern w:val="0"/>
                <w:sz w:val="24"/>
                <w:szCs w:val="24"/>
                <w:lang w:val="en-US" w:eastAsia="zh-CN"/>
              </w:rPr>
            </w:pPr>
            <w:r>
              <w:rPr>
                <w:rFonts w:hint="eastAsia" w:ascii="Times New Roman" w:hAnsi="Times New Roman" w:eastAsia="仿宋" w:cs="Times New Roman"/>
                <w:color w:val="auto"/>
                <w:spacing w:val="-2"/>
                <w:kern w:val="0"/>
                <w:sz w:val="24"/>
                <w:szCs w:val="24"/>
                <w:lang w:val="en-US" w:eastAsia="zh-CN"/>
              </w:rPr>
              <w:t>13991029885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5" w:type="pct"/>
            <w:vMerge w:val="continue"/>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color w:val="auto"/>
                <w:kern w:val="0"/>
                <w:sz w:val="24"/>
                <w:szCs w:val="24"/>
                <w:shd w:val="clear" w:color="auto" w:fill="auto"/>
                <w:lang w:eastAsia="zh-CN"/>
              </w:rPr>
            </w:pPr>
          </w:p>
        </w:tc>
        <w:tc>
          <w:tcPr>
            <w:tcW w:w="1484"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bidi="ar-SA"/>
              </w:rPr>
              <w:t>陕西华伟混凝土公司</w:t>
            </w:r>
          </w:p>
        </w:tc>
        <w:tc>
          <w:tcPr>
            <w:tcW w:w="703"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val="en-US" w:eastAsia="zh-CN"/>
              </w:rPr>
              <w:t>E</w:t>
            </w:r>
          </w:p>
        </w:tc>
        <w:tc>
          <w:tcPr>
            <w:tcW w:w="725"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bidi="ar-SA"/>
              </w:rPr>
              <w:t>86</w:t>
            </w:r>
            <w:r>
              <w:rPr>
                <w:rFonts w:hint="default" w:ascii="Times New Roman" w:hAnsi="Times New Roman" w:eastAsia="仿宋" w:cs="Times New Roman"/>
                <w:color w:val="auto"/>
                <w:kern w:val="0"/>
                <w:sz w:val="24"/>
                <w:szCs w:val="24"/>
                <w:lang w:val="en-US" w:eastAsia="zh-CN" w:bidi="ar-SA"/>
              </w:rPr>
              <w:t>m</w:t>
            </w:r>
          </w:p>
        </w:tc>
        <w:tc>
          <w:tcPr>
            <w:tcW w:w="1130"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bidi="ar-SA"/>
              </w:rPr>
              <w:t>029-86030729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5" w:type="pct"/>
            <w:vMerge w:val="continue"/>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color w:val="auto"/>
                <w:kern w:val="0"/>
                <w:sz w:val="24"/>
                <w:szCs w:val="24"/>
                <w:shd w:val="clear" w:color="auto" w:fill="auto"/>
                <w:lang w:eastAsia="zh-CN"/>
              </w:rPr>
            </w:pPr>
          </w:p>
        </w:tc>
        <w:tc>
          <w:tcPr>
            <w:tcW w:w="1484"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bidi="ar-SA"/>
              </w:rPr>
              <w:t>懋盛搅拌站</w:t>
            </w:r>
          </w:p>
        </w:tc>
        <w:tc>
          <w:tcPr>
            <w:tcW w:w="703"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spacing w:val="-2"/>
                <w:kern w:val="0"/>
                <w:sz w:val="24"/>
                <w:szCs w:val="24"/>
                <w:lang w:val="en-US" w:eastAsia="zh-CN"/>
              </w:rPr>
              <w:t>E</w:t>
            </w:r>
          </w:p>
        </w:tc>
        <w:tc>
          <w:tcPr>
            <w:tcW w:w="725"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default" w:ascii="Times New Roman" w:hAnsi="Times New Roman" w:eastAsia="仿宋" w:cs="Times New Roman"/>
                <w:color w:val="auto"/>
                <w:kern w:val="0"/>
                <w:sz w:val="24"/>
                <w:szCs w:val="24"/>
                <w:lang w:val="en-US" w:eastAsia="zh-CN" w:bidi="ar-SA"/>
              </w:rPr>
              <w:t>3</w:t>
            </w:r>
            <w:r>
              <w:rPr>
                <w:rFonts w:hint="eastAsia" w:eastAsia="仿宋" w:cs="Times New Roman"/>
                <w:color w:val="auto"/>
                <w:kern w:val="0"/>
                <w:sz w:val="24"/>
                <w:szCs w:val="24"/>
                <w:lang w:val="en-US" w:eastAsia="zh-CN" w:bidi="ar-SA"/>
              </w:rPr>
              <w:t>0</w:t>
            </w:r>
            <w:r>
              <w:rPr>
                <w:rFonts w:hint="default" w:ascii="Times New Roman" w:hAnsi="Times New Roman" w:eastAsia="仿宋" w:cs="Times New Roman"/>
                <w:color w:val="auto"/>
                <w:kern w:val="0"/>
                <w:sz w:val="24"/>
                <w:szCs w:val="24"/>
                <w:lang w:val="en-US" w:eastAsia="zh-CN" w:bidi="ar-SA"/>
              </w:rPr>
              <w:t>0m</w:t>
            </w:r>
          </w:p>
        </w:tc>
        <w:tc>
          <w:tcPr>
            <w:tcW w:w="1130"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bidi="ar-SA"/>
              </w:rPr>
              <w:t>15929961117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955" w:type="pct"/>
            <w:vMerge w:val="continue"/>
            <w:tcBorders>
              <w:tl2br w:val="nil"/>
              <w:tr2bl w:val="nil"/>
            </w:tcBorders>
            <w:noWrap w:val="0"/>
            <w:vAlign w:val="center"/>
          </w:tcPr>
          <w:p>
            <w:pPr>
              <w:autoSpaceDE w:val="0"/>
              <w:autoSpaceDN w:val="0"/>
              <w:adjustRightInd w:val="0"/>
              <w:spacing w:line="240" w:lineRule="auto"/>
              <w:jc w:val="center"/>
              <w:rPr>
                <w:rFonts w:hint="default" w:ascii="Times New Roman" w:hAnsi="Times New Roman" w:eastAsia="仿宋" w:cs="Times New Roman"/>
                <w:color w:val="auto"/>
                <w:kern w:val="0"/>
                <w:sz w:val="24"/>
                <w:szCs w:val="24"/>
                <w:shd w:val="clear" w:color="auto" w:fill="auto"/>
              </w:rPr>
            </w:pPr>
          </w:p>
        </w:tc>
        <w:tc>
          <w:tcPr>
            <w:tcW w:w="1484"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eastAsia="zh-CN"/>
              </w:rPr>
              <w:t>陕西德润达混凝土有限公司</w:t>
            </w:r>
          </w:p>
        </w:tc>
        <w:tc>
          <w:tcPr>
            <w:tcW w:w="703"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default" w:ascii="Times New Roman" w:hAnsi="Times New Roman" w:eastAsia="仿宋" w:cs="Times New Roman"/>
                <w:color w:val="auto"/>
                <w:kern w:val="0"/>
                <w:sz w:val="24"/>
                <w:szCs w:val="24"/>
                <w:lang w:val="en-US" w:eastAsia="zh-CN"/>
              </w:rPr>
              <w:t>W</w:t>
            </w:r>
          </w:p>
        </w:tc>
        <w:tc>
          <w:tcPr>
            <w:tcW w:w="725"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eastAsia="仿宋" w:cs="Times New Roman"/>
                <w:color w:val="auto"/>
                <w:kern w:val="0"/>
                <w:sz w:val="24"/>
                <w:szCs w:val="24"/>
                <w:lang w:val="en-US" w:eastAsia="zh-CN"/>
              </w:rPr>
              <w:t>422</w:t>
            </w:r>
            <w:r>
              <w:rPr>
                <w:rFonts w:hint="default" w:ascii="Times New Roman" w:hAnsi="Times New Roman" w:eastAsia="仿宋" w:cs="Times New Roman"/>
                <w:color w:val="auto"/>
                <w:kern w:val="0"/>
                <w:sz w:val="24"/>
                <w:szCs w:val="24"/>
                <w:lang w:val="en-US" w:eastAsia="zh-CN"/>
              </w:rPr>
              <w:t>m</w:t>
            </w:r>
          </w:p>
        </w:tc>
        <w:tc>
          <w:tcPr>
            <w:tcW w:w="1130" w:type="pct"/>
            <w:tcBorders>
              <w:tl2br w:val="nil"/>
              <w:tr2bl w:val="nil"/>
            </w:tcBorders>
            <w:noWrap w:val="0"/>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default" w:ascii="Times New Roman" w:hAnsi="Times New Roman" w:eastAsia="仿宋" w:cs="Times New Roman"/>
                <w:color w:val="auto"/>
                <w:kern w:val="0"/>
                <w:sz w:val="24"/>
                <w:szCs w:val="24"/>
                <w:lang w:eastAsia="zh-CN"/>
              </w:rPr>
              <w:t> 029-</w:t>
            </w:r>
            <w:r>
              <w:rPr>
                <w:rFonts w:hint="eastAsia" w:eastAsia="仿宋" w:cs="Times New Roman"/>
                <w:color w:val="auto"/>
                <w:kern w:val="0"/>
                <w:sz w:val="24"/>
                <w:szCs w:val="24"/>
                <w:lang w:val="en-US" w:eastAsia="zh-CN"/>
              </w:rPr>
              <w:t>33713309</w:t>
            </w:r>
          </w:p>
        </w:tc>
      </w:tr>
    </w:tbl>
    <w:p>
      <w:pPr>
        <w:spacing w:line="360" w:lineRule="auto"/>
        <w:outlineLvl w:val="1"/>
        <w:rPr>
          <w:rFonts w:hint="default" w:ascii="Times New Roman" w:hAnsi="Times New Roman" w:eastAsia="仿宋" w:cs="Times New Roman"/>
          <w:b/>
          <w:bCs/>
          <w:snapToGrid w:val="0"/>
          <w:color w:val="auto"/>
          <w:kern w:val="0"/>
          <w:sz w:val="28"/>
          <w:szCs w:val="28"/>
        </w:rPr>
      </w:pPr>
      <w:bookmarkStart w:id="51" w:name="_Toc25009"/>
      <w:r>
        <w:rPr>
          <w:rFonts w:hint="default" w:ascii="Times New Roman" w:hAnsi="Times New Roman" w:eastAsia="仿宋" w:cs="Times New Roman"/>
          <w:b/>
          <w:bCs/>
          <w:snapToGrid w:val="0"/>
          <w:color w:val="auto"/>
          <w:kern w:val="0"/>
          <w:sz w:val="28"/>
          <w:szCs w:val="28"/>
        </w:rPr>
        <w:t>3.4涉及的环境风险物质</w:t>
      </w:r>
      <w:bookmarkEnd w:id="51"/>
    </w:p>
    <w:p>
      <w:pPr>
        <w:pStyle w:val="22"/>
        <w:ind w:firstLine="560"/>
        <w:rPr>
          <w:rFonts w:hint="default" w:ascii="Times New Roman" w:hAnsi="Times New Roman" w:eastAsia="仿宋" w:cs="Times New Roman"/>
          <w:color w:val="auto"/>
          <w:kern w:val="0"/>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lang w:eastAsia="zh-CN"/>
        </w:rPr>
        <w:t>主要原料有公司需要的原料有水泥、粉煤灰、石子、砂、水，其中水泥、粉煤灰等粉状原料采用罐装车运输到厂区后，正压吹入相应全封闭粉料罐内储存；砂、石子由运输车辆运至位全封闭料仓内堆存。公司内设有300kW柴油发电机一台，作为备用电源。柴油公司内不做存储，即用即买。</w:t>
      </w:r>
      <w:r>
        <w:rPr>
          <w:rFonts w:hint="eastAsia" w:eastAsia="仿宋" w:cs="Times New Roman"/>
          <w:color w:val="auto"/>
          <w:sz w:val="28"/>
          <w:szCs w:val="28"/>
          <w:lang w:eastAsia="zh-CN"/>
        </w:rPr>
        <w:t>本项目生产过程不涉及环境风险物质，但机械设备维修保养过程中会产生废机油，</w:t>
      </w:r>
      <w:r>
        <w:rPr>
          <w:rFonts w:hint="default" w:ascii="Times New Roman" w:hAnsi="Times New Roman" w:eastAsia="仿宋" w:cs="Times New Roman"/>
          <w:color w:val="auto"/>
          <w:kern w:val="0"/>
          <w:sz w:val="28"/>
          <w:szCs w:val="28"/>
        </w:rPr>
        <w:t>因此</w:t>
      </w:r>
      <w:r>
        <w:rPr>
          <w:rFonts w:hint="eastAsia" w:eastAsia="仿宋" w:cs="Times New Roman"/>
          <w:color w:val="auto"/>
          <w:kern w:val="0"/>
          <w:sz w:val="28"/>
          <w:szCs w:val="28"/>
          <w:lang w:eastAsia="zh-CN"/>
        </w:rPr>
        <w:t>本公司</w:t>
      </w:r>
      <w:r>
        <w:rPr>
          <w:rFonts w:hint="default" w:ascii="Times New Roman" w:hAnsi="Times New Roman" w:eastAsia="仿宋" w:cs="Times New Roman"/>
          <w:color w:val="auto"/>
          <w:kern w:val="0"/>
          <w:sz w:val="28"/>
          <w:szCs w:val="28"/>
        </w:rPr>
        <w:t>涉及的环境风险物质主要是</w:t>
      </w:r>
      <w:r>
        <w:rPr>
          <w:rFonts w:hint="eastAsia" w:eastAsia="仿宋" w:cs="Times New Roman"/>
          <w:color w:val="auto"/>
          <w:kern w:val="0"/>
          <w:sz w:val="28"/>
          <w:szCs w:val="28"/>
          <w:lang w:val="en-US" w:eastAsia="zh-CN"/>
        </w:rPr>
        <w:t>废机油</w:t>
      </w:r>
      <w:r>
        <w:rPr>
          <w:rFonts w:hint="default" w:ascii="Times New Roman" w:hAnsi="Times New Roman" w:eastAsia="仿宋" w:cs="Times New Roman"/>
          <w:color w:val="auto"/>
          <w:kern w:val="0"/>
          <w:sz w:val="28"/>
          <w:szCs w:val="28"/>
        </w:rPr>
        <w:t>，见下表。</w:t>
      </w:r>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表3-</w:t>
      </w:r>
      <w:r>
        <w:rPr>
          <w:rFonts w:hint="eastAsia" w:eastAsia="仿宋" w:cs="Times New Roman"/>
          <w:b/>
          <w:bCs/>
          <w:color w:val="auto"/>
          <w:sz w:val="28"/>
          <w:szCs w:val="28"/>
          <w:lang w:val="en-US" w:eastAsia="zh-CN"/>
        </w:rPr>
        <w:t>5</w:t>
      </w:r>
      <w:r>
        <w:rPr>
          <w:rFonts w:hint="default" w:ascii="Times New Roman" w:hAnsi="Times New Roman" w:eastAsia="仿宋" w:cs="Times New Roman"/>
          <w:b/>
          <w:bCs/>
          <w:color w:val="auto"/>
          <w:sz w:val="28"/>
          <w:szCs w:val="28"/>
        </w:rPr>
        <w:t>环境风险物质一览表</w:t>
      </w:r>
    </w:p>
    <w:tbl>
      <w:tblPr>
        <w:tblStyle w:val="24"/>
        <w:tblW w:w="4997"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12"/>
        <w:gridCol w:w="1724"/>
        <w:gridCol w:w="1620"/>
        <w:gridCol w:w="1760"/>
        <w:gridCol w:w="271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573" w:type="pct"/>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名称</w:t>
            </w:r>
          </w:p>
        </w:tc>
        <w:tc>
          <w:tcPr>
            <w:tcW w:w="976" w:type="pct"/>
          </w:tcPr>
          <w:p>
            <w:pPr>
              <w:autoSpaceDE w:val="0"/>
              <w:autoSpaceDN w:val="0"/>
              <w:adjustRightInd w:val="0"/>
              <w:jc w:val="center"/>
              <w:rPr>
                <w:rFonts w:hint="eastAsia" w:ascii="Times New Roman" w:hAnsi="Times New Roman" w:eastAsia="仿宋" w:cs="Times New Roman"/>
                <w:b/>
                <w:bCs/>
                <w:color w:val="auto"/>
                <w:kern w:val="0"/>
                <w:sz w:val="24"/>
                <w:szCs w:val="24"/>
                <w:lang w:eastAsia="zh-CN"/>
              </w:rPr>
            </w:pPr>
            <w:r>
              <w:rPr>
                <w:rFonts w:hint="eastAsia" w:ascii="Times New Roman" w:hAnsi="Times New Roman" w:eastAsia="仿宋" w:cs="Times New Roman"/>
                <w:b/>
                <w:bCs/>
                <w:color w:val="auto"/>
                <w:kern w:val="0"/>
                <w:sz w:val="24"/>
                <w:szCs w:val="24"/>
                <w:lang w:eastAsia="zh-CN"/>
              </w:rPr>
              <w:t>最大储存量</w:t>
            </w:r>
          </w:p>
        </w:tc>
        <w:tc>
          <w:tcPr>
            <w:tcW w:w="917" w:type="pct"/>
            <w:vAlign w:val="center"/>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eastAsia" w:ascii="Times New Roman" w:hAnsi="Times New Roman" w:eastAsia="仿宋" w:cs="Times New Roman"/>
                <w:b/>
                <w:bCs/>
                <w:color w:val="auto"/>
                <w:kern w:val="0"/>
                <w:sz w:val="24"/>
                <w:szCs w:val="24"/>
              </w:rPr>
              <w:t>包装方式</w:t>
            </w:r>
          </w:p>
        </w:tc>
        <w:tc>
          <w:tcPr>
            <w:tcW w:w="996" w:type="pct"/>
            <w:vAlign w:val="center"/>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eastAsia" w:ascii="Times New Roman" w:hAnsi="Times New Roman" w:eastAsia="仿宋" w:cs="Times New Roman"/>
                <w:b/>
                <w:bCs/>
                <w:color w:val="auto"/>
                <w:kern w:val="0"/>
                <w:sz w:val="24"/>
                <w:szCs w:val="24"/>
              </w:rPr>
              <w:t>储存地点</w:t>
            </w:r>
          </w:p>
        </w:tc>
        <w:tc>
          <w:tcPr>
            <w:tcW w:w="1536" w:type="pct"/>
            <w:vAlign w:val="center"/>
          </w:tcPr>
          <w:p>
            <w:pPr>
              <w:autoSpaceDE w:val="0"/>
              <w:autoSpaceDN w:val="0"/>
              <w:adjustRightInd w:val="0"/>
              <w:jc w:val="center"/>
              <w:rPr>
                <w:rFonts w:hint="default" w:ascii="Times New Roman" w:hAnsi="Times New Roman" w:eastAsia="仿宋" w:cs="Times New Roman"/>
                <w:b/>
                <w:bCs/>
                <w:color w:val="auto"/>
                <w:kern w:val="0"/>
                <w:sz w:val="24"/>
                <w:szCs w:val="24"/>
              </w:rPr>
            </w:pPr>
            <w:r>
              <w:rPr>
                <w:rFonts w:hint="eastAsia" w:ascii="Times New Roman" w:hAnsi="Times New Roman" w:eastAsia="仿宋" w:cs="Times New Roman"/>
                <w:b/>
                <w:bCs/>
                <w:color w:val="auto"/>
                <w:kern w:val="0"/>
                <w:sz w:val="24"/>
                <w:szCs w:val="24"/>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573"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rPr>
            </w:pPr>
            <w:r>
              <w:rPr>
                <w:rFonts w:hint="eastAsia" w:ascii="Times New Roman" w:hAnsi="Times New Roman" w:eastAsia="仿宋" w:cs="Times New Roman"/>
                <w:color w:val="auto"/>
                <w:kern w:val="0"/>
                <w:sz w:val="24"/>
                <w:szCs w:val="24"/>
                <w:lang w:val="en-US" w:eastAsia="zh-CN"/>
              </w:rPr>
              <w:t>废机油</w:t>
            </w:r>
          </w:p>
        </w:tc>
        <w:tc>
          <w:tcPr>
            <w:tcW w:w="976"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val="en-US" w:eastAsia="zh-CN"/>
              </w:rPr>
              <w:t>0.2</w:t>
            </w:r>
          </w:p>
        </w:tc>
        <w:tc>
          <w:tcPr>
            <w:tcW w:w="917"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val="en-US" w:eastAsia="zh-CN"/>
              </w:rPr>
              <w:t>桶</w:t>
            </w:r>
            <w:r>
              <w:rPr>
                <w:rFonts w:hint="eastAsia" w:ascii="Times New Roman" w:hAnsi="Times New Roman" w:eastAsia="仿宋" w:cs="Times New Roman"/>
                <w:color w:val="auto"/>
                <w:kern w:val="0"/>
                <w:sz w:val="24"/>
                <w:szCs w:val="24"/>
              </w:rPr>
              <w:t>装</w:t>
            </w:r>
          </w:p>
        </w:tc>
        <w:tc>
          <w:tcPr>
            <w:tcW w:w="996"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val="en-US" w:eastAsia="zh-CN"/>
              </w:rPr>
              <w:t>危废暂存间</w:t>
            </w:r>
          </w:p>
        </w:tc>
        <w:tc>
          <w:tcPr>
            <w:tcW w:w="1536" w:type="pct"/>
            <w:vAlign w:val="center"/>
          </w:tcPr>
          <w:p>
            <w:pPr>
              <w:autoSpaceDE w:val="0"/>
              <w:autoSpaceDN w:val="0"/>
              <w:adjustRightInd w:val="0"/>
              <w:jc w:val="center"/>
              <w:rPr>
                <w:rFonts w:hint="default" w:ascii="Times New Roman" w:hAnsi="Times New Roman" w:eastAsia="仿宋" w:cs="Times New Roman"/>
                <w:color w:val="auto"/>
                <w:kern w:val="0"/>
                <w:sz w:val="24"/>
                <w:szCs w:val="24"/>
                <w:lang w:val="en-US" w:eastAsia="zh-CN" w:bidi="ar-SA"/>
              </w:rPr>
            </w:pPr>
            <w:r>
              <w:rPr>
                <w:rFonts w:hint="eastAsia" w:ascii="Times New Roman" w:hAnsi="Times New Roman" w:eastAsia="仿宋" w:cs="Times New Roman"/>
                <w:color w:val="auto"/>
                <w:kern w:val="0"/>
                <w:sz w:val="24"/>
                <w:szCs w:val="24"/>
                <w:lang w:eastAsia="zh-CN"/>
              </w:rPr>
              <w:t>设备维护</w:t>
            </w:r>
          </w:p>
        </w:tc>
      </w:tr>
    </w:tbl>
    <w:p>
      <w:pPr>
        <w:pStyle w:val="22"/>
        <w:ind w:firstLine="560"/>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环境风险物质的理化性质和危险特性见下表 3-</w:t>
      </w:r>
      <w:r>
        <w:rPr>
          <w:rFonts w:hint="eastAsia" w:eastAsia="仿宋" w:cs="Times New Roman"/>
          <w:color w:val="auto"/>
          <w:kern w:val="0"/>
          <w:sz w:val="28"/>
          <w:szCs w:val="28"/>
          <w:lang w:val="en-US" w:eastAsia="zh-CN"/>
        </w:rPr>
        <w:t>6</w:t>
      </w:r>
      <w:r>
        <w:rPr>
          <w:rFonts w:hint="default" w:ascii="Times New Roman" w:hAnsi="Times New Roman" w:eastAsia="仿宋" w:cs="Times New Roman"/>
          <w:color w:val="auto"/>
          <w:kern w:val="0"/>
          <w:sz w:val="28"/>
          <w:szCs w:val="28"/>
        </w:rPr>
        <w:t>。</w:t>
      </w:r>
    </w:p>
    <w:p>
      <w:pPr>
        <w:rPr>
          <w:rFonts w:hint="default"/>
          <w:color w:val="auto"/>
        </w:rPr>
      </w:pPr>
    </w:p>
    <w:p>
      <w:pPr>
        <w:jc w:val="center"/>
        <w:rPr>
          <w:rFonts w:hint="default" w:ascii="Times New Roman" w:hAnsi="Times New Roman" w:eastAsia="仿宋" w:cs="Times New Roman"/>
          <w:b/>
          <w:color w:val="auto"/>
          <w:sz w:val="28"/>
          <w:szCs w:val="28"/>
        </w:rPr>
      </w:pPr>
      <w:r>
        <w:rPr>
          <w:rFonts w:hint="default" w:ascii="Times New Roman" w:hAnsi="Times New Roman" w:eastAsia="仿宋" w:cs="Times New Roman"/>
          <w:b/>
          <w:color w:val="auto"/>
          <w:sz w:val="28"/>
          <w:szCs w:val="28"/>
        </w:rPr>
        <w:t>表3-</w:t>
      </w:r>
      <w:r>
        <w:rPr>
          <w:rFonts w:hint="eastAsia" w:eastAsia="仿宋" w:cs="Times New Roman"/>
          <w:b/>
          <w:color w:val="auto"/>
          <w:sz w:val="28"/>
          <w:szCs w:val="28"/>
          <w:lang w:val="en-US" w:eastAsia="zh-CN"/>
        </w:rPr>
        <w:t>6</w:t>
      </w:r>
      <w:r>
        <w:rPr>
          <w:rFonts w:hint="default" w:ascii="Times New Roman" w:hAnsi="Times New Roman" w:eastAsia="仿宋" w:cs="Times New Roman"/>
          <w:b/>
          <w:color w:val="auto"/>
          <w:sz w:val="28"/>
          <w:szCs w:val="28"/>
        </w:rPr>
        <w:t xml:space="preserve"> </w:t>
      </w:r>
      <w:r>
        <w:rPr>
          <w:rFonts w:hint="eastAsia" w:eastAsia="仿宋" w:cs="Times New Roman"/>
          <w:b/>
          <w:color w:val="auto"/>
          <w:sz w:val="28"/>
          <w:szCs w:val="28"/>
          <w:lang w:eastAsia="zh-CN"/>
        </w:rPr>
        <w:t>废机油</w:t>
      </w:r>
      <w:r>
        <w:rPr>
          <w:rFonts w:hint="default" w:ascii="Times New Roman" w:hAnsi="Times New Roman" w:eastAsia="仿宋" w:cs="Times New Roman"/>
          <w:b/>
          <w:color w:val="auto"/>
          <w:sz w:val="28"/>
          <w:szCs w:val="28"/>
        </w:rPr>
        <w:t>的理化性质和危险特性</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3"/>
        <w:gridCol w:w="3527"/>
        <w:gridCol w:w="42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标识</w:t>
            </w:r>
          </w:p>
        </w:tc>
        <w:tc>
          <w:tcPr>
            <w:tcW w:w="1996"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bidi="ar"/>
              </w:rPr>
              <w:t>中文名：</w:t>
            </w:r>
            <w:r>
              <w:rPr>
                <w:rFonts w:hint="eastAsia" w:ascii="仿宋" w:hAnsi="仿宋" w:eastAsia="仿宋" w:cs="仿宋"/>
                <w:color w:val="auto"/>
                <w:sz w:val="21"/>
                <w:szCs w:val="21"/>
                <w:lang w:eastAsia="zh-CN" w:bidi="ar"/>
              </w:rPr>
              <w:t>废机油</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英文名：lubricating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restar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理化性质</w:t>
            </w: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外观与性状</w:t>
            </w:r>
            <w:r>
              <w:rPr>
                <w:rFonts w:hint="eastAsia" w:ascii="仿宋" w:hAnsi="仿宋" w:eastAsia="仿宋" w:cs="仿宋"/>
                <w:color w:val="auto"/>
                <w:sz w:val="21"/>
                <w:szCs w:val="21"/>
                <w:lang w:eastAsia="zh-CN" w:bidi="ar"/>
              </w:rPr>
              <w:t>：</w:t>
            </w:r>
            <w:r>
              <w:rPr>
                <w:rFonts w:hint="eastAsia" w:ascii="仿宋" w:hAnsi="仿宋" w:eastAsia="仿宋" w:cs="仿宋"/>
                <w:color w:val="auto"/>
                <w:sz w:val="21"/>
                <w:szCs w:val="21"/>
                <w:lang w:bidi="ar"/>
              </w:rPr>
              <w:t>淡黄色粘稠液体</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闪点（℃）</w:t>
            </w:r>
            <w:r>
              <w:rPr>
                <w:rFonts w:hint="eastAsia" w:ascii="仿宋" w:hAnsi="仿宋" w:eastAsia="仿宋" w:cs="仿宋"/>
                <w:color w:val="auto"/>
                <w:sz w:val="21"/>
                <w:szCs w:val="21"/>
                <w:lang w:eastAsia="zh-CN" w:bidi="ar"/>
              </w:rPr>
              <w:t>：</w:t>
            </w:r>
            <w:r>
              <w:rPr>
                <w:rFonts w:hint="eastAsia" w:ascii="仿宋" w:hAnsi="仿宋" w:eastAsia="仿宋" w:cs="仿宋"/>
                <w:color w:val="auto"/>
                <w:sz w:val="21"/>
                <w:szCs w:val="21"/>
                <w:lang w:bidi="ar"/>
              </w:rPr>
              <w:t>120~340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自燃点（℃） 300~350</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相对密度 (水=1) 934.8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相对密度 (空气=1) 0.85</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沸点（℃） -252.8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饱和蒸气压（kPa） 0.13/145.8℃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溶于苯、乙醇、乙醚、氯仿、丙酮等多数有机溶剂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restar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危险特性</w:t>
            </w: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可燃液体，火灾危险性为丙B类；遇明火、高热可燃</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燃烧分解产物 CO、CO2等有毒有害气体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1996"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稳定性 稳定</w:t>
            </w:r>
          </w:p>
        </w:tc>
        <w:tc>
          <w:tcPr>
            <w:tcW w:w="2413" w:type="pct"/>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禁忌物 硝酸等强氧化剂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vMerge w:val="continue"/>
            <w:noWrap w:val="0"/>
            <w:vAlign w:val="top"/>
          </w:tcPr>
          <w:p>
            <w:pPr>
              <w:spacing w:line="240" w:lineRule="auto"/>
              <w:ind w:firstLine="0" w:firstLineChars="0"/>
              <w:rPr>
                <w:rFonts w:hint="eastAsia" w:ascii="仿宋" w:hAnsi="仿宋" w:eastAsia="仿宋" w:cs="仿宋"/>
                <w:color w:val="auto"/>
                <w:sz w:val="21"/>
                <w:szCs w:val="21"/>
                <w:lang w:bidi="ar"/>
              </w:rPr>
            </w:pP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bidi="ar"/>
              </w:rPr>
              <w:t>灭火方法</w:t>
            </w:r>
            <w:r>
              <w:rPr>
                <w:rFonts w:hint="eastAsia" w:ascii="仿宋" w:hAnsi="仿宋" w:eastAsia="仿宋" w:cs="仿宋"/>
                <w:color w:val="auto"/>
                <w:sz w:val="21"/>
                <w:szCs w:val="21"/>
                <w:lang w:eastAsia="zh-CN" w:bidi="ar"/>
              </w:rPr>
              <w:t>：</w:t>
            </w:r>
            <w:r>
              <w:rPr>
                <w:rFonts w:hint="eastAsia" w:ascii="仿宋" w:hAnsi="仿宋" w:eastAsia="仿宋" w:cs="仿宋"/>
                <w:color w:val="auto"/>
                <w:sz w:val="21"/>
                <w:szCs w:val="21"/>
                <w:lang w:bidi="ar"/>
              </w:rPr>
              <w:t>消防人员须佩戴防毒面具、穿全身消防服，在上风向灭火。尽可能将容器从火场移至空旷处。喷水保持火场容器冷却，直至灭火结束。处在火场中的容器若已变色或从安全泄压装置中产生声</w:t>
            </w:r>
            <w:r>
              <w:rPr>
                <w:rFonts w:hint="eastAsia" w:ascii="仿宋" w:hAnsi="仿宋" w:eastAsia="仿宋" w:cs="仿宋"/>
                <w:color w:val="auto"/>
                <w:sz w:val="21"/>
                <w:szCs w:val="21"/>
                <w:lang w:eastAsia="zh-CN" w:bidi="ar"/>
              </w:rPr>
              <w:t>音，必须立即撤离。</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灭火剂：雾状水、泡沫、干粉、二氧化碳、砂土。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健康危害</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急性吸入，可出现乏力、头晕、头痛、恶心，严重者可引起油脂性肺炎。</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慢接触者，暴露部位可发生油性痤疮和接触型皮炎。可引发神经</w:t>
            </w:r>
            <w:r>
              <w:rPr>
                <w:rFonts w:hint="eastAsia" w:ascii="仿宋" w:hAnsi="仿宋" w:eastAsia="仿宋" w:cs="仿宋"/>
                <w:color w:val="auto"/>
                <w:sz w:val="21"/>
                <w:szCs w:val="21"/>
                <w:lang w:eastAsia="zh-CN" w:bidi="ar"/>
              </w:rPr>
              <w:t>衰弱综合症，呼吸道和眼刺激症状及慢性油脂性肺炎。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急救处理</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 xml:space="preserve">皮肤接触：脱去污染的衣着，用大量流动清水清洗。就医。 </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 xml:space="preserve">眼接触：提起眼睑，用流动清水或生理盐水冲洗。就医。 </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bidi="ar"/>
              </w:rPr>
              <w:t>吸入：迅速脱离现场至空气新鲜处，保持呼吸畅通。如呼吸困难，给</w:t>
            </w:r>
            <w:r>
              <w:rPr>
                <w:rFonts w:hint="eastAsia" w:ascii="仿宋" w:hAnsi="仿宋" w:eastAsia="仿宋" w:cs="仿宋"/>
                <w:color w:val="auto"/>
                <w:sz w:val="21"/>
                <w:szCs w:val="21"/>
                <w:lang w:eastAsia="zh-CN" w:bidi="ar"/>
              </w:rPr>
              <w:t>输氧。如呼吸停止，立即进行人工呼吸。就医。</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食用：饮适量温水，催吐，就医。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防护处理</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呼吸系统防护：空气中浓度超标时，必须佩戴自吸过滤式防毒面具（半面罩）；紧急事态抢救或撤离时，应佩戴空气呼吸器。</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 xml:space="preserve">眼睛防护：戴化学安全防护眼镜。 </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身体防护：穿防毒渗透工作服。</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手防护：戴橡胶耐油手套。</w:t>
            </w:r>
          </w:p>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其他：工作现场严禁吸烟，避免长期反复接触。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泄露处理</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迅速撤离泄漏污染区人员至安全区，并进行隔离，严格限制出入。切断火源。建议应急处理人员戴自给正式呼吸器，穿防毒服。尽可能切断泄漏源。防止流入下水道、排洪沟等限制性空间。</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小量泄漏：用砂土或其他不燃材料吸附或吸收，减少挥发。</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大量泄漏：构筑围堤或挖坑收容。用泵转移至槽车或专用收集器内，回收或运至废物处理场所处置。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储存要求</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储存于阴凉、通风的库房。远离火种、热源。应与氧化剂分开存放，切忌混储。配备相应品种和数量的消防器材。储区应备有泄漏应急处理设备和合适的收容材料。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0" w:type="pct"/>
            <w:noWrap w:val="0"/>
            <w:vAlign w:val="top"/>
          </w:tcPr>
          <w:p>
            <w:pPr>
              <w:spacing w:line="240" w:lineRule="auto"/>
              <w:ind w:firstLine="0" w:firstLineChars="0"/>
              <w:rPr>
                <w:rFonts w:hint="eastAsia" w:ascii="仿宋" w:hAnsi="仿宋" w:eastAsia="仿宋" w:cs="仿宋"/>
                <w:color w:val="auto"/>
                <w:sz w:val="21"/>
                <w:szCs w:val="21"/>
                <w:lang w:eastAsia="zh-CN" w:bidi="ar"/>
              </w:rPr>
            </w:pPr>
            <w:r>
              <w:rPr>
                <w:rFonts w:hint="eastAsia" w:ascii="仿宋" w:hAnsi="仿宋" w:eastAsia="仿宋" w:cs="仿宋"/>
                <w:color w:val="auto"/>
                <w:sz w:val="21"/>
                <w:szCs w:val="21"/>
                <w:lang w:eastAsia="zh-CN" w:bidi="ar"/>
              </w:rPr>
              <w:t>运输要求</w:t>
            </w:r>
          </w:p>
        </w:tc>
        <w:tc>
          <w:tcPr>
            <w:tcW w:w="4409" w:type="pct"/>
            <w:gridSpan w:val="2"/>
            <w:noWrap w:val="0"/>
            <w:vAlign w:val="top"/>
          </w:tcPr>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用油罐、油罐车、油船、铁桶、塑料桶等盛装，盛装时切不可装满，要留出必要的安全空间。</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运输前应先检查包装容器是否完整、密封，运输过程中要确保容器不泄露、不倒塌、不坠落、不损坏。严禁与氧化剂、食用化学品等混装混运。运输车船必须彻底清洗 、消毒，否则不得装运其它物品 。船运时，配装位置应远离卧室、厨房，并与机舱、电源、火源等部位隔离。</w:t>
            </w:r>
          </w:p>
          <w:p>
            <w:pPr>
              <w:spacing w:line="240" w:lineRule="auto"/>
              <w:ind w:firstLine="0" w:firstLineChars="0"/>
              <w:rPr>
                <w:rFonts w:hint="eastAsia" w:ascii="仿宋" w:hAnsi="仿宋" w:eastAsia="仿宋" w:cs="仿宋"/>
                <w:color w:val="auto"/>
                <w:sz w:val="21"/>
                <w:szCs w:val="21"/>
                <w:lang w:bidi="ar"/>
              </w:rPr>
            </w:pPr>
            <w:r>
              <w:rPr>
                <w:rFonts w:hint="eastAsia" w:ascii="仿宋" w:hAnsi="仿宋" w:eastAsia="仿宋" w:cs="仿宋"/>
                <w:color w:val="auto"/>
                <w:sz w:val="21"/>
                <w:szCs w:val="21"/>
                <w:lang w:bidi="ar"/>
              </w:rPr>
              <w:t>公路运输时要按规定路线行驶。</w:t>
            </w:r>
          </w:p>
        </w:tc>
      </w:tr>
    </w:tbl>
    <w:p>
      <w:pPr>
        <w:spacing w:line="360" w:lineRule="auto"/>
        <w:outlineLvl w:val="1"/>
        <w:rPr>
          <w:rFonts w:hint="default" w:ascii="Times New Roman" w:hAnsi="Times New Roman" w:eastAsia="仿宋" w:cs="Times New Roman"/>
          <w:b/>
          <w:bCs/>
          <w:snapToGrid w:val="0"/>
          <w:color w:val="auto"/>
          <w:kern w:val="0"/>
          <w:sz w:val="28"/>
          <w:szCs w:val="28"/>
        </w:rPr>
      </w:pPr>
      <w:bookmarkStart w:id="52" w:name="_Toc17652"/>
      <w:r>
        <w:rPr>
          <w:rFonts w:hint="default" w:ascii="Times New Roman" w:hAnsi="Times New Roman" w:eastAsia="仿宋" w:cs="Times New Roman"/>
          <w:b/>
          <w:bCs/>
          <w:snapToGrid w:val="0"/>
          <w:color w:val="auto"/>
          <w:kern w:val="0"/>
          <w:sz w:val="28"/>
          <w:szCs w:val="28"/>
        </w:rPr>
        <w:t>3.5工艺流程</w:t>
      </w:r>
      <w:bookmarkEnd w:id="52"/>
    </w:p>
    <w:p>
      <w:pPr>
        <w:autoSpaceDE w:val="0"/>
        <w:autoSpaceDN w:val="0"/>
        <w:ind w:firstLine="560" w:firstLineChars="200"/>
        <w:jc w:val="both"/>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预拌混凝土生产线具体工艺如下：</w:t>
      </w:r>
    </w:p>
    <w:p>
      <w:pPr>
        <w:autoSpaceDE w:val="0"/>
        <w:autoSpaceDN w:val="0"/>
        <w:ind w:firstLine="560" w:firstLineChars="200"/>
        <w:jc w:val="both"/>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生产时首先将各种原料进行计量配送，然后进行重量配料，之后进行强制配料，强制配料过程采用电脑控制，从而保证混凝土的品质，之后装入混凝土运输车内运往建筑工地。</w:t>
      </w:r>
    </w:p>
    <w:p>
      <w:pPr>
        <w:autoSpaceDE w:val="0"/>
        <w:autoSpaceDN w:val="0"/>
        <w:ind w:firstLine="560" w:firstLineChars="200"/>
        <w:jc w:val="both"/>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本项目预拌混凝土生产过程中砂、石提升以皮带输送方式完成；水泥、粉煤灰、矿粉等粉状原料使用压缩空气分别吹入各自的筒仓，辅以螺旋输送机及计量秤供料；搅拌用水采用压力供水。</w:t>
      </w:r>
    </w:p>
    <w:p>
      <w:pPr>
        <w:ind w:firstLine="560" w:firstLineChars="200"/>
        <w:jc w:val="both"/>
        <w:rPr>
          <w:rFonts w:hint="eastAsia" w:ascii="仿宋" w:hAnsi="仿宋" w:eastAsia="仿宋" w:cs="仿宋"/>
          <w:color w:val="auto"/>
          <w:sz w:val="28"/>
          <w:szCs w:val="28"/>
          <w:lang w:val="zh-CN"/>
        </w:rPr>
      </w:pPr>
      <w:r>
        <w:rPr>
          <w:rFonts w:hint="eastAsia" w:ascii="仿宋" w:hAnsi="仿宋" w:eastAsia="仿宋" w:cs="仿宋"/>
          <w:color w:val="auto"/>
          <w:sz w:val="28"/>
          <w:szCs w:val="28"/>
          <w:lang w:val="zh-TW"/>
        </w:rPr>
        <w:t>本项目工艺流程及排污情况如图</w:t>
      </w:r>
      <w:r>
        <w:rPr>
          <w:rFonts w:hint="eastAsia" w:ascii="仿宋" w:hAnsi="仿宋" w:eastAsia="仿宋" w:cs="仿宋"/>
          <w:color w:val="auto"/>
          <w:sz w:val="28"/>
          <w:szCs w:val="28"/>
          <w:lang w:val="en-US" w:eastAsia="zh-CN"/>
        </w:rPr>
        <w:t>3.5-1</w:t>
      </w:r>
      <w:r>
        <w:rPr>
          <w:rFonts w:hint="eastAsia" w:ascii="仿宋" w:hAnsi="仿宋" w:eastAsia="仿宋" w:cs="仿宋"/>
          <w:color w:val="auto"/>
          <w:sz w:val="28"/>
          <w:szCs w:val="28"/>
        </w:rPr>
        <w:t>。</w:t>
      </w:r>
    </w:p>
    <w:p>
      <w:pPr>
        <w:jc w:val="center"/>
        <w:rPr>
          <w:rFonts w:hint="default" w:ascii="Times New Roman" w:hAnsi="Times New Roman" w:cs="Times New Roman"/>
          <w:b/>
          <w:bCs/>
          <w:color w:val="auto"/>
          <w:lang w:val="zh-TW"/>
        </w:rPr>
      </w:pPr>
      <w:r>
        <w:rPr>
          <w:rFonts w:hint="default" w:ascii="Times New Roman" w:hAnsi="Times New Roman" w:cs="Times New Roman"/>
          <w:b/>
          <w:bCs/>
          <w:color w:val="auto"/>
          <w:lang w:val="zh-TW"/>
        </w:rPr>
        <w:object>
          <v:shape id="_x0000_i1025" o:spt="75" type="#_x0000_t75" style="height:323.9pt;width:384.7pt;" o:ole="t" filled="f" o:preferrelative="t" stroked="f" coordsize="21600,21600">
            <v:path/>
            <v:fill on="f" focussize="0,0"/>
            <v:stroke on="f"/>
            <v:imagedata r:id="rId19" o:title=""/>
            <o:lock v:ext="edit" aspectratio="f"/>
            <w10:wrap type="none"/>
            <w10:anchorlock/>
          </v:shape>
          <o:OLEObject Type="Embed" ProgID="Visio.Drawing.11" ShapeID="_x0000_i1025" DrawAspect="Content" ObjectID="_1468075725" r:id="rId18">
            <o:LockedField>false</o:LockedField>
          </o:OLEObject>
        </w:object>
      </w:r>
    </w:p>
    <w:p>
      <w:pPr>
        <w:spacing w:line="360" w:lineRule="auto"/>
        <w:ind w:firstLine="482" w:firstLineChars="200"/>
        <w:jc w:val="center"/>
        <w:rPr>
          <w:rFonts w:hint="default" w:ascii="Times New Roman" w:hAnsi="Times New Roman" w:eastAsia="仿宋" w:cs="Times New Roman"/>
          <w:b/>
          <w:bCs/>
          <w:color w:val="auto"/>
          <w:kern w:val="2"/>
          <w:sz w:val="24"/>
          <w:szCs w:val="20"/>
          <w:lang w:val="zh-TW" w:eastAsia="zh-CN" w:bidi="ar-SA"/>
        </w:rPr>
      </w:pPr>
      <w:r>
        <w:rPr>
          <w:rFonts w:hint="default" w:ascii="Times New Roman" w:hAnsi="Times New Roman" w:eastAsia="仿宋" w:cs="Times New Roman"/>
          <w:b/>
          <w:bCs/>
          <w:color w:val="auto"/>
          <w:kern w:val="2"/>
          <w:sz w:val="24"/>
          <w:szCs w:val="20"/>
          <w:lang w:val="zh-TW" w:eastAsia="zh-CN" w:bidi="ar-SA"/>
        </w:rPr>
        <w:t>图</w:t>
      </w:r>
      <w:r>
        <w:rPr>
          <w:rFonts w:hint="eastAsia" w:ascii="Times New Roman" w:hAnsi="Times New Roman" w:eastAsia="仿宋" w:cs="Times New Roman"/>
          <w:b/>
          <w:bCs/>
          <w:color w:val="auto"/>
          <w:kern w:val="2"/>
          <w:sz w:val="24"/>
          <w:szCs w:val="20"/>
          <w:lang w:val="en-US" w:eastAsia="zh-CN" w:bidi="ar-SA"/>
        </w:rPr>
        <w:t>3.5-1</w:t>
      </w:r>
      <w:r>
        <w:rPr>
          <w:rFonts w:hint="default" w:ascii="Times New Roman" w:hAnsi="Times New Roman" w:eastAsia="仿宋" w:cs="Times New Roman"/>
          <w:b/>
          <w:bCs/>
          <w:color w:val="auto"/>
          <w:kern w:val="2"/>
          <w:sz w:val="24"/>
          <w:szCs w:val="20"/>
          <w:lang w:val="en-US" w:eastAsia="zh-CN" w:bidi="ar-SA"/>
        </w:rPr>
        <w:t xml:space="preserve">  </w:t>
      </w:r>
      <w:r>
        <w:rPr>
          <w:rFonts w:hint="default" w:ascii="Times New Roman" w:hAnsi="Times New Roman" w:eastAsia="仿宋" w:cs="Times New Roman"/>
          <w:b/>
          <w:bCs/>
          <w:color w:val="auto"/>
          <w:kern w:val="2"/>
          <w:sz w:val="24"/>
          <w:szCs w:val="20"/>
          <w:lang w:val="zh-TW" w:eastAsia="zh-CN" w:bidi="ar-SA"/>
        </w:rPr>
        <w:t>项目工艺流程及排污情况</w:t>
      </w:r>
    </w:p>
    <w:p>
      <w:pPr>
        <w:spacing w:line="360" w:lineRule="auto"/>
        <w:outlineLvl w:val="1"/>
        <w:rPr>
          <w:rFonts w:hint="default" w:ascii="Times New Roman" w:hAnsi="Times New Roman" w:eastAsia="仿宋" w:cs="Times New Roman"/>
          <w:b/>
          <w:bCs/>
          <w:snapToGrid w:val="0"/>
          <w:color w:val="auto"/>
          <w:kern w:val="0"/>
          <w:sz w:val="28"/>
          <w:szCs w:val="28"/>
        </w:rPr>
      </w:pPr>
      <w:bookmarkStart w:id="53" w:name="_Toc10709"/>
      <w:r>
        <w:rPr>
          <w:rFonts w:hint="default" w:ascii="Times New Roman" w:hAnsi="Times New Roman" w:eastAsia="仿宋" w:cs="Times New Roman"/>
          <w:b/>
          <w:bCs/>
          <w:snapToGrid w:val="0"/>
          <w:color w:val="auto"/>
          <w:kern w:val="0"/>
          <w:sz w:val="28"/>
          <w:szCs w:val="28"/>
        </w:rPr>
        <w:t>3.6 安全生产管理</w:t>
      </w:r>
      <w:bookmarkEnd w:id="53"/>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根据《危险化学品重大危险源辨识》（GB18218-2018）和《企业突发环境事件风险评估指南（试行）》附录 A.2.2，对企业安全生产管理情况进行检查，检查结果如下表3-7。</w:t>
      </w:r>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 xml:space="preserve">表3-7  </w:t>
      </w:r>
      <w:r>
        <w:rPr>
          <w:rFonts w:hint="eastAsia" w:eastAsia="仿宋" w:cs="Times New Roman"/>
          <w:b/>
          <w:bCs/>
          <w:color w:val="auto"/>
          <w:sz w:val="28"/>
          <w:szCs w:val="28"/>
          <w:lang w:eastAsia="zh-CN"/>
        </w:rPr>
        <w:t>陕西勇轩建材有限公司</w:t>
      </w:r>
      <w:r>
        <w:rPr>
          <w:rFonts w:hint="default" w:ascii="Times New Roman" w:hAnsi="Times New Roman" w:eastAsia="仿宋" w:cs="Times New Roman"/>
          <w:b/>
          <w:bCs/>
          <w:color w:val="auto"/>
          <w:sz w:val="28"/>
          <w:szCs w:val="28"/>
        </w:rPr>
        <w:t>安全生产管理对照检查结果表</w:t>
      </w:r>
    </w:p>
    <w:tbl>
      <w:tblPr>
        <w:tblStyle w:val="23"/>
        <w:tblW w:w="867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462"/>
        <w:gridCol w:w="5151"/>
        <w:gridCol w:w="206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Align w:val="center"/>
          </w:tcPr>
          <w:p>
            <w:pPr>
              <w:autoSpaceDE w:val="0"/>
              <w:autoSpaceDN w:val="0"/>
              <w:adjustRightInd w:val="0"/>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评估指标</w:t>
            </w:r>
          </w:p>
        </w:tc>
        <w:tc>
          <w:tcPr>
            <w:tcW w:w="5151" w:type="dxa"/>
            <w:vAlign w:val="center"/>
          </w:tcPr>
          <w:p>
            <w:pPr>
              <w:autoSpaceDE w:val="0"/>
              <w:autoSpaceDN w:val="0"/>
              <w:adjustRightInd w:val="0"/>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评  估  依  据</w:t>
            </w:r>
          </w:p>
        </w:tc>
        <w:tc>
          <w:tcPr>
            <w:tcW w:w="2061" w:type="dxa"/>
            <w:vAlign w:val="center"/>
          </w:tcPr>
          <w:p>
            <w:pPr>
              <w:autoSpaceDE w:val="0"/>
              <w:autoSpaceDN w:val="0"/>
              <w:adjustRightInd w:val="0"/>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检查结果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消防验收</w:t>
            </w: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消防验收意见为合格，且最近一次消防检查合格</w:t>
            </w:r>
          </w:p>
        </w:tc>
        <w:tc>
          <w:tcPr>
            <w:tcW w:w="2061"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企业</w:t>
            </w:r>
            <w:r>
              <w:rPr>
                <w:rFonts w:hint="eastAsia" w:eastAsia="仿宋" w:cs="Times New Roman"/>
                <w:color w:val="auto"/>
                <w:sz w:val="24"/>
                <w:szCs w:val="24"/>
                <w:lang w:eastAsia="zh-CN"/>
              </w:rPr>
              <w:t>已</w:t>
            </w:r>
            <w:r>
              <w:rPr>
                <w:rFonts w:hint="default" w:ascii="Times New Roman" w:hAnsi="Times New Roman" w:eastAsia="仿宋" w:cs="Times New Roman"/>
                <w:color w:val="auto"/>
                <w:sz w:val="24"/>
                <w:szCs w:val="24"/>
                <w:lang w:eastAsia="zh-CN"/>
              </w:rPr>
              <w:t>办理</w:t>
            </w:r>
            <w:r>
              <w:rPr>
                <w:rFonts w:hint="default" w:ascii="Times New Roman" w:hAnsi="Times New Roman" w:eastAsia="仿宋" w:cs="Times New Roman"/>
                <w:color w:val="auto"/>
                <w:sz w:val="24"/>
                <w:szCs w:val="24"/>
              </w:rPr>
              <w:t>消防</w:t>
            </w:r>
            <w:r>
              <w:rPr>
                <w:rFonts w:hint="default" w:ascii="Times New Roman" w:hAnsi="Times New Roman" w:eastAsia="仿宋" w:cs="Times New Roman"/>
                <w:color w:val="auto"/>
                <w:sz w:val="24"/>
                <w:szCs w:val="24"/>
                <w:lang w:eastAsia="zh-CN"/>
              </w:rPr>
              <w:t>手续</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消防验收意见不合格，或最近一次消防检查不合格</w:t>
            </w:r>
          </w:p>
        </w:tc>
        <w:tc>
          <w:tcPr>
            <w:tcW w:w="2061"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762" w:hRule="atLeast"/>
          <w:jc w:val="center"/>
        </w:trPr>
        <w:tc>
          <w:tcPr>
            <w:tcW w:w="1462" w:type="dxa"/>
            <w:vMerge w:val="restart"/>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安全生产许可</w:t>
            </w: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非危险化学品生产企业，或危险化学品生产企业取得安全生产许可</w:t>
            </w:r>
          </w:p>
        </w:tc>
        <w:tc>
          <w:tcPr>
            <w:tcW w:w="2061"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不属于危险化学品生产企业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762" w:hRule="atLeast"/>
          <w:jc w:val="center"/>
        </w:trPr>
        <w:tc>
          <w:tcPr>
            <w:tcW w:w="1462"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危险化学品生产企业未取得安全生产许可</w:t>
            </w:r>
          </w:p>
        </w:tc>
        <w:tc>
          <w:tcPr>
            <w:tcW w:w="2061"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highlight w:val="yellow"/>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Merge w:val="restart"/>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危险化学品安全评价</w:t>
            </w: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开展危险化学品安全评价；通过安全设施竣工验收，或无要求</w:t>
            </w:r>
          </w:p>
        </w:tc>
        <w:tc>
          <w:tcPr>
            <w:tcW w:w="2061"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无需开展</w:t>
            </w:r>
            <w:r>
              <w:rPr>
                <w:rFonts w:hint="default" w:ascii="Times New Roman" w:hAnsi="Times New Roman" w:eastAsia="仿宋" w:cs="Times New Roman"/>
                <w:color w:val="auto"/>
                <w:sz w:val="24"/>
                <w:szCs w:val="24"/>
              </w:rPr>
              <w:t>危险化学品安全评价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未开展危险化学品安全评价，或未通过安全设施竣工验收</w:t>
            </w:r>
          </w:p>
        </w:tc>
        <w:tc>
          <w:tcPr>
            <w:tcW w:w="2061"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highlight w:val="yellow"/>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Merge w:val="restart"/>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危险化学品重大危险源备案</w:t>
            </w: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无重大危险源，或所有危险化学品重大危险源均已备案</w:t>
            </w:r>
          </w:p>
        </w:tc>
        <w:tc>
          <w:tcPr>
            <w:tcW w:w="2061"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不构成重大危险源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462"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5151"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有危险化学品重大危险源未备案</w:t>
            </w:r>
          </w:p>
        </w:tc>
        <w:tc>
          <w:tcPr>
            <w:tcW w:w="2061"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highlight w:val="yellow"/>
              </w:rPr>
            </w:pPr>
          </w:p>
        </w:tc>
      </w:tr>
    </w:tbl>
    <w:p>
      <w:pPr>
        <w:spacing w:line="360" w:lineRule="auto"/>
        <w:outlineLvl w:val="1"/>
        <w:rPr>
          <w:rFonts w:hint="default" w:ascii="Times New Roman" w:hAnsi="Times New Roman" w:eastAsia="仿宋" w:cs="Times New Roman"/>
          <w:b/>
          <w:bCs/>
          <w:snapToGrid w:val="0"/>
          <w:color w:val="auto"/>
          <w:kern w:val="0"/>
          <w:sz w:val="28"/>
          <w:szCs w:val="28"/>
        </w:rPr>
      </w:pPr>
      <w:bookmarkStart w:id="54" w:name="_Toc23142"/>
      <w:r>
        <w:rPr>
          <w:rFonts w:hint="default" w:ascii="Times New Roman" w:hAnsi="Times New Roman" w:eastAsia="仿宋" w:cs="Times New Roman"/>
          <w:b/>
          <w:bCs/>
          <w:snapToGrid w:val="0"/>
          <w:color w:val="auto"/>
          <w:kern w:val="0"/>
          <w:sz w:val="28"/>
          <w:szCs w:val="28"/>
        </w:rPr>
        <w:t>3.7 现有环境风险防控与应急措施</w:t>
      </w:r>
      <w:bookmarkEnd w:id="54"/>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bookmarkStart w:id="55" w:name="_Toc9610"/>
      <w:bookmarkStart w:id="56" w:name="_Toc401654920"/>
      <w:r>
        <w:rPr>
          <w:rFonts w:hint="default" w:ascii="Times New Roman" w:hAnsi="Times New Roman" w:eastAsia="仿宋" w:cs="Times New Roman"/>
          <w:bCs w:val="0"/>
          <w:color w:val="auto"/>
          <w:kern w:val="0"/>
          <w:sz w:val="28"/>
          <w:szCs w:val="28"/>
          <w:lang w:bidi="ar"/>
        </w:rPr>
        <w:t>3.7.</w:t>
      </w:r>
      <w:r>
        <w:rPr>
          <w:rFonts w:hint="default" w:ascii="Times New Roman" w:hAnsi="Times New Roman" w:eastAsia="仿宋" w:cs="Times New Roman"/>
          <w:bCs w:val="0"/>
          <w:color w:val="auto"/>
          <w:kern w:val="0"/>
          <w:sz w:val="28"/>
          <w:szCs w:val="28"/>
          <w:lang w:val="en-US" w:eastAsia="zh-CN" w:bidi="ar"/>
        </w:rPr>
        <w:t>1</w:t>
      </w:r>
      <w:r>
        <w:rPr>
          <w:rFonts w:hint="default" w:ascii="Times New Roman" w:hAnsi="Times New Roman" w:eastAsia="仿宋" w:cs="Times New Roman"/>
          <w:bCs w:val="0"/>
          <w:color w:val="auto"/>
          <w:kern w:val="0"/>
          <w:sz w:val="28"/>
          <w:szCs w:val="28"/>
          <w:lang w:bidi="ar"/>
        </w:rPr>
        <w:t>事故排水收集措施</w:t>
      </w:r>
      <w:bookmarkEnd w:id="55"/>
      <w:bookmarkEnd w:id="56"/>
    </w:p>
    <w:p>
      <w:pPr>
        <w:spacing w:line="360" w:lineRule="auto"/>
        <w:ind w:firstLine="560" w:firstLineChars="200"/>
        <w:rPr>
          <w:rFonts w:hint="default" w:ascii="Times New Roman" w:hAnsi="Times New Roman" w:eastAsia="仿宋" w:cs="Times New Roman"/>
          <w:color w:val="auto"/>
          <w:sz w:val="28"/>
          <w:szCs w:val="28"/>
        </w:rPr>
      </w:pPr>
      <w:bookmarkStart w:id="57" w:name="_Toc2147"/>
      <w:bookmarkStart w:id="58" w:name="_Toc401654921"/>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运行过程中</w:t>
      </w:r>
      <w:r>
        <w:rPr>
          <w:rFonts w:hint="default" w:ascii="Times New Roman" w:hAnsi="Times New Roman" w:eastAsia="仿宋" w:cs="Times New Roman"/>
          <w:color w:val="auto"/>
          <w:sz w:val="28"/>
          <w:szCs w:val="28"/>
          <w:lang w:eastAsia="zh-CN"/>
        </w:rPr>
        <w:t>无生产废水产生，项目</w:t>
      </w:r>
      <w:r>
        <w:rPr>
          <w:rFonts w:hint="default" w:ascii="Times New Roman" w:hAnsi="Times New Roman" w:eastAsia="仿宋" w:cs="Times New Roman"/>
          <w:color w:val="auto"/>
          <w:sz w:val="28"/>
          <w:szCs w:val="28"/>
        </w:rPr>
        <w:t>不需要设置事故排水收集措施。</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3.7.</w:t>
      </w:r>
      <w:r>
        <w:rPr>
          <w:rFonts w:hint="default" w:ascii="Times New Roman" w:hAnsi="Times New Roman" w:eastAsia="仿宋" w:cs="Times New Roman"/>
          <w:bCs w:val="0"/>
          <w:color w:val="auto"/>
          <w:kern w:val="0"/>
          <w:sz w:val="28"/>
          <w:szCs w:val="28"/>
          <w:lang w:val="en-US" w:eastAsia="zh-CN" w:bidi="ar"/>
        </w:rPr>
        <w:t>2</w:t>
      </w:r>
      <w:r>
        <w:rPr>
          <w:rFonts w:hint="default" w:ascii="Times New Roman" w:hAnsi="Times New Roman" w:eastAsia="仿宋" w:cs="Times New Roman"/>
          <w:bCs w:val="0"/>
          <w:color w:val="auto"/>
          <w:kern w:val="0"/>
          <w:sz w:val="28"/>
          <w:szCs w:val="28"/>
          <w:lang w:bidi="ar"/>
        </w:rPr>
        <w:t>清净下水系统防控措施</w:t>
      </w:r>
      <w:bookmarkEnd w:id="57"/>
    </w:p>
    <w:p>
      <w:pPr>
        <w:spacing w:line="360" w:lineRule="auto"/>
        <w:ind w:firstLine="560" w:firstLineChars="200"/>
        <w:jc w:val="left"/>
        <w:rPr>
          <w:rFonts w:hint="default" w:ascii="Times New Roman" w:hAnsi="Times New Roman" w:eastAsia="仿宋" w:cs="Times New Roman"/>
          <w:color w:val="auto"/>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运行过程中不涉及清净下水。</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bookmarkStart w:id="59" w:name="_Toc19499"/>
      <w:r>
        <w:rPr>
          <w:rFonts w:hint="default" w:ascii="Times New Roman" w:hAnsi="Times New Roman" w:eastAsia="仿宋" w:cs="Times New Roman"/>
          <w:bCs w:val="0"/>
          <w:color w:val="auto"/>
          <w:kern w:val="0"/>
          <w:sz w:val="28"/>
          <w:szCs w:val="28"/>
          <w:lang w:bidi="ar"/>
        </w:rPr>
        <w:t>3.7.</w:t>
      </w:r>
      <w:r>
        <w:rPr>
          <w:rFonts w:hint="default" w:ascii="Times New Roman" w:hAnsi="Times New Roman" w:eastAsia="仿宋" w:cs="Times New Roman"/>
          <w:bCs w:val="0"/>
          <w:color w:val="auto"/>
          <w:kern w:val="0"/>
          <w:sz w:val="28"/>
          <w:szCs w:val="28"/>
          <w:lang w:val="en-US" w:eastAsia="zh-CN" w:bidi="ar"/>
        </w:rPr>
        <w:t>3</w:t>
      </w:r>
      <w:r>
        <w:rPr>
          <w:rFonts w:hint="default" w:ascii="Times New Roman" w:hAnsi="Times New Roman" w:eastAsia="仿宋" w:cs="Times New Roman"/>
          <w:bCs w:val="0"/>
          <w:color w:val="auto"/>
          <w:kern w:val="0"/>
          <w:sz w:val="28"/>
          <w:szCs w:val="28"/>
          <w:lang w:bidi="ar"/>
        </w:rPr>
        <w:t>雨排水系统收集措施</w:t>
      </w:r>
      <w:bookmarkEnd w:id="58"/>
      <w:bookmarkEnd w:id="59"/>
    </w:p>
    <w:p>
      <w:pPr>
        <w:spacing w:line="360" w:lineRule="auto"/>
        <w:ind w:firstLine="560" w:firstLineChars="200"/>
        <w:rPr>
          <w:rFonts w:hint="default" w:ascii="Times New Roman" w:hAnsi="Times New Roman" w:eastAsia="仿宋" w:cs="Times New Roman"/>
          <w:color w:val="auto"/>
          <w:sz w:val="28"/>
          <w:szCs w:val="28"/>
        </w:rPr>
      </w:pPr>
      <w:bookmarkStart w:id="60" w:name="_Toc401654922"/>
      <w:r>
        <w:rPr>
          <w:rFonts w:hint="eastAsia" w:eastAsia="仿宋" w:cs="Times New Roman"/>
          <w:color w:val="auto"/>
          <w:sz w:val="28"/>
          <w:szCs w:val="28"/>
          <w:lang w:eastAsia="zh-CN"/>
        </w:rPr>
        <w:t>厂内雨水经已建成明渠进入厂区</w:t>
      </w:r>
      <w:r>
        <w:rPr>
          <w:rFonts w:hint="eastAsia" w:eastAsia="仿宋" w:cs="Times New Roman"/>
          <w:color w:val="auto"/>
          <w:sz w:val="28"/>
          <w:szCs w:val="28"/>
          <w:lang w:val="en-US" w:eastAsia="zh-CN"/>
        </w:rPr>
        <w:t>1座550m³</w:t>
      </w:r>
      <w:r>
        <w:rPr>
          <w:rFonts w:hint="eastAsia" w:eastAsia="仿宋" w:cs="Times New Roman"/>
          <w:color w:val="auto"/>
          <w:sz w:val="28"/>
          <w:szCs w:val="28"/>
          <w:lang w:eastAsia="zh-CN"/>
        </w:rPr>
        <w:t>三级沉淀池，沉淀后用于厂区洒水和生产</w:t>
      </w:r>
      <w:r>
        <w:rPr>
          <w:rFonts w:hint="default" w:ascii="Times New Roman" w:hAnsi="Times New Roman" w:eastAsia="仿宋" w:cs="Times New Roman"/>
          <w:color w:val="auto"/>
          <w:sz w:val="28"/>
          <w:szCs w:val="28"/>
        </w:rPr>
        <w:t>。</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bookmarkStart w:id="61" w:name="_Toc8391"/>
      <w:r>
        <w:rPr>
          <w:rFonts w:hint="default" w:ascii="Times New Roman" w:hAnsi="Times New Roman" w:eastAsia="仿宋" w:cs="Times New Roman"/>
          <w:bCs w:val="0"/>
          <w:color w:val="auto"/>
          <w:kern w:val="0"/>
          <w:sz w:val="28"/>
          <w:szCs w:val="28"/>
          <w:lang w:bidi="ar"/>
        </w:rPr>
        <w:t>3.7.5生产废水处理系统防控措施</w:t>
      </w:r>
      <w:bookmarkEnd w:id="60"/>
      <w:bookmarkEnd w:id="61"/>
    </w:p>
    <w:p>
      <w:pPr>
        <w:spacing w:line="360" w:lineRule="auto"/>
        <w:ind w:firstLine="560" w:firstLineChars="200"/>
        <w:jc w:val="left"/>
        <w:rPr>
          <w:rFonts w:hint="default" w:ascii="Times New Roman" w:hAnsi="Times New Roman" w:eastAsia="仿宋" w:cs="Times New Roman"/>
          <w:color w:val="auto"/>
          <w:sz w:val="28"/>
          <w:szCs w:val="28"/>
          <w:lang w:val="en-US" w:eastAsia="zh-CN"/>
        </w:rPr>
      </w:pPr>
      <w:bookmarkStart w:id="62" w:name="_Toc21578"/>
      <w:r>
        <w:rPr>
          <w:rFonts w:hint="eastAsia" w:eastAsia="仿宋" w:cs="Times New Roman"/>
          <w:color w:val="auto"/>
          <w:sz w:val="28"/>
          <w:szCs w:val="28"/>
          <w:lang w:eastAsia="zh-CN"/>
        </w:rPr>
        <w:t>项目生产废</w:t>
      </w:r>
      <w:r>
        <w:rPr>
          <w:rFonts w:hint="eastAsia" w:ascii="Times New Roman" w:hAnsi="Times New Roman" w:eastAsia="仿宋" w:cs="Times New Roman"/>
          <w:color w:val="auto"/>
          <w:sz w:val="28"/>
          <w:szCs w:val="28"/>
          <w:lang w:eastAsia="zh-CN"/>
        </w:rPr>
        <w:t>水</w:t>
      </w:r>
      <w:r>
        <w:rPr>
          <w:rFonts w:hint="default" w:ascii="Times New Roman" w:hAnsi="Times New Roman" w:eastAsia="仿宋" w:cs="Times New Roman"/>
          <w:color w:val="auto"/>
          <w:sz w:val="28"/>
          <w:szCs w:val="28"/>
          <w:lang w:eastAsia="zh-CN"/>
        </w:rPr>
        <w:t>搅拌机清洗用水</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eastAsia="zh-CN"/>
        </w:rPr>
        <w:t>运输车搅拌罐清洗水</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运输车清洗用水</w:t>
      </w:r>
      <w:r>
        <w:rPr>
          <w:rFonts w:hint="eastAsia" w:ascii="Times New Roman" w:hAnsi="Times New Roman" w:eastAsia="仿宋" w:cs="Times New Roman"/>
          <w:color w:val="auto"/>
          <w:sz w:val="28"/>
          <w:szCs w:val="28"/>
          <w:lang w:val="en-US" w:eastAsia="zh-CN"/>
        </w:rPr>
        <w:t>均</w:t>
      </w:r>
      <w:r>
        <w:rPr>
          <w:rFonts w:hint="eastAsia" w:ascii="Times New Roman" w:hAnsi="Times New Roman" w:eastAsia="仿宋" w:cs="Times New Roman"/>
          <w:color w:val="auto"/>
          <w:sz w:val="28"/>
          <w:szCs w:val="28"/>
          <w:lang w:eastAsia="zh-CN"/>
        </w:rPr>
        <w:t>循</w:t>
      </w:r>
      <w:r>
        <w:rPr>
          <w:rFonts w:hint="eastAsia" w:eastAsia="仿宋" w:cs="Times New Roman"/>
          <w:color w:val="auto"/>
          <w:sz w:val="28"/>
          <w:szCs w:val="28"/>
          <w:lang w:eastAsia="zh-CN"/>
        </w:rPr>
        <w:t>环利用，不外排</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其中</w:t>
      </w:r>
      <w:r>
        <w:rPr>
          <w:rFonts w:hint="default" w:ascii="Times New Roman" w:hAnsi="Times New Roman" w:eastAsia="仿宋" w:cs="Times New Roman"/>
          <w:color w:val="auto"/>
          <w:sz w:val="28"/>
          <w:szCs w:val="28"/>
          <w:lang w:eastAsia="zh-CN"/>
        </w:rPr>
        <w:t>搅拌机清洗用水</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eastAsia="zh-CN"/>
        </w:rPr>
        <w:t>运输车搅拌罐清洗水</w:t>
      </w:r>
      <w:r>
        <w:rPr>
          <w:rFonts w:hint="eastAsia" w:ascii="Times New Roman" w:hAnsi="Times New Roman" w:eastAsia="仿宋" w:cs="Times New Roman"/>
          <w:color w:val="auto"/>
          <w:sz w:val="28"/>
          <w:szCs w:val="28"/>
          <w:lang w:eastAsia="zh-CN"/>
        </w:rPr>
        <w:t>置于</w:t>
      </w:r>
      <w:r>
        <w:rPr>
          <w:rFonts w:hint="eastAsia" w:ascii="Times New Roman" w:hAnsi="Times New Roman" w:eastAsia="仿宋" w:cs="Times New Roman"/>
          <w:color w:val="auto"/>
          <w:sz w:val="28"/>
          <w:szCs w:val="28"/>
          <w:lang w:val="en-US" w:eastAsia="zh-CN"/>
        </w:rPr>
        <w:t>1</w:t>
      </w:r>
      <w:r>
        <w:rPr>
          <w:rFonts w:hint="eastAsia" w:ascii="Times New Roman" w:hAnsi="Times New Roman" w:eastAsia="仿宋" w:cs="Times New Roman"/>
          <w:color w:val="auto"/>
          <w:sz w:val="28"/>
          <w:szCs w:val="28"/>
          <w:lang w:eastAsia="zh-CN"/>
        </w:rPr>
        <w:t>座</w:t>
      </w:r>
      <w:r>
        <w:rPr>
          <w:rFonts w:hint="eastAsia" w:ascii="Times New Roman" w:hAnsi="Times New Roman" w:eastAsia="仿宋" w:cs="Times New Roman"/>
          <w:color w:val="auto"/>
          <w:sz w:val="28"/>
          <w:szCs w:val="28"/>
          <w:lang w:val="en-US" w:eastAsia="zh-CN"/>
        </w:rPr>
        <w:t>65m³搅拌池中，搅拌后回用于生产；</w:t>
      </w:r>
      <w:r>
        <w:rPr>
          <w:rFonts w:hint="default" w:ascii="Times New Roman" w:hAnsi="Times New Roman" w:eastAsia="仿宋" w:cs="Times New Roman"/>
          <w:color w:val="auto"/>
          <w:sz w:val="28"/>
          <w:szCs w:val="28"/>
          <w:lang w:val="en-US" w:eastAsia="zh-CN"/>
        </w:rPr>
        <w:t>运输车清洗用水</w:t>
      </w:r>
      <w:r>
        <w:rPr>
          <w:rFonts w:hint="eastAsia" w:ascii="Times New Roman" w:hAnsi="Times New Roman" w:eastAsia="仿宋" w:cs="Times New Roman"/>
          <w:color w:val="auto"/>
          <w:sz w:val="28"/>
          <w:szCs w:val="28"/>
          <w:lang w:val="en-US" w:eastAsia="zh-CN"/>
        </w:rPr>
        <w:t>进入1座18m³三级沉淀池，沉淀后回用于洗车。</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3.7.6毒性气体泄漏紧急处置装置及监控预警措施</w:t>
      </w:r>
      <w:bookmarkEnd w:id="62"/>
    </w:p>
    <w:p>
      <w:pPr>
        <w:pStyle w:val="7"/>
        <w:ind w:firstLine="560"/>
        <w:rPr>
          <w:rFonts w:hint="default" w:ascii="Times New Roman" w:hAnsi="Times New Roman" w:eastAsia="仿宋" w:cs="Times New Roman"/>
          <w:color w:val="auto"/>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涉及的</w:t>
      </w:r>
      <w:r>
        <w:rPr>
          <w:rFonts w:hint="eastAsia" w:eastAsia="仿宋" w:cs="Times New Roman"/>
          <w:color w:val="auto"/>
          <w:sz w:val="28"/>
          <w:szCs w:val="28"/>
          <w:lang w:eastAsia="zh-CN"/>
        </w:rPr>
        <w:t>废气</w:t>
      </w:r>
      <w:r>
        <w:rPr>
          <w:rFonts w:hint="default" w:ascii="Times New Roman" w:hAnsi="Times New Roman" w:eastAsia="仿宋" w:cs="Times New Roman"/>
          <w:color w:val="auto"/>
          <w:sz w:val="28"/>
          <w:szCs w:val="28"/>
        </w:rPr>
        <w:t>为无组织排放的</w:t>
      </w:r>
      <w:r>
        <w:rPr>
          <w:rFonts w:hint="eastAsia" w:eastAsia="仿宋" w:cs="Times New Roman"/>
          <w:color w:val="auto"/>
          <w:sz w:val="28"/>
          <w:szCs w:val="28"/>
          <w:lang w:eastAsia="zh-CN"/>
        </w:rPr>
        <w:t>颗粒物，无毒性气体</w:t>
      </w:r>
      <w:r>
        <w:rPr>
          <w:rFonts w:hint="default" w:ascii="Times New Roman" w:hAnsi="Times New Roman" w:eastAsia="仿宋" w:cs="Times New Roman"/>
          <w:color w:val="auto"/>
          <w:sz w:val="28"/>
          <w:szCs w:val="28"/>
        </w:rPr>
        <w:t>。</w:t>
      </w:r>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bookmarkStart w:id="63" w:name="_Toc12840"/>
      <w:r>
        <w:rPr>
          <w:rFonts w:hint="default" w:ascii="Times New Roman" w:hAnsi="Times New Roman" w:eastAsia="仿宋" w:cs="Times New Roman"/>
          <w:bCs w:val="0"/>
          <w:color w:val="auto"/>
          <w:kern w:val="0"/>
          <w:sz w:val="28"/>
          <w:szCs w:val="28"/>
          <w:lang w:bidi="ar"/>
        </w:rPr>
        <w:t>3.7.7环评及批复的其他风险防控措施落实情况</w:t>
      </w:r>
      <w:bookmarkEnd w:id="63"/>
    </w:p>
    <w:p>
      <w:pPr>
        <w:pStyle w:val="7"/>
        <w:ind w:firstLine="560"/>
        <w:rPr>
          <w:rFonts w:hint="default" w:ascii="Times New Roman" w:hAnsi="Times New Roman" w:eastAsia="仿宋" w:cs="Times New Roman"/>
          <w:b/>
          <w:bCs/>
          <w:color w:val="auto"/>
          <w:sz w:val="28"/>
          <w:szCs w:val="28"/>
          <w:highlight w:val="yellow"/>
        </w:rPr>
      </w:pPr>
      <w:r>
        <w:rPr>
          <w:rFonts w:hint="eastAsia" w:eastAsia="仿宋" w:cs="Times New Roman"/>
          <w:color w:val="auto"/>
          <w:sz w:val="28"/>
          <w:szCs w:val="28"/>
          <w:lang w:eastAsia="zh-CN"/>
        </w:rPr>
        <w:t>陕西勇轩建材有限公司于2015年9月委托编制了《陕西勇轩混凝土有限公司年产经营30万立方米预拌混凝土和30万吨干粉砂浆项目环境影响报告表》，于2015年9月6日取得陕西省西咸新区秦汉新城规划建设环保和房屋管理局《关于陕西勇轩混凝土有限公司年产经营30万立方米预拌混凝土和30万吨干粉砂浆项目环境影响报告表的批复》（秦汉管规函[2015]108号），于2016年3月15日取得陕西省西咸新区秦汉新城规划建设环保和房屋管理局《关于陕西勇轩混凝土有限公司年产经营30万立方米预拌混凝土和30万吨干粉砂浆项目变更批复》（秦汉管规函[2016]23号）；2016年3月，经陕西省西咸新区秦汉新城规划建设环保和房屋管理局批准，30万吨干粉砂浆项目建设主体变更为：陕西卓建永固建材有限公司，其他环评内容不变；本厂于2019年8月委托完成《陕西勇轩建材有限公司年产经营30万立方米预拌混凝土项目竣工环境保护验收监测报告表》，于2019年9月18日取得陕西省西咸新区秦汉新城行政审批与服务局文件《关于陕西勇轩建材有限公司年产经营30万立方米预拌混凝土项目固废污染防治设施竣工换保护验收的批复》（秦汉审服准[2019]213号）。</w:t>
      </w:r>
      <w:r>
        <w:rPr>
          <w:rFonts w:hint="default" w:ascii="Times New Roman" w:hAnsi="Times New Roman" w:eastAsia="仿宋" w:cs="Times New Roman"/>
          <w:color w:val="auto"/>
          <w:sz w:val="28"/>
          <w:szCs w:val="28"/>
        </w:rPr>
        <w:t>环评报告</w:t>
      </w:r>
      <w:r>
        <w:rPr>
          <w:rFonts w:hint="default" w:ascii="Times New Roman" w:hAnsi="Times New Roman" w:eastAsia="仿宋" w:cs="Times New Roman"/>
          <w:color w:val="auto"/>
          <w:sz w:val="28"/>
          <w:szCs w:val="28"/>
          <w:lang w:eastAsia="zh-CN"/>
        </w:rPr>
        <w:t>及批复</w:t>
      </w:r>
      <w:r>
        <w:rPr>
          <w:rFonts w:hint="default" w:ascii="Times New Roman" w:hAnsi="Times New Roman" w:eastAsia="仿宋" w:cs="Times New Roman"/>
          <w:color w:val="auto"/>
          <w:sz w:val="28"/>
          <w:szCs w:val="28"/>
        </w:rPr>
        <w:t>风险措施落实情况见表3-8。</w:t>
      </w:r>
    </w:p>
    <w:p>
      <w:pPr>
        <w:spacing w:line="360" w:lineRule="auto"/>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表3-8  环评报告的风险防控措施及企业落实情况</w:t>
      </w:r>
    </w:p>
    <w:tbl>
      <w:tblPr>
        <w:tblStyle w:val="24"/>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4388"/>
        <w:gridCol w:w="444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84" w:type="pct"/>
            <w:vAlign w:val="center"/>
          </w:tcPr>
          <w:p>
            <w:pPr>
              <w:adjustRightInd w:val="0"/>
              <w:snapToGrid w:val="0"/>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环评报告</w:t>
            </w:r>
            <w:r>
              <w:rPr>
                <w:rFonts w:hint="default" w:ascii="Times New Roman" w:hAnsi="Times New Roman" w:eastAsia="仿宋" w:cs="Times New Roman"/>
                <w:b/>
                <w:bCs/>
                <w:color w:val="auto"/>
                <w:kern w:val="0"/>
                <w:sz w:val="24"/>
                <w:szCs w:val="24"/>
                <w:lang w:eastAsia="zh-CN"/>
              </w:rPr>
              <w:t>及批复</w:t>
            </w:r>
            <w:r>
              <w:rPr>
                <w:rFonts w:hint="default" w:ascii="Times New Roman" w:hAnsi="Times New Roman" w:eastAsia="仿宋" w:cs="Times New Roman"/>
                <w:b/>
                <w:bCs/>
                <w:color w:val="auto"/>
                <w:kern w:val="0"/>
                <w:sz w:val="24"/>
                <w:szCs w:val="24"/>
              </w:rPr>
              <w:t>提出的环境风险防范措施</w:t>
            </w:r>
          </w:p>
        </w:tc>
        <w:tc>
          <w:tcPr>
            <w:tcW w:w="2515" w:type="pct"/>
            <w:vAlign w:val="center"/>
          </w:tcPr>
          <w:p>
            <w:pPr>
              <w:adjustRightInd w:val="0"/>
              <w:snapToGrid w:val="0"/>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企业落实情况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484" w:type="pct"/>
            <w:vAlign w:val="center"/>
          </w:tcPr>
          <w:p>
            <w:pPr>
              <w:pStyle w:val="7"/>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eastAsia="仿宋" w:cs="Times New Roman"/>
                <w:color w:val="auto"/>
                <w:kern w:val="2"/>
                <w:sz w:val="24"/>
                <w:szCs w:val="24"/>
                <w:lang w:val="en-US" w:eastAsia="zh-CN" w:bidi="ar-SA"/>
              </w:rPr>
            </w:pPr>
            <w:r>
              <w:rPr>
                <w:rFonts w:hint="eastAsia" w:eastAsia="仿宋" w:cs="Times New Roman"/>
                <w:bCs/>
                <w:color w:val="auto"/>
                <w:sz w:val="24"/>
                <w:szCs w:val="24"/>
                <w:lang w:val="en-US" w:eastAsia="zh-CN"/>
              </w:rPr>
              <w:t>/</w:t>
            </w:r>
          </w:p>
        </w:tc>
        <w:tc>
          <w:tcPr>
            <w:tcW w:w="2515" w:type="pct"/>
            <w:vAlign w:val="center"/>
          </w:tcPr>
          <w:p>
            <w:pPr>
              <w:pStyle w:val="7"/>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kern w:val="2"/>
                <w:sz w:val="24"/>
                <w:szCs w:val="24"/>
                <w:lang w:val="en-US" w:eastAsia="zh-CN" w:bidi="ar-SA"/>
              </w:rPr>
              <w:t>厂区</w:t>
            </w:r>
            <w:r>
              <w:rPr>
                <w:rFonts w:hint="eastAsia" w:eastAsia="仿宋" w:cs="Times New Roman"/>
                <w:color w:val="auto"/>
                <w:kern w:val="2"/>
                <w:sz w:val="24"/>
                <w:szCs w:val="24"/>
                <w:lang w:val="en-US" w:eastAsia="zh-CN" w:bidi="ar-SA"/>
              </w:rPr>
              <w:t>设置</w:t>
            </w:r>
            <w:r>
              <w:rPr>
                <w:rFonts w:hint="default" w:ascii="Times New Roman" w:hAnsi="Times New Roman" w:eastAsia="仿宋" w:cs="Times New Roman"/>
                <w:color w:val="auto"/>
                <w:kern w:val="2"/>
                <w:sz w:val="24"/>
                <w:szCs w:val="24"/>
                <w:lang w:val="en-US" w:eastAsia="zh-CN" w:bidi="ar-SA"/>
              </w:rPr>
              <w:t>1座550m³三级沉淀池，</w:t>
            </w:r>
            <w:r>
              <w:rPr>
                <w:rFonts w:hint="eastAsia" w:eastAsia="仿宋" w:cs="Times New Roman"/>
                <w:color w:val="auto"/>
                <w:kern w:val="2"/>
                <w:sz w:val="24"/>
                <w:szCs w:val="24"/>
                <w:lang w:val="en-US" w:eastAsia="zh-CN" w:bidi="ar-SA"/>
              </w:rPr>
              <w:t>用于收集雨水，</w:t>
            </w:r>
            <w:r>
              <w:rPr>
                <w:rFonts w:hint="default" w:ascii="Times New Roman" w:hAnsi="Times New Roman" w:eastAsia="仿宋" w:cs="Times New Roman"/>
                <w:color w:val="auto"/>
                <w:kern w:val="2"/>
                <w:sz w:val="24"/>
                <w:szCs w:val="24"/>
                <w:lang w:val="en-US" w:eastAsia="zh-CN" w:bidi="ar-SA"/>
              </w:rPr>
              <w:t>沉淀后用于厂区洒水和生产。</w:t>
            </w:r>
          </w:p>
        </w:tc>
      </w:tr>
    </w:tbl>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bookmarkStart w:id="64" w:name="_Toc18955"/>
      <w:r>
        <w:rPr>
          <w:rFonts w:hint="default" w:ascii="Times New Roman" w:hAnsi="Times New Roman" w:eastAsia="仿宋" w:cs="Times New Roman"/>
          <w:bCs w:val="0"/>
          <w:color w:val="auto"/>
          <w:kern w:val="0"/>
          <w:sz w:val="28"/>
          <w:szCs w:val="28"/>
          <w:lang w:bidi="ar"/>
        </w:rPr>
        <w:t>3.7.8企业环境风险防控与应急措施检查</w:t>
      </w:r>
      <w:bookmarkEnd w:id="64"/>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表3-9  企业环境风险防控与应急措施检查依据</w:t>
      </w:r>
    </w:p>
    <w:tbl>
      <w:tblPr>
        <w:tblStyle w:val="23"/>
        <w:tblW w:w="867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276"/>
        <w:gridCol w:w="3855"/>
        <w:gridCol w:w="354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Align w:val="center"/>
          </w:tcPr>
          <w:p>
            <w:pPr>
              <w:autoSpaceDE w:val="0"/>
              <w:autoSpaceDN w:val="0"/>
              <w:adjustRightInd w:val="0"/>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评估指标</w:t>
            </w:r>
          </w:p>
        </w:tc>
        <w:tc>
          <w:tcPr>
            <w:tcW w:w="3855" w:type="dxa"/>
            <w:vAlign w:val="center"/>
          </w:tcPr>
          <w:p>
            <w:pPr>
              <w:autoSpaceDE w:val="0"/>
              <w:autoSpaceDN w:val="0"/>
              <w:adjustRightInd w:val="0"/>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评估依据</w:t>
            </w:r>
          </w:p>
        </w:tc>
        <w:tc>
          <w:tcPr>
            <w:tcW w:w="3543" w:type="dxa"/>
            <w:vAlign w:val="center"/>
          </w:tcPr>
          <w:p>
            <w:pPr>
              <w:autoSpaceDE w:val="0"/>
              <w:autoSpaceDN w:val="0"/>
              <w:adjustRightInd w:val="0"/>
              <w:snapToGrid w:val="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企业情况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截流措施</w:t>
            </w:r>
          </w:p>
        </w:tc>
        <w:tc>
          <w:tcPr>
            <w:tcW w:w="3855" w:type="dxa"/>
            <w:vAlign w:val="center"/>
          </w:tcPr>
          <w:p>
            <w:pPr>
              <w:autoSpaceDE w:val="0"/>
              <w:autoSpaceDN w:val="0"/>
              <w:adjustRightInd w:val="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1)各个环境风险单元设防渗漏、防腐蚀、防淋溶、防流失措施，设防初期雨水、泄漏物、受污染的消防水（溢）流入雨水和清净下水系统的导流围挡收集措施（如防火堤、围堰等），且相关措施符合设计规范；且</w:t>
            </w:r>
          </w:p>
          <w:p>
            <w:pPr>
              <w:autoSpaceDE w:val="0"/>
              <w:autoSpaceDN w:val="0"/>
              <w:adjustRightInd w:val="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2)装置围堰与罐区防火堤（围堰）外设排水切换阀，正常情况下通向雨水系统的阀门关闭，通向事故存液池、应急事故水池、清净下水排放缓冲池或污水处理系统的阀门打开；且</w:t>
            </w:r>
          </w:p>
          <w:p>
            <w:pPr>
              <w:autoSpaceDE w:val="0"/>
              <w:autoSpaceDN w:val="0"/>
              <w:adjustRightInd w:val="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3)前述措施日常管理及维护良好，有专人负责阀门切换，保证初期雨水、泄漏物和受污染的消防水排入污水系统。</w:t>
            </w:r>
          </w:p>
        </w:tc>
        <w:tc>
          <w:tcPr>
            <w:tcW w:w="3543" w:type="dxa"/>
            <w:vMerge w:val="restart"/>
            <w:vAlign w:val="center"/>
          </w:tcPr>
          <w:p>
            <w:pPr>
              <w:autoSpaceDE w:val="0"/>
              <w:autoSpaceDN w:val="0"/>
              <w:adjustRightInd w:val="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w:t>
            </w:r>
            <w:r>
              <w:rPr>
                <w:rFonts w:hint="eastAsia" w:eastAsia="仿宋" w:cs="Times New Roman"/>
                <w:color w:val="auto"/>
                <w:kern w:val="0"/>
                <w:sz w:val="24"/>
                <w:szCs w:val="24"/>
                <w:lang w:eastAsia="zh-CN"/>
              </w:rPr>
              <w:t>厂内雨水进入厂区三级沉淀池，沉淀后用于厂区洒水和生产</w:t>
            </w:r>
            <w:r>
              <w:rPr>
                <w:rFonts w:hint="default" w:ascii="Times New Roman" w:hAnsi="Times New Roman" w:eastAsia="仿宋" w:cs="Times New Roman"/>
                <w:color w:val="auto"/>
                <w:kern w:val="0"/>
                <w:sz w:val="24"/>
                <w:szCs w:val="24"/>
              </w:rPr>
              <w:t>。</w:t>
            </w:r>
          </w:p>
          <w:p>
            <w:pPr>
              <w:autoSpaceDE w:val="0"/>
              <w:autoSpaceDN w:val="0"/>
              <w:adjustRightInd w:val="0"/>
              <w:rPr>
                <w:rFonts w:hint="default" w:ascii="Times New Roman" w:hAnsi="Times New Roman" w:eastAsia="仿宋" w:cs="Times New Roman"/>
                <w:color w:val="auto"/>
                <w:kern w:val="0"/>
                <w:sz w:val="24"/>
                <w:szCs w:val="24"/>
                <w:lang w:val="en-US" w:eastAsia="zh-CN"/>
              </w:rPr>
            </w:pPr>
            <w:r>
              <w:rPr>
                <w:rFonts w:hint="default" w:ascii="Times New Roman" w:hAnsi="Times New Roman" w:eastAsia="仿宋" w:cs="Times New Roman"/>
                <w:color w:val="auto"/>
                <w:kern w:val="0"/>
                <w:sz w:val="24"/>
                <w:szCs w:val="24"/>
                <w:lang w:val="en-US" w:eastAsia="zh-CN"/>
              </w:rPr>
              <w:t>2）项目生产废水循环利用，不外排</w:t>
            </w:r>
            <w:r>
              <w:rPr>
                <w:rFonts w:hint="eastAsia" w:eastAsia="仿宋" w:cs="Times New Roman"/>
                <w:color w:val="auto"/>
                <w:kern w:val="0"/>
                <w:sz w:val="24"/>
                <w:szCs w:val="24"/>
                <w:lang w:val="en-US" w:eastAsia="zh-CN"/>
              </w:rPr>
              <w:t>。</w:t>
            </w:r>
          </w:p>
          <w:p>
            <w:pPr>
              <w:autoSpaceDE w:val="0"/>
              <w:autoSpaceDN w:val="0"/>
              <w:adjustRightInd w:val="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w:t>
            </w:r>
            <w:r>
              <w:rPr>
                <w:rFonts w:hint="default" w:ascii="Times New Roman" w:hAnsi="Times New Roman" w:eastAsia="仿宋" w:cs="Times New Roman"/>
                <w:color w:val="auto"/>
                <w:kern w:val="0"/>
                <w:sz w:val="24"/>
                <w:szCs w:val="24"/>
                <w:lang w:eastAsia="zh-CN"/>
              </w:rPr>
              <w:t>项目</w:t>
            </w:r>
            <w:r>
              <w:rPr>
                <w:rFonts w:hint="default" w:ascii="Times New Roman" w:hAnsi="Times New Roman" w:eastAsia="仿宋" w:cs="Times New Roman"/>
                <w:color w:val="auto"/>
                <w:kern w:val="0"/>
                <w:sz w:val="24"/>
                <w:szCs w:val="24"/>
              </w:rPr>
              <w:t>需加强管理及维护</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有任意一个环境风险单元的截流措施不符合上述任意一条要求的。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highlight w:val="yellow"/>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2252"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vertAlign w:val="superscript"/>
              </w:rPr>
            </w:pPr>
            <w:r>
              <w:rPr>
                <w:rFonts w:hint="default" w:ascii="Times New Roman" w:hAnsi="Times New Roman" w:eastAsia="仿宋" w:cs="Times New Roman"/>
                <w:color w:val="auto"/>
                <w:sz w:val="24"/>
                <w:szCs w:val="24"/>
              </w:rPr>
              <w:t>事故排水收集措施</w:t>
            </w:r>
          </w:p>
        </w:tc>
        <w:tc>
          <w:tcPr>
            <w:tcW w:w="3855" w:type="dxa"/>
            <w:vAlign w:val="center"/>
          </w:tcPr>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1)按相关设计规范设置应急事故水池、事故存液池或清净下水排放缓冲池等事故排水收集设施，并根据下游环境风险受体敏感程度和易发生极端天气情况，设置事故排水收集设施的容量；且</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2)事故存液池、应急事故水池、清净下水排放缓冲池等事故排水收集设施位置合理，能自流式或确保事故状态下顺利收集泄漏物和消防水，日常保持足够的事故排水缓冲容量；且</w:t>
            </w:r>
          </w:p>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3)设抽水设施，并与污水管线连接，能将所收集物送至厂区内污水处理设施处理。</w:t>
            </w:r>
          </w:p>
        </w:tc>
        <w:tc>
          <w:tcPr>
            <w:tcW w:w="3543" w:type="dxa"/>
            <w:vMerge w:val="restart"/>
            <w:vAlign w:val="center"/>
          </w:tcPr>
          <w:p>
            <w:pPr>
              <w:autoSpaceDE w:val="0"/>
              <w:autoSpaceDN w:val="0"/>
              <w:adjustRightInd w:val="0"/>
              <w:snapToGrid w:val="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lang w:eastAsia="zh-CN"/>
              </w:rPr>
              <w:t>项目</w:t>
            </w:r>
            <w:r>
              <w:rPr>
                <w:rFonts w:hint="default" w:ascii="Times New Roman" w:hAnsi="Times New Roman" w:eastAsia="仿宋" w:cs="Times New Roman"/>
                <w:color w:val="auto"/>
                <w:kern w:val="0"/>
                <w:sz w:val="24"/>
                <w:szCs w:val="24"/>
              </w:rPr>
              <w:t>无事故排水，不需要设置事故排水收集措施。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有任意一个环境风险单元的事故排水收集措施不符合上述任意一条要求的。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清净下水系统防控措施</w:t>
            </w: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1)不涉及清净下水；或</w:t>
            </w:r>
          </w:p>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2)厂区内清净下水均进入废水处理系统；或清污分流，且清净下水系统具有下述所有措施：</w:t>
            </w:r>
          </w:p>
          <w:p>
            <w:pPr>
              <w:autoSpaceDE w:val="0"/>
              <w:autoSpaceDN w:val="0"/>
              <w:adjustRightInd w:val="0"/>
              <w:snapToGrid w:val="0"/>
              <w:rPr>
                <w:rFonts w:hint="default" w:ascii="Times New Roman" w:hAnsi="Times New Roman" w:eastAsia="仿宋" w:cs="Times New Roman"/>
                <w:color w:val="auto"/>
                <w:spacing w:val="-4"/>
                <w:sz w:val="24"/>
                <w:szCs w:val="24"/>
              </w:rPr>
            </w:pPr>
            <w:r>
              <w:rPr>
                <w:rFonts w:hint="default" w:ascii="Times New Roman" w:hAnsi="Times New Roman" w:eastAsia="仿宋" w:cs="Times New Roman"/>
                <w:color w:val="auto"/>
                <w:sz w:val="24"/>
                <w:szCs w:val="24"/>
              </w:rPr>
              <w:t>①</w:t>
            </w:r>
            <w:r>
              <w:rPr>
                <w:rFonts w:hint="default" w:ascii="Times New Roman" w:hAnsi="Times New Roman" w:eastAsia="仿宋" w:cs="Times New Roman"/>
                <w:color w:val="auto"/>
                <w:spacing w:val="-4"/>
                <w:sz w:val="24"/>
                <w:szCs w:val="24"/>
              </w:rPr>
              <w:t>具有收集受污染的清净下水、初期雨水和消防水功能的清净下水排放缓冲池（或雨水收集池），池内日常保持足够的事故排水缓冲容量；池内设有提升设施，能将所集物送至厂区内污水处理设施处理；且</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pacing w:val="-4"/>
                <w:sz w:val="24"/>
                <w:szCs w:val="24"/>
              </w:rPr>
              <w:t>②具有清净下水系统（或排入雨水系统）的总排口监视及关闭设施，有专人负责在紧急情况下</w:t>
            </w:r>
            <w:r>
              <w:rPr>
                <w:rFonts w:hint="default" w:ascii="Times New Roman" w:hAnsi="Times New Roman" w:eastAsia="仿宋" w:cs="Times New Roman"/>
                <w:color w:val="auto"/>
                <w:sz w:val="24"/>
                <w:szCs w:val="24"/>
              </w:rPr>
              <w:t>关闭清净下水总排口，防止受污染的雨水、清净下水、消防水和泄漏物进入外环境。</w:t>
            </w:r>
          </w:p>
        </w:tc>
        <w:tc>
          <w:tcPr>
            <w:tcW w:w="3543"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不涉及清净下水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涉及清净下水，有任意一个环境风险单元的清净下水系统防控措施但不符合上述2）要求的。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雨排水系统防控措施</w:t>
            </w: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厂区内雨水均进入废水处理系统；或雨污分流，且雨水排放系统具有下述所有措施：</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①</w:t>
            </w:r>
            <w:r>
              <w:rPr>
                <w:rFonts w:hint="default" w:ascii="Times New Roman" w:hAnsi="Times New Roman" w:eastAsia="仿宋" w:cs="Times New Roman"/>
                <w:color w:val="auto"/>
                <w:spacing w:val="-4"/>
                <w:sz w:val="24"/>
                <w:szCs w:val="24"/>
              </w:rPr>
              <w:t>具有收集初期雨水的收集池或雨水监控池；池出水管上设置切断阀，正常情况下阀门关闭，防止受污染的水外排；池内设有提升设施，能将所集物送至厂区内污水处理设施处理；且</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②具有雨水系统外排总排口（含泄洪渠）监视及关闭设施，有专人负责在紧急情况下关闭雨水排口（含与清净下水共用一套排水系统情况），防止雨水、消防水和泄漏物进入外环境；</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③如果有排洪沟，排洪沟不通过生产区和罐区，具有防止泄漏物和受污染的消防水流入区域排洪沟的措施。</w:t>
            </w:r>
          </w:p>
        </w:tc>
        <w:tc>
          <w:tcPr>
            <w:tcW w:w="3543" w:type="dxa"/>
            <w:vMerge w:val="restart"/>
            <w:vAlign w:val="center"/>
          </w:tcPr>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w:t>
            </w:r>
            <w:r>
              <w:rPr>
                <w:rFonts w:hint="eastAsia" w:eastAsia="仿宋" w:cs="Times New Roman"/>
                <w:color w:val="auto"/>
                <w:kern w:val="0"/>
                <w:sz w:val="24"/>
                <w:szCs w:val="24"/>
                <w:lang w:eastAsia="zh-CN"/>
              </w:rPr>
              <w:t>厂内雨水进入厂区三级沉淀池，沉淀后用于厂区洒水和生产</w:t>
            </w:r>
            <w:r>
              <w:rPr>
                <w:rFonts w:hint="default" w:ascii="Times New Roman" w:hAnsi="Times New Roman" w:eastAsia="仿宋" w:cs="Times New Roman"/>
                <w:color w:val="auto"/>
                <w:sz w:val="24"/>
                <w:szCs w:val="24"/>
              </w:rPr>
              <w:t>。</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w:t>
            </w:r>
            <w:r>
              <w:rPr>
                <w:rFonts w:hint="eastAsia" w:eastAsia="仿宋" w:cs="Times New Roman"/>
                <w:color w:val="auto"/>
                <w:sz w:val="24"/>
                <w:szCs w:val="24"/>
                <w:lang w:eastAsia="zh-CN"/>
              </w:rPr>
              <w:t>厂内</w:t>
            </w:r>
            <w:r>
              <w:rPr>
                <w:rFonts w:hint="default" w:ascii="Times New Roman" w:hAnsi="Times New Roman" w:eastAsia="仿宋" w:cs="Times New Roman"/>
                <w:color w:val="auto"/>
                <w:sz w:val="24"/>
                <w:szCs w:val="24"/>
              </w:rPr>
              <w:t>无泄洪沟。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firstLine="360" w:firstLineChars="15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不符合上述要求的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生产废水处理系统防控措施</w:t>
            </w: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1）无生产废水产生或外排；或</w:t>
            </w:r>
          </w:p>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2）有废水产生或外排时：</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①</w:t>
            </w:r>
            <w:r>
              <w:rPr>
                <w:rFonts w:hint="default" w:ascii="Times New Roman" w:hAnsi="Times New Roman" w:eastAsia="仿宋" w:cs="Times New Roman"/>
                <w:color w:val="auto"/>
                <w:spacing w:val="-4"/>
                <w:sz w:val="24"/>
                <w:szCs w:val="24"/>
              </w:rPr>
              <w:t>受污染的循环冷却水、雨水、消防水等排入生产污水系统或独立处理系统；且</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②生产废水排放前设监控池，能够将不合格废水送废水处理设施重新处理；且</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③如企业受污染的清净下水或雨水进入废水处理系统处理，则废水处理系统应设置事故水缓冲设施；</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④具有生产废水总排口监视及关闭设施，有专人负责启闭，确保泄漏物、受污染的消防水、不合格废水不排出厂外。</w:t>
            </w:r>
          </w:p>
        </w:tc>
        <w:tc>
          <w:tcPr>
            <w:tcW w:w="3543" w:type="dxa"/>
            <w:vMerge w:val="restart"/>
            <w:vAlign w:val="center"/>
          </w:tcPr>
          <w:p>
            <w:pPr>
              <w:autoSpaceDE w:val="0"/>
              <w:autoSpaceDN w:val="0"/>
              <w:adjustRightInd w:val="0"/>
              <w:snapToGrid w:val="0"/>
              <w:jc w:val="center"/>
              <w:rPr>
                <w:rFonts w:hint="default" w:ascii="Times New Roman" w:hAnsi="Times New Roman" w:eastAsia="仿宋" w:cs="Times New Roman"/>
                <w:color w:val="auto"/>
                <w:spacing w:val="-4"/>
                <w:sz w:val="24"/>
                <w:szCs w:val="24"/>
              </w:rPr>
            </w:pPr>
            <w:r>
              <w:rPr>
                <w:rFonts w:hint="default" w:ascii="Times New Roman" w:hAnsi="Times New Roman" w:eastAsia="仿宋" w:cs="Times New Roman"/>
                <w:color w:val="auto"/>
                <w:spacing w:val="-4"/>
                <w:sz w:val="24"/>
                <w:szCs w:val="24"/>
                <w:lang w:eastAsia="zh-CN"/>
              </w:rPr>
              <w:t>项目生产废水循环利用，不外排。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涉及废水产生或外排，但不符合上述 2）中任意一条要求的。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毒性气体泄漏紧急处置装置</w:t>
            </w: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1）不涉及有毒有害气体的；或</w:t>
            </w:r>
          </w:p>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2）根据实际情况，具有针对有毒有害气体（如硫化氢、氰化氢、氯化氢、光气、氯气、氨气、苯等）的泄漏紧急处置措施。</w:t>
            </w:r>
          </w:p>
        </w:tc>
        <w:tc>
          <w:tcPr>
            <w:tcW w:w="3543" w:type="dxa"/>
            <w:vMerge w:val="restart"/>
            <w:vAlign w:val="center"/>
          </w:tcPr>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不涉及有毒有害气体</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不具备有毒有害气体泄漏紧急处置装置的。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毒性气体泄漏监控预警措施</w:t>
            </w: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1）不涉及有毒有害气体的；或</w:t>
            </w:r>
          </w:p>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2）根据实际情况，具有针对有毒有害气体（如硫化氢、氰化氢、氯化氢、光气、氯气、氨气、苯等）设置生产区域或厂界泄漏监控预警措施。</w:t>
            </w:r>
          </w:p>
        </w:tc>
        <w:tc>
          <w:tcPr>
            <w:tcW w:w="3543" w:type="dxa"/>
            <w:vMerge w:val="restart"/>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eastAsia="zh-CN"/>
              </w:rPr>
              <w:t>不涉及有毒有害气体</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不具备生产区域或厂界有毒有害气体泄漏监控预警措施的。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restart"/>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环评及批复的其他风险防控措施落实情况</w:t>
            </w: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按环评及批复文件的要求落实的其他建设环境风险防控设施的。</w:t>
            </w:r>
          </w:p>
        </w:tc>
        <w:tc>
          <w:tcPr>
            <w:tcW w:w="3543" w:type="dxa"/>
            <w:vMerge w:val="restart"/>
            <w:vAlign w:val="center"/>
          </w:tcPr>
          <w:p>
            <w:pPr>
              <w:autoSpaceDE w:val="0"/>
              <w:autoSpaceDN w:val="0"/>
              <w:adjustRightInd w:val="0"/>
              <w:snapToGrid w:val="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企业环评及批复风险防控措施已基本落实。</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1276" w:type="dxa"/>
            <w:vMerge w:val="continue"/>
            <w:vAlign w:val="center"/>
          </w:tcPr>
          <w:p>
            <w:pPr>
              <w:autoSpaceDE w:val="0"/>
              <w:autoSpaceDN w:val="0"/>
              <w:adjustRightInd w:val="0"/>
              <w:snapToGrid w:val="0"/>
              <w:ind w:right="-10"/>
              <w:jc w:val="center"/>
              <w:rPr>
                <w:rFonts w:hint="default" w:ascii="Times New Roman" w:hAnsi="Times New Roman" w:eastAsia="仿宋" w:cs="Times New Roman"/>
                <w:color w:val="auto"/>
                <w:sz w:val="24"/>
                <w:szCs w:val="24"/>
              </w:rPr>
            </w:pPr>
          </w:p>
        </w:tc>
        <w:tc>
          <w:tcPr>
            <w:tcW w:w="3855" w:type="dxa"/>
            <w:vAlign w:val="center"/>
          </w:tcPr>
          <w:p>
            <w:pPr>
              <w:autoSpaceDE w:val="0"/>
              <w:autoSpaceDN w:val="0"/>
              <w:adjustRightInd w:val="0"/>
              <w:snapToGrid w:val="0"/>
              <w:ind w:right="34" w:rightChars="16"/>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未落实环评及批复文件中其他环境风险防控设施要求的。</w:t>
            </w:r>
          </w:p>
        </w:tc>
        <w:tc>
          <w:tcPr>
            <w:tcW w:w="3543" w:type="dxa"/>
            <w:vMerge w:val="continue"/>
            <w:vAlign w:val="center"/>
          </w:tcPr>
          <w:p>
            <w:pPr>
              <w:autoSpaceDE w:val="0"/>
              <w:autoSpaceDN w:val="0"/>
              <w:adjustRightInd w:val="0"/>
              <w:snapToGrid w:val="0"/>
              <w:jc w:val="center"/>
              <w:rPr>
                <w:rFonts w:hint="default" w:ascii="Times New Roman" w:hAnsi="Times New Roman" w:eastAsia="仿宋" w:cs="Times New Roman"/>
                <w:color w:val="auto"/>
                <w:sz w:val="24"/>
                <w:szCs w:val="24"/>
              </w:rPr>
            </w:pPr>
          </w:p>
        </w:tc>
      </w:tr>
    </w:tbl>
    <w:p>
      <w:pPr>
        <w:spacing w:line="360" w:lineRule="auto"/>
        <w:outlineLvl w:val="1"/>
        <w:rPr>
          <w:rFonts w:hint="default" w:ascii="Times New Roman" w:hAnsi="Times New Roman" w:eastAsia="仿宋" w:cs="Times New Roman"/>
          <w:color w:val="auto"/>
          <w:sz w:val="28"/>
          <w:szCs w:val="28"/>
        </w:rPr>
      </w:pPr>
      <w:bookmarkStart w:id="65" w:name="_Toc18820"/>
      <w:r>
        <w:rPr>
          <w:rFonts w:hint="default" w:ascii="Times New Roman" w:hAnsi="Times New Roman" w:eastAsia="仿宋" w:cs="Times New Roman"/>
          <w:b/>
          <w:bCs/>
          <w:snapToGrid w:val="0"/>
          <w:color w:val="auto"/>
          <w:kern w:val="0"/>
          <w:sz w:val="28"/>
          <w:szCs w:val="28"/>
        </w:rPr>
        <w:t>3.8现有应急物资与装备、救援队伍情况</w:t>
      </w:r>
      <w:bookmarkEnd w:id="65"/>
    </w:p>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3.8.1现有应急物资与装备</w:t>
      </w:r>
    </w:p>
    <w:p>
      <w:pPr>
        <w:spacing w:line="360" w:lineRule="auto"/>
        <w:ind w:firstLine="560" w:firstLineChars="20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现有应急物资及装备见下表3-10。</w:t>
      </w:r>
    </w:p>
    <w:p>
      <w:pPr>
        <w:spacing w:line="360" w:lineRule="auto"/>
        <w:jc w:val="center"/>
        <w:textAlignment w:val="baseline"/>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表3-10  现有应急物资及装备</w:t>
      </w:r>
    </w:p>
    <w:tbl>
      <w:tblPr>
        <w:tblStyle w:val="23"/>
        <w:tblW w:w="883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91"/>
        <w:gridCol w:w="2257"/>
        <w:gridCol w:w="1534"/>
        <w:gridCol w:w="1017"/>
        <w:gridCol w:w="1898"/>
        <w:gridCol w:w="153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序号</w:t>
            </w:r>
          </w:p>
        </w:tc>
        <w:tc>
          <w:tcPr>
            <w:tcW w:w="2257"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应急物资名称</w:t>
            </w:r>
          </w:p>
        </w:tc>
        <w:tc>
          <w:tcPr>
            <w:tcW w:w="1534"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规格、型号</w:t>
            </w:r>
          </w:p>
        </w:tc>
        <w:tc>
          <w:tcPr>
            <w:tcW w:w="1017"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数量</w:t>
            </w:r>
          </w:p>
        </w:tc>
        <w:tc>
          <w:tcPr>
            <w:tcW w:w="1898"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备注</w:t>
            </w:r>
          </w:p>
        </w:tc>
        <w:tc>
          <w:tcPr>
            <w:tcW w:w="1537" w:type="dxa"/>
            <w:vAlign w:val="center"/>
          </w:tcPr>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负责人</w:t>
            </w:r>
          </w:p>
          <w:p>
            <w:pPr>
              <w:snapToGrid w:val="0"/>
              <w:ind w:left="-105" w:leftChars="-50" w:right="-105" w:rightChars="-50"/>
              <w:contextualSpacing/>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（联系人）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Merge w:val="restar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w:t>
            </w:r>
          </w:p>
        </w:tc>
        <w:tc>
          <w:tcPr>
            <w:tcW w:w="2257"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手提式干粉灭火器</w:t>
            </w:r>
          </w:p>
        </w:tc>
        <w:tc>
          <w:tcPr>
            <w:tcW w:w="1534"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MF/ABC4</w:t>
            </w:r>
          </w:p>
        </w:tc>
        <w:tc>
          <w:tcPr>
            <w:tcW w:w="1017" w:type="dxa"/>
            <w:vAlign w:val="center"/>
          </w:tcPr>
          <w:p>
            <w:pPr>
              <w:jc w:val="center"/>
              <w:rPr>
                <w:rFonts w:hint="default" w:ascii="Times New Roman" w:hAnsi="Times New Roman" w:eastAsia="仿宋" w:cs="Times New Roman"/>
                <w:color w:val="auto"/>
                <w:sz w:val="24"/>
                <w:szCs w:val="24"/>
              </w:rPr>
            </w:pPr>
            <w:r>
              <w:rPr>
                <w:rFonts w:hint="eastAsia" w:eastAsia="仿宋" w:cs="Times New Roman"/>
                <w:color w:val="auto"/>
                <w:sz w:val="24"/>
                <w:szCs w:val="24"/>
                <w:lang w:val="en-US" w:eastAsia="zh-CN"/>
              </w:rPr>
              <w:t>32</w:t>
            </w:r>
            <w:r>
              <w:rPr>
                <w:rFonts w:hint="default" w:ascii="Times New Roman" w:hAnsi="Times New Roman" w:eastAsia="仿宋" w:cs="Times New Roman"/>
                <w:color w:val="auto"/>
                <w:sz w:val="24"/>
                <w:szCs w:val="24"/>
              </w:rPr>
              <w:t>具</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厂区</w:t>
            </w:r>
          </w:p>
        </w:tc>
        <w:tc>
          <w:tcPr>
            <w:tcW w:w="1537" w:type="dxa"/>
            <w:vMerge w:val="restart"/>
            <w:vAlign w:val="center"/>
          </w:tcPr>
          <w:p>
            <w:pPr>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刘占占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Merge w:val="continue"/>
            <w:vAlign w:val="center"/>
          </w:tcPr>
          <w:p>
            <w:pPr>
              <w:jc w:val="center"/>
              <w:rPr>
                <w:rFonts w:hint="default" w:ascii="Times New Roman" w:hAnsi="Times New Roman" w:eastAsia="仿宋" w:cs="Times New Roman"/>
                <w:color w:val="auto"/>
                <w:sz w:val="24"/>
                <w:szCs w:val="24"/>
              </w:rPr>
            </w:pPr>
          </w:p>
        </w:tc>
        <w:tc>
          <w:tcPr>
            <w:tcW w:w="2257" w:type="dxa"/>
            <w:vAlign w:val="center"/>
          </w:tcPr>
          <w:p>
            <w:pPr>
              <w:jc w:val="center"/>
              <w:rPr>
                <w:rFonts w:hint="eastAsia" w:ascii="Times New Roman" w:hAnsi="Times New Roman" w:eastAsia="仿宋" w:cs="Times New Roman"/>
                <w:color w:val="auto"/>
                <w:sz w:val="24"/>
                <w:szCs w:val="24"/>
                <w:lang w:eastAsia="zh-CN"/>
              </w:rPr>
            </w:pPr>
            <w:r>
              <w:rPr>
                <w:rFonts w:hint="eastAsia" w:eastAsia="仿宋" w:cs="Times New Roman"/>
                <w:color w:val="auto"/>
                <w:sz w:val="24"/>
                <w:szCs w:val="24"/>
                <w:lang w:eastAsia="zh-CN"/>
              </w:rPr>
              <w:t>推车式干粉灭火器</w:t>
            </w:r>
          </w:p>
        </w:tc>
        <w:tc>
          <w:tcPr>
            <w:tcW w:w="1534"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rPr>
              <w:t>MF/ABC</w:t>
            </w:r>
            <w:r>
              <w:rPr>
                <w:rFonts w:hint="eastAsia" w:eastAsia="仿宋" w:cs="Times New Roman"/>
                <w:color w:val="auto"/>
                <w:sz w:val="24"/>
                <w:szCs w:val="24"/>
                <w:lang w:val="en-US" w:eastAsia="zh-CN"/>
              </w:rPr>
              <w:t>35</w:t>
            </w:r>
          </w:p>
        </w:tc>
        <w:tc>
          <w:tcPr>
            <w:tcW w:w="1017" w:type="dxa"/>
            <w:vAlign w:val="center"/>
          </w:tcPr>
          <w:p>
            <w:pPr>
              <w:jc w:val="center"/>
              <w:rPr>
                <w:rFonts w:hint="default" w:ascii="Times New Roman" w:hAnsi="Times New Roman" w:eastAsia="仿宋" w:cs="Times New Roman"/>
                <w:color w:val="auto"/>
                <w:sz w:val="24"/>
                <w:szCs w:val="24"/>
              </w:rPr>
            </w:pPr>
            <w:r>
              <w:rPr>
                <w:rFonts w:hint="eastAsia" w:eastAsia="仿宋" w:cs="Times New Roman"/>
                <w:color w:val="auto"/>
                <w:sz w:val="24"/>
                <w:szCs w:val="24"/>
                <w:lang w:val="en-US" w:eastAsia="zh-CN"/>
              </w:rPr>
              <w:t>6</w:t>
            </w:r>
            <w:r>
              <w:rPr>
                <w:rFonts w:hint="default" w:ascii="Times New Roman" w:hAnsi="Times New Roman" w:eastAsia="仿宋" w:cs="Times New Roman"/>
                <w:color w:val="auto"/>
                <w:sz w:val="24"/>
                <w:szCs w:val="24"/>
              </w:rPr>
              <w:t>具</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eastAsia" w:eastAsia="仿宋" w:cs="Times New Roman"/>
                <w:color w:val="auto"/>
                <w:sz w:val="24"/>
                <w:szCs w:val="24"/>
                <w:lang w:val="en-US" w:eastAsia="zh-CN"/>
              </w:rPr>
              <w:t>厂区及办公楼</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w:t>
            </w:r>
          </w:p>
        </w:tc>
        <w:tc>
          <w:tcPr>
            <w:tcW w:w="225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急救药箱</w:t>
            </w:r>
          </w:p>
        </w:tc>
        <w:tc>
          <w:tcPr>
            <w:tcW w:w="1534"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1个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3</w:t>
            </w:r>
          </w:p>
        </w:tc>
        <w:tc>
          <w:tcPr>
            <w:tcW w:w="225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手持扩音器</w:t>
            </w:r>
          </w:p>
        </w:tc>
        <w:tc>
          <w:tcPr>
            <w:tcW w:w="1534"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1个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4</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61"/>
                <w:rFonts w:hint="default" w:ascii="Times New Roman" w:hAnsi="Times New Roman" w:eastAsia="仿宋" w:cs="Times New Roman"/>
                <w:color w:val="auto"/>
                <w:sz w:val="24"/>
              </w:rPr>
              <w:t>消防锨</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2把</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车间外</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5</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61"/>
                <w:rFonts w:hint="default" w:ascii="Times New Roman" w:hAnsi="Times New Roman" w:eastAsia="仿宋" w:cs="Times New Roman"/>
                <w:color w:val="auto"/>
                <w:sz w:val="24"/>
              </w:rPr>
              <w:t>消防桶</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1个</w:t>
            </w:r>
          </w:p>
        </w:tc>
        <w:tc>
          <w:tcPr>
            <w:tcW w:w="1898"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车间外</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6</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61"/>
                <w:rFonts w:hint="default" w:ascii="Times New Roman" w:hAnsi="Times New Roman" w:eastAsia="仿宋" w:cs="Times New Roman"/>
                <w:color w:val="auto"/>
                <w:sz w:val="24"/>
              </w:rPr>
              <w:t>消防沙</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2m³</w:t>
            </w:r>
          </w:p>
        </w:tc>
        <w:tc>
          <w:tcPr>
            <w:tcW w:w="1898"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车间外</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7</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Style w:val="61"/>
                <w:rFonts w:hint="default" w:ascii="Times New Roman" w:hAnsi="Times New Roman" w:eastAsia="仿宋" w:cs="Times New Roman"/>
                <w:color w:val="auto"/>
                <w:sz w:val="24"/>
              </w:rPr>
              <w:t>担架</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1个</w:t>
            </w:r>
          </w:p>
        </w:tc>
        <w:tc>
          <w:tcPr>
            <w:tcW w:w="1898" w:type="dxa"/>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8</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口罩</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val="en-US" w:eastAsia="zh-CN"/>
              </w:rPr>
              <w:t>20个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9</w:t>
            </w:r>
          </w:p>
        </w:tc>
        <w:tc>
          <w:tcPr>
            <w:tcW w:w="225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正压式呼吸器</w:t>
            </w:r>
          </w:p>
        </w:tc>
        <w:tc>
          <w:tcPr>
            <w:tcW w:w="153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left="0" w:leftChars="0" w:right="0" w:rightChars="0" w:firstLine="0" w:firstLineChars="0"/>
              <w:jc w:val="center"/>
              <w:textAlignment w:val="auto"/>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b/>
                <w:bCs/>
                <w:color w:val="auto"/>
                <w:sz w:val="24"/>
                <w:szCs w:val="24"/>
              </w:rPr>
              <w:t>——</w:t>
            </w:r>
          </w:p>
        </w:tc>
        <w:tc>
          <w:tcPr>
            <w:tcW w:w="1017"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val="en-US" w:eastAsia="zh-CN"/>
              </w:rPr>
              <w:t>1个</w:t>
            </w:r>
          </w:p>
        </w:tc>
        <w:tc>
          <w:tcPr>
            <w:tcW w:w="1898" w:type="dxa"/>
            <w:vAlign w:val="center"/>
          </w:tcPr>
          <w:p>
            <w:pPr>
              <w:jc w:val="cente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10</w:t>
            </w:r>
          </w:p>
        </w:tc>
        <w:tc>
          <w:tcPr>
            <w:tcW w:w="2257" w:type="dxa"/>
            <w:vAlign w:val="center"/>
          </w:tcPr>
          <w:p>
            <w:pPr>
              <w:spacing w:line="300" w:lineRule="exact"/>
              <w:ind w:left="-105" w:leftChars="-50" w:right="-105" w:rightChars="-50"/>
              <w:jc w:val="center"/>
              <w:rPr>
                <w:rFonts w:hint="default" w:ascii="仿宋" w:hAnsi="仿宋" w:eastAsia="仿宋" w:cs="仿宋"/>
                <w:color w:val="auto"/>
                <w:kern w:val="2"/>
                <w:sz w:val="24"/>
                <w:szCs w:val="24"/>
                <w:lang w:val="en-US" w:eastAsia="zh-CN" w:bidi="ar-SA"/>
              </w:rPr>
            </w:pPr>
            <w:r>
              <w:rPr>
                <w:rFonts w:hint="eastAsia" w:ascii="仿宋" w:hAnsi="仿宋" w:eastAsia="仿宋" w:cs="仿宋"/>
                <w:color w:val="auto"/>
                <w:sz w:val="24"/>
              </w:rPr>
              <w:t>移动应急照明灯</w:t>
            </w:r>
          </w:p>
        </w:tc>
        <w:tc>
          <w:tcPr>
            <w:tcW w:w="1534" w:type="dxa"/>
            <w:vAlign w:val="center"/>
          </w:tcPr>
          <w:p>
            <w:pPr>
              <w:spacing w:line="300" w:lineRule="exact"/>
              <w:ind w:left="-105" w:leftChars="-50" w:right="-105" w:rightChars="-50"/>
              <w:jc w:val="center"/>
              <w:rPr>
                <w:rFonts w:hint="default" w:ascii="仿宋" w:hAnsi="仿宋" w:eastAsia="仿宋" w:cs="仿宋"/>
                <w:color w:val="auto"/>
                <w:kern w:val="2"/>
                <w:sz w:val="24"/>
                <w:szCs w:val="24"/>
                <w:lang w:val="en-US" w:eastAsia="zh-CN" w:bidi="ar-SA"/>
              </w:rPr>
            </w:pPr>
            <w:r>
              <w:rPr>
                <w:rFonts w:hint="eastAsia" w:ascii="仿宋" w:hAnsi="仿宋" w:eastAsia="仿宋" w:cs="仿宋"/>
                <w:color w:val="auto"/>
                <w:sz w:val="24"/>
              </w:rPr>
              <w:t>LED手电筒</w:t>
            </w:r>
          </w:p>
        </w:tc>
        <w:tc>
          <w:tcPr>
            <w:tcW w:w="1017" w:type="dxa"/>
            <w:vAlign w:val="center"/>
          </w:tcPr>
          <w:p>
            <w:pPr>
              <w:spacing w:line="300" w:lineRule="exact"/>
              <w:ind w:left="-105" w:leftChars="-50" w:right="-105" w:rightChars="-50"/>
              <w:jc w:val="center"/>
              <w:rPr>
                <w:rFonts w:hint="default" w:ascii="仿宋" w:hAnsi="仿宋" w:eastAsia="仿宋" w:cs="仿宋"/>
                <w:color w:val="auto"/>
                <w:kern w:val="2"/>
                <w:sz w:val="24"/>
                <w:szCs w:val="24"/>
                <w:lang w:val="en-US" w:eastAsia="zh-CN" w:bidi="ar-SA"/>
              </w:rPr>
            </w:pPr>
            <w:r>
              <w:rPr>
                <w:rFonts w:hint="eastAsia" w:ascii="仿宋" w:hAnsi="仿宋" w:eastAsia="仿宋" w:cs="仿宋"/>
                <w:color w:val="auto"/>
                <w:sz w:val="24"/>
              </w:rPr>
              <w:t>1</w:t>
            </w:r>
          </w:p>
        </w:tc>
        <w:tc>
          <w:tcPr>
            <w:tcW w:w="1898" w:type="dxa"/>
            <w:vAlign w:val="center"/>
          </w:tcPr>
          <w:p>
            <w:pPr>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11</w:t>
            </w:r>
          </w:p>
        </w:tc>
        <w:tc>
          <w:tcPr>
            <w:tcW w:w="225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rPr>
              <w:t>警戒线</w:t>
            </w:r>
          </w:p>
        </w:tc>
        <w:tc>
          <w:tcPr>
            <w:tcW w:w="1534"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rPr>
              <w:t>40mm/100米</w:t>
            </w:r>
          </w:p>
        </w:tc>
        <w:tc>
          <w:tcPr>
            <w:tcW w:w="101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rPr>
              <w:t>1卷</w:t>
            </w:r>
          </w:p>
        </w:tc>
        <w:tc>
          <w:tcPr>
            <w:tcW w:w="1898" w:type="dxa"/>
            <w:vAlign w:val="center"/>
          </w:tcPr>
          <w:p>
            <w:pPr>
              <w:spacing w:line="300" w:lineRule="exact"/>
              <w:ind w:left="-105" w:leftChars="-50" w:right="-105" w:rightChars="-50"/>
              <w:jc w:val="center"/>
              <w:rPr>
                <w:rFonts w:hint="default" w:ascii="仿宋" w:hAnsi="仿宋" w:eastAsia="仿宋" w:cs="仿宋"/>
                <w:color w:val="auto"/>
                <w:kern w:val="2"/>
                <w:sz w:val="24"/>
                <w:szCs w:val="20"/>
                <w:lang w:val="en-US" w:eastAsia="zh-CN" w:bidi="ar-SA"/>
              </w:rPr>
            </w:pPr>
            <w:r>
              <w:rPr>
                <w:rFonts w:hint="default" w:ascii="Times New Roman" w:hAnsi="Times New Roman" w:eastAsia="仿宋" w:cs="Times New Roman"/>
                <w:color w:val="auto"/>
                <w:sz w:val="24"/>
                <w:szCs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591" w:type="dxa"/>
            <w:vAlign w:val="center"/>
          </w:tcPr>
          <w:p>
            <w:pPr>
              <w:jc w:val="center"/>
              <w:rPr>
                <w:rFonts w:hint="default" w:ascii="Times New Roman" w:hAnsi="Times New Roman" w:eastAsia="仿宋" w:cs="Times New Roman"/>
                <w:color w:val="auto"/>
                <w:sz w:val="24"/>
                <w:szCs w:val="24"/>
                <w:lang w:val="en-US" w:eastAsia="zh-CN"/>
              </w:rPr>
            </w:pPr>
            <w:r>
              <w:rPr>
                <w:rFonts w:hint="eastAsia" w:eastAsia="仿宋" w:cs="Times New Roman"/>
                <w:color w:val="auto"/>
                <w:sz w:val="24"/>
                <w:szCs w:val="24"/>
                <w:lang w:val="en-US" w:eastAsia="zh-CN"/>
              </w:rPr>
              <w:t>12</w:t>
            </w:r>
          </w:p>
        </w:tc>
        <w:tc>
          <w:tcPr>
            <w:tcW w:w="225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eastAsia="zh-CN"/>
              </w:rPr>
              <w:t>安全帽</w:t>
            </w:r>
          </w:p>
        </w:tc>
        <w:tc>
          <w:tcPr>
            <w:tcW w:w="1534"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val="en-US" w:eastAsia="zh-CN"/>
              </w:rPr>
              <w:t>/</w:t>
            </w:r>
          </w:p>
        </w:tc>
        <w:tc>
          <w:tcPr>
            <w:tcW w:w="1017"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val="en-US" w:eastAsia="zh-CN"/>
              </w:rPr>
              <w:t>10个</w:t>
            </w:r>
          </w:p>
        </w:tc>
        <w:tc>
          <w:tcPr>
            <w:tcW w:w="1898" w:type="dxa"/>
            <w:vAlign w:val="center"/>
          </w:tcPr>
          <w:p>
            <w:pPr>
              <w:spacing w:line="300" w:lineRule="exact"/>
              <w:ind w:left="-105" w:leftChars="-50" w:right="-105" w:rightChars="-5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sz w:val="24"/>
                <w:lang w:eastAsia="zh-CN"/>
              </w:rPr>
              <w:t>应急物资库</w:t>
            </w:r>
          </w:p>
        </w:tc>
        <w:tc>
          <w:tcPr>
            <w:tcW w:w="1537" w:type="dxa"/>
            <w:vMerge w:val="continue"/>
            <w:vAlign w:val="center"/>
          </w:tcPr>
          <w:p>
            <w:pPr>
              <w:jc w:val="center"/>
              <w:rPr>
                <w:rFonts w:hint="default" w:ascii="Times New Roman" w:hAnsi="Times New Roman" w:eastAsia="仿宋" w:cs="Times New Roman"/>
                <w:color w:val="auto"/>
                <w:sz w:val="24"/>
                <w:szCs w:val="24"/>
              </w:rPr>
            </w:pPr>
          </w:p>
        </w:tc>
      </w:tr>
    </w:tbl>
    <w:p>
      <w:pPr>
        <w:pStyle w:val="4"/>
        <w:widowControl/>
        <w:topLinePunct/>
        <w:autoSpaceDN w:val="0"/>
        <w:spacing w:before="0" w:after="0" w:line="360" w:lineRule="auto"/>
        <w:jc w:val="left"/>
        <w:rPr>
          <w:rFonts w:hint="default" w:ascii="Times New Roman" w:hAnsi="Times New Roman" w:eastAsia="仿宋" w:cs="Times New Roman"/>
          <w:bCs w:val="0"/>
          <w:color w:val="auto"/>
          <w:kern w:val="0"/>
          <w:sz w:val="28"/>
          <w:szCs w:val="28"/>
          <w:lang w:bidi="ar"/>
        </w:rPr>
      </w:pPr>
      <w:r>
        <w:rPr>
          <w:rFonts w:hint="default" w:ascii="Times New Roman" w:hAnsi="Times New Roman" w:eastAsia="仿宋" w:cs="Times New Roman"/>
          <w:bCs w:val="0"/>
          <w:color w:val="auto"/>
          <w:kern w:val="0"/>
          <w:sz w:val="28"/>
          <w:szCs w:val="28"/>
          <w:lang w:bidi="ar"/>
        </w:rPr>
        <w:t>3.8.2应急组织机构</w:t>
      </w:r>
    </w:p>
    <w:p>
      <w:pPr>
        <w:spacing w:line="360" w:lineRule="auto"/>
        <w:outlineLvl w:val="3"/>
        <w:rPr>
          <w:rFonts w:hint="default" w:ascii="Times New Roman" w:hAnsi="Times New Roman" w:eastAsia="仿宋" w:cs="Times New Roman"/>
          <w:b/>
          <w:color w:val="auto"/>
          <w:sz w:val="28"/>
          <w:szCs w:val="28"/>
        </w:rPr>
      </w:pPr>
      <w:r>
        <w:rPr>
          <w:rFonts w:hint="default" w:ascii="Times New Roman" w:hAnsi="Times New Roman" w:eastAsia="仿宋" w:cs="Times New Roman"/>
          <w:b/>
          <w:color w:val="auto"/>
          <w:sz w:val="28"/>
          <w:szCs w:val="28"/>
        </w:rPr>
        <w:t>3.8.2.1内部应急救援队伍</w:t>
      </w:r>
    </w:p>
    <w:p>
      <w:pPr>
        <w:spacing w:line="360" w:lineRule="auto"/>
        <w:ind w:firstLine="548" w:firstLineChars="196"/>
        <w:rPr>
          <w:rFonts w:hint="default" w:ascii="Times New Roman" w:hAnsi="Times New Roman" w:eastAsia="仿宋" w:cs="Times New Roman"/>
          <w:bCs/>
          <w:color w:val="auto"/>
          <w:sz w:val="28"/>
          <w:szCs w:val="28"/>
          <w:lang w:val="zh-CN"/>
        </w:rPr>
      </w:pPr>
      <w:r>
        <w:rPr>
          <w:rFonts w:hint="default" w:ascii="Times New Roman" w:hAnsi="Times New Roman" w:eastAsia="仿宋" w:cs="Times New Roman"/>
          <w:bCs/>
          <w:color w:val="auto"/>
          <w:sz w:val="28"/>
          <w:szCs w:val="28"/>
          <w:lang w:val="zh-CN"/>
        </w:rPr>
        <w:t>项目设立突发环境事故应急指挥机构，应急指挥机构由应急总指挥、应急副指挥、</w:t>
      </w:r>
      <w:r>
        <w:rPr>
          <w:rFonts w:hint="eastAsia" w:eastAsia="仿宋" w:cs="Times New Roman"/>
          <w:bCs/>
          <w:color w:val="auto"/>
          <w:sz w:val="28"/>
          <w:szCs w:val="28"/>
          <w:lang w:val="zh-CN"/>
        </w:rPr>
        <w:t>应急处置组</w:t>
      </w:r>
      <w:r>
        <w:rPr>
          <w:rFonts w:hint="default" w:ascii="Times New Roman" w:hAnsi="Times New Roman" w:eastAsia="仿宋" w:cs="Times New Roman"/>
          <w:bCs/>
          <w:color w:val="auto"/>
          <w:sz w:val="28"/>
          <w:szCs w:val="28"/>
          <w:lang w:val="zh-CN"/>
        </w:rPr>
        <w:t>、</w:t>
      </w:r>
      <w:r>
        <w:rPr>
          <w:rFonts w:hint="eastAsia" w:eastAsia="仿宋" w:cs="Times New Roman"/>
          <w:bCs/>
          <w:color w:val="auto"/>
          <w:sz w:val="28"/>
          <w:szCs w:val="28"/>
          <w:lang w:val="zh-CN"/>
        </w:rPr>
        <w:t>通讯联络</w:t>
      </w:r>
      <w:r>
        <w:rPr>
          <w:rFonts w:hint="default" w:ascii="Times New Roman" w:hAnsi="Times New Roman" w:eastAsia="仿宋" w:cs="Times New Roman"/>
          <w:bCs/>
          <w:color w:val="auto"/>
          <w:sz w:val="28"/>
          <w:szCs w:val="28"/>
          <w:lang w:val="zh-CN"/>
        </w:rPr>
        <w:t>组、后勤保障组组成。应急总指挥由公司经理担任，副经理任副总指挥。发生突发环境事故时，应急总指挥负责现场应急救援工作的组织和指挥，副总指挥负责协助总指挥进行现场处置工作，若公司经理不在场时，由副经理任临时总指挥，全权负责突发环境事故应急救援工作。</w:t>
      </w:r>
      <w:bookmarkStart w:id="99" w:name="_GoBack"/>
      <w:bookmarkEnd w:id="99"/>
    </w:p>
    <w:p>
      <w:pPr>
        <w:spacing w:line="360" w:lineRule="auto"/>
        <w:ind w:firstLine="548" w:firstLineChars="196"/>
        <w:rPr>
          <w:rFonts w:hint="default" w:ascii="Times New Roman" w:hAnsi="Times New Roman" w:eastAsia="仿宋" w:cs="Times New Roman"/>
          <w:bCs/>
          <w:color w:val="auto"/>
          <w:sz w:val="28"/>
          <w:szCs w:val="28"/>
          <w:lang w:val="zh-CN"/>
        </w:rPr>
      </w:pPr>
      <w:bookmarkStart w:id="66" w:name="OLE_LINK2"/>
      <w:bookmarkStart w:id="67" w:name="OLE_LINK4"/>
      <w:r>
        <w:rPr>
          <w:rFonts w:hint="default" w:ascii="Times New Roman" w:hAnsi="Times New Roman" w:eastAsia="仿宋" w:cs="Times New Roman"/>
          <w:bCs/>
          <w:color w:val="auto"/>
          <w:sz w:val="28"/>
          <w:szCs w:val="28"/>
          <w:lang w:val="zh-CN"/>
        </w:rPr>
        <w:t>突发环境污染事件应急指挥体系框架见图</w:t>
      </w:r>
      <w:bookmarkEnd w:id="66"/>
      <w:bookmarkEnd w:id="67"/>
      <w:r>
        <w:rPr>
          <w:rFonts w:hint="default" w:ascii="Times New Roman" w:hAnsi="Times New Roman" w:eastAsia="仿宋" w:cs="Times New Roman"/>
          <w:bCs/>
          <w:color w:val="auto"/>
          <w:sz w:val="28"/>
          <w:szCs w:val="28"/>
          <w:lang w:val="zh-CN"/>
        </w:rPr>
        <w:t>3-6所示。</w:t>
      </w:r>
    </w:p>
    <w:p>
      <w:pPr>
        <w:rPr>
          <w:rFonts w:hint="default"/>
          <w:color w:val="auto"/>
          <w:lang w:val="zh-CN"/>
        </w:rPr>
      </w:pPr>
    </w:p>
    <w:p>
      <w:pPr>
        <w:widowControl/>
        <w:spacing w:line="360" w:lineRule="auto"/>
        <w:jc w:val="left"/>
        <w:rPr>
          <w:rFonts w:hint="default" w:ascii="Times New Roman" w:hAnsi="Times New Roman" w:eastAsia="仿宋" w:cs="Times New Roman"/>
          <w:color w:val="auto"/>
          <w:sz w:val="28"/>
          <w:szCs w:val="28"/>
        </w:rPr>
      </w:pPr>
    </w:p>
    <w:p>
      <w:pPr>
        <w:widowControl/>
        <w:spacing w:line="360" w:lineRule="auto"/>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2576" behindDoc="0" locked="0" layoutInCell="1" allowOverlap="1">
                <wp:simplePos x="0" y="0"/>
                <wp:positionH relativeFrom="column">
                  <wp:posOffset>2466975</wp:posOffset>
                </wp:positionH>
                <wp:positionV relativeFrom="paragraph">
                  <wp:posOffset>124460</wp:posOffset>
                </wp:positionV>
                <wp:extent cx="1133475" cy="297180"/>
                <wp:effectExtent l="7620" t="12065" r="11430" b="5080"/>
                <wp:wrapNone/>
                <wp:docPr id="504" name="矩形 504"/>
                <wp:cNvGraphicFramePr/>
                <a:graphic xmlns:a="http://schemas.openxmlformats.org/drawingml/2006/main">
                  <a:graphicData uri="http://schemas.microsoft.com/office/word/2010/wordprocessingShape">
                    <wps:wsp>
                      <wps:cNvSpPr>
                        <a:spLocks noChangeArrowheads="1"/>
                      </wps:cNvSpPr>
                      <wps:spPr bwMode="auto">
                        <a:xfrm>
                          <a:off x="0" y="0"/>
                          <a:ext cx="1133475" cy="297180"/>
                        </a:xfrm>
                        <a:prstGeom prst="rect">
                          <a:avLst/>
                        </a:prstGeom>
                        <a:solidFill>
                          <a:srgbClr val="FFFFFF"/>
                        </a:solidFill>
                        <a:ln w="9525" cmpd="sng">
                          <a:solidFill>
                            <a:srgbClr val="000000"/>
                          </a:solidFill>
                          <a:miter lim="800000"/>
                        </a:ln>
                      </wps:spPr>
                      <wps:txbx>
                        <w:txbxContent>
                          <w:p>
                            <w:pPr>
                              <w:jc w:val="center"/>
                            </w:pPr>
                            <w:r>
                              <w:rPr>
                                <w:rFonts w:hint="eastAsia"/>
                                <w:sz w:val="24"/>
                              </w:rPr>
                              <w:t>应急指挥</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94.25pt;margin-top:9.8pt;height:23.4pt;width:89.25pt;z-index:251672576;mso-width-relative:page;mso-height-relative:page;" fillcolor="#FFFFFF" filled="t" stroked="t" coordsize="21600,21600" o:gfxdata="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1lWMyNcAAAAJAQAADwAAAAAAAAABACAAAAAiAAAAZHJzL2Rvd25yZXYueG1sUEsBAhQAFAAAAAgA&#10;h07iQM50JjEmAgAAOwQAAA4AAAAAAAAAAQAgAAAAJgEAAGRycy9lMm9Eb2MueG1sUEsFBgAAAAAG&#10;AAYAWQEAAL4FAAAAAA==&#10;">
                <v:fill on="t" focussize="0,0"/>
                <v:stroke color="#000000" miterlimit="8" joinstyle="miter"/>
                <v:imagedata o:title=""/>
                <o:lock v:ext="edit" aspectratio="f"/>
                <v:textbox>
                  <w:txbxContent>
                    <w:p>
                      <w:pPr>
                        <w:jc w:val="center"/>
                      </w:pPr>
                      <w:r>
                        <w:rPr>
                          <w:rFonts w:hint="eastAsia"/>
                          <w:sz w:val="24"/>
                        </w:rPr>
                        <w:t>应急指挥</w:t>
                      </w:r>
                    </w:p>
                  </w:txbxContent>
                </v:textbox>
              </v:rect>
            </w:pict>
          </mc:Fallback>
        </mc:AlternateContent>
      </w:r>
    </w:p>
    <w:p>
      <w:pPr>
        <w:widowControl/>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5648" behindDoc="0" locked="0" layoutInCell="1" allowOverlap="1">
                <wp:simplePos x="0" y="0"/>
                <wp:positionH relativeFrom="column">
                  <wp:posOffset>2474595</wp:posOffset>
                </wp:positionH>
                <wp:positionV relativeFrom="paragraph">
                  <wp:posOffset>372745</wp:posOffset>
                </wp:positionV>
                <wp:extent cx="1133475" cy="297180"/>
                <wp:effectExtent l="0" t="0" r="28575" b="26670"/>
                <wp:wrapNone/>
                <wp:docPr id="502" name="矩形 502"/>
                <wp:cNvGraphicFramePr/>
                <a:graphic xmlns:a="http://schemas.openxmlformats.org/drawingml/2006/main">
                  <a:graphicData uri="http://schemas.microsoft.com/office/word/2010/wordprocessingShape">
                    <wps:wsp>
                      <wps:cNvSpPr>
                        <a:spLocks noChangeArrowheads="1"/>
                      </wps:cNvSpPr>
                      <wps:spPr bwMode="auto">
                        <a:xfrm>
                          <a:off x="0" y="0"/>
                          <a:ext cx="1133475" cy="297180"/>
                        </a:xfrm>
                        <a:prstGeom prst="rect">
                          <a:avLst/>
                        </a:prstGeom>
                        <a:solidFill>
                          <a:srgbClr val="FFFFFF"/>
                        </a:solidFill>
                        <a:ln w="9525" cmpd="sng">
                          <a:solidFill>
                            <a:srgbClr val="000000"/>
                          </a:solidFill>
                          <a:miter lim="800000"/>
                        </a:ln>
                      </wps:spPr>
                      <wps:txbx>
                        <w:txbxContent>
                          <w:p>
                            <w:pPr>
                              <w:jc w:val="center"/>
                            </w:pPr>
                            <w:r>
                              <w:rPr>
                                <w:rFonts w:hint="eastAsia"/>
                                <w:sz w:val="24"/>
                              </w:rPr>
                              <w:t>应急副指挥</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94.85pt;margin-top:29.35pt;height:23.4pt;width:89.25pt;z-index:251675648;mso-width-relative:page;mso-height-relative:page;" fillcolor="#FFFFFF" filled="t" stroked="t" coordsize="21600,21600" o:gfxdata="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7vUbv2QAAAAoBAAAPAAAAAAAAAAEAIAAAACIAAABkcnMvZG93bnJldi54bWxQSwECFAAUAAAA&#10;CACHTuJAWSSUsCYCAAA7BAAADgAAAAAAAAABACAAAAAoAQAAZHJzL2Uyb0RvYy54bWxQSwUGAAAA&#10;AAYABgBZAQAAwAUAAAAA&#10;">
                <v:fill on="t" focussize="0,0"/>
                <v:stroke color="#000000" miterlimit="8" joinstyle="miter"/>
                <v:imagedata o:title=""/>
                <o:lock v:ext="edit" aspectratio="f"/>
                <v:textbox>
                  <w:txbxContent>
                    <w:p>
                      <w:pPr>
                        <w:jc w:val="center"/>
                      </w:pPr>
                      <w:r>
                        <w:rPr>
                          <w:rFonts w:hint="eastAsia"/>
                          <w:sz w:val="24"/>
                        </w:rPr>
                        <w:t>应急副指挥</w:t>
                      </w:r>
                    </w:p>
                  </w:txbxContent>
                </v:textbox>
              </v:rect>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66432" behindDoc="0" locked="0" layoutInCell="1" allowOverlap="1">
                <wp:simplePos x="0" y="0"/>
                <wp:positionH relativeFrom="column">
                  <wp:posOffset>3065780</wp:posOffset>
                </wp:positionH>
                <wp:positionV relativeFrom="paragraph">
                  <wp:posOffset>21590</wp:posOffset>
                </wp:positionV>
                <wp:extent cx="1270" cy="352425"/>
                <wp:effectExtent l="0" t="0" r="36830" b="28575"/>
                <wp:wrapNone/>
                <wp:docPr id="503" name="直接连接符 503"/>
                <wp:cNvGraphicFramePr/>
                <a:graphic xmlns:a="http://schemas.openxmlformats.org/drawingml/2006/main">
                  <a:graphicData uri="http://schemas.microsoft.com/office/word/2010/wordprocessingShape">
                    <wps:wsp>
                      <wps:cNvCnPr>
                        <a:cxnSpLocks noChangeShapeType="1"/>
                      </wps:cNvCnPr>
                      <wps:spPr bwMode="auto">
                        <a:xfrm>
                          <a:off x="0" y="0"/>
                          <a:ext cx="1270" cy="352425"/>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241.4pt;margin-top:1.7pt;height:27.75pt;width:0.1pt;z-index:251666432;mso-width-relative:page;mso-height-relative:page;" filled="f" stroked="t" coordsize="21600,21600" o:gfxdata="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6CmAY1wAAAAgBAAAPAAAAAAAAAAEAIAAA&#10;ACIAAABkcnMvZG93bnJldi54bWxQSwECFAAUAAAACACHTuJAjW9TctQBAABtAwAADgAAAAAAAAAB&#10;ACAAAAAmAQAAZHJzL2Uyb0RvYy54bWxQSwUGAAAAAAYABgBZAQAAbAUAAAAA&#10;">
                <v:fill on="f" focussize="0,0"/>
                <v:stroke color="#000000" joinstyle="round"/>
                <v:imagedata o:title=""/>
                <o:lock v:ext="edit" aspectratio="f"/>
              </v:line>
            </w:pict>
          </mc:Fallback>
        </mc:AlternateContent>
      </w:r>
    </w:p>
    <w:p>
      <w:pPr>
        <w:widowControl/>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3600" behindDoc="0" locked="0" layoutInCell="1" allowOverlap="1">
                <wp:simplePos x="0" y="0"/>
                <wp:positionH relativeFrom="column">
                  <wp:posOffset>3079115</wp:posOffset>
                </wp:positionH>
                <wp:positionV relativeFrom="paragraph">
                  <wp:posOffset>278765</wp:posOffset>
                </wp:positionV>
                <wp:extent cx="635" cy="277495"/>
                <wp:effectExtent l="0" t="0" r="37465" b="27305"/>
                <wp:wrapNone/>
                <wp:docPr id="501" name="直接连接符 501"/>
                <wp:cNvGraphicFramePr/>
                <a:graphic xmlns:a="http://schemas.openxmlformats.org/drawingml/2006/main">
                  <a:graphicData uri="http://schemas.microsoft.com/office/word/2010/wordprocessingShape">
                    <wps:wsp>
                      <wps:cNvCnPr>
                        <a:cxnSpLocks noChangeShapeType="1"/>
                      </wps:cNvCnPr>
                      <wps:spPr bwMode="auto">
                        <a:xfrm>
                          <a:off x="0" y="0"/>
                          <a:ext cx="635" cy="277495"/>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242.45pt;margin-top:21.95pt;height:21.85pt;width:0.05pt;z-index:251673600;mso-width-relative:page;mso-height-relative:page;" filled="f" stroked="t" coordsize="21600,21600" o:gfxdata="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xeJHa2AAAAAkBAAAPAAAAAAAAAAEAIAAA&#10;ACIAAABkcnMvZG93bnJldi54bWxQSwECFAAUAAAACACHTuJApqkSQtMBAABsAwAADgAAAAAAAAAB&#10;ACAAAAAnAQAAZHJzL2Uyb0RvYy54bWxQSwUGAAAAAAYABgBZAQAAbAUAAAAA&#10;">
                <v:fill on="f" focussize="0,0"/>
                <v:stroke color="#000000" joinstyle="round"/>
                <v:imagedata o:title=""/>
                <o:lock v:ext="edit" aspectratio="f"/>
              </v:line>
            </w:pict>
          </mc:Fallback>
        </mc:AlternateContent>
      </w:r>
    </w:p>
    <w:p>
      <w:pPr>
        <w:widowControl/>
        <w:tabs>
          <w:tab w:val="left" w:pos="2700"/>
          <w:tab w:val="center" w:pos="4436"/>
        </w:tabs>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6672" behindDoc="0" locked="0" layoutInCell="1" allowOverlap="1">
                <wp:simplePos x="0" y="0"/>
                <wp:positionH relativeFrom="column">
                  <wp:posOffset>3069590</wp:posOffset>
                </wp:positionH>
                <wp:positionV relativeFrom="paragraph">
                  <wp:posOffset>156210</wp:posOffset>
                </wp:positionV>
                <wp:extent cx="635" cy="495300"/>
                <wp:effectExtent l="0" t="0" r="37465" b="19050"/>
                <wp:wrapNone/>
                <wp:docPr id="500" name="直接连接符 500"/>
                <wp:cNvGraphicFramePr/>
                <a:graphic xmlns:a="http://schemas.openxmlformats.org/drawingml/2006/main">
                  <a:graphicData uri="http://schemas.microsoft.com/office/word/2010/wordprocessingShape">
                    <wps:wsp>
                      <wps:cNvCnPr>
                        <a:cxnSpLocks noChangeShapeType="1"/>
                      </wps:cNvCnPr>
                      <wps:spPr bwMode="auto">
                        <a:xfrm>
                          <a:off x="0" y="0"/>
                          <a:ext cx="635" cy="49530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241.7pt;margin-top:12.3pt;height:39pt;width:0.05pt;z-index:251676672;mso-width-relative:page;mso-height-relative:page;" filled="f" stroked="t" coordsize="21600,21600" o:gfxdata="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hMvCrXAAAACgEAAA8AAAAAAAAAAQAgAAAA&#10;IgAAAGRycy9kb3ducmV2LnhtbFBLAQIUABQAAAAIAIdO4kDcHVih0wEAAGwDAAAOAAAAAAAAAAEA&#10;IAAAACYBAABkcnMvZTJvRG9jLnhtbFBLBQYAAAAABgAGAFkBAABrBQ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69504" behindDoc="0" locked="0" layoutInCell="1" allowOverlap="1">
                <wp:simplePos x="0" y="0"/>
                <wp:positionH relativeFrom="column">
                  <wp:posOffset>3994785</wp:posOffset>
                </wp:positionH>
                <wp:positionV relativeFrom="paragraph">
                  <wp:posOffset>174625</wp:posOffset>
                </wp:positionV>
                <wp:extent cx="635" cy="495300"/>
                <wp:effectExtent l="0" t="0" r="37465" b="19050"/>
                <wp:wrapNone/>
                <wp:docPr id="499" name="直接连接符 499"/>
                <wp:cNvGraphicFramePr/>
                <a:graphic xmlns:a="http://schemas.openxmlformats.org/drawingml/2006/main">
                  <a:graphicData uri="http://schemas.microsoft.com/office/word/2010/wordprocessingShape">
                    <wps:wsp>
                      <wps:cNvCnPr>
                        <a:cxnSpLocks noChangeShapeType="1"/>
                      </wps:cNvCnPr>
                      <wps:spPr bwMode="auto">
                        <a:xfrm>
                          <a:off x="0" y="0"/>
                          <a:ext cx="635" cy="49530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314.55pt;margin-top:13.75pt;height:39pt;width:0.05pt;z-index:251669504;mso-width-relative:page;mso-height-relative:page;" filled="f" stroked="t" coordsize="21600,21600" o:gfxdata="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kIl7t1wAAAAoBAAAPAAAAAAAAAAEAIAAA&#10;ACIAAABkcnMvZG93bnJldi54bWxQSwECFAAUAAAACACHTuJAjwBHgdQBAABsAwAADgAAAAAAAAAB&#10;ACAAAAAmAQAAZHJzL2Uyb0RvYy54bWxQSwUGAAAAAAYABgBZAQAAbAU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68480" behindDoc="0" locked="0" layoutInCell="1" allowOverlap="1">
                <wp:simplePos x="0" y="0"/>
                <wp:positionH relativeFrom="column">
                  <wp:posOffset>2120265</wp:posOffset>
                </wp:positionH>
                <wp:positionV relativeFrom="paragraph">
                  <wp:posOffset>174625</wp:posOffset>
                </wp:positionV>
                <wp:extent cx="635" cy="495300"/>
                <wp:effectExtent l="0" t="0" r="37465" b="19050"/>
                <wp:wrapNone/>
                <wp:docPr id="498" name="直接连接符 498"/>
                <wp:cNvGraphicFramePr/>
                <a:graphic xmlns:a="http://schemas.openxmlformats.org/drawingml/2006/main">
                  <a:graphicData uri="http://schemas.microsoft.com/office/word/2010/wordprocessingShape">
                    <wps:wsp>
                      <wps:cNvCnPr>
                        <a:cxnSpLocks noChangeShapeType="1"/>
                      </wps:cNvCnPr>
                      <wps:spPr bwMode="auto">
                        <a:xfrm>
                          <a:off x="0" y="0"/>
                          <a:ext cx="635" cy="49530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166.95pt;margin-top:13.75pt;height:39pt;width:0.05pt;z-index:251668480;mso-width-relative:page;mso-height-relative:page;" filled="f" stroked="t" coordsize="21600,21600" o:gfxdata="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BuxMdNgAAAAKAQAADwAAAAAAAAABACAA&#10;AAAiAAAAZHJzL2Rvd25yZXYueG1sUEsBAhQAFAAAAAgAh07iQNo8gvnUAQAAbAMAAA4AAAAAAAAA&#10;AQAgAAAAJwEAAGRycy9lMm9Eb2MueG1sUEsFBgAAAAAGAAYAWQEAAG0FA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67456" behindDoc="0" locked="0" layoutInCell="1" allowOverlap="1">
                <wp:simplePos x="0" y="0"/>
                <wp:positionH relativeFrom="column">
                  <wp:posOffset>2124075</wp:posOffset>
                </wp:positionH>
                <wp:positionV relativeFrom="paragraph">
                  <wp:posOffset>158115</wp:posOffset>
                </wp:positionV>
                <wp:extent cx="1874520" cy="0"/>
                <wp:effectExtent l="0" t="0" r="11430" b="19050"/>
                <wp:wrapNone/>
                <wp:docPr id="497" name="直接连接符 497"/>
                <wp:cNvGraphicFramePr/>
                <a:graphic xmlns:a="http://schemas.openxmlformats.org/drawingml/2006/main">
                  <a:graphicData uri="http://schemas.microsoft.com/office/word/2010/wordprocessingShape">
                    <wps:wsp>
                      <wps:cNvCnPr>
                        <a:cxnSpLocks noChangeShapeType="1"/>
                      </wps:cNvCnPr>
                      <wps:spPr bwMode="auto">
                        <a:xfrm flipV="1">
                          <a:off x="0" y="0"/>
                          <a:ext cx="1874520" cy="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flip:y;margin-left:167.25pt;margin-top:12.45pt;height:0pt;width:147.6pt;z-index:251667456;mso-width-relative:page;mso-height-relative:page;" filled="f" stroked="t" coordsize="21600,21600" o:gfxdata="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nzcGLXAAAACQEAAA8AAAAAAAAA&#10;AQAgAAAAIgAAAGRycy9kb3ducmV2LnhtbFBLAQIUABQAAAAIAIdO4kCOrydQ2QEAAHUDAAAOAAAA&#10;AAAAAAEAIAAAACYBAABkcnMvZTJvRG9jLnhtbFBLBQYAAAAABgAGAFkBAABxBQAAAAA=&#10;">
                <v:fill on="f" focussize="0,0"/>
                <v:stroke color="#000000" joinstyle="round"/>
                <v:imagedata o:title=""/>
                <o:lock v:ext="edit" aspectratio="f"/>
              </v:line>
            </w:pict>
          </mc:Fallback>
        </mc:AlternateContent>
      </w:r>
      <w:r>
        <w:rPr>
          <w:rFonts w:hint="default" w:ascii="Times New Roman" w:hAnsi="Times New Roman" w:eastAsia="仿宋" w:cs="Times New Roman"/>
          <w:color w:val="auto"/>
          <w:sz w:val="28"/>
          <w:szCs w:val="28"/>
        </w:rPr>
        <w:tab/>
      </w:r>
      <w:r>
        <w:rPr>
          <w:rFonts w:hint="default" w:ascii="Times New Roman" w:hAnsi="Times New Roman" w:eastAsia="仿宋" w:cs="Times New Roman"/>
          <w:color w:val="auto"/>
          <w:sz w:val="28"/>
          <w:szCs w:val="28"/>
        </w:rPr>
        <w:tab/>
      </w:r>
    </w:p>
    <w:p>
      <w:pPr>
        <w:widowControl/>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1552" behindDoc="0" locked="0" layoutInCell="1" allowOverlap="1">
                <wp:simplePos x="0" y="0"/>
                <wp:positionH relativeFrom="column">
                  <wp:posOffset>2887345</wp:posOffset>
                </wp:positionH>
                <wp:positionV relativeFrom="paragraph">
                  <wp:posOffset>266065</wp:posOffset>
                </wp:positionV>
                <wp:extent cx="342900" cy="1089660"/>
                <wp:effectExtent l="0" t="0" r="19050" b="15240"/>
                <wp:wrapNone/>
                <wp:docPr id="495" name="矩形 495"/>
                <wp:cNvGraphicFramePr/>
                <a:graphic xmlns:a="http://schemas.openxmlformats.org/drawingml/2006/main">
                  <a:graphicData uri="http://schemas.microsoft.com/office/word/2010/wordprocessingShape">
                    <wps:wsp>
                      <wps:cNvSpPr>
                        <a:spLocks noChangeArrowheads="1"/>
                      </wps:cNvSpPr>
                      <wps:spPr bwMode="auto">
                        <a:xfrm>
                          <a:off x="0" y="0"/>
                          <a:ext cx="342900" cy="1089660"/>
                        </a:xfrm>
                        <a:prstGeom prst="rect">
                          <a:avLst/>
                        </a:prstGeom>
                        <a:solidFill>
                          <a:srgbClr val="FFFFFF"/>
                        </a:solidFill>
                        <a:ln w="9525" cmpd="sng">
                          <a:solidFill>
                            <a:srgbClr val="000000"/>
                          </a:solidFill>
                          <a:miter lim="800000"/>
                        </a:ln>
                      </wps:spPr>
                      <wps:txbx>
                        <w:txbxContent>
                          <w:p>
                            <w:pPr>
                              <w:rPr>
                                <w:rFonts w:hint="eastAsia"/>
                                <w:sz w:val="24"/>
                              </w:rPr>
                            </w:pPr>
                            <w:r>
                              <w:rPr>
                                <w:rFonts w:hint="eastAsia"/>
                                <w:sz w:val="24"/>
                              </w:rPr>
                              <w:t>通讯联络</w:t>
                            </w:r>
                            <w:r>
                              <w:rPr>
                                <w:rFonts w:hint="eastAsia" w:ascii="宋体" w:hAnsi="宋体"/>
                                <w:sz w:val="24"/>
                              </w:rPr>
                              <w:t>组</w:t>
                            </w:r>
                            <w:r>
                              <w:rPr>
                                <w:rFonts w:hint="eastAsia"/>
                                <w:sz w:val="24"/>
                              </w:rPr>
                              <w:t>组</w:t>
                            </w:r>
                          </w:p>
                          <w:p>
                            <w:pPr>
                              <w:rPr>
                                <w:rFonts w:hint="eastAsia"/>
                                <w:sz w:val="24"/>
                              </w:rPr>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7.35pt;margin-top:20.95pt;height:85.8pt;width:27pt;z-index:251671552;mso-width-relative:page;mso-height-relative:page;" fillcolor="#FFFFFF" filled="t" stroked="t" coordsize="21600,21600" o:gfxdata="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EAAFtgAAAAKAQAADwAAAAAAAAABACAAAAAiAAAAZHJzL2Rvd25yZXYueG1sUEsBAhQAFAAAAAgA&#10;h07iQI8BkeAlAgAAOwQAAA4AAAAAAAAAAQAgAAAAJwEAAGRycy9lMm9Eb2MueG1sUEsFBgAAAAAG&#10;AAYAWQEAAL4FAAAAAA==&#10;">
                <v:fill on="t" focussize="0,0"/>
                <v:stroke color="#000000" miterlimit="8" joinstyle="miter"/>
                <v:imagedata o:title=""/>
                <o:lock v:ext="edit" aspectratio="f"/>
                <v:textbox>
                  <w:txbxContent>
                    <w:p>
                      <w:pPr>
                        <w:rPr>
                          <w:rFonts w:hint="eastAsia"/>
                          <w:sz w:val="24"/>
                        </w:rPr>
                      </w:pPr>
                      <w:r>
                        <w:rPr>
                          <w:rFonts w:hint="eastAsia"/>
                          <w:sz w:val="24"/>
                        </w:rPr>
                        <w:t>通讯联络</w:t>
                      </w:r>
                      <w:r>
                        <w:rPr>
                          <w:rFonts w:hint="eastAsia" w:ascii="宋体" w:hAnsi="宋体"/>
                          <w:sz w:val="24"/>
                        </w:rPr>
                        <w:t>组</w:t>
                      </w:r>
                      <w:r>
                        <w:rPr>
                          <w:rFonts w:hint="eastAsia"/>
                          <w:sz w:val="24"/>
                        </w:rPr>
                        <w:t>组</w:t>
                      </w:r>
                    </w:p>
                    <w:p>
                      <w:pPr>
                        <w:rPr>
                          <w:rFonts w:hint="eastAsia"/>
                          <w:sz w:val="24"/>
                        </w:rPr>
                      </w:pPr>
                    </w:p>
                  </w:txbxContent>
                </v:textbox>
              </v:rect>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0528" behindDoc="0" locked="0" layoutInCell="1" allowOverlap="1">
                <wp:simplePos x="0" y="0"/>
                <wp:positionH relativeFrom="column">
                  <wp:posOffset>1967865</wp:posOffset>
                </wp:positionH>
                <wp:positionV relativeFrom="paragraph">
                  <wp:posOffset>272415</wp:posOffset>
                </wp:positionV>
                <wp:extent cx="342900" cy="1089660"/>
                <wp:effectExtent l="0" t="0" r="19050" b="15240"/>
                <wp:wrapNone/>
                <wp:docPr id="494" name="矩形 494"/>
                <wp:cNvGraphicFramePr/>
                <a:graphic xmlns:a="http://schemas.openxmlformats.org/drawingml/2006/main">
                  <a:graphicData uri="http://schemas.microsoft.com/office/word/2010/wordprocessingShape">
                    <wps:wsp>
                      <wps:cNvSpPr>
                        <a:spLocks noChangeArrowheads="1"/>
                      </wps:cNvSpPr>
                      <wps:spPr bwMode="auto">
                        <a:xfrm>
                          <a:off x="0" y="0"/>
                          <a:ext cx="342900" cy="1089660"/>
                        </a:xfrm>
                        <a:prstGeom prst="rect">
                          <a:avLst/>
                        </a:prstGeom>
                        <a:solidFill>
                          <a:srgbClr val="FFFFFF"/>
                        </a:solidFill>
                        <a:ln w="9525" cmpd="sng">
                          <a:solidFill>
                            <a:srgbClr val="000000"/>
                          </a:solidFill>
                          <a:miter lim="800000"/>
                        </a:ln>
                      </wps:spPr>
                      <wps:txbx>
                        <w:txbxContent>
                          <w:p>
                            <w:r>
                              <w:rPr>
                                <w:rFonts w:hint="eastAsia"/>
                                <w:sz w:val="24"/>
                              </w:rPr>
                              <w:t>抢险救援组</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54.95pt;margin-top:21.45pt;height:85.8pt;width:27pt;z-index:251670528;mso-width-relative:page;mso-height-relative:page;" fillcolor="#FFFFFF" filled="t" stroked="t" coordsize="21600,21600" o:gfxdata="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e/wMHYAAAACgEAAA8AAAAAAAAAAQAgAAAAIgAAAGRycy9kb3ducmV2LnhtbFBLAQIUABQAAAAI&#10;AIdO4kBWZ06EJgIAADsEAAAOAAAAAAAAAAEAIAAAACcBAABkcnMvZTJvRG9jLnhtbFBLBQYAAAAA&#10;BgAGAFkBAAC/BQAAAAA=&#10;">
                <v:fill on="t" focussize="0,0"/>
                <v:stroke color="#000000" miterlimit="8" joinstyle="miter"/>
                <v:imagedata o:title=""/>
                <o:lock v:ext="edit" aspectratio="f"/>
                <v:textbox>
                  <w:txbxContent>
                    <w:p>
                      <w:r>
                        <w:rPr>
                          <w:rFonts w:hint="eastAsia"/>
                          <w:sz w:val="24"/>
                        </w:rPr>
                        <w:t>抢险救援组</w:t>
                      </w:r>
                    </w:p>
                  </w:txbxContent>
                </v:textbox>
              </v:rect>
            </w:pict>
          </mc:Fallback>
        </mc:AlternateContent>
      </w:r>
      <w:r>
        <w:rPr>
          <w:rFonts w:hint="default" w:ascii="Times New Roman" w:hAnsi="Times New Roman" w:eastAsia="仿宋" w:cs="Times New Roman"/>
          <w:color w:val="auto"/>
          <w:sz w:val="28"/>
          <w:szCs w:val="28"/>
        </w:rPr>
        <mc:AlternateContent>
          <mc:Choice Requires="wps">
            <w:drawing>
              <wp:anchor distT="0" distB="0" distL="114300" distR="114300" simplePos="0" relativeHeight="251674624" behindDoc="0" locked="0" layoutInCell="1" allowOverlap="1">
                <wp:simplePos x="0" y="0"/>
                <wp:positionH relativeFrom="column">
                  <wp:posOffset>3853815</wp:posOffset>
                </wp:positionH>
                <wp:positionV relativeFrom="paragraph">
                  <wp:posOffset>256540</wp:posOffset>
                </wp:positionV>
                <wp:extent cx="342900" cy="1089660"/>
                <wp:effectExtent l="0" t="0" r="19050" b="15240"/>
                <wp:wrapNone/>
                <wp:docPr id="496" name="矩形 496"/>
                <wp:cNvGraphicFramePr/>
                <a:graphic xmlns:a="http://schemas.openxmlformats.org/drawingml/2006/main">
                  <a:graphicData uri="http://schemas.microsoft.com/office/word/2010/wordprocessingShape">
                    <wps:wsp>
                      <wps:cNvSpPr>
                        <a:spLocks noChangeArrowheads="1"/>
                      </wps:cNvSpPr>
                      <wps:spPr bwMode="auto">
                        <a:xfrm>
                          <a:off x="0" y="0"/>
                          <a:ext cx="342900" cy="1089660"/>
                        </a:xfrm>
                        <a:prstGeom prst="rect">
                          <a:avLst/>
                        </a:prstGeom>
                        <a:solidFill>
                          <a:srgbClr val="FFFFFF"/>
                        </a:solidFill>
                        <a:ln w="9525" cmpd="sng">
                          <a:solidFill>
                            <a:srgbClr val="000000"/>
                          </a:solidFill>
                          <a:miter lim="800000"/>
                        </a:ln>
                      </wps:spPr>
                      <wps:txbx>
                        <w:txbxContent>
                          <w:p>
                            <w:pPr>
                              <w:rPr>
                                <w:rFonts w:hint="eastAsia"/>
                                <w:sz w:val="24"/>
                              </w:rPr>
                            </w:pPr>
                            <w:r>
                              <w:rPr>
                                <w:rFonts w:hint="eastAsia"/>
                                <w:sz w:val="24"/>
                              </w:rPr>
                              <w:t>后勤保障组</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303.45pt;margin-top:20.2pt;height:85.8pt;width:27pt;z-index:251674624;mso-width-relative:page;mso-height-relative:page;" fillcolor="#FFFFFF" filled="t" stroked="t" coordsize="21600,21600" o:gfxdata="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NWpPtcAAAAKAQAADwAAAAAAAAABACAAAAAiAAAAZHJzL2Rvd25yZXYueG1sUEsBAhQAFAAAAAgA&#10;h07iQOSq8E0mAgAAOwQAAA4AAAAAAAAAAQAgAAAAJgEAAGRycy9lMm9Eb2MueG1sUEsFBgAAAAAG&#10;AAYAWQEAAL4FAAAAAA==&#10;">
                <v:fill on="t" focussize="0,0"/>
                <v:stroke color="#000000" miterlimit="8" joinstyle="miter"/>
                <v:imagedata o:title=""/>
                <o:lock v:ext="edit" aspectratio="f"/>
                <v:textbox>
                  <w:txbxContent>
                    <w:p>
                      <w:pPr>
                        <w:rPr>
                          <w:rFonts w:hint="eastAsia"/>
                          <w:sz w:val="24"/>
                        </w:rPr>
                      </w:pPr>
                      <w:r>
                        <w:rPr>
                          <w:rFonts w:hint="eastAsia"/>
                          <w:sz w:val="24"/>
                        </w:rPr>
                        <w:t>后勤保障组</w:t>
                      </w:r>
                    </w:p>
                  </w:txbxContent>
                </v:textbox>
              </v:rect>
            </w:pict>
          </mc:Fallback>
        </mc:AlternateContent>
      </w:r>
    </w:p>
    <w:p>
      <w:pPr>
        <w:widowControl/>
        <w:spacing w:line="360" w:lineRule="auto"/>
        <w:ind w:firstLine="560" w:firstLineChars="200"/>
        <w:jc w:val="left"/>
        <w:rPr>
          <w:rFonts w:hint="default" w:ascii="Times New Roman" w:hAnsi="Times New Roman" w:eastAsia="仿宋" w:cs="Times New Roman"/>
          <w:color w:val="auto"/>
          <w:sz w:val="28"/>
          <w:szCs w:val="28"/>
        </w:rPr>
      </w:pPr>
    </w:p>
    <w:p>
      <w:pPr>
        <w:spacing w:line="360" w:lineRule="auto"/>
        <w:ind w:firstLine="548" w:firstLineChars="196"/>
        <w:rPr>
          <w:rFonts w:hint="default" w:ascii="Times New Roman" w:hAnsi="Times New Roman" w:eastAsia="仿宋" w:cs="Times New Roman"/>
          <w:bCs/>
          <w:color w:val="auto"/>
          <w:sz w:val="28"/>
          <w:szCs w:val="28"/>
          <w:lang w:val="zh-CN"/>
        </w:rPr>
      </w:pPr>
    </w:p>
    <w:p>
      <w:pPr>
        <w:spacing w:line="360" w:lineRule="auto"/>
        <w:ind w:firstLine="551" w:firstLineChars="196"/>
        <w:jc w:val="center"/>
        <w:rPr>
          <w:rFonts w:hint="default" w:ascii="Times New Roman" w:hAnsi="Times New Roman" w:eastAsia="仿宋" w:cs="Times New Roman"/>
          <w:b/>
          <w:bCs/>
          <w:color w:val="auto"/>
          <w:sz w:val="28"/>
          <w:szCs w:val="28"/>
          <w:lang w:val="zh-CN"/>
        </w:rPr>
      </w:pPr>
    </w:p>
    <w:p>
      <w:pPr>
        <w:spacing w:line="360" w:lineRule="auto"/>
        <w:ind w:firstLine="551" w:firstLineChars="196"/>
        <w:jc w:val="center"/>
        <w:rPr>
          <w:rFonts w:hint="default" w:ascii="Times New Roman" w:hAnsi="Times New Roman" w:eastAsia="仿宋" w:cs="Times New Roman"/>
          <w:b/>
          <w:bCs/>
          <w:color w:val="auto"/>
          <w:sz w:val="28"/>
          <w:szCs w:val="28"/>
          <w:lang w:val="zh-CN"/>
        </w:rPr>
      </w:pPr>
      <w:r>
        <w:rPr>
          <w:rFonts w:hint="default" w:ascii="Times New Roman" w:hAnsi="Times New Roman" w:eastAsia="仿宋" w:cs="Times New Roman"/>
          <w:b/>
          <w:bCs/>
          <w:color w:val="auto"/>
          <w:sz w:val="28"/>
          <w:szCs w:val="28"/>
          <w:lang w:val="zh-CN"/>
        </w:rPr>
        <w:t>图3-6   突发环境事件应急指挥体系图</w:t>
      </w:r>
    </w:p>
    <w:p>
      <w:pPr>
        <w:spacing w:line="360" w:lineRule="auto"/>
        <w:outlineLvl w:val="3"/>
        <w:rPr>
          <w:rFonts w:hint="default" w:ascii="Times New Roman" w:hAnsi="Times New Roman" w:eastAsia="仿宋" w:cs="Times New Roman"/>
          <w:b/>
          <w:color w:val="auto"/>
          <w:sz w:val="28"/>
          <w:szCs w:val="28"/>
        </w:rPr>
      </w:pPr>
      <w:r>
        <w:rPr>
          <w:rFonts w:hint="default" w:ascii="Times New Roman" w:hAnsi="Times New Roman" w:eastAsia="仿宋" w:cs="Times New Roman"/>
          <w:b/>
          <w:color w:val="auto"/>
          <w:sz w:val="28"/>
          <w:szCs w:val="28"/>
        </w:rPr>
        <w:t>3.8.2.2外部救援机构</w:t>
      </w:r>
    </w:p>
    <w:p>
      <w:pPr>
        <w:pStyle w:val="22"/>
        <w:ind w:firstLine="0" w:firstLineChars="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   </w:t>
      </w:r>
      <w:r>
        <w:rPr>
          <w:rFonts w:hint="eastAsia" w:eastAsia="仿宋" w:cs="Times New Roman"/>
          <w:color w:val="auto"/>
          <w:sz w:val="28"/>
          <w:szCs w:val="28"/>
          <w:lang w:eastAsia="zh-CN"/>
        </w:rPr>
        <w:t>本项目发生环境危害的可能性较小，</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未与外界企业签订应急救援协议或互救协议，未与政府职能部门或服务型机构签订应急救援协议或互救协议，但一旦发生突发环境事件，需要实施外部救援时，相关部门本着“以人为本、快速响应”的原则，有责任和义务对</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进行应急救援。外部救援机构名单见表3-11。</w:t>
      </w:r>
    </w:p>
    <w:p>
      <w:pPr>
        <w:pStyle w:val="22"/>
        <w:spacing w:line="240" w:lineRule="auto"/>
        <w:ind w:firstLine="0" w:firstLineChars="0"/>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表3-11  外部救援机构名单及联系方式</w:t>
      </w:r>
    </w:p>
    <w:tbl>
      <w:tblPr>
        <w:tblStyle w:val="23"/>
        <w:tblW w:w="883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4126"/>
        <w:gridCol w:w="3053"/>
        <w:gridCol w:w="165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jc w:val="center"/>
              <w:rPr>
                <w:rFonts w:hint="default" w:ascii="Times New Roman" w:hAnsi="Times New Roman" w:eastAsia="仿宋" w:cs="Times New Roman"/>
                <w:b/>
                <w:bCs/>
                <w:snapToGrid w:val="0"/>
                <w:color w:val="auto"/>
                <w:kern w:val="0"/>
                <w:sz w:val="24"/>
                <w:szCs w:val="24"/>
              </w:rPr>
            </w:pPr>
            <w:r>
              <w:rPr>
                <w:rFonts w:hint="default" w:ascii="Times New Roman" w:hAnsi="Times New Roman" w:eastAsia="仿宋" w:cs="Times New Roman"/>
                <w:b/>
                <w:bCs/>
                <w:snapToGrid w:val="0"/>
                <w:color w:val="auto"/>
                <w:kern w:val="0"/>
                <w:sz w:val="24"/>
                <w:szCs w:val="24"/>
              </w:rPr>
              <w:t>外部救援机构名称</w:t>
            </w:r>
          </w:p>
        </w:tc>
        <w:tc>
          <w:tcPr>
            <w:tcW w:w="3053" w:type="dxa"/>
            <w:vAlign w:val="center"/>
          </w:tcPr>
          <w:p>
            <w:pPr>
              <w:jc w:val="center"/>
              <w:rPr>
                <w:rFonts w:hint="default" w:ascii="Times New Roman" w:hAnsi="Times New Roman" w:eastAsia="仿宋" w:cs="Times New Roman"/>
                <w:b/>
                <w:bCs/>
                <w:snapToGrid w:val="0"/>
                <w:color w:val="auto"/>
                <w:kern w:val="0"/>
                <w:sz w:val="24"/>
                <w:szCs w:val="24"/>
              </w:rPr>
            </w:pPr>
            <w:r>
              <w:rPr>
                <w:rFonts w:hint="default" w:ascii="Times New Roman" w:hAnsi="Times New Roman" w:eastAsia="仿宋" w:cs="Times New Roman"/>
                <w:b/>
                <w:bCs/>
                <w:snapToGrid w:val="0"/>
                <w:color w:val="auto"/>
                <w:kern w:val="0"/>
                <w:sz w:val="24"/>
                <w:szCs w:val="24"/>
              </w:rPr>
              <w:t>联系方式</w:t>
            </w:r>
          </w:p>
        </w:tc>
        <w:tc>
          <w:tcPr>
            <w:tcW w:w="1655" w:type="dxa"/>
            <w:vAlign w:val="center"/>
          </w:tcPr>
          <w:p>
            <w:pPr>
              <w:jc w:val="center"/>
              <w:rPr>
                <w:rFonts w:hint="default" w:ascii="Times New Roman" w:hAnsi="Times New Roman" w:eastAsia="仿宋" w:cs="Times New Roman"/>
                <w:b/>
                <w:bCs/>
                <w:snapToGrid w:val="0"/>
                <w:color w:val="auto"/>
                <w:kern w:val="0"/>
                <w:sz w:val="24"/>
                <w:szCs w:val="24"/>
              </w:rPr>
            </w:pPr>
            <w:r>
              <w:rPr>
                <w:rFonts w:hint="default" w:ascii="Times New Roman" w:hAnsi="Times New Roman" w:eastAsia="仿宋" w:cs="Times New Roman"/>
                <w:b/>
                <w:bCs/>
                <w:snapToGrid w:val="0"/>
                <w:color w:val="auto"/>
                <w:kern w:val="0"/>
                <w:sz w:val="24"/>
                <w:szCs w:val="24"/>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snapToGrid w:val="0"/>
                <w:color w:val="auto"/>
                <w:kern w:val="0"/>
                <w:sz w:val="24"/>
                <w:lang w:eastAsia="zh-CN"/>
              </w:rPr>
              <w:t>西咸新区政务中心</w:t>
            </w:r>
          </w:p>
        </w:tc>
        <w:tc>
          <w:tcPr>
            <w:tcW w:w="3053" w:type="dxa"/>
            <w:vAlign w:val="center"/>
          </w:tcPr>
          <w:p>
            <w:pPr>
              <w:spacing w:line="240" w:lineRule="auto"/>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color w:val="auto"/>
                <w:sz w:val="24"/>
                <w:szCs w:val="24"/>
                <w:lang w:eastAsia="zh-CN"/>
              </w:rPr>
              <w:t>029-33186800</w:t>
            </w:r>
          </w:p>
        </w:tc>
        <w:tc>
          <w:tcPr>
            <w:tcW w:w="1655" w:type="dxa"/>
            <w:vAlign w:val="center"/>
          </w:tcPr>
          <w:p>
            <w:pPr>
              <w:jc w:val="center"/>
              <w:rPr>
                <w:rFonts w:hint="default" w:ascii="Times New Roman" w:hAnsi="Times New Roman" w:eastAsia="仿宋" w:cs="Times New Roman"/>
                <w:snapToGrid w:val="0"/>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0"/>
                <w:lang w:val="en-US" w:eastAsia="zh-CN" w:bidi="ar-SA"/>
              </w:rPr>
            </w:pPr>
            <w:r>
              <w:rPr>
                <w:rFonts w:hint="eastAsia" w:ascii="仿宋" w:hAnsi="仿宋" w:eastAsia="仿宋" w:cs="仿宋"/>
                <w:snapToGrid w:val="0"/>
                <w:color w:val="auto"/>
                <w:kern w:val="0"/>
                <w:sz w:val="24"/>
                <w:lang w:eastAsia="zh-CN"/>
              </w:rPr>
              <w:t>秦汉新城管理委员会</w:t>
            </w:r>
          </w:p>
        </w:tc>
        <w:tc>
          <w:tcPr>
            <w:tcW w:w="3053" w:type="dxa"/>
            <w:vAlign w:val="center"/>
          </w:tcPr>
          <w:p>
            <w:pPr>
              <w:spacing w:line="240" w:lineRule="auto"/>
              <w:jc w:val="center"/>
              <w:rPr>
                <w:rFonts w:hint="eastAsia" w:ascii="仿宋" w:hAnsi="仿宋" w:eastAsia="仿宋" w:cs="仿宋"/>
                <w:color w:val="auto"/>
                <w:kern w:val="2"/>
                <w:sz w:val="24"/>
                <w:szCs w:val="24"/>
                <w:lang w:val="en-US" w:eastAsia="zh-CN" w:bidi="ar-SA"/>
              </w:rPr>
            </w:pPr>
            <w:r>
              <w:rPr>
                <w:rFonts w:hint="eastAsia" w:ascii="仿宋" w:hAnsi="仿宋" w:eastAsia="仿宋" w:cs="仿宋"/>
                <w:color w:val="auto"/>
                <w:sz w:val="24"/>
                <w:szCs w:val="24"/>
                <w:lang w:eastAsia="zh-CN"/>
              </w:rPr>
              <w:t>029-33185000</w:t>
            </w:r>
          </w:p>
        </w:tc>
        <w:tc>
          <w:tcPr>
            <w:tcW w:w="1655" w:type="dxa"/>
            <w:vAlign w:val="center"/>
          </w:tcPr>
          <w:p>
            <w:pPr>
              <w:jc w:val="center"/>
              <w:rPr>
                <w:rFonts w:hint="default" w:ascii="Times New Roman" w:hAnsi="Times New Roman" w:eastAsia="仿宋" w:cs="Times New Roman"/>
                <w:snapToGrid w:val="0"/>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default" w:ascii="Times New Roman" w:hAnsi="Times New Roman" w:eastAsia="仿宋" w:cs="Times New Roman"/>
                <w:snapToGrid w:val="0"/>
                <w:color w:val="auto"/>
                <w:kern w:val="0"/>
                <w:sz w:val="24"/>
                <w:szCs w:val="24"/>
                <w:lang w:eastAsia="zh-CN"/>
              </w:rPr>
            </w:pPr>
            <w:r>
              <w:rPr>
                <w:rFonts w:hint="eastAsia" w:ascii="仿宋" w:hAnsi="仿宋" w:eastAsia="仿宋" w:cs="仿宋"/>
                <w:snapToGrid w:val="0"/>
                <w:color w:val="auto"/>
                <w:kern w:val="0"/>
                <w:sz w:val="24"/>
                <w:lang w:eastAsia="zh-CN"/>
              </w:rPr>
              <w:t xml:space="preserve">西咸新区生态环境局 </w:t>
            </w:r>
          </w:p>
        </w:tc>
        <w:tc>
          <w:tcPr>
            <w:tcW w:w="3053" w:type="dxa"/>
            <w:vAlign w:val="center"/>
          </w:tcPr>
          <w:p>
            <w:pPr>
              <w:spacing w:line="240" w:lineRule="auto"/>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color w:val="auto"/>
                <w:sz w:val="24"/>
                <w:szCs w:val="24"/>
                <w:lang w:eastAsia="zh-CN"/>
              </w:rPr>
              <w:t>029-33585034</w:t>
            </w:r>
          </w:p>
        </w:tc>
        <w:tc>
          <w:tcPr>
            <w:tcW w:w="1655" w:type="dxa"/>
            <w:vAlign w:val="center"/>
          </w:tcPr>
          <w:p>
            <w:pPr>
              <w:jc w:val="center"/>
              <w:rPr>
                <w:rFonts w:hint="default" w:ascii="Times New Roman" w:hAnsi="Times New Roman" w:eastAsia="仿宋" w:cs="Times New Roman"/>
                <w:snapToGrid w:val="0"/>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snapToGrid w:val="0"/>
                <w:color w:val="auto"/>
                <w:kern w:val="0"/>
                <w:sz w:val="24"/>
                <w:lang w:eastAsia="zh-CN"/>
              </w:rPr>
              <w:t>西咸新区秦汉新城生态环境局</w:t>
            </w:r>
          </w:p>
        </w:tc>
        <w:tc>
          <w:tcPr>
            <w:tcW w:w="3053" w:type="dxa"/>
            <w:vAlign w:val="center"/>
          </w:tcPr>
          <w:p>
            <w:pPr>
              <w:spacing w:line="240" w:lineRule="auto"/>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color w:val="auto"/>
                <w:sz w:val="24"/>
                <w:szCs w:val="24"/>
                <w:lang w:eastAsia="zh-CN"/>
              </w:rPr>
              <w:t xml:space="preserve">029-33185030 </w:t>
            </w:r>
          </w:p>
        </w:tc>
        <w:tc>
          <w:tcPr>
            <w:tcW w:w="1655" w:type="dxa"/>
            <w:vAlign w:val="center"/>
          </w:tcPr>
          <w:p>
            <w:pPr>
              <w:jc w:val="center"/>
              <w:rPr>
                <w:rFonts w:hint="default" w:ascii="Times New Roman" w:hAnsi="Times New Roman" w:eastAsia="仿宋" w:cs="Times New Roman"/>
                <w:snapToGrid w:val="0"/>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snapToGrid w:val="0"/>
                <w:color w:val="auto"/>
                <w:kern w:val="0"/>
                <w:sz w:val="24"/>
                <w:lang w:eastAsia="zh-CN"/>
              </w:rPr>
              <w:t>秦汉新城应急管理局</w:t>
            </w:r>
          </w:p>
        </w:tc>
        <w:tc>
          <w:tcPr>
            <w:tcW w:w="3053" w:type="dxa"/>
            <w:vAlign w:val="center"/>
          </w:tcPr>
          <w:p>
            <w:pPr>
              <w:spacing w:line="240" w:lineRule="auto"/>
              <w:jc w:val="center"/>
              <w:rPr>
                <w:rFonts w:hint="eastAsia" w:ascii="Times New Roman" w:hAnsi="Times New Roman" w:eastAsia="仿宋" w:cs="Times New Roman"/>
                <w:snapToGrid w:val="0"/>
                <w:color w:val="auto"/>
                <w:kern w:val="0"/>
                <w:sz w:val="24"/>
                <w:szCs w:val="24"/>
                <w:lang w:eastAsia="zh-CN"/>
              </w:rPr>
            </w:pPr>
            <w:r>
              <w:rPr>
                <w:rFonts w:hint="eastAsia" w:ascii="仿宋" w:hAnsi="仿宋" w:eastAsia="仿宋" w:cs="仿宋"/>
                <w:color w:val="auto"/>
                <w:sz w:val="24"/>
                <w:szCs w:val="24"/>
                <w:lang w:eastAsia="zh-CN"/>
              </w:rPr>
              <w:t>029-33185321</w:t>
            </w:r>
          </w:p>
        </w:tc>
        <w:tc>
          <w:tcPr>
            <w:tcW w:w="1655" w:type="dxa"/>
            <w:vAlign w:val="center"/>
          </w:tcPr>
          <w:p>
            <w:pPr>
              <w:jc w:val="center"/>
              <w:rPr>
                <w:rFonts w:hint="default" w:ascii="Times New Roman" w:hAnsi="Times New Roman" w:eastAsia="仿宋" w:cs="Times New Roman"/>
                <w:snapToGrid w:val="0"/>
                <w:color w:val="auto"/>
                <w:kern w:val="0"/>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default" w:ascii="Times New Roman" w:hAnsi="Times New Roman" w:eastAsia="仿宋" w:cs="Times New Roman"/>
                <w:color w:val="auto"/>
                <w:sz w:val="24"/>
                <w:szCs w:val="24"/>
              </w:rPr>
            </w:pPr>
            <w:r>
              <w:rPr>
                <w:rFonts w:hint="eastAsia" w:ascii="仿宋" w:hAnsi="仿宋" w:eastAsia="仿宋" w:cs="仿宋"/>
                <w:snapToGrid w:val="0"/>
                <w:color w:val="auto"/>
                <w:kern w:val="0"/>
                <w:sz w:val="24"/>
                <w:lang w:eastAsia="zh-CN"/>
              </w:rPr>
              <w:t>长庆油田职工医院</w:t>
            </w:r>
          </w:p>
        </w:tc>
        <w:tc>
          <w:tcPr>
            <w:tcW w:w="3053" w:type="dxa"/>
            <w:vAlign w:val="center"/>
          </w:tcPr>
          <w:p>
            <w:pPr>
              <w:spacing w:line="240" w:lineRule="auto"/>
              <w:jc w:val="center"/>
              <w:rPr>
                <w:rFonts w:hint="default" w:ascii="Times New Roman" w:hAnsi="Times New Roman" w:eastAsia="仿宋" w:cs="Times New Roman"/>
                <w:color w:val="auto"/>
                <w:sz w:val="24"/>
                <w:szCs w:val="24"/>
              </w:rPr>
            </w:pPr>
            <w:r>
              <w:rPr>
                <w:rFonts w:hint="eastAsia" w:ascii="仿宋" w:hAnsi="仿宋" w:eastAsia="仿宋" w:cs="仿宋"/>
                <w:color w:val="auto"/>
                <w:sz w:val="24"/>
                <w:szCs w:val="24"/>
                <w:lang w:eastAsia="zh-CN"/>
              </w:rPr>
              <w:t>029-86022769</w:t>
            </w:r>
          </w:p>
        </w:tc>
        <w:tc>
          <w:tcPr>
            <w:tcW w:w="1655" w:type="dxa"/>
            <w:vAlign w:val="center"/>
          </w:tcPr>
          <w:p>
            <w:pPr>
              <w:jc w:val="center"/>
              <w:rPr>
                <w:rFonts w:hint="default" w:ascii="Times New Roman" w:hAnsi="Times New Roman" w:eastAsia="仿宋" w:cs="Times New Roman"/>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120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4126" w:type="dxa"/>
            <w:vAlign w:val="center"/>
          </w:tcPr>
          <w:p>
            <w:pPr>
              <w:adjustRightInd w:val="0"/>
              <w:snapToGrid w:val="0"/>
              <w:spacing w:line="400" w:lineRule="exact"/>
              <w:ind w:right="-63" w:rightChars="-30"/>
              <w:jc w:val="center"/>
              <w:rPr>
                <w:rFonts w:hint="default" w:ascii="Times New Roman" w:hAnsi="Times New Roman" w:eastAsia="仿宋" w:cs="Times New Roman"/>
                <w:color w:val="auto"/>
                <w:sz w:val="24"/>
                <w:szCs w:val="24"/>
              </w:rPr>
            </w:pPr>
            <w:r>
              <w:rPr>
                <w:rFonts w:hint="eastAsia" w:ascii="仿宋" w:hAnsi="仿宋" w:eastAsia="仿宋" w:cs="仿宋"/>
                <w:snapToGrid w:val="0"/>
                <w:color w:val="auto"/>
                <w:kern w:val="0"/>
                <w:sz w:val="24"/>
                <w:lang w:eastAsia="zh-CN"/>
              </w:rPr>
              <w:t>西咸新区公安局</w:t>
            </w:r>
          </w:p>
        </w:tc>
        <w:tc>
          <w:tcPr>
            <w:tcW w:w="3053" w:type="dxa"/>
            <w:vAlign w:val="center"/>
          </w:tcPr>
          <w:p>
            <w:pPr>
              <w:adjustRightInd w:val="0"/>
              <w:snapToGrid w:val="0"/>
              <w:spacing w:line="400" w:lineRule="exact"/>
              <w:ind w:right="-63" w:rightChars="-30"/>
              <w:jc w:val="center"/>
              <w:rPr>
                <w:rFonts w:hint="eastAsia" w:ascii="Times New Roman" w:hAnsi="Times New Roman" w:eastAsia="仿宋" w:cs="Times New Roman"/>
                <w:color w:val="auto"/>
                <w:sz w:val="24"/>
                <w:szCs w:val="24"/>
                <w:lang w:eastAsia="zh-CN"/>
              </w:rPr>
            </w:pPr>
            <w:r>
              <w:rPr>
                <w:rFonts w:hint="eastAsia" w:ascii="仿宋" w:hAnsi="仿宋" w:eastAsia="仿宋" w:cs="仿宋"/>
                <w:snapToGrid w:val="0"/>
                <w:color w:val="auto"/>
                <w:kern w:val="0"/>
                <w:sz w:val="24"/>
                <w:lang w:eastAsia="zh-CN"/>
              </w:rPr>
              <w:t>029-33585988</w:t>
            </w:r>
          </w:p>
        </w:tc>
        <w:tc>
          <w:tcPr>
            <w:tcW w:w="1655" w:type="dxa"/>
            <w:vAlign w:val="center"/>
          </w:tcPr>
          <w:p>
            <w:pPr>
              <w:jc w:val="center"/>
              <w:rPr>
                <w:rFonts w:hint="default" w:ascii="Times New Roman" w:hAnsi="Times New Roman" w:eastAsia="仿宋" w:cs="Times New Roman"/>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110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default" w:ascii="Times New Roman" w:hAnsi="Times New Roman" w:eastAsia="仿宋" w:cs="Times New Roman"/>
                <w:color w:val="auto"/>
                <w:sz w:val="24"/>
                <w:szCs w:val="24"/>
                <w:lang w:eastAsia="zh-CN"/>
              </w:rPr>
            </w:pPr>
            <w:r>
              <w:rPr>
                <w:rFonts w:hint="eastAsia" w:ascii="仿宋" w:hAnsi="仿宋" w:eastAsia="仿宋" w:cs="仿宋"/>
                <w:snapToGrid w:val="0"/>
                <w:color w:val="auto"/>
                <w:kern w:val="0"/>
                <w:sz w:val="24"/>
                <w:lang w:eastAsia="zh-CN"/>
              </w:rPr>
              <w:t>咸阳市消防支队</w:t>
            </w:r>
          </w:p>
        </w:tc>
        <w:tc>
          <w:tcPr>
            <w:tcW w:w="3053" w:type="dxa"/>
            <w:vAlign w:val="center"/>
          </w:tcPr>
          <w:p>
            <w:pPr>
              <w:spacing w:line="240" w:lineRule="auto"/>
              <w:jc w:val="center"/>
              <w:rPr>
                <w:rFonts w:hint="default" w:ascii="Times New Roman" w:hAnsi="Times New Roman" w:eastAsia="仿宋" w:cs="Times New Roman"/>
                <w:color w:val="auto"/>
                <w:sz w:val="24"/>
                <w:szCs w:val="24"/>
                <w:lang w:val="en-US" w:eastAsia="zh-CN"/>
              </w:rPr>
            </w:pPr>
            <w:r>
              <w:rPr>
                <w:rFonts w:hint="eastAsia" w:ascii="仿宋" w:hAnsi="仿宋" w:eastAsia="仿宋" w:cs="仿宋"/>
                <w:color w:val="auto"/>
                <w:sz w:val="24"/>
                <w:szCs w:val="24"/>
                <w:lang w:eastAsia="zh-CN"/>
              </w:rPr>
              <w:t>029-3221153</w:t>
            </w:r>
          </w:p>
        </w:tc>
        <w:tc>
          <w:tcPr>
            <w:tcW w:w="1655" w:type="dxa"/>
            <w:vAlign w:val="center"/>
          </w:tcPr>
          <w:p>
            <w:pPr>
              <w:jc w:val="center"/>
              <w:rPr>
                <w:rFonts w:hint="default" w:ascii="Times New Roman" w:hAnsi="Times New Roman" w:eastAsia="仿宋" w:cs="Times New Roman"/>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119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70" w:hRule="atLeast"/>
        </w:trPr>
        <w:tc>
          <w:tcPr>
            <w:tcW w:w="4126" w:type="dxa"/>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0"/>
                <w:lang w:val="en-US" w:eastAsia="zh-CN" w:bidi="ar-SA"/>
              </w:rPr>
            </w:pPr>
            <w:r>
              <w:rPr>
                <w:rFonts w:hint="eastAsia" w:ascii="仿宋" w:hAnsi="仿宋" w:eastAsia="仿宋" w:cs="仿宋"/>
                <w:snapToGrid w:val="0"/>
                <w:color w:val="auto"/>
                <w:kern w:val="0"/>
                <w:sz w:val="24"/>
                <w:lang w:eastAsia="zh-CN"/>
              </w:rPr>
              <w:t>西咸新区环境监测执法支队</w:t>
            </w:r>
          </w:p>
        </w:tc>
        <w:tc>
          <w:tcPr>
            <w:tcW w:w="3053" w:type="dxa"/>
            <w:vAlign w:val="center"/>
          </w:tcPr>
          <w:p>
            <w:pPr>
              <w:adjustRightInd w:val="0"/>
              <w:snapToGrid w:val="0"/>
              <w:spacing w:line="400" w:lineRule="exact"/>
              <w:ind w:right="-63" w:rightChars="-30"/>
              <w:jc w:val="center"/>
              <w:rPr>
                <w:rFonts w:hint="eastAsia" w:ascii="仿宋" w:hAnsi="仿宋" w:eastAsia="仿宋" w:cs="仿宋"/>
                <w:snapToGrid w:val="0"/>
                <w:color w:val="auto"/>
                <w:kern w:val="0"/>
                <w:sz w:val="24"/>
                <w:szCs w:val="20"/>
                <w:lang w:val="en-US" w:eastAsia="zh-CN" w:bidi="ar-SA"/>
              </w:rPr>
            </w:pPr>
            <w:r>
              <w:rPr>
                <w:rFonts w:hint="eastAsia" w:ascii="仿宋" w:hAnsi="仿宋" w:eastAsia="仿宋" w:cs="仿宋"/>
                <w:snapToGrid w:val="0"/>
                <w:color w:val="auto"/>
                <w:kern w:val="0"/>
                <w:sz w:val="24"/>
                <w:lang w:val="en-US" w:eastAsia="zh-CN"/>
              </w:rPr>
              <w:t>029-33585034</w:t>
            </w:r>
          </w:p>
        </w:tc>
        <w:tc>
          <w:tcPr>
            <w:tcW w:w="1655" w:type="dxa"/>
            <w:vAlign w:val="center"/>
          </w:tcPr>
          <w:p>
            <w:pPr>
              <w:jc w:val="center"/>
              <w:rPr>
                <w:rFonts w:hint="eastAsia" w:ascii="仿宋" w:hAnsi="仿宋" w:eastAsia="仿宋" w:cs="仿宋"/>
                <w:snapToGrid w:val="0"/>
                <w:color w:val="auto"/>
                <w:kern w:val="0"/>
                <w:sz w:val="24"/>
                <w:szCs w:val="24"/>
                <w:lang w:val="en-US" w:eastAsia="zh-CN"/>
              </w:rPr>
            </w:pPr>
          </w:p>
        </w:tc>
      </w:tr>
    </w:tbl>
    <w:p>
      <w:pPr>
        <w:pStyle w:val="22"/>
        <w:ind w:left="0" w:leftChars="0" w:firstLine="0" w:firstLineChars="0"/>
        <w:rPr>
          <w:rFonts w:hint="default" w:ascii="Times New Roman" w:hAnsi="Times New Roman" w:eastAsia="仿宋" w:cs="Times New Roman"/>
          <w:color w:val="auto"/>
        </w:rPr>
        <w:sectPr>
          <w:pgSz w:w="11906" w:h="16838"/>
          <w:pgMar w:top="1440" w:right="1587" w:bottom="1440" w:left="1701" w:header="851" w:footer="992" w:gutter="0"/>
          <w:pgNumType w:fmt="decimal"/>
          <w:cols w:space="720" w:num="1"/>
          <w:docGrid w:type="lines" w:linePitch="312" w:charSpace="0"/>
        </w:sectPr>
      </w:pPr>
    </w:p>
    <w:p>
      <w:pPr>
        <w:spacing w:line="360" w:lineRule="auto"/>
        <w:outlineLvl w:val="0"/>
        <w:rPr>
          <w:rFonts w:hint="default" w:ascii="Times New Roman" w:hAnsi="Times New Roman" w:eastAsia="仿宋" w:cs="Times New Roman"/>
          <w:b/>
          <w:bCs/>
          <w:color w:val="auto"/>
          <w:kern w:val="21"/>
          <w:sz w:val="28"/>
          <w:szCs w:val="28"/>
        </w:rPr>
      </w:pPr>
      <w:bookmarkStart w:id="68" w:name="_Toc24167"/>
      <w:r>
        <w:rPr>
          <w:rFonts w:hint="default" w:ascii="Times New Roman" w:hAnsi="Times New Roman" w:eastAsia="仿宋" w:cs="Times New Roman"/>
          <w:b/>
          <w:color w:val="auto"/>
          <w:sz w:val="28"/>
          <w:szCs w:val="28"/>
        </w:rPr>
        <w:t>4</w:t>
      </w:r>
      <w:r>
        <w:rPr>
          <w:rFonts w:hint="default" w:ascii="Times New Roman" w:hAnsi="Times New Roman" w:eastAsia="仿宋" w:cs="Times New Roman"/>
          <w:b/>
          <w:bCs/>
          <w:color w:val="auto"/>
          <w:kern w:val="21"/>
          <w:sz w:val="28"/>
          <w:szCs w:val="28"/>
        </w:rPr>
        <w:t>、突发环境事件及其后果分析</w:t>
      </w:r>
      <w:bookmarkEnd w:id="68"/>
    </w:p>
    <w:p>
      <w:pPr>
        <w:pStyle w:val="2"/>
        <w:keepNext w:val="0"/>
        <w:spacing w:before="0" w:after="0" w:line="240" w:lineRule="auto"/>
        <w:rPr>
          <w:rFonts w:hint="default" w:ascii="Times New Roman" w:hAnsi="Times New Roman" w:eastAsia="仿宋" w:cs="Times New Roman"/>
          <w:color w:val="auto"/>
          <w:kern w:val="21"/>
          <w:sz w:val="28"/>
          <w:szCs w:val="28"/>
        </w:rPr>
      </w:pPr>
      <w:bookmarkStart w:id="69" w:name="_Toc2810"/>
      <w:r>
        <w:rPr>
          <w:rFonts w:hint="default" w:ascii="Times New Roman" w:hAnsi="Times New Roman" w:eastAsia="仿宋" w:cs="Times New Roman"/>
          <w:color w:val="auto"/>
          <w:kern w:val="21"/>
          <w:sz w:val="28"/>
          <w:szCs w:val="28"/>
        </w:rPr>
        <w:t>4.1 突发环境事件情景分析</w:t>
      </w:r>
      <w:bookmarkEnd w:id="69"/>
    </w:p>
    <w:p>
      <w:pPr>
        <w:pStyle w:val="44"/>
        <w:overflowPunct w:val="0"/>
        <w:topLinePunct/>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kern w:val="0"/>
          <w:sz w:val="28"/>
          <w:szCs w:val="28"/>
        </w:rPr>
        <w:t>突发环境事件，指突然发生，造成或可能造成环境污染或生态破坏， 危及人民群众生命财产安全，影响社会公共秩序，需要采取紧急措施予以应对的事件。 本评估报告</w:t>
      </w:r>
      <w:r>
        <w:rPr>
          <w:rFonts w:hint="eastAsia" w:eastAsia="仿宋" w:cs="Times New Roman"/>
          <w:color w:val="auto"/>
          <w:kern w:val="0"/>
          <w:sz w:val="28"/>
          <w:szCs w:val="28"/>
          <w:lang w:eastAsia="zh-CN"/>
        </w:rPr>
        <w:t>主要风险源为</w:t>
      </w:r>
      <w:r>
        <w:rPr>
          <w:rFonts w:hint="eastAsia" w:eastAsia="仿宋" w:cs="Times New Roman"/>
          <w:color w:val="auto"/>
          <w:kern w:val="0"/>
          <w:sz w:val="28"/>
          <w:szCs w:val="28"/>
          <w:lang w:val="en-US" w:eastAsia="zh-CN"/>
        </w:rPr>
        <w:t>危废暂存间的废机油。</w:t>
      </w:r>
      <w:r>
        <w:rPr>
          <w:rFonts w:hint="default" w:ascii="Times New Roman" w:hAnsi="Times New Roman" w:eastAsia="仿宋" w:cs="Times New Roman"/>
          <w:color w:val="auto"/>
          <w:sz w:val="28"/>
          <w:szCs w:val="28"/>
        </w:rPr>
        <w:t>公司涉及</w:t>
      </w:r>
      <w:r>
        <w:rPr>
          <w:rFonts w:hint="eastAsia" w:eastAsia="仿宋" w:cs="Times New Roman"/>
          <w:color w:val="auto"/>
          <w:sz w:val="28"/>
          <w:szCs w:val="28"/>
          <w:lang w:eastAsia="zh-CN"/>
        </w:rPr>
        <w:t>废</w:t>
      </w:r>
      <w:r>
        <w:rPr>
          <w:rFonts w:hint="default" w:ascii="Times New Roman" w:hAnsi="Times New Roman" w:eastAsia="仿宋" w:cs="Times New Roman"/>
          <w:color w:val="auto"/>
          <w:sz w:val="28"/>
          <w:szCs w:val="28"/>
        </w:rPr>
        <w:t>机油</w:t>
      </w:r>
      <w:r>
        <w:rPr>
          <w:rFonts w:hint="eastAsia" w:eastAsia="仿宋" w:cs="Times New Roman"/>
          <w:color w:val="auto"/>
          <w:sz w:val="28"/>
          <w:szCs w:val="28"/>
          <w:lang w:eastAsia="zh-CN"/>
        </w:rPr>
        <w:t>的暂存</w:t>
      </w:r>
      <w:r>
        <w:rPr>
          <w:rFonts w:hint="default" w:ascii="Times New Roman" w:hAnsi="Times New Roman" w:eastAsia="仿宋" w:cs="Times New Roman"/>
          <w:color w:val="auto"/>
          <w:sz w:val="28"/>
          <w:szCs w:val="28"/>
        </w:rPr>
        <w:t>，若遇明火后有发生火灾的危险。公司发生火灾的原因主要见表 4.1-1。</w:t>
      </w:r>
    </w:p>
    <w:p>
      <w:pPr>
        <w:pStyle w:val="44"/>
        <w:overflowPunct w:val="0"/>
        <w:topLinePunct/>
        <w:ind w:firstLine="562" w:firstLineChars="200"/>
        <w:jc w:val="center"/>
        <w:rPr>
          <w:rFonts w:hint="default" w:ascii="Times New Roman" w:hAnsi="Times New Roman" w:eastAsia="仿宋" w:cs="Times New Roman"/>
          <w:color w:val="auto"/>
          <w:sz w:val="28"/>
          <w:szCs w:val="28"/>
        </w:rPr>
      </w:pPr>
      <w:r>
        <w:rPr>
          <w:rFonts w:hint="default" w:ascii="Times New Roman" w:hAnsi="Times New Roman" w:eastAsia="仿宋" w:cs="Times New Roman"/>
          <w:b/>
          <w:bCs/>
          <w:color w:val="auto"/>
          <w:sz w:val="28"/>
          <w:szCs w:val="28"/>
        </w:rPr>
        <w:t>表</w:t>
      </w:r>
      <w:r>
        <w:rPr>
          <w:rFonts w:hint="eastAsia" w:ascii="Times New Roman" w:hAnsi="Times New Roman" w:eastAsia="仿宋" w:cs="Times New Roman"/>
          <w:b/>
          <w:bCs/>
          <w:color w:val="auto"/>
          <w:sz w:val="28"/>
          <w:szCs w:val="28"/>
          <w:lang w:val="en-US" w:eastAsia="zh-CN"/>
        </w:rPr>
        <w:t>4.1-1</w:t>
      </w:r>
      <w:r>
        <w:rPr>
          <w:rFonts w:hint="default" w:ascii="Times New Roman" w:hAnsi="Times New Roman" w:eastAsia="仿宋" w:cs="Times New Roman"/>
          <w:b/>
          <w:bCs/>
          <w:color w:val="auto"/>
          <w:sz w:val="28"/>
          <w:szCs w:val="28"/>
        </w:rPr>
        <w:t xml:space="preserve">  火灾事故原因分析</w:t>
      </w:r>
    </w:p>
    <w:tbl>
      <w:tblPr>
        <w:tblStyle w:val="2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19"/>
        <w:gridCol w:w="1634"/>
        <w:gridCol w:w="57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vAlign w:val="center"/>
          </w:tcPr>
          <w:p>
            <w:pPr>
              <w:jc w:val="center"/>
              <w:rPr>
                <w:rFonts w:hint="default" w:ascii="Times New Roman" w:hAnsi="Times New Roman" w:eastAsia="仿宋" w:cs="Times New Roman"/>
                <w:b/>
                <w:bCs/>
                <w:color w:val="auto"/>
                <w:kern w:val="0"/>
                <w:sz w:val="24"/>
                <w:szCs w:val="24"/>
                <w:lang w:eastAsia="zh-CN"/>
              </w:rPr>
            </w:pPr>
            <w:r>
              <w:rPr>
                <w:rFonts w:hint="eastAsia" w:ascii="Times New Roman" w:hAnsi="Times New Roman" w:eastAsia="仿宋" w:cs="Times New Roman"/>
                <w:b/>
                <w:bCs/>
                <w:color w:val="auto"/>
                <w:kern w:val="0"/>
                <w:sz w:val="24"/>
                <w:szCs w:val="24"/>
                <w:lang w:eastAsia="zh-CN"/>
              </w:rPr>
              <w:t>事故类型</w:t>
            </w:r>
          </w:p>
        </w:tc>
        <w:tc>
          <w:tcPr>
            <w:tcW w:w="7365" w:type="dxa"/>
            <w:gridSpan w:val="2"/>
            <w:vAlign w:val="center"/>
          </w:tcPr>
          <w:p>
            <w:pPr>
              <w:jc w:val="center"/>
              <w:rPr>
                <w:rFonts w:hint="default" w:ascii="Times New Roman" w:hAnsi="Times New Roman" w:eastAsia="仿宋" w:cs="Times New Roman"/>
                <w:b/>
                <w:bCs/>
                <w:color w:val="auto"/>
                <w:kern w:val="0"/>
                <w:sz w:val="24"/>
                <w:szCs w:val="24"/>
                <w:lang w:eastAsia="zh-CN"/>
              </w:rPr>
            </w:pPr>
            <w:r>
              <w:rPr>
                <w:rFonts w:hint="eastAsia" w:ascii="Times New Roman" w:hAnsi="Times New Roman" w:eastAsia="仿宋" w:cs="Times New Roman"/>
                <w:b/>
                <w:bCs/>
                <w:color w:val="auto"/>
                <w:kern w:val="0"/>
                <w:sz w:val="24"/>
                <w:szCs w:val="24"/>
                <w:lang w:eastAsia="zh-CN"/>
              </w:rPr>
              <w:t>事故原因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vMerge w:val="restart"/>
            <w:vAlign w:val="center"/>
          </w:tcPr>
          <w:p>
            <w:pPr>
              <w:jc w:val="center"/>
              <w:rPr>
                <w:rFonts w:hint="default" w:ascii="Times New Roman" w:hAnsi="Times New Roman" w:eastAsia="仿宋" w:cs="Times New Roman"/>
                <w:color w:val="auto"/>
                <w:kern w:val="0"/>
                <w:sz w:val="24"/>
                <w:szCs w:val="24"/>
                <w:lang w:eastAsia="zh-CN"/>
              </w:rPr>
            </w:pPr>
            <w:r>
              <w:rPr>
                <w:rFonts w:hint="eastAsia" w:ascii="Times New Roman" w:hAnsi="Times New Roman" w:eastAsia="仿宋" w:cs="Times New Roman"/>
                <w:color w:val="auto"/>
                <w:kern w:val="0"/>
                <w:sz w:val="24"/>
                <w:szCs w:val="24"/>
                <w:lang w:eastAsia="zh-CN"/>
              </w:rPr>
              <w:t>火灾事故</w:t>
            </w:r>
          </w:p>
        </w:tc>
        <w:tc>
          <w:tcPr>
            <w:tcW w:w="1634" w:type="dxa"/>
            <w:vAlign w:val="center"/>
          </w:tcPr>
          <w:p>
            <w:pPr>
              <w:jc w:val="center"/>
              <w:rPr>
                <w:rFonts w:hint="default" w:ascii="Times New Roman" w:hAnsi="Times New Roman" w:eastAsia="仿宋" w:cs="Times New Roman"/>
                <w:color w:val="auto"/>
                <w:kern w:val="0"/>
                <w:sz w:val="24"/>
                <w:szCs w:val="24"/>
                <w:lang w:eastAsia="zh-CN"/>
              </w:rPr>
            </w:pPr>
            <w:r>
              <w:rPr>
                <w:rFonts w:hint="eastAsia" w:ascii="Times New Roman" w:hAnsi="Times New Roman" w:eastAsia="仿宋" w:cs="Times New Roman"/>
                <w:color w:val="auto"/>
                <w:kern w:val="0"/>
                <w:sz w:val="24"/>
                <w:szCs w:val="24"/>
                <w:lang w:eastAsia="zh-CN"/>
              </w:rPr>
              <w:t>明火</w:t>
            </w:r>
          </w:p>
        </w:tc>
        <w:tc>
          <w:tcPr>
            <w:tcW w:w="5731" w:type="dxa"/>
            <w:vAlign w:val="center"/>
          </w:tcPr>
          <w:p>
            <w:pPr>
              <w:jc w:val="center"/>
              <w:rPr>
                <w:rFonts w:hint="default" w:ascii="Times New Roman" w:hAnsi="Times New Roman" w:eastAsia="仿宋" w:cs="Times New Roman"/>
                <w:color w:val="auto"/>
                <w:kern w:val="0"/>
                <w:sz w:val="24"/>
                <w:szCs w:val="24"/>
                <w:lang w:eastAsia="zh-CN"/>
              </w:rPr>
            </w:pPr>
            <w:r>
              <w:rPr>
                <w:rFonts w:hint="default" w:ascii="Times New Roman" w:hAnsi="Times New Roman" w:eastAsia="仿宋" w:cs="Times New Roman"/>
                <w:color w:val="auto"/>
                <w:kern w:val="0"/>
                <w:sz w:val="24"/>
                <w:szCs w:val="24"/>
                <w:lang w:eastAsia="zh-CN"/>
              </w:rPr>
              <w:t>检修过程中违章动火作业、现场吸烟、机动车辆喷烟</w:t>
            </w:r>
          </w:p>
          <w:p>
            <w:pPr>
              <w:jc w:val="center"/>
              <w:rPr>
                <w:rFonts w:hint="default" w:ascii="Times New Roman" w:hAnsi="Times New Roman" w:eastAsia="仿宋" w:cs="Times New Roman"/>
                <w:color w:val="auto"/>
                <w:kern w:val="0"/>
                <w:sz w:val="24"/>
                <w:szCs w:val="24"/>
                <w:lang w:eastAsia="zh-CN"/>
              </w:rPr>
            </w:pPr>
            <w:r>
              <w:rPr>
                <w:rFonts w:hint="default" w:ascii="Times New Roman" w:hAnsi="Times New Roman" w:eastAsia="仿宋" w:cs="Times New Roman"/>
                <w:color w:val="auto"/>
                <w:kern w:val="0"/>
                <w:sz w:val="24"/>
                <w:szCs w:val="24"/>
                <w:lang w:eastAsia="zh-CN"/>
              </w:rPr>
              <w:t>排火等，为导致火灾事故最常见、最直接的原因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vMerge w:val="continue"/>
            <w:vAlign w:val="center"/>
          </w:tcPr>
          <w:p>
            <w:pPr>
              <w:jc w:val="center"/>
              <w:rPr>
                <w:rFonts w:hint="default" w:ascii="Times New Roman" w:hAnsi="Times New Roman" w:eastAsia="仿宋" w:cs="Times New Roman"/>
                <w:color w:val="auto"/>
                <w:kern w:val="0"/>
                <w:sz w:val="24"/>
                <w:szCs w:val="24"/>
                <w:lang w:eastAsia="zh-CN"/>
              </w:rPr>
            </w:pPr>
          </w:p>
        </w:tc>
        <w:tc>
          <w:tcPr>
            <w:tcW w:w="1634" w:type="dxa"/>
            <w:vAlign w:val="center"/>
          </w:tcPr>
          <w:p>
            <w:pPr>
              <w:jc w:val="center"/>
              <w:rPr>
                <w:rFonts w:hint="default" w:ascii="Times New Roman" w:hAnsi="Times New Roman" w:eastAsia="仿宋" w:cs="Times New Roman"/>
                <w:color w:val="auto"/>
                <w:kern w:val="0"/>
                <w:sz w:val="24"/>
                <w:szCs w:val="24"/>
                <w:lang w:eastAsia="zh-CN"/>
              </w:rPr>
            </w:pPr>
            <w:r>
              <w:rPr>
                <w:rFonts w:hint="eastAsia" w:ascii="Times New Roman" w:hAnsi="Times New Roman" w:eastAsia="仿宋" w:cs="Times New Roman"/>
                <w:color w:val="auto"/>
                <w:kern w:val="0"/>
                <w:sz w:val="24"/>
                <w:szCs w:val="24"/>
                <w:lang w:eastAsia="zh-CN"/>
              </w:rPr>
              <w:t>其他原因</w:t>
            </w:r>
          </w:p>
        </w:tc>
        <w:tc>
          <w:tcPr>
            <w:tcW w:w="5731" w:type="dxa"/>
            <w:vAlign w:val="center"/>
          </w:tcPr>
          <w:p>
            <w:pPr>
              <w:jc w:val="center"/>
              <w:rPr>
                <w:rFonts w:hint="default" w:ascii="Times New Roman" w:hAnsi="Times New Roman" w:eastAsia="仿宋" w:cs="Times New Roman"/>
                <w:color w:val="auto"/>
                <w:kern w:val="0"/>
                <w:sz w:val="24"/>
                <w:szCs w:val="24"/>
                <w:lang w:eastAsia="zh-CN"/>
              </w:rPr>
            </w:pPr>
            <w:r>
              <w:rPr>
                <w:rFonts w:hint="default" w:ascii="Times New Roman" w:hAnsi="Times New Roman" w:eastAsia="仿宋" w:cs="Times New Roman"/>
                <w:color w:val="auto"/>
                <w:kern w:val="0"/>
                <w:sz w:val="24"/>
                <w:szCs w:val="24"/>
                <w:lang w:eastAsia="zh-CN"/>
              </w:rPr>
              <w:t>撞击摩擦、交通事故、人为蓄意破坏及自然灾害等</w:t>
            </w:r>
          </w:p>
        </w:tc>
      </w:tr>
    </w:tbl>
    <w:p>
      <w:pPr>
        <w:pStyle w:val="2"/>
        <w:keepNext w:val="0"/>
        <w:spacing w:before="0" w:after="0" w:line="360" w:lineRule="auto"/>
        <w:rPr>
          <w:rFonts w:hint="default" w:ascii="Times New Roman" w:hAnsi="Times New Roman" w:eastAsia="仿宋" w:cs="Times New Roman"/>
          <w:color w:val="auto"/>
          <w:kern w:val="21"/>
          <w:sz w:val="28"/>
          <w:szCs w:val="28"/>
        </w:rPr>
      </w:pPr>
      <w:bookmarkStart w:id="70" w:name="_Toc19898"/>
      <w:r>
        <w:rPr>
          <w:rFonts w:hint="default" w:ascii="Times New Roman" w:hAnsi="Times New Roman" w:eastAsia="仿宋" w:cs="Times New Roman"/>
          <w:color w:val="auto"/>
          <w:kern w:val="21"/>
          <w:sz w:val="28"/>
          <w:szCs w:val="28"/>
        </w:rPr>
        <w:t>4.2</w:t>
      </w:r>
      <w:r>
        <w:rPr>
          <w:rFonts w:hint="default" w:ascii="Times New Roman" w:hAnsi="Times New Roman" w:eastAsia="仿宋" w:cs="Times New Roman"/>
          <w:color w:val="auto"/>
          <w:kern w:val="0"/>
          <w:sz w:val="28"/>
          <w:szCs w:val="28"/>
          <w:lang w:eastAsia="zh-CN"/>
        </w:rPr>
        <w:t>项目</w:t>
      </w:r>
      <w:r>
        <w:rPr>
          <w:rFonts w:hint="default" w:ascii="Times New Roman" w:hAnsi="Times New Roman" w:eastAsia="仿宋" w:cs="Times New Roman"/>
          <w:color w:val="auto"/>
          <w:kern w:val="0"/>
          <w:sz w:val="28"/>
          <w:szCs w:val="28"/>
        </w:rPr>
        <w:t>主要风险识别</w:t>
      </w:r>
      <w:bookmarkEnd w:id="70"/>
    </w:p>
    <w:p>
      <w:pPr>
        <w:pStyle w:val="4"/>
        <w:keepNext w:val="0"/>
        <w:spacing w:before="0" w:after="0" w:line="360" w:lineRule="auto"/>
        <w:rPr>
          <w:rFonts w:hint="default" w:ascii="Times New Roman" w:hAnsi="Times New Roman" w:eastAsia="仿宋" w:cs="Times New Roman"/>
          <w:color w:val="auto"/>
          <w:kern w:val="21"/>
          <w:sz w:val="28"/>
          <w:szCs w:val="28"/>
        </w:rPr>
      </w:pPr>
      <w:bookmarkStart w:id="71" w:name="_Toc439234648"/>
      <w:bookmarkStart w:id="72" w:name="_Toc219195833"/>
      <w:bookmarkStart w:id="73" w:name="_Toc219197171"/>
      <w:r>
        <w:rPr>
          <w:rFonts w:hint="default" w:ascii="Times New Roman" w:hAnsi="Times New Roman" w:eastAsia="仿宋" w:cs="Times New Roman"/>
          <w:color w:val="auto"/>
          <w:kern w:val="21"/>
          <w:sz w:val="28"/>
          <w:szCs w:val="28"/>
        </w:rPr>
        <w:t>4.2.1主要物料风险识别</w:t>
      </w:r>
      <w:bookmarkEnd w:id="71"/>
      <w:bookmarkEnd w:id="72"/>
      <w:bookmarkEnd w:id="73"/>
    </w:p>
    <w:p>
      <w:pPr>
        <w:pStyle w:val="44"/>
        <w:overflowPunct w:val="0"/>
        <w:topLinePunct/>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（1）火灾事故</w:t>
      </w:r>
    </w:p>
    <w:p>
      <w:pPr>
        <w:pStyle w:val="44"/>
        <w:overflowPunct w:val="0"/>
        <w:topLinePunct/>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发生火括生产装置设备的工作状态，以及环境因素、人为因素和管理因灾事故的潜在因素分为物质因素和诱发因素，其中物质因素主要涉及物质的危险性、物质系数以及危险物质是否达到一定的规模，他们是事故发生的内在因素，而诱发因素是引起事故的外在动力，包素。</w:t>
      </w:r>
    </w:p>
    <w:p>
      <w:pPr>
        <w:pStyle w:val="44"/>
        <w:overflowPunct w:val="0"/>
        <w:topLinePunct/>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项目涉及的主要危险物质为废机油。泄漏后的废机油对周围环境造成影响，并可能引起火灾。</w:t>
      </w:r>
    </w:p>
    <w:p>
      <w:pPr>
        <w:pStyle w:val="4"/>
        <w:keepNext w:val="0"/>
        <w:spacing w:before="0" w:after="0" w:line="360" w:lineRule="auto"/>
        <w:rPr>
          <w:rFonts w:hint="default" w:ascii="Times New Roman" w:hAnsi="Times New Roman" w:eastAsia="仿宋" w:cs="Times New Roman"/>
          <w:color w:val="auto"/>
          <w:kern w:val="21"/>
          <w:sz w:val="28"/>
          <w:szCs w:val="28"/>
        </w:rPr>
      </w:pPr>
      <w:bookmarkStart w:id="74" w:name="_Toc439234649"/>
      <w:bookmarkStart w:id="75" w:name="_Toc219197172"/>
      <w:bookmarkStart w:id="76" w:name="_Toc219195838"/>
      <w:r>
        <w:rPr>
          <w:rFonts w:hint="default" w:ascii="Times New Roman" w:hAnsi="Times New Roman" w:eastAsia="仿宋" w:cs="Times New Roman"/>
          <w:color w:val="auto"/>
          <w:kern w:val="21"/>
          <w:sz w:val="28"/>
          <w:szCs w:val="28"/>
        </w:rPr>
        <w:t>4.2.2主要风险场所识别</w:t>
      </w:r>
      <w:bookmarkEnd w:id="74"/>
      <w:bookmarkEnd w:id="75"/>
      <w:bookmarkEnd w:id="76"/>
    </w:p>
    <w:p>
      <w:pPr>
        <w:pStyle w:val="44"/>
        <w:overflowPunct w:val="0"/>
        <w:topLinePunct/>
        <w:ind w:firstLine="560" w:firstLineChars="200"/>
        <w:rPr>
          <w:rFonts w:hint="default" w:ascii="Times New Roman" w:hAnsi="Times New Roman" w:eastAsia="仿宋" w:cs="Times New Roman"/>
          <w:color w:val="auto"/>
          <w:sz w:val="28"/>
          <w:szCs w:val="28"/>
          <w:lang w:eastAsia="zh-CN"/>
        </w:rPr>
      </w:pPr>
      <w:r>
        <w:rPr>
          <w:rFonts w:hint="eastAsia" w:eastAsia="仿宋" w:cs="Times New Roman"/>
          <w:color w:val="auto"/>
          <w:sz w:val="28"/>
          <w:szCs w:val="28"/>
          <w:lang w:eastAsia="zh-CN"/>
        </w:rPr>
        <w:t>危废暂存间</w:t>
      </w:r>
      <w:r>
        <w:rPr>
          <w:rFonts w:hint="default" w:ascii="Times New Roman" w:hAnsi="Times New Roman" w:eastAsia="仿宋" w:cs="Times New Roman"/>
          <w:color w:val="auto"/>
          <w:sz w:val="28"/>
          <w:szCs w:val="28"/>
        </w:rPr>
        <w:t>是</w:t>
      </w:r>
      <w:r>
        <w:rPr>
          <w:rFonts w:hint="eastAsia" w:eastAsia="仿宋" w:cs="Times New Roman"/>
          <w:color w:val="auto"/>
          <w:sz w:val="28"/>
          <w:szCs w:val="28"/>
          <w:lang w:eastAsia="zh-CN"/>
        </w:rPr>
        <w:t>厂区</w:t>
      </w:r>
      <w:r>
        <w:rPr>
          <w:rFonts w:hint="default" w:ascii="Times New Roman" w:hAnsi="Times New Roman" w:eastAsia="仿宋" w:cs="Times New Roman"/>
          <w:color w:val="auto"/>
          <w:sz w:val="28"/>
          <w:szCs w:val="28"/>
        </w:rPr>
        <w:t>最容易发生事故的场所，</w:t>
      </w:r>
      <w:r>
        <w:rPr>
          <w:rFonts w:hint="eastAsia" w:eastAsia="仿宋" w:cs="Times New Roman"/>
          <w:color w:val="auto"/>
          <w:sz w:val="28"/>
          <w:szCs w:val="28"/>
          <w:lang w:eastAsia="zh-CN"/>
        </w:rPr>
        <w:t>本项目危废暂存间废机油最大储存量为</w:t>
      </w:r>
      <w:r>
        <w:rPr>
          <w:rFonts w:hint="eastAsia" w:eastAsia="仿宋" w:cs="Times New Roman"/>
          <w:color w:val="auto"/>
          <w:sz w:val="28"/>
          <w:szCs w:val="28"/>
          <w:lang w:val="en-US" w:eastAsia="zh-CN"/>
        </w:rPr>
        <w:t>0.2t，</w:t>
      </w:r>
      <w:r>
        <w:rPr>
          <w:rFonts w:hint="eastAsia" w:eastAsia="仿宋" w:cs="Times New Roman"/>
          <w:color w:val="auto"/>
          <w:sz w:val="28"/>
          <w:szCs w:val="28"/>
          <w:lang w:eastAsia="zh-CN"/>
        </w:rPr>
        <w:t>若暂存废机油容器</w:t>
      </w:r>
      <w:r>
        <w:rPr>
          <w:rFonts w:hint="default" w:ascii="Times New Roman" w:hAnsi="Times New Roman" w:eastAsia="仿宋" w:cs="Times New Roman"/>
          <w:color w:val="auto"/>
          <w:sz w:val="28"/>
          <w:szCs w:val="28"/>
        </w:rPr>
        <w:t>泄漏遇</w:t>
      </w:r>
      <w:r>
        <w:rPr>
          <w:rFonts w:hint="eastAsia" w:eastAsia="仿宋" w:cs="Times New Roman"/>
          <w:color w:val="auto"/>
          <w:sz w:val="28"/>
          <w:szCs w:val="28"/>
          <w:lang w:eastAsia="zh-CN"/>
        </w:rPr>
        <w:t>明</w:t>
      </w:r>
      <w:r>
        <w:rPr>
          <w:rFonts w:hint="default" w:ascii="Times New Roman" w:hAnsi="Times New Roman" w:eastAsia="仿宋" w:cs="Times New Roman"/>
          <w:color w:val="auto"/>
          <w:sz w:val="28"/>
          <w:szCs w:val="28"/>
        </w:rPr>
        <w:t>火</w:t>
      </w:r>
      <w:r>
        <w:rPr>
          <w:rFonts w:hint="eastAsia" w:eastAsia="仿宋" w:cs="Times New Roman"/>
          <w:color w:val="auto"/>
          <w:sz w:val="28"/>
          <w:szCs w:val="28"/>
          <w:lang w:eastAsia="zh-CN"/>
        </w:rPr>
        <w:t>、高热</w:t>
      </w:r>
      <w:r>
        <w:rPr>
          <w:rFonts w:hint="default" w:ascii="Times New Roman" w:hAnsi="Times New Roman" w:eastAsia="仿宋" w:cs="Times New Roman"/>
          <w:color w:val="auto"/>
          <w:sz w:val="28"/>
          <w:szCs w:val="28"/>
        </w:rPr>
        <w:t>引燃引起</w:t>
      </w:r>
      <w:r>
        <w:rPr>
          <w:rFonts w:hint="default" w:ascii="Times New Roman" w:hAnsi="Times New Roman" w:eastAsia="仿宋" w:cs="Times New Roman"/>
          <w:color w:val="auto"/>
          <w:sz w:val="28"/>
          <w:szCs w:val="28"/>
          <w:lang w:eastAsia="zh-CN"/>
        </w:rPr>
        <w:t>火灾</w:t>
      </w:r>
      <w:r>
        <w:rPr>
          <w:rFonts w:hint="eastAsia" w:eastAsia="仿宋" w:cs="Times New Roman"/>
          <w:color w:val="auto"/>
          <w:sz w:val="28"/>
          <w:szCs w:val="28"/>
          <w:lang w:eastAsia="zh-CN"/>
        </w:rPr>
        <w:t>；生产区污染治理设施异常污染物颗粒物将全部由排气筒直排入空气，污染物排放浓度将严重超标。</w:t>
      </w:r>
    </w:p>
    <w:p>
      <w:pPr>
        <w:pStyle w:val="2"/>
        <w:keepNext w:val="0"/>
        <w:spacing w:before="0" w:after="0" w:line="360" w:lineRule="auto"/>
        <w:rPr>
          <w:rFonts w:hint="default" w:ascii="Times New Roman" w:hAnsi="Times New Roman" w:eastAsia="仿宋" w:cs="Times New Roman"/>
          <w:color w:val="auto"/>
          <w:kern w:val="21"/>
          <w:sz w:val="28"/>
          <w:szCs w:val="28"/>
        </w:rPr>
      </w:pPr>
      <w:bookmarkStart w:id="77" w:name="_Toc19838"/>
      <w:r>
        <w:rPr>
          <w:rFonts w:hint="default" w:ascii="Times New Roman" w:hAnsi="Times New Roman" w:eastAsia="仿宋" w:cs="Times New Roman"/>
          <w:color w:val="auto"/>
          <w:kern w:val="21"/>
          <w:sz w:val="28"/>
          <w:szCs w:val="28"/>
        </w:rPr>
        <w:t>4.3突发环境事件情景分析</w:t>
      </w:r>
      <w:bookmarkEnd w:id="77"/>
    </w:p>
    <w:p>
      <w:pPr>
        <w:pStyle w:val="4"/>
        <w:keepNext w:val="0"/>
        <w:spacing w:before="0" w:after="0" w:line="360" w:lineRule="auto"/>
        <w:rPr>
          <w:rFonts w:hint="default" w:ascii="Times New Roman" w:hAnsi="Times New Roman" w:eastAsia="仿宋" w:cs="Times New Roman"/>
          <w:color w:val="auto"/>
          <w:kern w:val="21"/>
          <w:sz w:val="28"/>
          <w:szCs w:val="28"/>
        </w:rPr>
      </w:pPr>
      <w:r>
        <w:rPr>
          <w:rFonts w:hint="default" w:ascii="Times New Roman" w:hAnsi="Times New Roman" w:eastAsia="仿宋" w:cs="Times New Roman"/>
          <w:color w:val="auto"/>
          <w:kern w:val="21"/>
          <w:sz w:val="28"/>
          <w:szCs w:val="28"/>
        </w:rPr>
        <w:t>4.3.1事故类型</w:t>
      </w:r>
    </w:p>
    <w:p>
      <w:pPr>
        <w:autoSpaceDE w:val="0"/>
        <w:autoSpaceDN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可能发生的事故主要</w:t>
      </w:r>
      <w:r>
        <w:rPr>
          <w:rFonts w:hint="default" w:ascii="Times New Roman" w:hAnsi="Times New Roman" w:eastAsia="仿宋" w:cs="Times New Roman"/>
          <w:color w:val="auto"/>
          <w:sz w:val="28"/>
          <w:szCs w:val="28"/>
          <w:lang w:eastAsia="zh-CN"/>
        </w:rPr>
        <w:t>为</w:t>
      </w:r>
      <w:r>
        <w:rPr>
          <w:rFonts w:hint="eastAsia" w:eastAsia="仿宋" w:cs="Times New Roman"/>
          <w:color w:val="auto"/>
          <w:sz w:val="28"/>
          <w:szCs w:val="28"/>
          <w:lang w:eastAsia="zh-CN"/>
        </w:rPr>
        <w:t>生产装置区</w:t>
      </w: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eastAsia="zh-CN"/>
        </w:rPr>
        <w:t>危废暂存间</w:t>
      </w:r>
      <w:r>
        <w:rPr>
          <w:rFonts w:hint="default" w:ascii="Times New Roman" w:hAnsi="Times New Roman" w:eastAsia="仿宋" w:cs="Times New Roman"/>
          <w:color w:val="auto"/>
          <w:sz w:val="28"/>
          <w:szCs w:val="28"/>
        </w:rPr>
        <w:t>发生意外事故或人工操作失误产生的泄漏以及由此引起的火灾对人身安全及周围环境产生的危害，</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主要存在的事故类型有：</w:t>
      </w:r>
    </w:p>
    <w:p>
      <w:pPr>
        <w:autoSpaceDE w:val="0"/>
        <w:autoSpaceDN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⑴</w:t>
      </w:r>
      <w:r>
        <w:rPr>
          <w:rFonts w:hint="eastAsia" w:eastAsia="仿宋" w:cs="Times New Roman"/>
          <w:color w:val="auto"/>
          <w:sz w:val="28"/>
          <w:szCs w:val="28"/>
          <w:lang w:eastAsia="zh-CN"/>
        </w:rPr>
        <w:t>废机油</w:t>
      </w:r>
      <w:r>
        <w:rPr>
          <w:rFonts w:hint="default" w:ascii="Times New Roman" w:hAnsi="Times New Roman" w:eastAsia="仿宋" w:cs="Times New Roman"/>
          <w:color w:val="auto"/>
          <w:sz w:val="28"/>
          <w:szCs w:val="28"/>
          <w:lang w:eastAsia="zh-CN"/>
        </w:rPr>
        <w:t>泄漏</w:t>
      </w:r>
      <w:r>
        <w:rPr>
          <w:rFonts w:hint="default" w:ascii="Times New Roman" w:hAnsi="Times New Roman" w:eastAsia="仿宋" w:cs="Times New Roman"/>
          <w:color w:val="auto"/>
          <w:sz w:val="28"/>
          <w:szCs w:val="28"/>
        </w:rPr>
        <w:t>以及由此引起的火灾对人身安全及周围</w:t>
      </w:r>
      <w:r>
        <w:rPr>
          <w:rFonts w:hint="eastAsia" w:eastAsia="仿宋" w:cs="Times New Roman"/>
          <w:color w:val="auto"/>
          <w:sz w:val="28"/>
          <w:szCs w:val="28"/>
          <w:lang w:eastAsia="zh-CN"/>
        </w:rPr>
        <w:t>地下水、土壤</w:t>
      </w:r>
      <w:r>
        <w:rPr>
          <w:rFonts w:hint="default" w:ascii="Times New Roman" w:hAnsi="Times New Roman" w:eastAsia="仿宋" w:cs="Times New Roman"/>
          <w:color w:val="auto"/>
          <w:sz w:val="28"/>
          <w:szCs w:val="28"/>
        </w:rPr>
        <w:t>环境产生的危害。</w:t>
      </w:r>
    </w:p>
    <w:p>
      <w:pPr>
        <w:autoSpaceDE w:val="0"/>
        <w:autoSpaceDN w:val="0"/>
        <w:spacing w:line="360" w:lineRule="auto"/>
        <w:ind w:firstLine="560" w:firstLineChars="200"/>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rPr>
        <w:t>⑵</w:t>
      </w:r>
      <w:r>
        <w:rPr>
          <w:rFonts w:hint="default" w:ascii="Times New Roman" w:hAnsi="Times New Roman" w:eastAsia="仿宋" w:cs="Times New Roman"/>
          <w:color w:val="auto"/>
          <w:sz w:val="28"/>
          <w:szCs w:val="28"/>
          <w:lang w:eastAsia="zh-CN"/>
        </w:rPr>
        <w:t>环保设施发生故障，引发大气污染事故。</w:t>
      </w:r>
    </w:p>
    <w:p>
      <w:pPr>
        <w:pStyle w:val="4"/>
        <w:keepNext w:val="0"/>
        <w:spacing w:before="0" w:after="0" w:line="360" w:lineRule="auto"/>
        <w:rPr>
          <w:rFonts w:hint="default" w:ascii="Times New Roman" w:hAnsi="Times New Roman" w:eastAsia="仿宋" w:cs="Times New Roman"/>
          <w:color w:val="auto"/>
          <w:kern w:val="21"/>
          <w:sz w:val="28"/>
          <w:szCs w:val="28"/>
        </w:rPr>
      </w:pPr>
      <w:r>
        <w:rPr>
          <w:rFonts w:hint="default" w:ascii="Times New Roman" w:hAnsi="Times New Roman" w:eastAsia="仿宋" w:cs="Times New Roman"/>
          <w:color w:val="auto"/>
          <w:kern w:val="21"/>
          <w:sz w:val="28"/>
          <w:szCs w:val="28"/>
        </w:rPr>
        <w:t>4.3.2事故原因</w:t>
      </w:r>
    </w:p>
    <w:p>
      <w:pPr>
        <w:autoSpaceDE w:val="0"/>
        <w:autoSpaceDN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（1）环保设施发生故障事故原因</w:t>
      </w:r>
    </w:p>
    <w:p>
      <w:pPr>
        <w:autoSpaceDE w:val="0"/>
        <w:autoSpaceDN w:val="0"/>
        <w:spacing w:line="360" w:lineRule="auto"/>
        <w:ind w:firstLine="560" w:firstLineChars="2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除尘器</w:t>
      </w:r>
      <w:r>
        <w:rPr>
          <w:rFonts w:hint="default" w:ascii="Times New Roman" w:hAnsi="Times New Roman" w:eastAsia="仿宋" w:cs="Times New Roman"/>
          <w:color w:val="auto"/>
          <w:sz w:val="28"/>
          <w:szCs w:val="28"/>
        </w:rPr>
        <w:t>无法正常进行</w:t>
      </w:r>
      <w:r>
        <w:rPr>
          <w:rFonts w:hint="default" w:ascii="Times New Roman" w:hAnsi="Times New Roman" w:eastAsia="仿宋" w:cs="Times New Roman"/>
          <w:color w:val="auto"/>
          <w:sz w:val="28"/>
          <w:szCs w:val="28"/>
          <w:lang w:eastAsia="zh-CN"/>
        </w:rPr>
        <w:t>运行</w:t>
      </w:r>
      <w:r>
        <w:rPr>
          <w:rFonts w:hint="default" w:ascii="Times New Roman" w:hAnsi="Times New Roman" w:eastAsia="仿宋" w:cs="Times New Roman"/>
          <w:color w:val="auto"/>
          <w:sz w:val="28"/>
          <w:szCs w:val="28"/>
        </w:rPr>
        <w:t>，导致</w:t>
      </w:r>
      <w:r>
        <w:rPr>
          <w:rFonts w:hint="eastAsia" w:eastAsia="仿宋" w:cs="Times New Roman"/>
          <w:color w:val="auto"/>
          <w:sz w:val="28"/>
          <w:szCs w:val="28"/>
          <w:lang w:eastAsia="zh-CN"/>
        </w:rPr>
        <w:t>粉尘</w:t>
      </w:r>
      <w:r>
        <w:rPr>
          <w:rFonts w:hint="default" w:ascii="Times New Roman" w:hAnsi="Times New Roman" w:eastAsia="仿宋" w:cs="Times New Roman"/>
          <w:color w:val="auto"/>
          <w:sz w:val="28"/>
          <w:szCs w:val="28"/>
        </w:rPr>
        <w:t>大量泄漏</w:t>
      </w:r>
      <w:r>
        <w:rPr>
          <w:rFonts w:hint="default" w:ascii="Times New Roman" w:hAnsi="Times New Roman" w:eastAsia="仿宋" w:cs="Times New Roman"/>
          <w:color w:val="auto"/>
          <w:sz w:val="28"/>
          <w:szCs w:val="28"/>
          <w:lang w:eastAsia="zh-CN"/>
        </w:rPr>
        <w:t>。</w:t>
      </w:r>
    </w:p>
    <w:p>
      <w:pPr>
        <w:autoSpaceDE w:val="0"/>
        <w:autoSpaceDN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（2）火灾事故原因</w:t>
      </w:r>
    </w:p>
    <w:p>
      <w:pPr>
        <w:autoSpaceDE w:val="0"/>
        <w:autoSpaceDN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由于操作人员未按照</w:t>
      </w:r>
      <w:r>
        <w:rPr>
          <w:rFonts w:hint="eastAsia" w:eastAsia="仿宋" w:cs="Times New Roman"/>
          <w:color w:val="auto"/>
          <w:sz w:val="28"/>
          <w:szCs w:val="28"/>
          <w:lang w:eastAsia="zh-CN"/>
        </w:rPr>
        <w:t>规章</w:t>
      </w:r>
      <w:r>
        <w:rPr>
          <w:rFonts w:hint="default" w:ascii="Times New Roman" w:hAnsi="Times New Roman" w:eastAsia="仿宋" w:cs="Times New Roman"/>
          <w:color w:val="auto"/>
          <w:sz w:val="28"/>
          <w:szCs w:val="28"/>
        </w:rPr>
        <w:t>操作</w:t>
      </w:r>
      <w:r>
        <w:rPr>
          <w:rFonts w:hint="eastAsia" w:eastAsia="仿宋" w:cs="Times New Roman"/>
          <w:color w:val="auto"/>
          <w:sz w:val="28"/>
          <w:szCs w:val="28"/>
          <w:lang w:eastAsia="zh-CN"/>
        </w:rPr>
        <w:t>管理危废暂存间</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废机油储存</w:t>
      </w:r>
      <w:r>
        <w:rPr>
          <w:rFonts w:hint="default" w:ascii="Times New Roman" w:hAnsi="Times New Roman" w:eastAsia="仿宋" w:cs="Times New Roman"/>
          <w:color w:val="auto"/>
          <w:sz w:val="28"/>
          <w:szCs w:val="28"/>
        </w:rPr>
        <w:t>过程操作不当，导致火灾事故；</w:t>
      </w:r>
    </w:p>
    <w:p>
      <w:pPr>
        <w:pStyle w:val="4"/>
        <w:keepNext w:val="0"/>
        <w:spacing w:before="0" w:after="0" w:line="360" w:lineRule="auto"/>
        <w:rPr>
          <w:rFonts w:hint="default" w:ascii="Times New Roman" w:hAnsi="Times New Roman" w:eastAsia="仿宋" w:cs="Times New Roman"/>
          <w:color w:val="auto"/>
          <w:kern w:val="21"/>
          <w:sz w:val="28"/>
          <w:szCs w:val="28"/>
        </w:rPr>
      </w:pPr>
      <w:r>
        <w:rPr>
          <w:rFonts w:hint="default" w:ascii="Times New Roman" w:hAnsi="Times New Roman" w:eastAsia="仿宋" w:cs="Times New Roman"/>
          <w:color w:val="auto"/>
          <w:kern w:val="21"/>
          <w:sz w:val="28"/>
          <w:szCs w:val="28"/>
        </w:rPr>
        <w:t>4.3.3突发环境事件情景分析情况</w:t>
      </w:r>
    </w:p>
    <w:p>
      <w:pPr>
        <w:pStyle w:val="53"/>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8"/>
          <w:szCs w:val="28"/>
        </w:rPr>
        <w:t xml:space="preserve">表4-1  </w:t>
      </w:r>
      <w:r>
        <w:rPr>
          <w:rFonts w:hint="default" w:ascii="Times New Roman" w:hAnsi="Times New Roman" w:eastAsia="仿宋" w:cs="Times New Roman"/>
          <w:b/>
          <w:color w:val="auto"/>
          <w:sz w:val="28"/>
          <w:szCs w:val="28"/>
          <w:lang w:eastAsia="zh-CN"/>
        </w:rPr>
        <w:t>公司</w:t>
      </w:r>
      <w:r>
        <w:rPr>
          <w:rFonts w:hint="default" w:ascii="Times New Roman" w:hAnsi="Times New Roman" w:eastAsia="仿宋" w:cs="Times New Roman"/>
          <w:b/>
          <w:color w:val="auto"/>
          <w:sz w:val="28"/>
          <w:szCs w:val="28"/>
        </w:rPr>
        <w:t>突发环境事件情景分析</w:t>
      </w:r>
    </w:p>
    <w:tbl>
      <w:tblPr>
        <w:tblStyle w:val="24"/>
        <w:tblW w:w="988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54"/>
        <w:gridCol w:w="2435"/>
        <w:gridCol w:w="659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序号</w:t>
            </w:r>
          </w:p>
        </w:tc>
        <w:tc>
          <w:tcPr>
            <w:tcW w:w="2435"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突发环境事件类型</w:t>
            </w:r>
          </w:p>
        </w:tc>
        <w:tc>
          <w:tcPr>
            <w:tcW w:w="6595"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事件引发或次生突发环境事件的最坏情景</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default" w:ascii="Times New Roman" w:hAnsi="Times New Roman" w:eastAsia="仿宋" w:cs="Times New Roman"/>
                <w:color w:val="auto"/>
                <w:kern w:val="0"/>
                <w:sz w:val="24"/>
                <w:szCs w:val="24"/>
              </w:rPr>
            </w:pPr>
            <w:r>
              <w:rPr>
                <w:rFonts w:hint="eastAsia" w:ascii="仿宋" w:hAnsi="仿宋" w:eastAsia="仿宋" w:cs="仿宋"/>
                <w:color w:val="auto"/>
                <w:kern w:val="0"/>
                <w:sz w:val="24"/>
                <w:szCs w:val="24"/>
              </w:rPr>
              <w:t>1</w:t>
            </w:r>
          </w:p>
        </w:tc>
        <w:tc>
          <w:tcPr>
            <w:tcW w:w="2435" w:type="dxa"/>
            <w:vAlign w:val="center"/>
          </w:tcPr>
          <w:p>
            <w:pPr>
              <w:jc w:val="center"/>
              <w:rPr>
                <w:rFonts w:hint="default" w:ascii="Times New Roman" w:hAnsi="Times New Roman" w:eastAsia="仿宋" w:cs="Times New Roman"/>
                <w:color w:val="auto"/>
                <w:kern w:val="0"/>
                <w:sz w:val="24"/>
                <w:szCs w:val="24"/>
              </w:rPr>
            </w:pPr>
            <w:r>
              <w:rPr>
                <w:rFonts w:hint="eastAsia" w:ascii="仿宋" w:hAnsi="仿宋" w:eastAsia="仿宋" w:cs="仿宋"/>
                <w:color w:val="auto"/>
                <w:kern w:val="0"/>
                <w:sz w:val="24"/>
                <w:szCs w:val="24"/>
                <w:lang w:eastAsia="zh-CN"/>
              </w:rPr>
              <w:t>废机油</w:t>
            </w:r>
            <w:r>
              <w:rPr>
                <w:rFonts w:hint="eastAsia" w:ascii="仿宋" w:hAnsi="仿宋" w:eastAsia="仿宋" w:cs="仿宋"/>
                <w:color w:val="auto"/>
                <w:kern w:val="0"/>
                <w:sz w:val="24"/>
                <w:szCs w:val="24"/>
              </w:rPr>
              <w:t>泄漏污染环境</w:t>
            </w:r>
          </w:p>
        </w:tc>
        <w:tc>
          <w:tcPr>
            <w:tcW w:w="6595"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fldChar w:fldCharType="begin"/>
            </w:r>
            <w:r>
              <w:rPr>
                <w:rFonts w:hint="default" w:ascii="Times New Roman" w:hAnsi="Times New Roman" w:eastAsia="仿宋" w:cs="Times New Roman"/>
                <w:color w:val="auto"/>
                <w:kern w:val="0"/>
                <w:sz w:val="24"/>
                <w:szCs w:val="24"/>
              </w:rPr>
              <w:instrText xml:space="preserve"> = 1 \* GB3 \* MERGEFORMAT </w:instrText>
            </w:r>
            <w:r>
              <w:rPr>
                <w:rFonts w:hint="default" w:ascii="Times New Roman" w:hAnsi="Times New Roman" w:eastAsia="仿宋" w:cs="Times New Roman"/>
                <w:color w:val="auto"/>
                <w:kern w:val="0"/>
                <w:sz w:val="24"/>
                <w:szCs w:val="24"/>
              </w:rPr>
              <w:fldChar w:fldCharType="separate"/>
            </w:r>
            <w:r>
              <w:rPr>
                <w:rFonts w:hint="default" w:ascii="Times New Roman" w:hAnsi="Times New Roman" w:eastAsia="仿宋" w:cs="Times New Roman"/>
                <w:color w:val="auto"/>
                <w:kern w:val="0"/>
                <w:sz w:val="24"/>
                <w:szCs w:val="24"/>
              </w:rPr>
              <w:t>①</w:t>
            </w:r>
            <w:r>
              <w:rPr>
                <w:rFonts w:hint="default" w:ascii="Times New Roman" w:hAnsi="Times New Roman" w:eastAsia="仿宋" w:cs="Times New Roman"/>
                <w:color w:val="auto"/>
                <w:kern w:val="0"/>
                <w:sz w:val="24"/>
                <w:szCs w:val="24"/>
              </w:rPr>
              <w:fldChar w:fldCharType="end"/>
            </w:r>
            <w:r>
              <w:rPr>
                <w:rFonts w:hint="eastAsia" w:eastAsia="仿宋" w:cs="Times New Roman"/>
                <w:color w:val="auto"/>
                <w:kern w:val="0"/>
                <w:sz w:val="24"/>
                <w:szCs w:val="24"/>
                <w:lang w:eastAsia="zh-CN"/>
              </w:rPr>
              <w:t>暂存容器</w:t>
            </w:r>
            <w:r>
              <w:rPr>
                <w:rFonts w:hint="default" w:ascii="Times New Roman" w:hAnsi="Times New Roman" w:eastAsia="仿宋" w:cs="Times New Roman"/>
                <w:color w:val="auto"/>
                <w:kern w:val="0"/>
                <w:sz w:val="24"/>
                <w:szCs w:val="24"/>
              </w:rPr>
              <w:t>破损，自然灾害等导致</w:t>
            </w:r>
            <w:r>
              <w:rPr>
                <w:rFonts w:hint="eastAsia" w:eastAsia="仿宋" w:cs="Times New Roman"/>
                <w:color w:val="auto"/>
                <w:kern w:val="0"/>
                <w:sz w:val="24"/>
                <w:szCs w:val="24"/>
                <w:lang w:eastAsia="zh-CN"/>
              </w:rPr>
              <w:t>废机油泄露</w:t>
            </w:r>
            <w:r>
              <w:rPr>
                <w:rFonts w:hint="default" w:ascii="Times New Roman" w:hAnsi="Times New Roman" w:eastAsia="仿宋" w:cs="Times New Roman"/>
                <w:color w:val="auto"/>
                <w:kern w:val="0"/>
                <w:sz w:val="24"/>
                <w:szCs w:val="24"/>
              </w:rPr>
              <w:t>。</w:t>
            </w:r>
          </w:p>
          <w:p>
            <w:pPr>
              <w:rPr>
                <w:rFonts w:hint="default" w:ascii="Times New Roman" w:hAnsi="Times New Roman" w:eastAsia="仿宋" w:cs="Times New Roman"/>
                <w:color w:val="auto"/>
                <w:kern w:val="0"/>
                <w:sz w:val="24"/>
                <w:szCs w:val="24"/>
              </w:rPr>
            </w:pPr>
            <w:r>
              <w:rPr>
                <w:rFonts w:hint="eastAsia" w:ascii="仿宋" w:hAnsi="仿宋" w:eastAsia="仿宋" w:cs="仿宋"/>
                <w:color w:val="auto"/>
                <w:kern w:val="0"/>
                <w:sz w:val="24"/>
                <w:szCs w:val="24"/>
              </w:rPr>
              <w:fldChar w:fldCharType="begin"/>
            </w:r>
            <w:r>
              <w:rPr>
                <w:rFonts w:hint="eastAsia" w:ascii="仿宋" w:hAnsi="仿宋" w:eastAsia="仿宋" w:cs="仿宋"/>
                <w:color w:val="auto"/>
                <w:kern w:val="0"/>
                <w:sz w:val="24"/>
                <w:szCs w:val="24"/>
              </w:rPr>
              <w:instrText xml:space="preserve"> = 2 \* GB3 \* MERGEFORMAT </w:instrText>
            </w:r>
            <w:r>
              <w:rPr>
                <w:rFonts w:hint="eastAsia" w:ascii="仿宋" w:hAnsi="仿宋" w:eastAsia="仿宋" w:cs="仿宋"/>
                <w:color w:val="auto"/>
                <w:kern w:val="0"/>
                <w:sz w:val="24"/>
                <w:szCs w:val="24"/>
              </w:rPr>
              <w:fldChar w:fldCharType="separate"/>
            </w:r>
            <w:r>
              <w:rPr>
                <w:rFonts w:hint="eastAsia" w:ascii="仿宋" w:hAnsi="仿宋" w:eastAsia="仿宋" w:cs="仿宋"/>
                <w:color w:val="auto"/>
                <w:kern w:val="0"/>
                <w:sz w:val="24"/>
                <w:szCs w:val="24"/>
              </w:rPr>
              <w:t>②</w:t>
            </w:r>
            <w:r>
              <w:rPr>
                <w:rFonts w:hint="eastAsia" w:ascii="仿宋" w:hAnsi="仿宋" w:eastAsia="仿宋" w:cs="仿宋"/>
                <w:color w:val="auto"/>
                <w:kern w:val="0"/>
                <w:sz w:val="24"/>
                <w:szCs w:val="24"/>
              </w:rPr>
              <w:fldChar w:fldCharType="end"/>
            </w:r>
            <w:r>
              <w:rPr>
                <w:rFonts w:hint="eastAsia" w:ascii="仿宋" w:hAnsi="仿宋" w:eastAsia="仿宋" w:cs="仿宋"/>
                <w:color w:val="auto"/>
                <w:kern w:val="0"/>
                <w:sz w:val="24"/>
                <w:szCs w:val="24"/>
              </w:rPr>
              <w:t>由于人为原因管理不善、操作失误造成</w:t>
            </w:r>
            <w:r>
              <w:rPr>
                <w:rFonts w:hint="eastAsia" w:ascii="仿宋" w:hAnsi="仿宋" w:eastAsia="仿宋" w:cs="仿宋"/>
                <w:color w:val="auto"/>
                <w:kern w:val="0"/>
                <w:sz w:val="24"/>
                <w:szCs w:val="24"/>
                <w:lang w:eastAsia="zh-CN"/>
              </w:rPr>
              <w:t>废机油泄漏</w:t>
            </w:r>
            <w:r>
              <w:rPr>
                <w:rFonts w:hint="eastAsia" w:ascii="仿宋" w:hAnsi="仿宋" w:eastAsia="仿宋" w:cs="仿宋"/>
                <w:color w:val="auto"/>
                <w:kern w:val="0"/>
                <w:sz w:val="24"/>
                <w:szCs w:val="24"/>
              </w:rPr>
              <w:t>而污染周围环境。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default" w:ascii="Times New Roman" w:hAnsi="Times New Roman" w:eastAsia="仿宋" w:cs="Times New Roman"/>
                <w:color w:val="auto"/>
                <w:kern w:val="0"/>
                <w:sz w:val="24"/>
                <w:szCs w:val="24"/>
              </w:rPr>
            </w:pPr>
            <w:r>
              <w:rPr>
                <w:rFonts w:hint="eastAsia" w:ascii="仿宋" w:hAnsi="仿宋" w:eastAsia="仿宋" w:cs="仿宋"/>
                <w:color w:val="auto"/>
                <w:kern w:val="0"/>
                <w:sz w:val="24"/>
                <w:szCs w:val="24"/>
              </w:rPr>
              <w:t>2</w:t>
            </w:r>
          </w:p>
        </w:tc>
        <w:tc>
          <w:tcPr>
            <w:tcW w:w="2435" w:type="dxa"/>
            <w:vAlign w:val="center"/>
          </w:tcPr>
          <w:p>
            <w:pPr>
              <w:jc w:val="cente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风险防控设施失灵</w:t>
            </w:r>
          </w:p>
        </w:tc>
        <w:tc>
          <w:tcPr>
            <w:tcW w:w="6595" w:type="dxa"/>
            <w:vAlign w:val="center"/>
          </w:tcPr>
          <w:p>
            <w:pP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lang w:eastAsia="zh-CN"/>
              </w:rPr>
              <w:t>危废暂存间托盘、地面防渗层破损，</w:t>
            </w:r>
            <w:r>
              <w:rPr>
                <w:rFonts w:hint="eastAsia" w:ascii="仿宋" w:hAnsi="仿宋" w:eastAsia="仿宋" w:cs="仿宋"/>
                <w:color w:val="auto"/>
                <w:kern w:val="0"/>
                <w:sz w:val="24"/>
                <w:szCs w:val="24"/>
              </w:rPr>
              <w:t>不能及时发现</w:t>
            </w:r>
            <w:r>
              <w:rPr>
                <w:rFonts w:hint="eastAsia" w:ascii="仿宋" w:hAnsi="仿宋" w:eastAsia="仿宋" w:cs="仿宋"/>
                <w:color w:val="auto"/>
                <w:kern w:val="0"/>
                <w:sz w:val="24"/>
                <w:szCs w:val="24"/>
                <w:lang w:eastAsia="zh-CN"/>
              </w:rPr>
              <w:t>废机油</w:t>
            </w:r>
            <w:r>
              <w:rPr>
                <w:rFonts w:hint="eastAsia" w:ascii="仿宋" w:hAnsi="仿宋" w:eastAsia="仿宋" w:cs="仿宋"/>
                <w:color w:val="auto"/>
                <w:kern w:val="0"/>
                <w:sz w:val="24"/>
                <w:szCs w:val="24"/>
              </w:rPr>
              <w:t>泄漏，遇明火有发生火灾的风险，影响大气环境。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eastAsia" w:ascii="Times New Roman" w:hAnsi="Times New Roman" w:eastAsia="仿宋" w:cs="Times New Roman"/>
                <w:color w:val="auto"/>
                <w:kern w:val="0"/>
                <w:sz w:val="24"/>
                <w:szCs w:val="24"/>
                <w:lang w:eastAsia="zh-CN"/>
              </w:rPr>
            </w:pPr>
            <w:r>
              <w:rPr>
                <w:rFonts w:hint="eastAsia" w:ascii="仿宋" w:hAnsi="仿宋" w:eastAsia="仿宋" w:cs="仿宋"/>
                <w:color w:val="auto"/>
                <w:kern w:val="0"/>
                <w:sz w:val="24"/>
                <w:szCs w:val="24"/>
              </w:rPr>
              <w:t>3</w:t>
            </w:r>
          </w:p>
        </w:tc>
        <w:tc>
          <w:tcPr>
            <w:tcW w:w="2435" w:type="dxa"/>
            <w:vAlign w:val="center"/>
          </w:tcPr>
          <w:p>
            <w:pPr>
              <w:jc w:val="cente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污染治理设施异常</w:t>
            </w:r>
          </w:p>
        </w:tc>
        <w:tc>
          <w:tcPr>
            <w:tcW w:w="6595" w:type="dxa"/>
            <w:vAlign w:val="center"/>
          </w:tcPr>
          <w:p>
            <w:pPr>
              <w:jc w:val="left"/>
              <w:rPr>
                <w:rFonts w:hint="default" w:ascii="Times New Roman" w:hAnsi="Times New Roman" w:eastAsia="仿宋" w:cs="Times New Roman"/>
                <w:color w:val="auto"/>
                <w:kern w:val="0"/>
                <w:sz w:val="24"/>
                <w:szCs w:val="24"/>
                <w:lang w:val="en-US" w:eastAsia="zh-CN" w:bidi="ar-SA"/>
              </w:rPr>
            </w:pPr>
            <w:r>
              <w:rPr>
                <w:rFonts w:hint="default" w:ascii="Times New Roman" w:hAnsi="Times New Roman" w:eastAsia="仿宋" w:cs="Times New Roman"/>
                <w:color w:val="auto"/>
                <w:kern w:val="0"/>
                <w:sz w:val="24"/>
                <w:szCs w:val="24"/>
                <w:lang w:eastAsia="zh-CN"/>
              </w:rPr>
              <w:t>除尘器</w:t>
            </w:r>
            <w:r>
              <w:rPr>
                <w:rFonts w:hint="default" w:ascii="Times New Roman" w:hAnsi="Times New Roman" w:eastAsia="仿宋" w:cs="Times New Roman"/>
                <w:color w:val="auto"/>
                <w:kern w:val="0"/>
                <w:sz w:val="24"/>
                <w:szCs w:val="24"/>
              </w:rPr>
              <w:t>非正常运行，未起到预计的处理效果，导致</w:t>
            </w:r>
            <w:r>
              <w:rPr>
                <w:rFonts w:hint="default" w:ascii="Times New Roman" w:hAnsi="Times New Roman" w:eastAsia="仿宋" w:cs="Times New Roman"/>
                <w:color w:val="auto"/>
                <w:kern w:val="0"/>
                <w:sz w:val="24"/>
                <w:szCs w:val="24"/>
                <w:lang w:eastAsia="zh-CN"/>
              </w:rPr>
              <w:t>颗粒物</w:t>
            </w:r>
            <w:r>
              <w:rPr>
                <w:rFonts w:hint="default" w:ascii="Times New Roman" w:hAnsi="Times New Roman" w:eastAsia="仿宋" w:cs="Times New Roman"/>
                <w:color w:val="auto"/>
                <w:kern w:val="0"/>
                <w:sz w:val="24"/>
                <w:szCs w:val="24"/>
              </w:rPr>
              <w:t>理效率</w:t>
            </w:r>
            <w:r>
              <w:rPr>
                <w:rFonts w:hint="default" w:ascii="Times New Roman" w:hAnsi="Times New Roman" w:eastAsia="仿宋" w:cs="Times New Roman"/>
                <w:color w:val="auto"/>
                <w:kern w:val="0"/>
                <w:sz w:val="24"/>
                <w:szCs w:val="24"/>
                <w:lang w:eastAsia="zh-CN"/>
              </w:rPr>
              <w:t>降低</w:t>
            </w:r>
            <w:r>
              <w:rPr>
                <w:rFonts w:hint="default" w:ascii="Times New Roman" w:hAnsi="Times New Roman" w:eastAsia="仿宋" w:cs="Times New Roman"/>
                <w:color w:val="auto"/>
                <w:kern w:val="0"/>
                <w:sz w:val="24"/>
                <w:szCs w:val="24"/>
              </w:rPr>
              <w:t>，</w:t>
            </w:r>
            <w:r>
              <w:rPr>
                <w:rFonts w:hint="default" w:ascii="Times New Roman" w:hAnsi="Times New Roman" w:eastAsia="仿宋" w:cs="Times New Roman"/>
                <w:color w:val="auto"/>
                <w:kern w:val="0"/>
                <w:sz w:val="24"/>
                <w:szCs w:val="24"/>
                <w:lang w:eastAsia="zh-CN"/>
              </w:rPr>
              <w:t>颗粒物</w:t>
            </w:r>
            <w:r>
              <w:rPr>
                <w:rFonts w:hint="default" w:ascii="Times New Roman" w:hAnsi="Times New Roman" w:eastAsia="仿宋" w:cs="Times New Roman"/>
                <w:color w:val="auto"/>
                <w:kern w:val="0"/>
                <w:sz w:val="24"/>
                <w:szCs w:val="24"/>
              </w:rPr>
              <w:t>放量增加，影响周围大气环境。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default" w:ascii="Times New Roman" w:hAnsi="Times New Roman" w:eastAsia="仿宋" w:cs="Times New Roman"/>
                <w:color w:val="auto"/>
                <w:kern w:val="0"/>
                <w:sz w:val="24"/>
                <w:szCs w:val="24"/>
                <w:lang w:eastAsia="zh-CN"/>
              </w:rPr>
            </w:pPr>
            <w:r>
              <w:rPr>
                <w:rFonts w:hint="eastAsia" w:ascii="仿宋" w:hAnsi="仿宋" w:eastAsia="仿宋" w:cs="仿宋"/>
                <w:color w:val="auto"/>
                <w:kern w:val="0"/>
                <w:sz w:val="24"/>
                <w:szCs w:val="24"/>
              </w:rPr>
              <w:t>4</w:t>
            </w:r>
          </w:p>
        </w:tc>
        <w:tc>
          <w:tcPr>
            <w:tcW w:w="2435" w:type="dxa"/>
            <w:vAlign w:val="center"/>
          </w:tcPr>
          <w:p>
            <w:pPr>
              <w:jc w:val="cente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违法排污</w:t>
            </w:r>
          </w:p>
        </w:tc>
        <w:tc>
          <w:tcPr>
            <w:tcW w:w="6595" w:type="dxa"/>
            <w:vAlign w:val="center"/>
          </w:tcPr>
          <w:p>
            <w:pPr>
              <w:jc w:val="left"/>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lang w:eastAsia="zh-CN"/>
              </w:rPr>
              <w:t>公司设备维护修理</w:t>
            </w:r>
            <w:r>
              <w:rPr>
                <w:rFonts w:hint="eastAsia" w:ascii="仿宋" w:hAnsi="仿宋" w:eastAsia="仿宋" w:cs="仿宋"/>
                <w:color w:val="auto"/>
                <w:kern w:val="0"/>
                <w:sz w:val="24"/>
                <w:szCs w:val="24"/>
              </w:rPr>
              <w:t>过程中产生的</w:t>
            </w:r>
            <w:r>
              <w:rPr>
                <w:rFonts w:hint="eastAsia" w:ascii="仿宋" w:hAnsi="仿宋" w:eastAsia="仿宋" w:cs="仿宋"/>
                <w:color w:val="auto"/>
                <w:kern w:val="0"/>
                <w:sz w:val="24"/>
                <w:szCs w:val="24"/>
                <w:lang w:eastAsia="zh-CN"/>
              </w:rPr>
              <w:t>废机油</w:t>
            </w:r>
            <w:r>
              <w:rPr>
                <w:rFonts w:hint="eastAsia" w:ascii="仿宋" w:hAnsi="仿宋" w:eastAsia="仿宋" w:cs="仿宋"/>
                <w:color w:val="auto"/>
                <w:kern w:val="0"/>
                <w:sz w:val="24"/>
                <w:szCs w:val="24"/>
              </w:rPr>
              <w:t>未经资质单位处置擅自排放从而污染环境。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default" w:ascii="Times New Roman" w:hAnsi="Times New Roman" w:eastAsia="仿宋" w:cs="Times New Roman"/>
                <w:color w:val="auto"/>
                <w:kern w:val="0"/>
                <w:sz w:val="24"/>
                <w:szCs w:val="24"/>
                <w:lang w:eastAsia="zh-CN"/>
              </w:rPr>
            </w:pPr>
            <w:r>
              <w:rPr>
                <w:rFonts w:hint="eastAsia" w:ascii="仿宋" w:hAnsi="仿宋" w:eastAsia="仿宋" w:cs="仿宋"/>
                <w:color w:val="auto"/>
                <w:kern w:val="0"/>
                <w:sz w:val="24"/>
                <w:szCs w:val="24"/>
              </w:rPr>
              <w:t>5</w:t>
            </w:r>
          </w:p>
        </w:tc>
        <w:tc>
          <w:tcPr>
            <w:tcW w:w="2435" w:type="dxa"/>
            <w:vAlign w:val="center"/>
          </w:tcPr>
          <w:p>
            <w:pPr>
              <w:jc w:val="cente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通讯或运输系统故障</w:t>
            </w:r>
          </w:p>
        </w:tc>
        <w:tc>
          <w:tcPr>
            <w:tcW w:w="6595" w:type="dxa"/>
            <w:vAlign w:val="center"/>
          </w:tcPr>
          <w:p>
            <w:pPr>
              <w:jc w:val="left"/>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通讯系统中断，</w:t>
            </w:r>
            <w:r>
              <w:rPr>
                <w:rFonts w:hint="eastAsia" w:ascii="仿宋" w:hAnsi="仿宋" w:eastAsia="仿宋" w:cs="仿宋"/>
                <w:color w:val="auto"/>
                <w:kern w:val="0"/>
                <w:sz w:val="24"/>
                <w:szCs w:val="24"/>
                <w:lang w:eastAsia="zh-CN"/>
              </w:rPr>
              <w:t>陕西勇轩建材有限公司</w:t>
            </w:r>
            <w:r>
              <w:rPr>
                <w:rFonts w:hint="eastAsia" w:ascii="仿宋" w:hAnsi="仿宋" w:eastAsia="仿宋" w:cs="仿宋"/>
                <w:color w:val="auto"/>
                <w:kern w:val="0"/>
                <w:sz w:val="24"/>
                <w:szCs w:val="24"/>
              </w:rPr>
              <w:t>发生突发事件，不能及时与内部应急人员以及外部救援组织及时取得联系，增大了风险事故的</w:t>
            </w:r>
            <w:r>
              <w:rPr>
                <w:rFonts w:hint="eastAsia" w:ascii="仿宋" w:hAnsi="仿宋" w:eastAsia="仿宋" w:cs="仿宋"/>
                <w:color w:val="auto"/>
                <w:kern w:val="0"/>
                <w:sz w:val="24"/>
                <w:szCs w:val="24"/>
                <w:lang w:eastAsia="zh-CN"/>
              </w:rPr>
              <w:t>环境</w:t>
            </w:r>
            <w:r>
              <w:rPr>
                <w:rFonts w:hint="eastAsia" w:ascii="仿宋" w:hAnsi="仿宋" w:eastAsia="仿宋" w:cs="仿宋"/>
                <w:color w:val="auto"/>
                <w:kern w:val="0"/>
                <w:sz w:val="24"/>
                <w:szCs w:val="24"/>
              </w:rPr>
              <w:t>危害</w:t>
            </w:r>
            <w:r>
              <w:rPr>
                <w:rFonts w:hint="eastAsia" w:ascii="仿宋" w:hAnsi="仿宋" w:eastAsia="仿宋" w:cs="仿宋"/>
                <w:color w:val="auto"/>
                <w:kern w:val="0"/>
                <w:sz w:val="24"/>
                <w:szCs w:val="24"/>
                <w:lang w:eastAsia="zh-CN"/>
              </w:rPr>
              <w:t>程度</w:t>
            </w:r>
            <w:r>
              <w:rPr>
                <w:rFonts w:hint="eastAsia" w:ascii="仿宋" w:hAnsi="仿宋" w:eastAsia="仿宋" w:cs="仿宋"/>
                <w:color w:val="auto"/>
                <w:kern w:val="0"/>
                <w:sz w:val="24"/>
                <w:szCs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54" w:type="dxa"/>
            <w:vAlign w:val="center"/>
          </w:tcPr>
          <w:p>
            <w:pPr>
              <w:jc w:val="center"/>
              <w:rPr>
                <w:rFonts w:hint="eastAsia" w:eastAsia="仿宋" w:cs="Times New Roman"/>
                <w:color w:val="auto"/>
                <w:kern w:val="0"/>
                <w:sz w:val="24"/>
                <w:szCs w:val="24"/>
                <w:lang w:val="en-US" w:eastAsia="zh-CN"/>
              </w:rPr>
            </w:pPr>
            <w:r>
              <w:rPr>
                <w:rFonts w:hint="eastAsia" w:ascii="仿宋" w:hAnsi="仿宋" w:eastAsia="仿宋" w:cs="仿宋"/>
                <w:color w:val="auto"/>
                <w:kern w:val="0"/>
                <w:sz w:val="24"/>
                <w:szCs w:val="24"/>
              </w:rPr>
              <w:t>6</w:t>
            </w:r>
          </w:p>
        </w:tc>
        <w:tc>
          <w:tcPr>
            <w:tcW w:w="2435" w:type="dxa"/>
            <w:vAlign w:val="center"/>
          </w:tcPr>
          <w:p>
            <w:pPr>
              <w:jc w:val="cente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各种自然灾害、极端或不利天气气象条件</w:t>
            </w:r>
          </w:p>
        </w:tc>
        <w:tc>
          <w:tcPr>
            <w:tcW w:w="6595" w:type="dxa"/>
            <w:vAlign w:val="center"/>
          </w:tcPr>
          <w:p>
            <w:pPr>
              <w:rPr>
                <w:rFonts w:hint="default" w:ascii="Times New Roman" w:hAnsi="Times New Roman" w:eastAsia="仿宋" w:cs="Times New Roman"/>
                <w:color w:val="auto"/>
                <w:kern w:val="0"/>
                <w:sz w:val="24"/>
                <w:szCs w:val="24"/>
                <w:lang w:val="en-US" w:eastAsia="zh-CN" w:bidi="ar-SA"/>
              </w:rPr>
            </w:pPr>
            <w:r>
              <w:rPr>
                <w:rFonts w:hint="eastAsia" w:ascii="仿宋" w:hAnsi="仿宋" w:eastAsia="仿宋" w:cs="仿宋"/>
                <w:color w:val="auto"/>
                <w:kern w:val="0"/>
                <w:sz w:val="24"/>
                <w:szCs w:val="24"/>
              </w:rPr>
              <w:t>根据</w:t>
            </w:r>
            <w:r>
              <w:rPr>
                <w:rFonts w:hint="eastAsia" w:ascii="仿宋" w:hAnsi="仿宋" w:eastAsia="仿宋" w:cs="仿宋"/>
                <w:color w:val="auto"/>
                <w:kern w:val="0"/>
                <w:sz w:val="24"/>
                <w:szCs w:val="24"/>
                <w:lang w:eastAsia="zh-CN"/>
              </w:rPr>
              <w:t>陕西勇轩建材有限公司</w:t>
            </w:r>
            <w:r>
              <w:rPr>
                <w:rFonts w:hint="eastAsia" w:ascii="仿宋" w:hAnsi="仿宋" w:eastAsia="仿宋" w:cs="仿宋"/>
                <w:color w:val="auto"/>
                <w:kern w:val="0"/>
                <w:sz w:val="24"/>
                <w:szCs w:val="24"/>
              </w:rPr>
              <w:t>所在区域多年气象资料，本地区最有可能出现的极端天气为暴雨，发生上述极端天气可导致断电并使油气回收设备</w:t>
            </w:r>
            <w:r>
              <w:rPr>
                <w:rFonts w:hint="eastAsia" w:ascii="仿宋" w:hAnsi="仿宋" w:eastAsia="仿宋" w:cs="仿宋"/>
                <w:color w:val="auto"/>
                <w:kern w:val="0"/>
                <w:sz w:val="24"/>
                <w:szCs w:val="24"/>
                <w:lang w:val="en-US" w:eastAsia="zh-CN"/>
              </w:rPr>
              <w:t>、</w:t>
            </w:r>
            <w:r>
              <w:rPr>
                <w:rFonts w:hint="eastAsia" w:ascii="仿宋" w:hAnsi="仿宋" w:eastAsia="仿宋" w:cs="仿宋"/>
                <w:color w:val="auto"/>
                <w:kern w:val="0"/>
                <w:sz w:val="24"/>
                <w:szCs w:val="24"/>
              </w:rPr>
              <w:t>环保检测设备不能工作，对周边环境产生影响。</w:t>
            </w:r>
          </w:p>
        </w:tc>
      </w:tr>
    </w:tbl>
    <w:p>
      <w:pPr>
        <w:keepLines/>
        <w:spacing w:line="360" w:lineRule="auto"/>
        <w:outlineLvl w:val="1"/>
        <w:rPr>
          <w:rFonts w:hint="default" w:ascii="Times New Roman" w:hAnsi="Times New Roman" w:eastAsia="仿宋" w:cs="Times New Roman"/>
          <w:b/>
          <w:bCs/>
          <w:color w:val="auto"/>
          <w:kern w:val="21"/>
          <w:sz w:val="28"/>
          <w:szCs w:val="28"/>
        </w:rPr>
      </w:pPr>
      <w:bookmarkStart w:id="78" w:name="_Toc20954"/>
      <w:r>
        <w:rPr>
          <w:rFonts w:hint="default" w:ascii="Times New Roman" w:hAnsi="Times New Roman" w:eastAsia="仿宋" w:cs="Times New Roman"/>
          <w:b/>
          <w:bCs/>
          <w:color w:val="auto"/>
          <w:kern w:val="21"/>
          <w:sz w:val="28"/>
          <w:szCs w:val="28"/>
        </w:rPr>
        <w:t>4.4释放环境风险物质的扩散途径、涉及环境风险防控与应急措施、应急资源情况分析</w:t>
      </w:r>
      <w:bookmarkEnd w:id="78"/>
    </w:p>
    <w:p>
      <w:pPr>
        <w:keepLines/>
        <w:spacing w:line="360" w:lineRule="auto"/>
        <w:outlineLvl w:val="2"/>
        <w:rPr>
          <w:rFonts w:hint="default" w:ascii="Times New Roman" w:hAnsi="Times New Roman" w:eastAsia="仿宋" w:cs="Times New Roman"/>
          <w:b/>
          <w:bCs/>
          <w:color w:val="auto"/>
          <w:kern w:val="21"/>
          <w:sz w:val="28"/>
          <w:szCs w:val="28"/>
        </w:rPr>
      </w:pPr>
      <w:r>
        <w:rPr>
          <w:rFonts w:hint="default" w:ascii="Times New Roman" w:hAnsi="Times New Roman" w:eastAsia="仿宋" w:cs="Times New Roman"/>
          <w:b/>
          <w:bCs/>
          <w:color w:val="auto"/>
          <w:kern w:val="21"/>
          <w:sz w:val="28"/>
          <w:szCs w:val="28"/>
        </w:rPr>
        <w:t>4.4.1释放环境风险物质的扩散途径</w:t>
      </w:r>
    </w:p>
    <w:p>
      <w:pPr>
        <w:spacing w:line="360" w:lineRule="auto"/>
        <w:ind w:firstLine="56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（1）物料的泄漏事故</w:t>
      </w:r>
    </w:p>
    <w:p>
      <w:pPr>
        <w:spacing w:line="360" w:lineRule="auto"/>
        <w:ind w:firstLine="56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w:t>
      </w:r>
      <w:r>
        <w:rPr>
          <w:rFonts w:hint="default" w:ascii="Times New Roman" w:hAnsi="Times New Roman" w:eastAsia="仿宋" w:cs="Times New Roman"/>
          <w:color w:val="auto"/>
          <w:sz w:val="28"/>
          <w:szCs w:val="28"/>
          <w:lang w:eastAsia="zh-CN"/>
        </w:rPr>
        <w:t>现场勘查</w:t>
      </w: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eastAsia="zh-CN"/>
        </w:rPr>
        <w:t>公司危险废物主要为废</w:t>
      </w:r>
      <w:r>
        <w:rPr>
          <w:rFonts w:hint="eastAsia" w:eastAsia="仿宋" w:cs="Times New Roman"/>
          <w:color w:val="auto"/>
          <w:sz w:val="28"/>
          <w:szCs w:val="28"/>
          <w:lang w:eastAsia="zh-CN"/>
        </w:rPr>
        <w:t>机油</w:t>
      </w:r>
      <w:r>
        <w:rPr>
          <w:rFonts w:hint="default" w:ascii="Times New Roman" w:hAnsi="Times New Roman" w:eastAsia="仿宋" w:cs="Times New Roman"/>
          <w:color w:val="auto"/>
          <w:sz w:val="28"/>
          <w:szCs w:val="28"/>
          <w:lang w:eastAsia="zh-CN"/>
        </w:rPr>
        <w:t>，暂存于</w:t>
      </w:r>
      <w:r>
        <w:rPr>
          <w:rFonts w:hint="eastAsia" w:eastAsia="仿宋" w:cs="Times New Roman"/>
          <w:color w:val="auto"/>
          <w:sz w:val="28"/>
          <w:szCs w:val="28"/>
          <w:lang w:eastAsia="zh-CN"/>
        </w:rPr>
        <w:t>危废暂存间</w:t>
      </w:r>
      <w:r>
        <w:rPr>
          <w:rFonts w:hint="default" w:ascii="Times New Roman" w:hAnsi="Times New Roman" w:eastAsia="仿宋" w:cs="Times New Roman"/>
          <w:color w:val="auto"/>
          <w:sz w:val="28"/>
          <w:szCs w:val="28"/>
          <w:lang w:eastAsia="zh-CN"/>
        </w:rPr>
        <w:t>，其</w:t>
      </w:r>
      <w:r>
        <w:rPr>
          <w:rFonts w:hint="default" w:ascii="Times New Roman" w:hAnsi="Times New Roman" w:eastAsia="仿宋" w:cs="Times New Roman"/>
          <w:color w:val="auto"/>
          <w:sz w:val="28"/>
          <w:szCs w:val="28"/>
        </w:rPr>
        <w:t>清理、运输和处置均委托有资质单位进行。</w:t>
      </w:r>
    </w:p>
    <w:p>
      <w:pPr>
        <w:spacing w:line="360" w:lineRule="auto"/>
        <w:ind w:firstLine="56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（2）火灾事故</w:t>
      </w:r>
    </w:p>
    <w:p>
      <w:pPr>
        <w:spacing w:line="360" w:lineRule="auto"/>
        <w:ind w:firstLine="56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涉及的</w:t>
      </w:r>
      <w:r>
        <w:rPr>
          <w:rFonts w:hint="eastAsia" w:eastAsia="仿宋" w:cs="Times New Roman"/>
          <w:color w:val="auto"/>
          <w:sz w:val="28"/>
          <w:szCs w:val="28"/>
          <w:lang w:val="en-US" w:eastAsia="zh-CN"/>
        </w:rPr>
        <w:t>废机油</w:t>
      </w:r>
      <w:r>
        <w:rPr>
          <w:rFonts w:hint="default" w:ascii="Times New Roman" w:hAnsi="Times New Roman" w:eastAsia="仿宋" w:cs="Times New Roman"/>
          <w:color w:val="auto"/>
          <w:sz w:val="28"/>
          <w:szCs w:val="28"/>
        </w:rPr>
        <w:t>属</w:t>
      </w:r>
      <w:r>
        <w:rPr>
          <w:rFonts w:hint="eastAsia" w:eastAsia="仿宋" w:cs="Times New Roman"/>
          <w:color w:val="auto"/>
          <w:sz w:val="28"/>
          <w:szCs w:val="28"/>
          <w:lang w:eastAsia="zh-CN"/>
        </w:rPr>
        <w:t>可燃</w:t>
      </w:r>
      <w:r>
        <w:rPr>
          <w:rFonts w:hint="default" w:ascii="Times New Roman" w:hAnsi="Times New Roman" w:eastAsia="仿宋" w:cs="Times New Roman"/>
          <w:color w:val="auto"/>
          <w:sz w:val="28"/>
          <w:szCs w:val="28"/>
        </w:rPr>
        <w:t>液体，遇明火、高热</w:t>
      </w:r>
      <w:r>
        <w:rPr>
          <w:rFonts w:hint="eastAsia" w:eastAsia="仿宋" w:cs="Times New Roman"/>
          <w:color w:val="auto"/>
          <w:sz w:val="28"/>
          <w:szCs w:val="28"/>
          <w:lang w:eastAsia="zh-CN"/>
        </w:rPr>
        <w:t>可燃</w:t>
      </w:r>
      <w:r>
        <w:rPr>
          <w:rFonts w:hint="default" w:ascii="Times New Roman" w:hAnsi="Times New Roman" w:eastAsia="仿宋" w:cs="Times New Roman"/>
          <w:color w:val="auto"/>
          <w:sz w:val="28"/>
          <w:szCs w:val="28"/>
        </w:rPr>
        <w:t>，一旦出现异常可能发生火灾事故。火灾事故伴生事故废气，若没有得到有效处置将会对周边环境产生影响。</w:t>
      </w:r>
    </w:p>
    <w:p>
      <w:pPr>
        <w:spacing w:line="360" w:lineRule="auto"/>
        <w:ind w:firstLine="56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3</w:t>
      </w:r>
      <w:r>
        <w:rPr>
          <w:rFonts w:hint="default" w:ascii="Times New Roman" w:hAnsi="Times New Roman" w:eastAsia="仿宋" w:cs="Times New Roman"/>
          <w:color w:val="auto"/>
          <w:sz w:val="28"/>
          <w:szCs w:val="28"/>
        </w:rPr>
        <w:t>）非正常工况下，污染治理设施非正常运行、违法排污、停电断水、输送系统故障、各种自然灾害、极端天气等引发环境风险事故对周围环境造成的影响。</w:t>
      </w:r>
    </w:p>
    <w:p>
      <w:pPr>
        <w:pStyle w:val="4"/>
        <w:keepNext w:val="0"/>
        <w:spacing w:before="0" w:after="0" w:line="360" w:lineRule="auto"/>
        <w:rPr>
          <w:rFonts w:hint="default" w:ascii="Times New Roman" w:hAnsi="Times New Roman" w:eastAsia="仿宋" w:cs="Times New Roman"/>
          <w:color w:val="auto"/>
          <w:kern w:val="21"/>
          <w:sz w:val="28"/>
          <w:szCs w:val="28"/>
        </w:rPr>
      </w:pPr>
      <w:r>
        <w:rPr>
          <w:rFonts w:hint="default" w:ascii="Times New Roman" w:hAnsi="Times New Roman" w:eastAsia="仿宋" w:cs="Times New Roman"/>
          <w:color w:val="auto"/>
          <w:kern w:val="21"/>
          <w:sz w:val="28"/>
          <w:szCs w:val="28"/>
        </w:rPr>
        <w:t>4.4.2涉及环境风险防控与应急措施</w:t>
      </w:r>
    </w:p>
    <w:p>
      <w:pPr>
        <w:spacing w:line="360" w:lineRule="auto"/>
        <w:outlineLvl w:val="3"/>
        <w:rPr>
          <w:rFonts w:hint="default" w:ascii="Times New Roman" w:hAnsi="Times New Roman" w:eastAsia="仿宋" w:cs="Times New Roman"/>
          <w:b/>
          <w:color w:val="auto"/>
          <w:sz w:val="28"/>
          <w:szCs w:val="28"/>
        </w:rPr>
      </w:pPr>
      <w:r>
        <w:rPr>
          <w:rFonts w:hint="default" w:ascii="Times New Roman" w:hAnsi="Times New Roman" w:eastAsia="仿宋" w:cs="Times New Roman"/>
          <w:b/>
          <w:color w:val="auto"/>
          <w:sz w:val="28"/>
          <w:szCs w:val="28"/>
        </w:rPr>
        <w:t>4.4.2.1风险防控</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1、审批三同时</w:t>
      </w:r>
    </w:p>
    <w:p>
      <w:pPr>
        <w:spacing w:line="360" w:lineRule="auto"/>
        <w:ind w:firstLine="560" w:firstLineChars="200"/>
        <w:rPr>
          <w:rFonts w:hint="default" w:ascii="Times New Roman" w:hAnsi="Times New Roman" w:eastAsia="仿宋" w:cs="Times New Roman"/>
          <w:bCs/>
          <w:color w:val="auto"/>
          <w:sz w:val="28"/>
          <w:szCs w:val="28"/>
          <w:lang w:eastAsia="zh-CN"/>
        </w:rPr>
      </w:pPr>
      <w:r>
        <w:rPr>
          <w:rFonts w:hint="eastAsia" w:eastAsia="仿宋" w:cs="Times New Roman"/>
          <w:bCs/>
          <w:color w:val="auto"/>
          <w:sz w:val="28"/>
          <w:szCs w:val="28"/>
          <w:lang w:eastAsia="zh-CN"/>
        </w:rPr>
        <w:t>陕西勇轩建材有限公司</w:t>
      </w:r>
      <w:r>
        <w:rPr>
          <w:rFonts w:hint="default" w:ascii="Times New Roman" w:hAnsi="Times New Roman" w:eastAsia="仿宋" w:cs="Times New Roman"/>
          <w:bCs/>
          <w:color w:val="auto"/>
          <w:sz w:val="28"/>
          <w:szCs w:val="28"/>
        </w:rPr>
        <w:t>于</w:t>
      </w:r>
      <w:r>
        <w:rPr>
          <w:rFonts w:hint="eastAsia" w:eastAsia="仿宋" w:cs="Times New Roman"/>
          <w:bCs/>
          <w:color w:val="auto"/>
          <w:sz w:val="28"/>
          <w:szCs w:val="28"/>
          <w:lang w:val="en-US" w:eastAsia="zh-CN"/>
        </w:rPr>
        <w:t>2015</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9</w:t>
      </w:r>
      <w:r>
        <w:rPr>
          <w:rFonts w:hint="default" w:ascii="Times New Roman" w:hAnsi="Times New Roman" w:eastAsia="仿宋" w:cs="Times New Roman"/>
          <w:bCs/>
          <w:color w:val="auto"/>
          <w:sz w:val="28"/>
          <w:szCs w:val="28"/>
          <w:lang w:val="en-US" w:eastAsia="zh-CN"/>
        </w:rPr>
        <w:t>月</w:t>
      </w:r>
      <w:r>
        <w:rPr>
          <w:rFonts w:hint="default" w:ascii="Times New Roman" w:hAnsi="Times New Roman" w:eastAsia="仿宋" w:cs="Times New Roman"/>
          <w:bCs/>
          <w:color w:val="auto"/>
          <w:sz w:val="28"/>
          <w:szCs w:val="28"/>
          <w:lang w:eastAsia="zh-CN"/>
        </w:rPr>
        <w:t>委托</w:t>
      </w:r>
      <w:r>
        <w:rPr>
          <w:rFonts w:hint="default" w:ascii="Times New Roman" w:hAnsi="Times New Roman" w:eastAsia="仿宋" w:cs="Times New Roman"/>
          <w:bCs/>
          <w:color w:val="auto"/>
          <w:sz w:val="28"/>
          <w:szCs w:val="28"/>
        </w:rPr>
        <w:t>编制</w:t>
      </w:r>
      <w:r>
        <w:rPr>
          <w:rFonts w:hint="eastAsia" w:ascii="Times New Roman" w:hAnsi="Times New Roman" w:eastAsia="仿宋" w:cs="Times New Roman"/>
          <w:bCs/>
          <w:color w:val="auto"/>
          <w:sz w:val="28"/>
          <w:szCs w:val="28"/>
          <w:lang w:eastAsia="zh-CN"/>
        </w:rPr>
        <w:t>了</w:t>
      </w:r>
      <w:r>
        <w:rPr>
          <w:rFonts w:hint="default" w:ascii="Times New Roman" w:hAnsi="Times New Roman" w:eastAsia="仿宋" w:cs="Times New Roman"/>
          <w:bCs/>
          <w:color w:val="auto"/>
          <w:sz w:val="28"/>
          <w:szCs w:val="28"/>
        </w:rPr>
        <w:t>《</w:t>
      </w:r>
      <w:r>
        <w:rPr>
          <w:rFonts w:hint="eastAsia" w:eastAsia="仿宋" w:cs="Times New Roman"/>
          <w:bCs/>
          <w:color w:val="auto"/>
          <w:sz w:val="28"/>
          <w:szCs w:val="28"/>
          <w:lang w:eastAsia="zh-CN"/>
        </w:rPr>
        <w:t>陕西勇轩混凝土有限公司年产经营30万立方米预拌混凝土和30万吨干粉砂浆项目环境影响报告表</w:t>
      </w:r>
      <w:r>
        <w:rPr>
          <w:rFonts w:hint="default" w:ascii="Times New Roman" w:hAnsi="Times New Roman" w:eastAsia="仿宋" w:cs="Times New Roman"/>
          <w:bCs/>
          <w:color w:val="auto"/>
          <w:sz w:val="28"/>
          <w:szCs w:val="28"/>
        </w:rPr>
        <w:t>》，于20</w:t>
      </w:r>
      <w:r>
        <w:rPr>
          <w:rFonts w:hint="eastAsia" w:eastAsia="仿宋" w:cs="Times New Roman"/>
          <w:bCs/>
          <w:color w:val="auto"/>
          <w:sz w:val="28"/>
          <w:szCs w:val="28"/>
          <w:lang w:val="en-US" w:eastAsia="zh-CN"/>
        </w:rPr>
        <w:t>15</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9</w:t>
      </w:r>
      <w:r>
        <w:rPr>
          <w:rFonts w:hint="default" w:ascii="Times New Roman" w:hAnsi="Times New Roman" w:eastAsia="仿宋" w:cs="Times New Roman"/>
          <w:bCs/>
          <w:color w:val="auto"/>
          <w:sz w:val="28"/>
          <w:szCs w:val="28"/>
        </w:rPr>
        <w:t>月</w:t>
      </w:r>
      <w:r>
        <w:rPr>
          <w:rFonts w:hint="eastAsia" w:eastAsia="仿宋" w:cs="Times New Roman"/>
          <w:bCs/>
          <w:color w:val="auto"/>
          <w:sz w:val="28"/>
          <w:szCs w:val="28"/>
          <w:lang w:val="en-US" w:eastAsia="zh-CN"/>
        </w:rPr>
        <w:t>6</w:t>
      </w:r>
      <w:r>
        <w:rPr>
          <w:rFonts w:hint="default" w:ascii="Times New Roman" w:hAnsi="Times New Roman" w:eastAsia="仿宋" w:cs="Times New Roman"/>
          <w:bCs/>
          <w:color w:val="auto"/>
          <w:sz w:val="28"/>
          <w:szCs w:val="28"/>
        </w:rPr>
        <w:t>日取得</w:t>
      </w:r>
      <w:r>
        <w:rPr>
          <w:rFonts w:hint="default" w:ascii="Times New Roman" w:hAnsi="Times New Roman" w:eastAsia="仿宋" w:cs="Times New Roman"/>
          <w:bCs/>
          <w:color w:val="auto"/>
          <w:sz w:val="28"/>
          <w:szCs w:val="28"/>
          <w:lang w:eastAsia="zh-CN"/>
        </w:rPr>
        <w:t>陕西省西咸新区秦汉新城规划建设环保和房屋管理局《关于陕西勇轩混凝土有限公司年产经营30万立方米预拌混凝土和30万</w:t>
      </w:r>
      <w:r>
        <w:rPr>
          <w:rFonts w:hint="eastAsia" w:eastAsia="仿宋" w:cs="Times New Roman"/>
          <w:bCs/>
          <w:color w:val="auto"/>
          <w:sz w:val="28"/>
          <w:szCs w:val="28"/>
          <w:lang w:eastAsia="zh-CN"/>
        </w:rPr>
        <w:t>吨干粉砂浆</w:t>
      </w:r>
      <w:r>
        <w:rPr>
          <w:rFonts w:hint="default" w:ascii="Times New Roman" w:hAnsi="Times New Roman" w:eastAsia="仿宋" w:cs="Times New Roman"/>
          <w:bCs/>
          <w:color w:val="auto"/>
          <w:sz w:val="28"/>
          <w:szCs w:val="28"/>
          <w:lang w:eastAsia="zh-CN"/>
        </w:rPr>
        <w:t>项目环境影响报告表的批复》（</w:t>
      </w:r>
      <w:r>
        <w:rPr>
          <w:rFonts w:hint="eastAsia" w:ascii="Times New Roman" w:hAnsi="Times New Roman" w:eastAsia="仿宋" w:cs="Times New Roman"/>
          <w:bCs/>
          <w:color w:val="auto"/>
          <w:sz w:val="28"/>
          <w:szCs w:val="28"/>
          <w:lang w:eastAsia="zh-CN"/>
        </w:rPr>
        <w:t>秦汉管规函[2015]108号</w:t>
      </w:r>
      <w:r>
        <w:rPr>
          <w:rFonts w:hint="default" w:ascii="Times New Roman" w:hAnsi="Times New Roman" w:eastAsia="仿宋" w:cs="Times New Roman"/>
          <w:bCs/>
          <w:color w:val="auto"/>
          <w:sz w:val="28"/>
          <w:szCs w:val="28"/>
          <w:lang w:eastAsia="zh-CN"/>
        </w:rPr>
        <w:t>），</w:t>
      </w:r>
      <w:r>
        <w:rPr>
          <w:rFonts w:hint="default" w:ascii="Times New Roman" w:hAnsi="Times New Roman" w:eastAsia="仿宋" w:cs="Times New Roman"/>
          <w:bCs/>
          <w:color w:val="auto"/>
          <w:sz w:val="28"/>
          <w:szCs w:val="28"/>
        </w:rPr>
        <w:t>于20</w:t>
      </w:r>
      <w:r>
        <w:rPr>
          <w:rFonts w:hint="eastAsia" w:eastAsia="仿宋" w:cs="Times New Roman"/>
          <w:bCs/>
          <w:color w:val="auto"/>
          <w:sz w:val="28"/>
          <w:szCs w:val="28"/>
          <w:lang w:val="en-US" w:eastAsia="zh-CN"/>
        </w:rPr>
        <w:t>16</w:t>
      </w:r>
      <w:r>
        <w:rPr>
          <w:rFonts w:hint="default" w:ascii="Times New Roman" w:hAnsi="Times New Roman" w:eastAsia="仿宋" w:cs="Times New Roman"/>
          <w:bCs/>
          <w:color w:val="auto"/>
          <w:sz w:val="28"/>
          <w:szCs w:val="28"/>
        </w:rPr>
        <w:t>年</w:t>
      </w:r>
      <w:r>
        <w:rPr>
          <w:rFonts w:hint="eastAsia" w:eastAsia="仿宋" w:cs="Times New Roman"/>
          <w:bCs/>
          <w:color w:val="auto"/>
          <w:sz w:val="28"/>
          <w:szCs w:val="28"/>
          <w:lang w:val="en-US" w:eastAsia="zh-CN"/>
        </w:rPr>
        <w:t>3</w:t>
      </w:r>
      <w:r>
        <w:rPr>
          <w:rFonts w:hint="default" w:ascii="Times New Roman" w:hAnsi="Times New Roman" w:eastAsia="仿宋" w:cs="Times New Roman"/>
          <w:bCs/>
          <w:color w:val="auto"/>
          <w:sz w:val="28"/>
          <w:szCs w:val="28"/>
        </w:rPr>
        <w:t>月</w:t>
      </w:r>
      <w:r>
        <w:rPr>
          <w:rFonts w:hint="eastAsia" w:eastAsia="仿宋" w:cs="Times New Roman"/>
          <w:bCs/>
          <w:color w:val="auto"/>
          <w:sz w:val="28"/>
          <w:szCs w:val="28"/>
          <w:lang w:val="en-US" w:eastAsia="zh-CN"/>
        </w:rPr>
        <w:t>15</w:t>
      </w:r>
      <w:r>
        <w:rPr>
          <w:rFonts w:hint="default" w:ascii="Times New Roman" w:hAnsi="Times New Roman" w:eastAsia="仿宋" w:cs="Times New Roman"/>
          <w:bCs/>
          <w:color w:val="auto"/>
          <w:sz w:val="28"/>
          <w:szCs w:val="28"/>
        </w:rPr>
        <w:t>日取得</w:t>
      </w:r>
      <w:r>
        <w:rPr>
          <w:rFonts w:hint="default" w:ascii="Times New Roman" w:hAnsi="Times New Roman" w:eastAsia="仿宋" w:cs="Times New Roman"/>
          <w:bCs/>
          <w:color w:val="auto"/>
          <w:sz w:val="28"/>
          <w:szCs w:val="28"/>
          <w:lang w:eastAsia="zh-CN"/>
        </w:rPr>
        <w:t>陕西省西咸新区秦汉新城规划建设环保和房屋管理局《关于陕西勇轩混凝土有限公司年产经营30万立方米预拌混凝土和30万</w:t>
      </w:r>
      <w:r>
        <w:rPr>
          <w:rFonts w:hint="eastAsia" w:eastAsia="仿宋" w:cs="Times New Roman"/>
          <w:bCs/>
          <w:color w:val="auto"/>
          <w:sz w:val="28"/>
          <w:szCs w:val="28"/>
          <w:lang w:eastAsia="zh-CN"/>
        </w:rPr>
        <w:t>吨干粉砂浆</w:t>
      </w:r>
      <w:r>
        <w:rPr>
          <w:rFonts w:hint="default" w:ascii="Times New Roman" w:hAnsi="Times New Roman" w:eastAsia="仿宋" w:cs="Times New Roman"/>
          <w:bCs/>
          <w:color w:val="auto"/>
          <w:sz w:val="28"/>
          <w:szCs w:val="28"/>
          <w:lang w:eastAsia="zh-CN"/>
        </w:rPr>
        <w:t>项目变更批复》（</w:t>
      </w:r>
      <w:r>
        <w:rPr>
          <w:rFonts w:hint="eastAsia" w:ascii="Times New Roman" w:hAnsi="Times New Roman" w:eastAsia="仿宋" w:cs="Times New Roman"/>
          <w:bCs/>
          <w:color w:val="auto"/>
          <w:sz w:val="28"/>
          <w:szCs w:val="28"/>
          <w:lang w:eastAsia="zh-CN"/>
        </w:rPr>
        <w:t>秦汉管规函[2016]23号</w:t>
      </w:r>
      <w:r>
        <w:rPr>
          <w:rFonts w:hint="default" w:ascii="Times New Roman" w:hAnsi="Times New Roman" w:eastAsia="仿宋" w:cs="Times New Roman"/>
          <w:bCs/>
          <w:color w:val="auto"/>
          <w:sz w:val="28"/>
          <w:szCs w:val="28"/>
          <w:lang w:eastAsia="zh-CN"/>
        </w:rPr>
        <w:t>）</w:t>
      </w:r>
      <w:r>
        <w:rPr>
          <w:rFonts w:hint="eastAsia" w:eastAsia="仿宋" w:cs="Times New Roman"/>
          <w:bCs/>
          <w:color w:val="auto"/>
          <w:sz w:val="28"/>
          <w:szCs w:val="28"/>
          <w:lang w:eastAsia="zh-CN"/>
        </w:rPr>
        <w:t>；2016年3月，经陕西省西咸新区秦汉新城规划建设环保和房屋管理局批准，30万吨干粉砂浆项目建设主体变更为：陕西卓建永固建材有限公司，其他环评内容不变；本厂于</w:t>
      </w:r>
      <w:r>
        <w:rPr>
          <w:rFonts w:hint="eastAsia" w:eastAsia="仿宋" w:cs="Times New Roman"/>
          <w:bCs/>
          <w:color w:val="auto"/>
          <w:sz w:val="28"/>
          <w:szCs w:val="28"/>
          <w:lang w:val="en-US" w:eastAsia="zh-CN"/>
        </w:rPr>
        <w:t>2019年8月委托完成《陕西勇轩建材有限公司年产经营30万立方米预拌混凝土项目竣工环境保护验收监测报告表》，于2019年9月18日取得陕西省西咸新区秦汉新城行政审批与服务局文件《关于陕西勇轩建材有限公司年产经营30万立方米预拌混凝土项目固废污染防治设施竣工换保护验收的批复》（秦汉审服准[2019]213号）</w:t>
      </w:r>
      <w:r>
        <w:rPr>
          <w:rFonts w:hint="default" w:ascii="Times New Roman" w:hAnsi="Times New Roman" w:eastAsia="仿宋" w:cs="Times New Roman"/>
          <w:bCs/>
          <w:color w:val="auto"/>
          <w:sz w:val="28"/>
          <w:szCs w:val="28"/>
          <w:lang w:eastAsia="zh-CN"/>
        </w:rPr>
        <w:t>。</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2、监测</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①废气监测：</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委托资质监测单位定期对</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排放</w:t>
      </w:r>
      <w:r>
        <w:rPr>
          <w:rFonts w:hint="default" w:ascii="Times New Roman" w:hAnsi="Times New Roman" w:eastAsia="仿宋" w:cs="Times New Roman"/>
          <w:color w:val="auto"/>
          <w:sz w:val="28"/>
          <w:szCs w:val="28"/>
          <w:lang w:val="en-US" w:eastAsia="zh-CN"/>
        </w:rPr>
        <w:t>颗粒物</w:t>
      </w:r>
      <w:r>
        <w:rPr>
          <w:rFonts w:hint="default" w:ascii="Times New Roman" w:hAnsi="Times New Roman" w:eastAsia="仿宋" w:cs="Times New Roman"/>
          <w:color w:val="auto"/>
          <w:sz w:val="28"/>
          <w:szCs w:val="28"/>
        </w:rPr>
        <w:t>进行监测。</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②</w:t>
      </w:r>
      <w:r>
        <w:rPr>
          <w:rFonts w:hint="default" w:ascii="Times New Roman" w:hAnsi="Times New Roman" w:eastAsia="仿宋" w:cs="Times New Roman"/>
          <w:color w:val="auto"/>
          <w:sz w:val="28"/>
          <w:szCs w:val="28"/>
        </w:rPr>
        <w:t>应急监测：本次评估建议</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与资质单位建立应急监测协议，确保突发环境事件后能够迅速组织周边区域的应急监测，及时了解污染动向，便于应急处理及后期修复。</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3、操作规程</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①</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已建立各装置操作规程、环境保护制度、安全生产制度，进行日常巡检，并制定定期检修计划;</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②针对各项环保规章制度，落实以主要负责人为核心的环境安全工作责任制；</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③全面推进环境安全防控体系建设，积极开展风险评估，编制预案，开展应急演练，加强物资储备和自测能力建设。</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4、危险废物管理</w:t>
      </w:r>
    </w:p>
    <w:p>
      <w:pPr>
        <w:spacing w:line="360" w:lineRule="auto"/>
        <w:ind w:firstLine="560"/>
        <w:textAlignment w:val="baseline"/>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w:t>
      </w:r>
      <w:r>
        <w:rPr>
          <w:rFonts w:hint="default" w:ascii="Times New Roman" w:hAnsi="Times New Roman" w:eastAsia="仿宋" w:cs="Times New Roman"/>
          <w:color w:val="auto"/>
          <w:sz w:val="28"/>
          <w:szCs w:val="28"/>
          <w:lang w:eastAsia="zh-CN"/>
        </w:rPr>
        <w:t>现场勘查</w:t>
      </w: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eastAsia="zh-CN"/>
        </w:rPr>
        <w:t>公司危险废物主要为</w:t>
      </w:r>
      <w:r>
        <w:rPr>
          <w:rFonts w:hint="eastAsia" w:eastAsia="仿宋" w:cs="Times New Roman"/>
          <w:color w:val="auto"/>
          <w:sz w:val="28"/>
          <w:szCs w:val="28"/>
          <w:lang w:eastAsia="zh-CN"/>
        </w:rPr>
        <w:t>废机油</w:t>
      </w:r>
      <w:r>
        <w:rPr>
          <w:rFonts w:hint="default" w:ascii="Times New Roman" w:hAnsi="Times New Roman" w:eastAsia="仿宋" w:cs="Times New Roman"/>
          <w:color w:val="auto"/>
          <w:sz w:val="28"/>
          <w:szCs w:val="28"/>
          <w:lang w:eastAsia="zh-CN"/>
        </w:rPr>
        <w:t>，暂存于</w:t>
      </w:r>
      <w:r>
        <w:rPr>
          <w:rFonts w:hint="eastAsia" w:eastAsia="仿宋" w:cs="Times New Roman"/>
          <w:color w:val="auto"/>
          <w:sz w:val="28"/>
          <w:szCs w:val="28"/>
          <w:lang w:eastAsia="zh-CN"/>
        </w:rPr>
        <w:t>危废暂存间</w:t>
      </w:r>
      <w:r>
        <w:rPr>
          <w:rFonts w:hint="default" w:ascii="Times New Roman" w:hAnsi="Times New Roman" w:eastAsia="仿宋" w:cs="Times New Roman"/>
          <w:color w:val="auto"/>
          <w:sz w:val="28"/>
          <w:szCs w:val="28"/>
          <w:lang w:eastAsia="zh-CN"/>
        </w:rPr>
        <w:t>，其</w:t>
      </w:r>
      <w:r>
        <w:rPr>
          <w:rFonts w:hint="default" w:ascii="Times New Roman" w:hAnsi="Times New Roman" w:eastAsia="仿宋" w:cs="Times New Roman"/>
          <w:color w:val="auto"/>
          <w:sz w:val="28"/>
          <w:szCs w:val="28"/>
        </w:rPr>
        <w:t>清理、运输和处置均委托有资质单位进行。</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5、</w:t>
      </w:r>
      <w:r>
        <w:rPr>
          <w:rFonts w:hint="default" w:ascii="Times New Roman" w:hAnsi="Times New Roman" w:eastAsia="仿宋" w:cs="Times New Roman"/>
          <w:color w:val="auto"/>
          <w:sz w:val="28"/>
          <w:szCs w:val="28"/>
          <w:lang w:eastAsia="zh-CN"/>
        </w:rPr>
        <w:t>风险</w:t>
      </w:r>
      <w:r>
        <w:rPr>
          <w:rFonts w:hint="default" w:ascii="Times New Roman" w:hAnsi="Times New Roman" w:eastAsia="仿宋" w:cs="Times New Roman"/>
          <w:color w:val="auto"/>
          <w:sz w:val="28"/>
          <w:szCs w:val="28"/>
        </w:rPr>
        <w:t>防控</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以“预防为主、防控结合”的指导思想，建立安全、及时、有效的污染综合预防与控制体系。</w:t>
      </w:r>
    </w:p>
    <w:p>
      <w:pPr>
        <w:pStyle w:val="63"/>
        <w:pageBreakBefore w:val="0"/>
        <w:widowControl w:val="0"/>
        <w:kinsoku/>
        <w:wordWrap/>
        <w:overflowPunct w:val="0"/>
        <w:topLinePunct/>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（1）一级防控措施</w:t>
      </w:r>
    </w:p>
    <w:p>
      <w:pPr>
        <w:pStyle w:val="63"/>
        <w:pageBreakBefore w:val="0"/>
        <w:widowControl w:val="0"/>
        <w:kinsoku/>
        <w:wordWrap/>
        <w:overflowPunct w:val="0"/>
        <w:topLinePunct/>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eastAsia="zh-CN"/>
        </w:rPr>
        <w:t>本项目在公司危废暂存间安装视频监控装置，实施24小时监控，视频资料自动保存7天以上。同时</w:t>
      </w:r>
      <w:r>
        <w:rPr>
          <w:rFonts w:hint="eastAsia" w:ascii="仿宋" w:hAnsi="仿宋" w:eastAsia="仿宋" w:cs="仿宋"/>
          <w:color w:val="auto"/>
          <w:sz w:val="28"/>
          <w:szCs w:val="28"/>
        </w:rPr>
        <w:t>安排固定人员定时定点对危废暂存间进行检查。</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二</w:t>
      </w:r>
      <w:r>
        <w:rPr>
          <w:rFonts w:hint="default" w:ascii="Times New Roman" w:hAnsi="Times New Roman" w:eastAsia="仿宋" w:cs="Times New Roman"/>
          <w:color w:val="auto"/>
          <w:sz w:val="28"/>
          <w:szCs w:val="28"/>
        </w:rPr>
        <w:t>级防控措施</w:t>
      </w:r>
    </w:p>
    <w:p>
      <w:pPr>
        <w:spacing w:line="360" w:lineRule="auto"/>
        <w:ind w:firstLine="560" w:firstLineChars="200"/>
        <w:rPr>
          <w:rFonts w:hint="default" w:ascii="Times New Roman" w:hAnsi="Times New Roman" w:eastAsia="仿宋" w:cs="Times New Roman"/>
          <w:bCs/>
          <w:color w:val="auto"/>
          <w:sz w:val="28"/>
          <w:szCs w:val="28"/>
        </w:rPr>
      </w:pPr>
      <w:r>
        <w:rPr>
          <w:rFonts w:hint="default" w:ascii="Times New Roman" w:hAnsi="Times New Roman" w:eastAsia="仿宋" w:cs="Times New Roman"/>
          <w:color w:val="auto"/>
          <w:sz w:val="28"/>
          <w:szCs w:val="28"/>
          <w:lang w:eastAsia="zh-CN"/>
        </w:rPr>
        <w:t>厂区</w:t>
      </w:r>
      <w:r>
        <w:rPr>
          <w:rFonts w:hint="default" w:ascii="Times New Roman" w:hAnsi="Times New Roman" w:eastAsia="仿宋" w:cs="Times New Roman"/>
          <w:color w:val="auto"/>
          <w:sz w:val="28"/>
          <w:szCs w:val="28"/>
        </w:rPr>
        <w:t>生产废水</w:t>
      </w:r>
      <w:r>
        <w:rPr>
          <w:rFonts w:hint="eastAsia" w:eastAsia="仿宋" w:cs="Times New Roman"/>
          <w:color w:val="auto"/>
          <w:sz w:val="28"/>
          <w:szCs w:val="28"/>
          <w:lang w:eastAsia="zh-CN"/>
        </w:rPr>
        <w:t>全部回用，不外排；厂内雨水进入厂区三级沉淀池，沉淀后用于厂区洒水和生产；</w:t>
      </w:r>
      <w:r>
        <w:rPr>
          <w:rFonts w:hint="default" w:ascii="Times New Roman" w:hAnsi="Times New Roman" w:eastAsia="仿宋" w:cs="Times New Roman"/>
          <w:bCs/>
          <w:color w:val="auto"/>
          <w:sz w:val="28"/>
          <w:szCs w:val="28"/>
        </w:rPr>
        <w:t>餐饮废水经隔油池预处理后，与其他</w:t>
      </w:r>
      <w:r>
        <w:rPr>
          <w:rFonts w:hint="eastAsia" w:eastAsia="仿宋" w:cs="Times New Roman"/>
          <w:bCs/>
          <w:color w:val="auto"/>
          <w:sz w:val="28"/>
          <w:szCs w:val="28"/>
          <w:lang w:eastAsia="zh-CN"/>
        </w:rPr>
        <w:t>生活</w:t>
      </w:r>
      <w:r>
        <w:rPr>
          <w:rFonts w:hint="default" w:ascii="Times New Roman" w:hAnsi="Times New Roman" w:eastAsia="仿宋" w:cs="Times New Roman"/>
          <w:bCs/>
          <w:color w:val="auto"/>
          <w:sz w:val="28"/>
          <w:szCs w:val="28"/>
        </w:rPr>
        <w:t>废水一同进入陕西卓建永固建材有限公司化粪池，然后进入地下一体化污水处理系统处理，用于厂区洒水，不外排。</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eastAsia="仿宋" w:cs="Times New Roman"/>
          <w:color w:val="auto"/>
          <w:sz w:val="28"/>
          <w:szCs w:val="28"/>
          <w:lang w:val="en-US" w:eastAsia="zh-CN"/>
        </w:rPr>
        <w:t>3</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三</w:t>
      </w:r>
      <w:r>
        <w:rPr>
          <w:rFonts w:hint="default" w:ascii="Times New Roman" w:hAnsi="Times New Roman" w:eastAsia="仿宋" w:cs="Times New Roman"/>
          <w:color w:val="auto"/>
          <w:sz w:val="28"/>
          <w:szCs w:val="28"/>
        </w:rPr>
        <w:t>级防控措施</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公司</w:t>
      </w:r>
      <w:r>
        <w:rPr>
          <w:rFonts w:hint="eastAsia" w:eastAsia="仿宋" w:cs="Times New Roman"/>
          <w:bCs/>
          <w:snapToGrid w:val="0"/>
          <w:color w:val="auto"/>
          <w:kern w:val="0"/>
          <w:sz w:val="28"/>
          <w:szCs w:val="28"/>
          <w:lang w:val="en-US" w:eastAsia="zh-CN"/>
        </w:rPr>
        <w:t>设备保养维修产生的废机油及废机油桶，含油手套、抹布，</w:t>
      </w:r>
      <w:r>
        <w:rPr>
          <w:rFonts w:hint="eastAsia" w:ascii="仿宋" w:hAnsi="仿宋" w:eastAsia="仿宋" w:cs="仿宋"/>
          <w:color w:val="auto"/>
          <w:sz w:val="28"/>
          <w:szCs w:val="28"/>
          <w:lang w:eastAsia="zh-CN"/>
        </w:rPr>
        <w:t>暂存于危废暂存间，由资质单位处理。</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6、防毒措施</w:t>
      </w:r>
    </w:p>
    <w:p>
      <w:pPr>
        <w:pStyle w:val="7"/>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公司</w:t>
      </w:r>
      <w:r>
        <w:rPr>
          <w:rFonts w:hint="eastAsia" w:eastAsia="仿宋" w:cs="Times New Roman"/>
          <w:color w:val="auto"/>
          <w:sz w:val="28"/>
          <w:szCs w:val="28"/>
          <w:lang w:eastAsia="zh-CN"/>
        </w:rPr>
        <w:t>不</w:t>
      </w:r>
      <w:r>
        <w:rPr>
          <w:rFonts w:hint="default" w:ascii="Times New Roman" w:hAnsi="Times New Roman" w:eastAsia="仿宋" w:cs="Times New Roman"/>
          <w:color w:val="auto"/>
          <w:sz w:val="28"/>
          <w:szCs w:val="28"/>
        </w:rPr>
        <w:t>涉及的毒性气体</w:t>
      </w:r>
      <w:r>
        <w:rPr>
          <w:rFonts w:hint="eastAsia" w:eastAsia="仿宋" w:cs="Times New Roman"/>
          <w:color w:val="auto"/>
          <w:sz w:val="28"/>
          <w:szCs w:val="28"/>
          <w:lang w:eastAsia="zh-CN"/>
        </w:rPr>
        <w:t>，主要废气污染物为</w:t>
      </w:r>
      <w:r>
        <w:rPr>
          <w:rFonts w:hint="default" w:ascii="Times New Roman" w:hAnsi="Times New Roman" w:eastAsia="仿宋" w:cs="Times New Roman"/>
          <w:color w:val="auto"/>
          <w:sz w:val="28"/>
          <w:szCs w:val="28"/>
          <w:lang w:val="en-US" w:eastAsia="zh-CN"/>
        </w:rPr>
        <w:t>颗粒物，主要防治措施如下：</w:t>
      </w:r>
    </w:p>
    <w:p>
      <w:pPr>
        <w:pStyle w:val="7"/>
        <w:ind w:firstLine="560"/>
        <w:rPr>
          <w:rFonts w:hint="eastAsia" w:eastAsia="仿宋" w:cs="Times New Roman"/>
          <w:color w:val="auto"/>
          <w:sz w:val="28"/>
          <w:szCs w:val="28"/>
          <w:lang w:eastAsia="zh-CN"/>
        </w:rPr>
      </w:pPr>
      <w:r>
        <w:rPr>
          <w:rFonts w:hint="default" w:ascii="Times New Roman" w:hAnsi="Times New Roman" w:eastAsia="仿宋" w:cs="Times New Roman"/>
          <w:color w:val="auto"/>
          <w:sz w:val="28"/>
          <w:szCs w:val="28"/>
        </w:rPr>
        <w:t>①</w:t>
      </w:r>
      <w:r>
        <w:rPr>
          <w:rFonts w:hint="eastAsia" w:eastAsia="仿宋" w:cs="Times New Roman"/>
          <w:color w:val="auto"/>
          <w:sz w:val="28"/>
          <w:szCs w:val="28"/>
          <w:lang w:eastAsia="zh-CN"/>
        </w:rPr>
        <w:t>粉体筒仓设置仓顶脉冲袋式除尘器；</w:t>
      </w:r>
    </w:p>
    <w:p>
      <w:pPr>
        <w:pStyle w:val="7"/>
        <w:ind w:firstLine="560"/>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②混凝土搅拌机进料粉尘</w:t>
      </w:r>
      <w:r>
        <w:rPr>
          <w:rFonts w:hint="eastAsia" w:eastAsia="仿宋" w:cs="Times New Roman"/>
          <w:color w:val="auto"/>
          <w:sz w:val="28"/>
          <w:szCs w:val="28"/>
          <w:lang w:eastAsia="zh-CN"/>
        </w:rPr>
        <w:t>采用</w:t>
      </w:r>
      <w:r>
        <w:rPr>
          <w:rFonts w:hint="default" w:ascii="Times New Roman" w:hAnsi="Times New Roman" w:eastAsia="仿宋" w:cs="Times New Roman"/>
          <w:color w:val="auto"/>
          <w:sz w:val="28"/>
          <w:szCs w:val="28"/>
        </w:rPr>
        <w:t>设备自带正压式布袋+密闭收尘房+封闭生产搅拌楼</w:t>
      </w:r>
      <w:r>
        <w:rPr>
          <w:rFonts w:hint="eastAsia" w:eastAsia="仿宋" w:cs="Times New Roman"/>
          <w:color w:val="auto"/>
          <w:sz w:val="28"/>
          <w:szCs w:val="28"/>
          <w:lang w:eastAsia="zh-CN"/>
        </w:rPr>
        <w:t>的措施降低粉尘的无组织排放。</w:t>
      </w:r>
    </w:p>
    <w:p>
      <w:pPr>
        <w:spacing w:line="360" w:lineRule="auto"/>
        <w:outlineLvl w:val="3"/>
        <w:rPr>
          <w:rFonts w:hint="default" w:ascii="Times New Roman" w:hAnsi="Times New Roman" w:eastAsia="仿宋" w:cs="Times New Roman"/>
          <w:b/>
          <w:color w:val="auto"/>
          <w:sz w:val="28"/>
          <w:szCs w:val="28"/>
        </w:rPr>
      </w:pPr>
      <w:r>
        <w:rPr>
          <w:rFonts w:hint="default" w:ascii="Times New Roman" w:hAnsi="Times New Roman" w:eastAsia="仿宋" w:cs="Times New Roman"/>
          <w:b/>
          <w:color w:val="auto"/>
          <w:sz w:val="28"/>
          <w:szCs w:val="28"/>
        </w:rPr>
        <w:t>4.4.2.2应急措施</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事故（包括已发生的事故、即将可能发生的事故或未遂事故）发生后，应沉着冷静，了解事故发生的具体情况，客观分析、准确判断，分类、分级，迅速果断地采取相应有效的处理措施，防止事故后果的扩大，最大限度地降低事故损失，现场抢险、救援主要采取隔离、覆盖、转移、收集等方式、方法进行处置。</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（1）抢险救援方式、方法</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抢险救灾组成员根据指挥部下达的抢修指令，迅速进行抢修设备，控制事故、以及防止事故扩大。</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lang w:eastAsia="zh-CN"/>
        </w:rPr>
        <w:t>现场处置组</w:t>
      </w:r>
      <w:r>
        <w:rPr>
          <w:rFonts w:hint="eastAsia" w:ascii="仿宋" w:hAnsi="仿宋" w:eastAsia="仿宋" w:cs="仿宋"/>
          <w:color w:val="auto"/>
          <w:sz w:val="28"/>
          <w:szCs w:val="28"/>
        </w:rPr>
        <w:t>人员迅速组织救援伤员撤离，组织人员在事故现场周围设岗划分禁区或加强警戒和巡逻检查，严禁无关人员进入禁区。并与消防车队配合，立即救护伤员对伤员进行医疗处置或输氧急救，重伤员应及时转送医院抢救。</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（2）控制事故扩大的措施</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发生事故区域迅速查明事故发生源点和原因，指挥部成员到达现场后，根据事故状况及危害程度作出相应的应急决定，并命令</w:t>
      </w:r>
      <w:r>
        <w:rPr>
          <w:rFonts w:hint="eastAsia" w:ascii="仿宋" w:hAnsi="仿宋" w:eastAsia="仿宋" w:cs="仿宋"/>
          <w:color w:val="auto"/>
          <w:sz w:val="28"/>
          <w:szCs w:val="28"/>
          <w:lang w:eastAsia="zh-CN"/>
        </w:rPr>
        <w:t>应急处置组</w:t>
      </w:r>
      <w:r>
        <w:rPr>
          <w:rFonts w:hint="eastAsia" w:ascii="仿宋" w:hAnsi="仿宋" w:eastAsia="仿宋" w:cs="仿宋"/>
          <w:color w:val="auto"/>
          <w:sz w:val="28"/>
          <w:szCs w:val="28"/>
        </w:rPr>
        <w:t>立即开展抢救抢险。如事故扩大时，应请求救援。</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（3）事故可能扩大后的应急措施</w:t>
      </w:r>
    </w:p>
    <w:p>
      <w:pPr>
        <w:pStyle w:val="44"/>
        <w:overflowPunct w:val="0"/>
        <w:topLinePunct/>
        <w:autoSpaceDE/>
        <w:autoSpaceDN/>
        <w:adjustRightInd w:val="0"/>
        <w:snapToGrid w:val="0"/>
        <w:spacing w:line="360" w:lineRule="auto"/>
        <w:ind w:left="0" w:firstLine="560" w:firstLineChars="200"/>
        <w:rPr>
          <w:rFonts w:hint="eastAsia" w:ascii="仿宋" w:hAnsi="仿宋" w:eastAsia="仿宋" w:cs="仿宋"/>
          <w:color w:val="auto"/>
          <w:sz w:val="28"/>
          <w:szCs w:val="28"/>
        </w:rPr>
      </w:pPr>
      <w:r>
        <w:rPr>
          <w:rFonts w:hint="eastAsia" w:ascii="仿宋" w:hAnsi="仿宋" w:eastAsia="仿宋" w:cs="仿宋"/>
          <w:color w:val="auto"/>
          <w:sz w:val="28"/>
          <w:szCs w:val="28"/>
        </w:rPr>
        <w:t>如果发生较大环境事故，指挥人员迅速向主管部门和公安、消防、环保、卫生等上级领导机关报告事故情况，由指挥部下达紧急安全疏散命令，</w:t>
      </w:r>
      <w:r>
        <w:rPr>
          <w:rFonts w:hint="eastAsia" w:ascii="仿宋" w:hAnsi="仿宋" w:eastAsia="仿宋" w:cs="仿宋"/>
          <w:color w:val="auto"/>
          <w:sz w:val="28"/>
          <w:szCs w:val="28"/>
          <w:lang w:eastAsia="zh-CN"/>
        </w:rPr>
        <w:t>本公司</w:t>
      </w:r>
      <w:r>
        <w:rPr>
          <w:rFonts w:hint="eastAsia" w:ascii="仿宋" w:hAnsi="仿宋" w:eastAsia="仿宋" w:cs="仿宋"/>
          <w:color w:val="auto"/>
          <w:sz w:val="28"/>
          <w:szCs w:val="28"/>
        </w:rPr>
        <w:t>抢险抢修力量不足或有可能危及社会安全时，由指挥部立即向上级部门通报，必要时请求社会力量帮助。社会援助队伍进入厂区时，由后勤保障组组人员联络、引导并告知注意事项。</w:t>
      </w:r>
    </w:p>
    <w:p>
      <w:pPr>
        <w:pStyle w:val="44"/>
        <w:overflowPunct w:val="0"/>
        <w:topLinePunct/>
        <w:autoSpaceDE/>
        <w:autoSpaceDN/>
        <w:adjustRightInd w:val="0"/>
        <w:snapToGrid w:val="0"/>
        <w:spacing w:line="360" w:lineRule="auto"/>
        <w:ind w:left="0"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具体应急措施详见《</w:t>
      </w: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突发环境事件应急预案》。</w:t>
      </w:r>
    </w:p>
    <w:p>
      <w:pPr>
        <w:pStyle w:val="4"/>
        <w:keepNext w:val="0"/>
        <w:spacing w:before="0" w:after="0" w:line="360" w:lineRule="auto"/>
        <w:rPr>
          <w:rFonts w:hint="default" w:ascii="Times New Roman" w:hAnsi="Times New Roman" w:eastAsia="仿宋" w:cs="Times New Roman"/>
          <w:color w:val="auto"/>
          <w:kern w:val="21"/>
          <w:sz w:val="28"/>
          <w:szCs w:val="28"/>
        </w:rPr>
      </w:pPr>
      <w:bookmarkStart w:id="79" w:name="_Toc16509"/>
      <w:bookmarkStart w:id="80" w:name="_Toc439234652"/>
      <w:bookmarkStart w:id="81" w:name="_Toc26305"/>
      <w:r>
        <w:rPr>
          <w:rFonts w:hint="default" w:ascii="Times New Roman" w:hAnsi="Times New Roman" w:eastAsia="仿宋" w:cs="Times New Roman"/>
          <w:color w:val="auto"/>
          <w:kern w:val="21"/>
          <w:sz w:val="28"/>
          <w:szCs w:val="28"/>
        </w:rPr>
        <w:t>4.4.3应急资源情况分析</w:t>
      </w:r>
    </w:p>
    <w:p>
      <w:pPr>
        <w:adjustRightInd w:val="0"/>
        <w:snapToGrid w:val="0"/>
        <w:spacing w:line="360" w:lineRule="auto"/>
        <w:ind w:firstLine="505"/>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制订了《突发环境事件应急预案》，建立了应急救援组织和应急队伍，储备了相应的应急救援物资、器材（需补充的本次评估提出要求），确保遇到突发环境事件时能够有效应对。应急物资详见表3-10。</w:t>
      </w:r>
    </w:p>
    <w:p>
      <w:pPr>
        <w:bidi w:val="0"/>
        <w:rPr>
          <w:rFonts w:hint="default"/>
        </w:rPr>
      </w:pPr>
    </w:p>
    <w:p>
      <w:pPr>
        <w:bidi w:val="0"/>
        <w:rPr>
          <w:rFonts w:hint="default"/>
        </w:rPr>
      </w:pPr>
    </w:p>
    <w:p>
      <w:pPr>
        <w:bidi w:val="0"/>
        <w:rPr>
          <w:rFonts w:hint="default"/>
        </w:rPr>
      </w:pPr>
    </w:p>
    <w:p>
      <w:pPr>
        <w:pStyle w:val="2"/>
        <w:keepNext w:val="0"/>
        <w:spacing w:before="0" w:after="0" w:line="360" w:lineRule="auto"/>
        <w:rPr>
          <w:rFonts w:hint="default" w:ascii="Times New Roman" w:hAnsi="Times New Roman" w:eastAsia="仿宋" w:cs="Times New Roman"/>
          <w:color w:val="auto"/>
          <w:kern w:val="21"/>
          <w:sz w:val="28"/>
          <w:szCs w:val="28"/>
        </w:rPr>
      </w:pPr>
      <w:r>
        <w:rPr>
          <w:rFonts w:hint="default" w:ascii="Times New Roman" w:hAnsi="Times New Roman" w:eastAsia="仿宋" w:cs="Times New Roman"/>
          <w:color w:val="auto"/>
          <w:kern w:val="21"/>
          <w:sz w:val="28"/>
          <w:szCs w:val="28"/>
        </w:rPr>
        <w:t>4.5突发环境事件事故后果分析</w:t>
      </w:r>
      <w:bookmarkEnd w:id="79"/>
      <w:bookmarkEnd w:id="80"/>
      <w:bookmarkEnd w:id="81"/>
    </w:p>
    <w:p>
      <w:pPr>
        <w:pStyle w:val="4"/>
        <w:keepNext w:val="0"/>
        <w:spacing w:before="0" w:after="0" w:line="360" w:lineRule="auto"/>
        <w:rPr>
          <w:rFonts w:hint="default" w:ascii="Times New Roman" w:hAnsi="Times New Roman" w:eastAsia="仿宋" w:cs="Times New Roman"/>
          <w:color w:val="auto"/>
          <w:kern w:val="21"/>
          <w:sz w:val="28"/>
          <w:szCs w:val="28"/>
        </w:rPr>
      </w:pPr>
      <w:r>
        <w:rPr>
          <w:rFonts w:hint="default" w:ascii="Times New Roman" w:hAnsi="Times New Roman" w:eastAsia="仿宋" w:cs="Times New Roman"/>
          <w:color w:val="auto"/>
          <w:kern w:val="21"/>
          <w:sz w:val="28"/>
          <w:szCs w:val="28"/>
        </w:rPr>
        <w:t>4.5.</w:t>
      </w:r>
      <w:r>
        <w:rPr>
          <w:rFonts w:hint="default" w:ascii="Times New Roman" w:hAnsi="Times New Roman" w:eastAsia="仿宋" w:cs="Times New Roman"/>
          <w:color w:val="auto"/>
          <w:kern w:val="21"/>
          <w:sz w:val="28"/>
          <w:szCs w:val="28"/>
          <w:lang w:val="en-US" w:eastAsia="zh-CN"/>
        </w:rPr>
        <w:t>1</w:t>
      </w:r>
      <w:r>
        <w:rPr>
          <w:rFonts w:hint="eastAsia" w:eastAsia="仿宋" w:cs="Times New Roman"/>
          <w:color w:val="auto"/>
          <w:kern w:val="21"/>
          <w:sz w:val="28"/>
          <w:szCs w:val="28"/>
          <w:lang w:val="en-US" w:eastAsia="zh-CN"/>
        </w:rPr>
        <w:t>废机油</w:t>
      </w:r>
      <w:r>
        <w:rPr>
          <w:rFonts w:hint="default" w:ascii="Times New Roman" w:hAnsi="Times New Roman" w:eastAsia="仿宋" w:cs="Times New Roman"/>
          <w:color w:val="auto"/>
          <w:kern w:val="21"/>
          <w:sz w:val="28"/>
          <w:szCs w:val="28"/>
        </w:rPr>
        <w:t>泄露</w:t>
      </w:r>
      <w:r>
        <w:rPr>
          <w:rFonts w:hint="eastAsia" w:eastAsia="仿宋" w:cs="Times New Roman"/>
          <w:color w:val="auto"/>
          <w:kern w:val="21"/>
          <w:sz w:val="28"/>
          <w:szCs w:val="28"/>
          <w:lang w:eastAsia="zh-CN"/>
        </w:rPr>
        <w:t>、火灾</w:t>
      </w:r>
      <w:r>
        <w:rPr>
          <w:rFonts w:hint="default" w:ascii="Times New Roman" w:hAnsi="Times New Roman" w:eastAsia="仿宋" w:cs="Times New Roman"/>
          <w:color w:val="auto"/>
          <w:kern w:val="21"/>
          <w:sz w:val="28"/>
          <w:szCs w:val="28"/>
        </w:rPr>
        <w:t>事故</w:t>
      </w:r>
    </w:p>
    <w:p>
      <w:pPr>
        <w:pStyle w:val="44"/>
        <w:overflowPunct w:val="0"/>
        <w:topLinePunct/>
        <w:ind w:firstLine="840" w:firstLineChars="300"/>
        <w:rPr>
          <w:rFonts w:hint="default" w:ascii="Times New Roman" w:hAnsi="Times New Roman" w:eastAsia="仿宋" w:cs="Times New Roman"/>
          <w:color w:val="auto"/>
          <w:sz w:val="28"/>
          <w:szCs w:val="28"/>
          <w:lang w:eastAsia="zh-CN"/>
        </w:rPr>
      </w:pPr>
      <w:r>
        <w:rPr>
          <w:rFonts w:hint="eastAsia" w:eastAsia="仿宋" w:cs="Times New Roman"/>
          <w:color w:val="auto"/>
          <w:sz w:val="28"/>
          <w:szCs w:val="28"/>
          <w:lang w:eastAsia="zh-CN"/>
        </w:rPr>
        <w:t>（</w:t>
      </w:r>
      <w:r>
        <w:rPr>
          <w:rFonts w:hint="eastAsia" w:eastAsia="仿宋" w:cs="Times New Roman"/>
          <w:color w:val="auto"/>
          <w:sz w:val="28"/>
          <w:szCs w:val="28"/>
          <w:lang w:val="en-US" w:eastAsia="zh-CN"/>
        </w:rPr>
        <w:t>1</w:t>
      </w:r>
      <w:r>
        <w:rPr>
          <w:rFonts w:hint="eastAsia" w:eastAsia="仿宋" w:cs="Times New Roman"/>
          <w:color w:val="auto"/>
          <w:sz w:val="28"/>
          <w:szCs w:val="28"/>
          <w:lang w:eastAsia="zh-CN"/>
        </w:rPr>
        <w:t>）废机油泄露事故</w:t>
      </w:r>
    </w:p>
    <w:p>
      <w:pPr>
        <w:pStyle w:val="44"/>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引起废机油泄漏的主要原因是腐蚀破损、机械破损、焊接质量、密封等出现问题，主要体现如下：</w:t>
      </w:r>
    </w:p>
    <w:p>
      <w:pPr>
        <w:pStyle w:val="44"/>
        <w:numPr>
          <w:ilvl w:val="0"/>
          <w:numId w:val="2"/>
        </w:numPr>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废机油桶未定期检查，出现焊接质量、腐蚀破损，机械破损从而引起泄漏。</w:t>
      </w:r>
    </w:p>
    <w:p>
      <w:pPr>
        <w:pStyle w:val="44"/>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lang w:eastAsia="zh-CN"/>
        </w:rPr>
        <w:t>）废机油桶泄漏时接触到明火造成火灾事件。</w:t>
      </w:r>
    </w:p>
    <w:p>
      <w:pPr>
        <w:pStyle w:val="44"/>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val="en-US" w:eastAsia="zh-CN"/>
        </w:rPr>
        <w:t>3</w:t>
      </w:r>
      <w:r>
        <w:rPr>
          <w:rFonts w:hint="default" w:ascii="Times New Roman" w:hAnsi="Times New Roman" w:eastAsia="仿宋" w:cs="Times New Roman"/>
          <w:color w:val="auto"/>
          <w:sz w:val="28"/>
          <w:szCs w:val="28"/>
          <w:lang w:eastAsia="zh-CN"/>
        </w:rPr>
        <w:t>）违章操作，风险物质周围违章动用明火等引起火灾。</w:t>
      </w:r>
    </w:p>
    <w:p>
      <w:pPr>
        <w:pStyle w:val="44"/>
        <w:overflowPunct w:val="0"/>
        <w:topLinePunct/>
        <w:ind w:firstLine="840" w:firstLineChars="30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根据《建设项目环境风险评价技术导则》（HJ/T169-20</w:t>
      </w:r>
      <w:r>
        <w:rPr>
          <w:rFonts w:hint="eastAsia" w:eastAsia="仿宋" w:cs="Times New Roman"/>
          <w:color w:val="auto"/>
          <w:sz w:val="28"/>
          <w:szCs w:val="28"/>
          <w:lang w:val="en-US" w:eastAsia="zh-CN"/>
        </w:rPr>
        <w:t>18</w:t>
      </w:r>
      <w:r>
        <w:rPr>
          <w:rFonts w:hint="default" w:ascii="Times New Roman" w:hAnsi="Times New Roman" w:eastAsia="仿宋" w:cs="Times New Roman"/>
          <w:color w:val="auto"/>
          <w:sz w:val="28"/>
          <w:szCs w:val="28"/>
          <w:lang w:eastAsia="zh-CN"/>
        </w:rPr>
        <w:t>），项目最大可信事故</w:t>
      </w:r>
      <w:r>
        <w:rPr>
          <w:rFonts w:hint="eastAsia" w:eastAsia="仿宋" w:cs="Times New Roman"/>
          <w:color w:val="auto"/>
          <w:sz w:val="28"/>
          <w:szCs w:val="28"/>
          <w:lang w:eastAsia="zh-CN"/>
        </w:rPr>
        <w:t>为</w:t>
      </w:r>
      <w:r>
        <w:rPr>
          <w:rFonts w:hint="default" w:ascii="Times New Roman" w:hAnsi="Times New Roman" w:eastAsia="仿宋" w:cs="Times New Roman"/>
          <w:color w:val="auto"/>
          <w:sz w:val="28"/>
          <w:szCs w:val="28"/>
          <w:lang w:eastAsia="zh-CN"/>
        </w:rPr>
        <w:t>废机油桶发生泄漏</w:t>
      </w:r>
      <w:r>
        <w:rPr>
          <w:rFonts w:hint="eastAsia" w:eastAsia="仿宋" w:cs="Times New Roman"/>
          <w:color w:val="auto"/>
          <w:sz w:val="28"/>
          <w:szCs w:val="28"/>
          <w:lang w:eastAsia="zh-CN"/>
        </w:rPr>
        <w:t>，废机油桶置于托盘内</w:t>
      </w:r>
      <w:r>
        <w:rPr>
          <w:rFonts w:hint="default" w:ascii="Times New Roman" w:hAnsi="Times New Roman" w:eastAsia="仿宋" w:cs="Times New Roman"/>
          <w:color w:val="auto"/>
          <w:sz w:val="28"/>
          <w:szCs w:val="28"/>
          <w:lang w:eastAsia="zh-CN"/>
        </w:rPr>
        <w:t>，</w:t>
      </w:r>
      <w:r>
        <w:rPr>
          <w:rFonts w:hint="eastAsia" w:eastAsia="仿宋" w:cs="Times New Roman"/>
          <w:color w:val="auto"/>
          <w:sz w:val="28"/>
          <w:szCs w:val="28"/>
          <w:lang w:eastAsia="zh-CN"/>
        </w:rPr>
        <w:t>危废暂存间门口设置有围堰，因此</w:t>
      </w:r>
      <w:r>
        <w:rPr>
          <w:rFonts w:hint="default" w:ascii="Times New Roman" w:hAnsi="Times New Roman" w:eastAsia="仿宋" w:cs="Times New Roman"/>
          <w:color w:val="auto"/>
          <w:sz w:val="28"/>
          <w:szCs w:val="28"/>
          <w:lang w:eastAsia="zh-CN"/>
        </w:rPr>
        <w:t>主要在危废暂存间扩散，由于油品黏度和凝固点较高且流动性较差，可及时组织人员对其进行围挡、沙土围堵或引至安全场所和容器，故不会对外环境造成影响。</w:t>
      </w:r>
    </w:p>
    <w:p>
      <w:pPr>
        <w:pStyle w:val="44"/>
        <w:overflowPunct w:val="0"/>
        <w:topLinePunct/>
        <w:ind w:firstLine="840" w:firstLineChars="300"/>
        <w:rPr>
          <w:rFonts w:hint="eastAsia" w:eastAsia="仿宋" w:cs="Times New Roman"/>
          <w:color w:val="auto"/>
          <w:sz w:val="28"/>
          <w:szCs w:val="28"/>
          <w:lang w:eastAsia="zh-CN"/>
        </w:rPr>
      </w:pPr>
      <w:r>
        <w:rPr>
          <w:rFonts w:hint="eastAsia" w:eastAsia="仿宋" w:cs="Times New Roman"/>
          <w:color w:val="auto"/>
          <w:sz w:val="28"/>
          <w:szCs w:val="28"/>
          <w:lang w:eastAsia="zh-CN"/>
        </w:rPr>
        <w:t>①对土壤及地下水的影响</w:t>
      </w:r>
    </w:p>
    <w:p>
      <w:pPr>
        <w:pStyle w:val="44"/>
        <w:overflowPunct w:val="0"/>
        <w:topLinePunct/>
        <w:ind w:firstLine="840" w:firstLineChars="300"/>
        <w:rPr>
          <w:rFonts w:hint="default" w:eastAsia="仿宋" w:cs="Times New Roman"/>
          <w:color w:val="auto"/>
          <w:sz w:val="28"/>
          <w:szCs w:val="28"/>
          <w:lang w:eastAsia="zh-CN"/>
        </w:rPr>
      </w:pPr>
      <w:r>
        <w:rPr>
          <w:rFonts w:hint="default" w:eastAsia="仿宋" w:cs="Times New Roman"/>
          <w:color w:val="auto"/>
          <w:sz w:val="28"/>
          <w:szCs w:val="28"/>
          <w:lang w:eastAsia="zh-CN"/>
        </w:rPr>
        <w:t>废机油桶泄漏时，若遇降水过程，泄漏出的废机油直接受到雨水的冲刷和浸泡，可浸出组分中含量较大的酸、脂类化合物，其迁移到土壤和地下水体中，进而土壤组分和地下水水质造成潜在的危害。但这只有在泄漏时伴有降水过程废机油才能与水接触，且当危废暂存间地面做防渗处理，发生可能性极小，对地下水影响很小。</w:t>
      </w:r>
    </w:p>
    <w:p>
      <w:pPr>
        <w:pStyle w:val="44"/>
        <w:overflowPunct w:val="0"/>
        <w:topLinePunct/>
        <w:ind w:firstLine="840" w:firstLineChars="300"/>
        <w:rPr>
          <w:rFonts w:hint="eastAsia" w:eastAsia="仿宋" w:cs="Times New Roman"/>
          <w:color w:val="auto"/>
          <w:sz w:val="28"/>
          <w:szCs w:val="28"/>
          <w:lang w:eastAsia="zh-CN"/>
        </w:rPr>
      </w:pPr>
      <w:r>
        <w:rPr>
          <w:rFonts w:hint="eastAsia" w:eastAsia="仿宋" w:cs="Times New Roman"/>
          <w:color w:val="auto"/>
          <w:sz w:val="28"/>
          <w:szCs w:val="28"/>
          <w:lang w:eastAsia="zh-CN"/>
        </w:rPr>
        <w:t>②对大气的影响</w:t>
      </w:r>
    </w:p>
    <w:p>
      <w:pPr>
        <w:pStyle w:val="44"/>
        <w:overflowPunct w:val="0"/>
        <w:topLinePunct/>
        <w:ind w:firstLine="840" w:firstLineChars="300"/>
        <w:rPr>
          <w:rFonts w:hint="default" w:eastAsia="仿宋" w:cs="Times New Roman"/>
          <w:color w:val="auto"/>
          <w:sz w:val="28"/>
          <w:szCs w:val="28"/>
          <w:lang w:eastAsia="zh-CN"/>
        </w:rPr>
      </w:pPr>
      <w:r>
        <w:rPr>
          <w:rFonts w:hint="default" w:eastAsia="仿宋" w:cs="Times New Roman"/>
          <w:color w:val="auto"/>
          <w:sz w:val="28"/>
          <w:szCs w:val="28"/>
          <w:lang w:eastAsia="zh-CN"/>
        </w:rPr>
        <w:t>废机油</w:t>
      </w:r>
      <w:r>
        <w:rPr>
          <w:rFonts w:hint="eastAsia" w:eastAsia="仿宋" w:cs="Times New Roman"/>
          <w:color w:val="auto"/>
          <w:sz w:val="28"/>
          <w:szCs w:val="28"/>
          <w:lang w:eastAsia="zh-CN"/>
        </w:rPr>
        <w:t>容器</w:t>
      </w:r>
      <w:r>
        <w:rPr>
          <w:rFonts w:hint="default" w:eastAsia="仿宋" w:cs="Times New Roman"/>
          <w:color w:val="auto"/>
          <w:sz w:val="28"/>
          <w:szCs w:val="28"/>
          <w:lang w:eastAsia="zh-CN"/>
        </w:rPr>
        <w:t>发生泄漏时，其中的易挥发成分会以无组织形式向外界扩散对外界大气环境造成污染，由于废机油储存于封闭的危废暂存间，废机油泄漏挥发对大气环境影响较小</w:t>
      </w:r>
      <w:r>
        <w:rPr>
          <w:rFonts w:hint="eastAsia" w:eastAsia="仿宋" w:cs="Times New Roman"/>
          <w:color w:val="auto"/>
          <w:sz w:val="28"/>
          <w:szCs w:val="28"/>
          <w:lang w:eastAsia="zh-CN"/>
        </w:rPr>
        <w:t>。</w:t>
      </w:r>
    </w:p>
    <w:p>
      <w:pPr>
        <w:pStyle w:val="44"/>
        <w:overflowPunct w:val="0"/>
        <w:topLinePunct/>
        <w:ind w:firstLine="840" w:firstLineChars="300"/>
        <w:rPr>
          <w:rFonts w:hint="eastAsia" w:ascii="Times New Roman" w:hAnsi="Times New Roman" w:eastAsia="仿宋" w:cs="Times New Roman"/>
          <w:color w:val="auto"/>
          <w:sz w:val="28"/>
          <w:szCs w:val="28"/>
          <w:lang w:val="en-US" w:eastAsia="zh-CN"/>
        </w:rPr>
      </w:pPr>
      <w:r>
        <w:rPr>
          <w:rFonts w:hint="eastAsia" w:eastAsia="仿宋" w:cs="Times New Roman"/>
          <w:color w:val="auto"/>
          <w:sz w:val="28"/>
          <w:szCs w:val="28"/>
          <w:lang w:val="en-US" w:eastAsia="zh-CN"/>
        </w:rPr>
        <w:t>（2）</w:t>
      </w:r>
      <w:r>
        <w:rPr>
          <w:rFonts w:hint="eastAsia" w:ascii="Times New Roman" w:hAnsi="Times New Roman" w:eastAsia="仿宋" w:cs="Times New Roman"/>
          <w:color w:val="auto"/>
          <w:sz w:val="28"/>
          <w:szCs w:val="28"/>
          <w:lang w:val="en-US" w:eastAsia="zh-CN"/>
        </w:rPr>
        <w:t>火灾事故对大气环境影响</w:t>
      </w:r>
    </w:p>
    <w:p>
      <w:pPr>
        <w:pStyle w:val="44"/>
        <w:overflowPunct w:val="0"/>
        <w:topLinePunct/>
        <w:ind w:firstLine="840" w:firstLineChars="300"/>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废机油在泄漏且遇明火时，才能发生不完全燃烧。项目厂区配有应急设备（如消防设备），废机油发生泄漏时，物料被及时转移处理或火灾发生前期即被扑灭。若发生</w:t>
      </w:r>
      <w:r>
        <w:rPr>
          <w:rFonts w:hint="eastAsia" w:eastAsia="仿宋" w:cs="Times New Roman"/>
          <w:color w:val="auto"/>
          <w:sz w:val="28"/>
          <w:szCs w:val="28"/>
          <w:lang w:val="en-US" w:eastAsia="zh-CN"/>
        </w:rPr>
        <w:t>火灾</w:t>
      </w:r>
      <w:r>
        <w:rPr>
          <w:rFonts w:hint="default" w:ascii="Times New Roman" w:hAnsi="Times New Roman" w:eastAsia="仿宋" w:cs="Times New Roman"/>
          <w:color w:val="auto"/>
          <w:sz w:val="28"/>
          <w:szCs w:val="28"/>
          <w:lang w:val="en-US" w:eastAsia="zh-CN"/>
        </w:rPr>
        <w:t>事故，其燃烧物质燃烧过程中则同时产生伴生或次生有害物质烟尘、CO、有机废气等，并扩散至大气中，对周围大气环境会产生短时不利的污染影响</w:t>
      </w:r>
      <w:r>
        <w:rPr>
          <w:rFonts w:hint="eastAsia" w:eastAsia="仿宋" w:cs="Times New Roman"/>
          <w:color w:val="auto"/>
          <w:sz w:val="28"/>
          <w:szCs w:val="28"/>
          <w:lang w:val="en-US" w:eastAsia="zh-CN"/>
        </w:rPr>
        <w:t>。</w:t>
      </w:r>
    </w:p>
    <w:p>
      <w:pPr>
        <w:keepLines/>
        <w:spacing w:line="360" w:lineRule="auto"/>
        <w:outlineLvl w:val="2"/>
        <w:rPr>
          <w:rFonts w:hint="default" w:ascii="Times New Roman" w:hAnsi="Times New Roman" w:eastAsia="仿宋" w:cs="Times New Roman"/>
          <w:b/>
          <w:bCs/>
          <w:color w:val="auto"/>
          <w:kern w:val="21"/>
          <w:sz w:val="28"/>
          <w:szCs w:val="28"/>
        </w:rPr>
      </w:pPr>
      <w:r>
        <w:rPr>
          <w:rFonts w:hint="default" w:ascii="Times New Roman" w:hAnsi="Times New Roman" w:eastAsia="仿宋" w:cs="Times New Roman"/>
          <w:b/>
          <w:bCs/>
          <w:color w:val="auto"/>
          <w:kern w:val="21"/>
          <w:sz w:val="28"/>
          <w:szCs w:val="28"/>
        </w:rPr>
        <w:t>4.5.</w:t>
      </w:r>
      <w:r>
        <w:rPr>
          <w:rFonts w:hint="default" w:ascii="Times New Roman" w:hAnsi="Times New Roman" w:eastAsia="仿宋" w:cs="Times New Roman"/>
          <w:b/>
          <w:bCs/>
          <w:color w:val="auto"/>
          <w:kern w:val="21"/>
          <w:sz w:val="28"/>
          <w:szCs w:val="28"/>
          <w:lang w:val="en-US" w:eastAsia="zh-CN"/>
        </w:rPr>
        <w:t>2</w:t>
      </w:r>
      <w:r>
        <w:rPr>
          <w:rFonts w:hint="default" w:ascii="Times New Roman" w:hAnsi="Times New Roman" w:eastAsia="仿宋" w:cs="Times New Roman"/>
          <w:b/>
          <w:bCs/>
          <w:color w:val="auto"/>
          <w:kern w:val="21"/>
          <w:sz w:val="28"/>
          <w:szCs w:val="28"/>
        </w:rPr>
        <w:t>生产过程中产生的粉尘超标排放后果分析</w:t>
      </w:r>
    </w:p>
    <w:p>
      <w:pPr>
        <w:autoSpaceDE w:val="0"/>
        <w:autoSpaceDN w:val="0"/>
        <w:ind w:firstLine="560" w:firstLineChars="200"/>
        <w:jc w:val="left"/>
        <w:rPr>
          <w:rFonts w:hint="default" w:ascii="Times New Roman" w:hAnsi="Times New Roman" w:eastAsia="仿宋" w:cs="Times New Roman"/>
          <w:b w:val="0"/>
          <w:bCs w:val="0"/>
          <w:color w:val="auto"/>
          <w:kern w:val="2"/>
          <w:sz w:val="28"/>
          <w:szCs w:val="28"/>
          <w:lang w:val="en-US" w:eastAsia="zh-CN" w:bidi="ar-SA"/>
        </w:rPr>
      </w:pPr>
      <w:r>
        <w:rPr>
          <w:rFonts w:hint="default" w:ascii="Times New Roman" w:hAnsi="Times New Roman" w:eastAsia="仿宋" w:cs="Times New Roman"/>
          <w:b w:val="0"/>
          <w:bCs w:val="0"/>
          <w:color w:val="auto"/>
          <w:kern w:val="2"/>
          <w:sz w:val="28"/>
          <w:szCs w:val="28"/>
          <w:lang w:val="en-US" w:eastAsia="zh-CN" w:bidi="ar-SA"/>
        </w:rPr>
        <w:t>企业排放的粉尘主要来自堆场、筒仓、搅拌站，砂石料堆场无组织排放粉尘采用料场密封、洒水抑尘等措施；筒仓呼吸口粉尘经仓顶脉冲式布袋除尘器处理后排放；混凝土搅拌粉尘经</w:t>
      </w:r>
      <w:r>
        <w:rPr>
          <w:rFonts w:hint="eastAsia" w:eastAsia="仿宋" w:cs="Times New Roman"/>
          <w:b w:val="0"/>
          <w:bCs w:val="0"/>
          <w:color w:val="auto"/>
          <w:kern w:val="2"/>
          <w:sz w:val="28"/>
          <w:szCs w:val="28"/>
          <w:lang w:val="en-US" w:eastAsia="zh-CN" w:bidi="ar-SA"/>
        </w:rPr>
        <w:t>自带正压式布袋+密闭收尘房+封闭生产搅拌楼</w:t>
      </w:r>
      <w:r>
        <w:rPr>
          <w:rFonts w:hint="default" w:ascii="Times New Roman" w:hAnsi="Times New Roman" w:eastAsia="仿宋" w:cs="Times New Roman"/>
          <w:b w:val="0"/>
          <w:bCs w:val="0"/>
          <w:color w:val="auto"/>
          <w:kern w:val="2"/>
          <w:sz w:val="28"/>
          <w:szCs w:val="28"/>
          <w:lang w:val="en-US" w:eastAsia="zh-CN" w:bidi="ar-SA"/>
        </w:rPr>
        <w:t>处理后排放；运输车辆行驶粉尘采用洒水抑尘措施；排污口均设置了环保设施并可达标排放。故只考虑粉尘非正常排放对周边环境影响。</w:t>
      </w:r>
    </w:p>
    <w:p>
      <w:pPr>
        <w:autoSpaceDE w:val="0"/>
        <w:autoSpaceDN w:val="0"/>
        <w:ind w:firstLine="560" w:firstLineChars="200"/>
        <w:jc w:val="both"/>
        <w:rPr>
          <w:rFonts w:hint="default" w:ascii="Times New Roman" w:hAnsi="Times New Roman" w:eastAsia="仿宋" w:cs="Times New Roman"/>
          <w:b w:val="0"/>
          <w:bCs w:val="0"/>
          <w:color w:val="auto"/>
          <w:kern w:val="2"/>
          <w:sz w:val="28"/>
          <w:szCs w:val="28"/>
          <w:lang w:val="en-US" w:eastAsia="zh-CN" w:bidi="ar-SA"/>
        </w:rPr>
      </w:pPr>
      <w:r>
        <w:rPr>
          <w:rFonts w:hint="default" w:ascii="Times New Roman" w:hAnsi="Times New Roman" w:eastAsia="仿宋" w:cs="Times New Roman"/>
          <w:b w:val="0"/>
          <w:bCs w:val="0"/>
          <w:color w:val="auto"/>
          <w:kern w:val="2"/>
          <w:sz w:val="28"/>
          <w:szCs w:val="28"/>
          <w:lang w:val="en-US" w:eastAsia="zh-CN" w:bidi="ar-SA"/>
        </w:rPr>
        <w:t>引发粉尘非正常排放主要是除尘装置不能正常运行，如布袋破损。项目污染治理设施故障或出现异常，则污染物可能未经处理直接由排气筒排放</w:t>
      </w:r>
      <w:r>
        <w:rPr>
          <w:rFonts w:hint="eastAsia" w:eastAsia="仿宋" w:cs="Times New Roman"/>
          <w:b w:val="0"/>
          <w:bCs w:val="0"/>
          <w:color w:val="auto"/>
          <w:kern w:val="2"/>
          <w:sz w:val="28"/>
          <w:szCs w:val="28"/>
          <w:lang w:val="en-US" w:eastAsia="zh-CN" w:bidi="ar-SA"/>
        </w:rPr>
        <w:t>，对周边居民产生一定的影响</w:t>
      </w:r>
      <w:r>
        <w:rPr>
          <w:rFonts w:hint="default" w:ascii="Times New Roman" w:hAnsi="Times New Roman" w:eastAsia="仿宋" w:cs="Times New Roman"/>
          <w:b w:val="0"/>
          <w:bCs w:val="0"/>
          <w:color w:val="auto"/>
          <w:kern w:val="2"/>
          <w:sz w:val="28"/>
          <w:szCs w:val="28"/>
          <w:lang w:val="en-US" w:eastAsia="zh-CN" w:bidi="ar-SA"/>
        </w:rPr>
        <w:t>。但事故状态发生的概率较低，故障时及时停产维修，不会对环境造成大的影响。企业对环保设备加强安全运行维护，一旦出现非正常工况应及时停产维修，保证废气排放达标。</w:t>
      </w:r>
    </w:p>
    <w:p>
      <w:pPr>
        <w:keepLines/>
        <w:spacing w:line="360" w:lineRule="auto"/>
        <w:outlineLvl w:val="2"/>
        <w:rPr>
          <w:rFonts w:hint="default" w:ascii="Times New Roman" w:hAnsi="Times New Roman" w:eastAsia="仿宋" w:cs="Times New Roman"/>
          <w:b/>
          <w:bCs/>
          <w:color w:val="auto"/>
          <w:kern w:val="21"/>
          <w:sz w:val="28"/>
          <w:szCs w:val="28"/>
        </w:rPr>
      </w:pPr>
      <w:r>
        <w:rPr>
          <w:rFonts w:hint="default" w:ascii="Times New Roman" w:hAnsi="Times New Roman" w:eastAsia="仿宋" w:cs="Times New Roman"/>
          <w:b/>
          <w:bCs/>
          <w:color w:val="auto"/>
          <w:kern w:val="21"/>
          <w:sz w:val="28"/>
          <w:szCs w:val="28"/>
        </w:rPr>
        <w:t>4.5.</w:t>
      </w:r>
      <w:r>
        <w:rPr>
          <w:rFonts w:hint="default" w:ascii="Times New Roman" w:hAnsi="Times New Roman" w:eastAsia="仿宋" w:cs="Times New Roman"/>
          <w:b/>
          <w:bCs/>
          <w:color w:val="auto"/>
          <w:kern w:val="21"/>
          <w:sz w:val="28"/>
          <w:szCs w:val="28"/>
          <w:lang w:val="en-US" w:eastAsia="zh-CN"/>
        </w:rPr>
        <w:t>3</w:t>
      </w:r>
      <w:r>
        <w:rPr>
          <w:rFonts w:hint="default" w:ascii="Times New Roman" w:hAnsi="Times New Roman" w:eastAsia="仿宋" w:cs="Times New Roman"/>
          <w:b/>
          <w:bCs/>
          <w:color w:val="auto"/>
          <w:kern w:val="21"/>
          <w:sz w:val="28"/>
          <w:szCs w:val="28"/>
        </w:rPr>
        <w:t>突发环境事件后果总结</w:t>
      </w:r>
    </w:p>
    <w:p>
      <w:pPr>
        <w:autoSpaceDE w:val="0"/>
        <w:autoSpaceDN w:val="0"/>
        <w:ind w:firstLine="560" w:firstLineChars="200"/>
        <w:jc w:val="left"/>
        <w:rPr>
          <w:rFonts w:hint="default" w:ascii="Times New Roman" w:hAnsi="Times New Roman" w:eastAsia="仿宋" w:cs="Times New Roman"/>
          <w:b/>
          <w:bCs/>
          <w:color w:val="auto"/>
          <w:sz w:val="28"/>
          <w:szCs w:val="28"/>
          <w:lang w:val="zh-CN"/>
        </w:rPr>
      </w:pPr>
      <w:r>
        <w:rPr>
          <w:rFonts w:hint="default" w:ascii="Times New Roman" w:hAnsi="Times New Roman" w:eastAsia="仿宋" w:cs="Times New Roman"/>
          <w:color w:val="auto"/>
          <w:sz w:val="28"/>
          <w:szCs w:val="28"/>
        </w:rPr>
        <w:t>综上所述，对于</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来说，可能产生的环境风险事故主要是</w:t>
      </w:r>
      <w:r>
        <w:rPr>
          <w:rFonts w:hint="eastAsia" w:eastAsia="仿宋" w:cs="Times New Roman"/>
          <w:color w:val="auto"/>
          <w:sz w:val="28"/>
          <w:szCs w:val="28"/>
          <w:lang w:eastAsia="zh-CN"/>
        </w:rPr>
        <w:t>废机油火灾事故产生的</w:t>
      </w:r>
      <w:r>
        <w:rPr>
          <w:rFonts w:hint="default" w:ascii="Times New Roman" w:hAnsi="Times New Roman" w:eastAsia="仿宋" w:cs="Times New Roman"/>
          <w:color w:val="auto"/>
          <w:sz w:val="28"/>
          <w:szCs w:val="28"/>
          <w:lang w:val="en-US" w:eastAsia="zh-CN"/>
        </w:rPr>
        <w:t>伴生或次生</w:t>
      </w:r>
      <w:r>
        <w:rPr>
          <w:rFonts w:hint="eastAsia" w:eastAsia="仿宋" w:cs="Times New Roman"/>
          <w:color w:val="auto"/>
          <w:sz w:val="28"/>
          <w:szCs w:val="28"/>
          <w:lang w:val="en-US" w:eastAsia="zh-CN"/>
        </w:rPr>
        <w:t>物质大气污染，</w:t>
      </w:r>
      <w:r>
        <w:rPr>
          <w:rFonts w:hint="default" w:ascii="Times New Roman" w:hAnsi="Times New Roman" w:eastAsia="仿宋" w:cs="Times New Roman"/>
          <w:color w:val="auto"/>
          <w:sz w:val="28"/>
          <w:szCs w:val="28"/>
          <w:lang w:eastAsia="zh-CN"/>
        </w:rPr>
        <w:t>泄漏</w:t>
      </w:r>
      <w:r>
        <w:rPr>
          <w:rFonts w:hint="eastAsia" w:eastAsia="仿宋" w:cs="Times New Roman"/>
          <w:color w:val="auto"/>
          <w:sz w:val="28"/>
          <w:szCs w:val="28"/>
          <w:lang w:eastAsia="zh-CN"/>
        </w:rPr>
        <w:t>且防渗层破损</w:t>
      </w:r>
      <w:r>
        <w:rPr>
          <w:rFonts w:hint="default" w:ascii="Times New Roman" w:hAnsi="Times New Roman" w:eastAsia="仿宋" w:cs="Times New Roman"/>
          <w:color w:val="auto"/>
          <w:sz w:val="28"/>
          <w:szCs w:val="28"/>
          <w:lang w:eastAsia="zh-CN"/>
        </w:rPr>
        <w:t>对土壤及地下水环境的影响。</w:t>
      </w:r>
      <w:r>
        <w:rPr>
          <w:rFonts w:hint="default" w:ascii="Times New Roman" w:hAnsi="Times New Roman" w:eastAsia="仿宋" w:cs="Times New Roman"/>
          <w:color w:val="auto"/>
          <w:sz w:val="28"/>
          <w:szCs w:val="28"/>
        </w:rPr>
        <w:t>如果发生环境风险事故，周边主要人群聚集地均处在安全距离内，只要</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员工严格遵守国家相关管理规定，对工作本着认真负责的态度，在发生事故后能正确采取相应的安全措施和及时启动事故应急预案，</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的泄漏、火灾事故风险都是可以预防和控制的。</w:t>
      </w:r>
    </w:p>
    <w:p>
      <w:pPr>
        <w:pStyle w:val="22"/>
        <w:ind w:firstLine="360"/>
        <w:rPr>
          <w:rFonts w:hint="default" w:ascii="Times New Roman" w:hAnsi="Times New Roman" w:eastAsia="仿宋" w:cs="Times New Roman"/>
          <w:color w:val="auto"/>
        </w:rPr>
      </w:pPr>
    </w:p>
    <w:p>
      <w:pPr>
        <w:pStyle w:val="22"/>
        <w:ind w:firstLine="360"/>
        <w:rPr>
          <w:rFonts w:hint="default" w:ascii="Times New Roman" w:hAnsi="Times New Roman" w:eastAsia="仿宋" w:cs="Times New Roman"/>
          <w:color w:val="auto"/>
        </w:rPr>
        <w:sectPr>
          <w:headerReference r:id="rId10" w:type="default"/>
          <w:footerReference r:id="rId11" w:type="default"/>
          <w:pgSz w:w="11906" w:h="16838"/>
          <w:pgMar w:top="1440" w:right="962" w:bottom="1440" w:left="1276" w:header="851" w:footer="992" w:gutter="0"/>
          <w:pgNumType w:fmt="decimal"/>
          <w:cols w:space="720" w:num="1"/>
          <w:docGrid w:type="lines" w:linePitch="312" w:charSpace="0"/>
        </w:sectPr>
      </w:pPr>
    </w:p>
    <w:bookmarkEnd w:id="41"/>
    <w:bookmarkEnd w:id="42"/>
    <w:bookmarkEnd w:id="43"/>
    <w:p>
      <w:pPr>
        <w:pStyle w:val="3"/>
        <w:tabs>
          <w:tab w:val="left" w:pos="5790"/>
        </w:tabs>
        <w:adjustRightInd w:val="0"/>
        <w:snapToGrid w:val="0"/>
        <w:spacing w:before="156" w:beforeLines="50" w:after="156" w:afterLines="50" w:line="360" w:lineRule="auto"/>
        <w:rPr>
          <w:rStyle w:val="26"/>
          <w:rFonts w:hint="default" w:ascii="Times New Roman" w:hAnsi="Times New Roman" w:eastAsia="仿宋" w:cs="Times New Roman"/>
          <w:b/>
          <w:bCs w:val="0"/>
          <w:color w:val="auto"/>
          <w:sz w:val="32"/>
          <w:szCs w:val="32"/>
        </w:rPr>
      </w:pPr>
      <w:bookmarkStart w:id="82" w:name="_Toc31557"/>
      <w:r>
        <w:rPr>
          <w:rStyle w:val="26"/>
          <w:rFonts w:hint="default" w:ascii="Times New Roman" w:hAnsi="Times New Roman" w:eastAsia="仿宋" w:cs="Times New Roman"/>
          <w:b/>
          <w:bCs w:val="0"/>
          <w:color w:val="auto"/>
          <w:sz w:val="32"/>
          <w:szCs w:val="32"/>
        </w:rPr>
        <w:t>5现有环境风险防控和应急措施差距分析</w:t>
      </w:r>
      <w:bookmarkEnd w:id="82"/>
    </w:p>
    <w:p>
      <w:pPr>
        <w:spacing w:line="360" w:lineRule="auto"/>
        <w:ind w:firstLine="560" w:firstLineChars="200"/>
        <w:jc w:val="left"/>
        <w:rPr>
          <w:rFonts w:hint="default" w:ascii="Times New Roman" w:hAnsi="Times New Roman" w:eastAsia="仿宋" w:cs="Times New Roman"/>
          <w:color w:val="auto"/>
          <w:sz w:val="28"/>
          <w:szCs w:val="28"/>
        </w:rPr>
      </w:pPr>
      <w:bookmarkStart w:id="83" w:name="_Toc20501"/>
      <w:r>
        <w:rPr>
          <w:rFonts w:hint="default" w:ascii="Times New Roman" w:hAnsi="Times New Roman" w:eastAsia="仿宋" w:cs="Times New Roman"/>
          <w:color w:val="auto"/>
          <w:sz w:val="28"/>
          <w:szCs w:val="28"/>
        </w:rPr>
        <w:t>本次评估将从环境风险管理制度、环境风险防控及应急措施、环境应急资源等方面，对现有环境风险防控和应急措施的完备性、可靠性和有效性进行分析论证，找出差距、问题，提出需要整改的短期、中期和长期项目内容。</w:t>
      </w:r>
    </w:p>
    <w:p>
      <w:pPr>
        <w:adjustRightInd w:val="0"/>
        <w:snapToGrid w:val="0"/>
        <w:spacing w:line="360" w:lineRule="auto"/>
        <w:outlineLvl w:val="1"/>
        <w:rPr>
          <w:rFonts w:hint="default" w:ascii="Times New Roman" w:hAnsi="Times New Roman" w:eastAsia="仿宋" w:cs="Times New Roman"/>
          <w:b/>
          <w:bCs/>
          <w:color w:val="auto"/>
          <w:sz w:val="28"/>
          <w:szCs w:val="28"/>
        </w:rPr>
      </w:pPr>
      <w:bookmarkStart w:id="84" w:name="_Toc22650"/>
      <w:r>
        <w:rPr>
          <w:rFonts w:hint="default" w:ascii="Times New Roman" w:hAnsi="Times New Roman" w:eastAsia="仿宋" w:cs="Times New Roman"/>
          <w:b/>
          <w:bCs/>
          <w:color w:val="auto"/>
          <w:sz w:val="28"/>
          <w:szCs w:val="28"/>
        </w:rPr>
        <w:t>5.1环境风险管理制度</w:t>
      </w:r>
      <w:bookmarkEnd w:id="83"/>
      <w:bookmarkEnd w:id="84"/>
    </w:p>
    <w:p>
      <w:pPr>
        <w:spacing w:line="360" w:lineRule="auto"/>
        <w:ind w:firstLine="560" w:firstLineChars="200"/>
        <w:jc w:val="left"/>
        <w:rPr>
          <w:rFonts w:hint="default" w:ascii="Times New Roman" w:hAnsi="Times New Roman" w:eastAsia="仿宋" w:cs="Times New Roman"/>
          <w:color w:val="auto"/>
          <w:sz w:val="28"/>
          <w:szCs w:val="28"/>
        </w:rPr>
      </w:pPr>
      <w:bookmarkStart w:id="85" w:name="_Toc7"/>
      <w:r>
        <w:rPr>
          <w:rFonts w:hint="default" w:ascii="Times New Roman" w:hAnsi="Times New Roman" w:eastAsia="仿宋" w:cs="Times New Roman"/>
          <w:color w:val="auto"/>
          <w:sz w:val="28"/>
          <w:szCs w:val="28"/>
        </w:rPr>
        <w:t>（1）编制了《</w:t>
      </w: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突发环境事件应急预案》，明确了应对突发环境事件的责任机构及责任人，建立了环境风险防控和应急措施制度。但还需要进一步落实定期巡检和维护责任制度，保障应对风险事故的处理能力。</w:t>
      </w:r>
    </w:p>
    <w:p>
      <w:pPr>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（2）对于环评报告中的各项环境风险防控和应急措施要求已经基本落实。</w:t>
      </w:r>
    </w:p>
    <w:p>
      <w:pPr>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（3）定期对职工开展环境风险和环境应急管理宣传和培训，在</w:t>
      </w:r>
      <w:r>
        <w:rPr>
          <w:rFonts w:hint="eastAsia" w:eastAsia="仿宋" w:cs="Times New Roman"/>
          <w:color w:val="auto"/>
          <w:sz w:val="28"/>
          <w:szCs w:val="28"/>
          <w:lang w:eastAsia="zh-CN"/>
        </w:rPr>
        <w:t>厂内</w:t>
      </w:r>
      <w:r>
        <w:rPr>
          <w:rFonts w:hint="default" w:ascii="Times New Roman" w:hAnsi="Times New Roman" w:eastAsia="仿宋" w:cs="Times New Roman"/>
          <w:color w:val="auto"/>
          <w:sz w:val="28"/>
          <w:szCs w:val="28"/>
        </w:rPr>
        <w:t>张贴急救措施等标识牌。还需要张贴应急救援机构和人员、风险物质危险特性。</w:t>
      </w:r>
    </w:p>
    <w:p>
      <w:pPr>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（4）建立了突发环境事件信息报告制度，应认真严格执行，以便及时有效的进行报送。</w:t>
      </w:r>
    </w:p>
    <w:p>
      <w:pPr>
        <w:spacing w:line="360" w:lineRule="auto"/>
        <w:ind w:firstLine="560" w:firstLineChars="200"/>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（5）需要根据《企业突发环境事件隐患排查和治理工作指南（试行）》（环境保护部公告〔2016〕74号）进一步完善并落实安全隐患排查、治理制度，对于发现的隐患及时整改并建立档案。</w:t>
      </w:r>
    </w:p>
    <w:p>
      <w:pPr>
        <w:adjustRightInd w:val="0"/>
        <w:snapToGrid w:val="0"/>
        <w:spacing w:line="360" w:lineRule="auto"/>
        <w:ind w:firstLine="562" w:firstLineChars="200"/>
        <w:outlineLvl w:val="1"/>
        <w:rPr>
          <w:rFonts w:hint="default" w:ascii="Times New Roman" w:hAnsi="Times New Roman" w:eastAsia="仿宋" w:cs="Times New Roman"/>
          <w:b/>
          <w:bCs/>
          <w:color w:val="auto"/>
          <w:sz w:val="28"/>
          <w:szCs w:val="28"/>
        </w:rPr>
      </w:pPr>
      <w:bookmarkStart w:id="86" w:name="_Toc29513"/>
      <w:r>
        <w:rPr>
          <w:rFonts w:hint="default" w:ascii="Times New Roman" w:hAnsi="Times New Roman" w:eastAsia="仿宋" w:cs="Times New Roman"/>
          <w:b/>
          <w:bCs/>
          <w:color w:val="auto"/>
          <w:sz w:val="28"/>
          <w:szCs w:val="28"/>
        </w:rPr>
        <w:t>5.2环境风险防控与应急措施</w:t>
      </w:r>
      <w:bookmarkEnd w:id="85"/>
      <w:bookmarkEnd w:id="86"/>
    </w:p>
    <w:p>
      <w:pPr>
        <w:autoSpaceDE w:val="0"/>
        <w:autoSpaceDN w:val="0"/>
        <w:adjustRightInd w:val="0"/>
        <w:spacing w:line="360" w:lineRule="auto"/>
        <w:ind w:firstLine="560" w:firstLineChars="200"/>
        <w:rPr>
          <w:rFonts w:hint="default" w:ascii="Times New Roman" w:hAnsi="Times New Roman" w:eastAsia="仿宋" w:cs="Times New Roman"/>
          <w:color w:val="auto"/>
          <w:kern w:val="0"/>
          <w:sz w:val="24"/>
          <w:szCs w:val="24"/>
        </w:rPr>
      </w:pPr>
      <w:bookmarkStart w:id="87" w:name="_Toc28035"/>
      <w:r>
        <w:rPr>
          <w:rFonts w:hint="default" w:ascii="Times New Roman" w:hAnsi="Times New Roman" w:eastAsia="仿宋" w:cs="Times New Roman"/>
          <w:color w:val="auto"/>
          <w:kern w:val="0"/>
          <w:sz w:val="28"/>
          <w:szCs w:val="28"/>
          <w:lang w:eastAsia="zh-CN"/>
        </w:rPr>
        <w:t>项目</w:t>
      </w:r>
      <w:r>
        <w:rPr>
          <w:rFonts w:hint="default" w:ascii="Times New Roman" w:hAnsi="Times New Roman" w:eastAsia="仿宋" w:cs="Times New Roman"/>
          <w:color w:val="auto"/>
          <w:kern w:val="0"/>
          <w:sz w:val="28"/>
          <w:szCs w:val="28"/>
        </w:rPr>
        <w:t>现有环境风险防控与应急措施的差距分析，见表5-1。</w:t>
      </w:r>
    </w:p>
    <w:p>
      <w:pPr>
        <w:autoSpaceDE w:val="0"/>
        <w:autoSpaceDN w:val="0"/>
        <w:adjustRightInd w:val="0"/>
        <w:spacing w:line="360" w:lineRule="auto"/>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8"/>
          <w:szCs w:val="28"/>
        </w:rPr>
        <w:t>表5-1  现有环境风险防控和应急措施差距分析</w:t>
      </w:r>
    </w:p>
    <w:tbl>
      <w:tblPr>
        <w:tblStyle w:val="24"/>
        <w:tblW w:w="988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46"/>
        <w:gridCol w:w="3671"/>
        <w:gridCol w:w="506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6"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类别</w:t>
            </w:r>
          </w:p>
        </w:tc>
        <w:tc>
          <w:tcPr>
            <w:tcW w:w="3671"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相关要求</w:t>
            </w:r>
          </w:p>
        </w:tc>
        <w:tc>
          <w:tcPr>
            <w:tcW w:w="5067"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差距分析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6" w:type="dxa"/>
            <w:vMerge w:val="restart"/>
            <w:vAlign w:val="center"/>
          </w:tcPr>
          <w:p>
            <w:pPr>
              <w:jc w:val="center"/>
              <w:rPr>
                <w:rFonts w:hint="default" w:ascii="Times New Roman" w:hAnsi="Times New Roman" w:eastAsia="仿宋" w:cs="Times New Roman"/>
                <w:color w:val="auto"/>
                <w:kern w:val="0"/>
                <w:sz w:val="20"/>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480"/>
              <w:rPr>
                <w:rFonts w:hint="default" w:ascii="Times New Roman" w:hAnsi="Times New Roman" w:eastAsia="仿宋" w:cs="Times New Roman"/>
                <w:color w:val="auto"/>
                <w:kern w:val="0"/>
                <w:sz w:val="24"/>
                <w:szCs w:val="24"/>
              </w:rPr>
            </w:pPr>
          </w:p>
          <w:p>
            <w:pPr>
              <w:pStyle w:val="22"/>
              <w:ind w:firstLine="0" w:firstLineChars="0"/>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环境风险防控与应急措施</w:t>
            </w:r>
          </w:p>
        </w:tc>
        <w:tc>
          <w:tcPr>
            <w:tcW w:w="3671"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是否在废气排放口、废水、雨水和清洁下水排放口对可能排出的环境风险物质，按照物质特性、危害，设置监视、控制措施，分析每项措施的管理规定、岗位职责落实情况和措施的有效性。</w:t>
            </w:r>
          </w:p>
        </w:tc>
        <w:tc>
          <w:tcPr>
            <w:tcW w:w="5067"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(1)无生产废水产生；</w:t>
            </w:r>
          </w:p>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w:t>
            </w:r>
            <w:r>
              <w:rPr>
                <w:rFonts w:hint="eastAsia" w:eastAsia="仿宋" w:cs="Times New Roman"/>
                <w:color w:val="auto"/>
                <w:kern w:val="0"/>
                <w:sz w:val="24"/>
                <w:szCs w:val="24"/>
                <w:lang w:eastAsia="zh-CN"/>
              </w:rPr>
              <w:t>厂内雨水进入厂区1座550m³三级沉淀池，沉淀后用于厂区洒水和生产。</w:t>
            </w:r>
          </w:p>
          <w:p>
            <w:pPr>
              <w:rPr>
                <w:rFonts w:hint="default" w:ascii="Times New Roman" w:hAnsi="Times New Roman" w:eastAsia="仿宋" w:cs="Times New Roman"/>
                <w:color w:val="auto"/>
                <w:kern w:val="0"/>
                <w:sz w:val="24"/>
                <w:szCs w:val="24"/>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146" w:type="dxa"/>
            <w:vMerge w:val="continue"/>
            <w:vAlign w:val="center"/>
          </w:tcPr>
          <w:p>
            <w:pPr>
              <w:rPr>
                <w:rFonts w:hint="default" w:ascii="Times New Roman" w:hAnsi="Times New Roman" w:eastAsia="仿宋" w:cs="Times New Roman"/>
                <w:color w:val="auto"/>
                <w:kern w:val="0"/>
                <w:sz w:val="24"/>
                <w:szCs w:val="24"/>
              </w:rPr>
            </w:pPr>
          </w:p>
        </w:tc>
        <w:tc>
          <w:tcPr>
            <w:tcW w:w="3671"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是否采取防止事故排水、污染物等扩散、排出厂界的措施，包括截流措施、事故排水收集措施、清净下水系统防控措施、雨水系统防控措施、生产废水处理系统防控措施等，分析每项措施的管理规定、岗位职责落实情况和措施的有效性。</w:t>
            </w:r>
          </w:p>
        </w:tc>
        <w:tc>
          <w:tcPr>
            <w:tcW w:w="5067"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lang w:eastAsia="zh-CN"/>
              </w:rPr>
              <w:t>（</w:t>
            </w:r>
            <w:r>
              <w:rPr>
                <w:rFonts w:hint="default" w:ascii="Times New Roman" w:hAnsi="Times New Roman" w:eastAsia="仿宋" w:cs="Times New Roman"/>
                <w:color w:val="auto"/>
                <w:kern w:val="0"/>
                <w:sz w:val="24"/>
                <w:szCs w:val="24"/>
                <w:lang w:val="en-US" w:eastAsia="zh-CN"/>
              </w:rPr>
              <w:t>1</w:t>
            </w:r>
            <w:r>
              <w:rPr>
                <w:rFonts w:hint="default" w:ascii="Times New Roman" w:hAnsi="Times New Roman" w:eastAsia="仿宋" w:cs="Times New Roman"/>
                <w:color w:val="auto"/>
                <w:kern w:val="0"/>
                <w:sz w:val="24"/>
                <w:szCs w:val="24"/>
                <w:lang w:eastAsia="zh-CN"/>
              </w:rPr>
              <w:t>）项目生产废水搅拌机清洗用水、运输车搅拌罐清洗水、运输车清洗用水均循环利用，不外排。</w:t>
            </w:r>
          </w:p>
          <w:p>
            <w:pPr>
              <w:rPr>
                <w:rFonts w:hint="default" w:ascii="Times New Roman" w:hAnsi="Times New Roman" w:eastAsia="仿宋" w:cs="Times New Roman"/>
                <w:color w:val="auto"/>
                <w:kern w:val="0"/>
                <w:sz w:val="24"/>
                <w:szCs w:val="24"/>
                <w:lang w:val="en-US"/>
              </w:rPr>
            </w:pPr>
            <w:r>
              <w:rPr>
                <w:rFonts w:hint="default" w:ascii="Times New Roman" w:hAnsi="Times New Roman" w:eastAsia="仿宋" w:cs="Times New Roman"/>
                <w:color w:val="auto"/>
                <w:kern w:val="0"/>
                <w:sz w:val="24"/>
                <w:szCs w:val="24"/>
                <w:lang w:val="en-US" w:eastAsia="zh-CN"/>
              </w:rPr>
              <w:t>（2）</w:t>
            </w:r>
            <w:r>
              <w:rPr>
                <w:rFonts w:hint="default" w:ascii="Times New Roman" w:hAnsi="Times New Roman" w:eastAsia="仿宋" w:cs="Times New Roman"/>
                <w:color w:val="auto"/>
                <w:kern w:val="0"/>
                <w:sz w:val="24"/>
                <w:szCs w:val="24"/>
              </w:rPr>
              <w:t>进一步落实环境风险防控重点岗位责任人，落实环境风险设施定期巡检和维护责任制度。</w:t>
            </w:r>
          </w:p>
          <w:p>
            <w:pPr>
              <w:rPr>
                <w:rFonts w:hint="default" w:ascii="Times New Roman" w:hAnsi="Times New Roman" w:eastAsia="仿宋" w:cs="Times New Roman"/>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146" w:type="dxa"/>
            <w:vMerge w:val="continue"/>
            <w:vAlign w:val="center"/>
          </w:tcPr>
          <w:p>
            <w:pPr>
              <w:rPr>
                <w:rFonts w:hint="default" w:ascii="Times New Roman" w:hAnsi="Times New Roman" w:eastAsia="仿宋" w:cs="Times New Roman"/>
                <w:color w:val="auto"/>
                <w:kern w:val="0"/>
                <w:sz w:val="24"/>
                <w:szCs w:val="24"/>
              </w:rPr>
            </w:pPr>
          </w:p>
        </w:tc>
        <w:tc>
          <w:tcPr>
            <w:tcW w:w="3671"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涉及毒性气体的，是否设置毒性气体泄漏紧急处理装置，是否已经布置生产区域或厂界毒性气体泄漏监控预警系统，是否有提醒周边公众紧急疏散的措施和手段等，分析每项措施的管理规定、岗位责任落实情况和措施的有效性。</w:t>
            </w:r>
          </w:p>
        </w:tc>
        <w:tc>
          <w:tcPr>
            <w:tcW w:w="5067"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w:t>
            </w:r>
            <w:r>
              <w:rPr>
                <w:rFonts w:hint="eastAsia" w:eastAsia="仿宋" w:cs="Times New Roman"/>
                <w:color w:val="auto"/>
                <w:kern w:val="0"/>
                <w:sz w:val="24"/>
                <w:szCs w:val="24"/>
                <w:lang w:eastAsia="zh-CN"/>
              </w:rPr>
              <w:t>不涉及毒性气体</w:t>
            </w:r>
            <w:r>
              <w:rPr>
                <w:rFonts w:hint="default" w:ascii="Times New Roman" w:hAnsi="Times New Roman" w:eastAsia="仿宋" w:cs="Times New Roman"/>
                <w:color w:val="auto"/>
                <w:kern w:val="0"/>
                <w:sz w:val="24"/>
                <w:szCs w:val="24"/>
              </w:rPr>
              <w:t>。</w:t>
            </w:r>
          </w:p>
        </w:tc>
      </w:tr>
    </w:tbl>
    <w:p>
      <w:pPr>
        <w:adjustRightInd w:val="0"/>
        <w:snapToGrid w:val="0"/>
        <w:spacing w:line="360" w:lineRule="auto"/>
        <w:outlineLvl w:val="1"/>
        <w:rPr>
          <w:rFonts w:hint="default" w:ascii="Times New Roman" w:hAnsi="Times New Roman" w:eastAsia="仿宋" w:cs="Times New Roman"/>
          <w:b/>
          <w:bCs/>
          <w:color w:val="auto"/>
          <w:sz w:val="28"/>
          <w:szCs w:val="28"/>
        </w:rPr>
      </w:pPr>
      <w:bookmarkStart w:id="88" w:name="_Toc17285"/>
      <w:r>
        <w:rPr>
          <w:rFonts w:hint="default" w:ascii="Times New Roman" w:hAnsi="Times New Roman" w:eastAsia="仿宋" w:cs="Times New Roman"/>
          <w:b/>
          <w:bCs/>
          <w:color w:val="auto"/>
          <w:sz w:val="28"/>
          <w:szCs w:val="28"/>
        </w:rPr>
        <w:t>5.3环境应急资源</w:t>
      </w:r>
      <w:bookmarkEnd w:id="87"/>
      <w:bookmarkEnd w:id="88"/>
    </w:p>
    <w:p>
      <w:pPr>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已经配备了必要的应急物资。</w:t>
      </w:r>
    </w:p>
    <w:p>
      <w:pPr>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（2）已设置应急救援队伍，并根据不同需求设立相应组成机构：包括</w:t>
      </w:r>
      <w:r>
        <w:rPr>
          <w:rFonts w:hint="eastAsia" w:ascii="仿宋" w:hAnsi="仿宋" w:eastAsia="仿宋" w:cs="仿宋"/>
          <w:color w:val="auto"/>
          <w:sz w:val="28"/>
          <w:szCs w:val="28"/>
        </w:rPr>
        <w:t>现场处置组、后勤保障组及</w:t>
      </w:r>
      <w:r>
        <w:rPr>
          <w:rFonts w:hint="eastAsia" w:ascii="仿宋" w:hAnsi="仿宋" w:eastAsia="仿宋" w:cs="仿宋"/>
          <w:color w:val="auto"/>
          <w:sz w:val="28"/>
          <w:szCs w:val="28"/>
          <w:lang w:eastAsia="zh-CN"/>
        </w:rPr>
        <w:t>通讯联络</w:t>
      </w:r>
      <w:r>
        <w:rPr>
          <w:rFonts w:hint="eastAsia" w:ascii="仿宋" w:hAnsi="仿宋" w:eastAsia="仿宋" w:cs="仿宋"/>
          <w:color w:val="auto"/>
          <w:sz w:val="28"/>
          <w:szCs w:val="28"/>
        </w:rPr>
        <w:t>组</w:t>
      </w:r>
      <w:r>
        <w:rPr>
          <w:rFonts w:hint="default" w:ascii="Times New Roman" w:hAnsi="Times New Roman" w:eastAsia="仿宋" w:cs="Times New Roman"/>
          <w:color w:val="auto"/>
          <w:sz w:val="28"/>
          <w:szCs w:val="28"/>
        </w:rPr>
        <w:t>，每个机构都有相应的负责人以及成员。</w:t>
      </w:r>
    </w:p>
    <w:p>
      <w:pPr>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（3）企业突发环境事件预案应纳入</w:t>
      </w:r>
      <w:r>
        <w:rPr>
          <w:rFonts w:hint="eastAsia" w:eastAsia="仿宋" w:cs="Times New Roman"/>
          <w:color w:val="auto"/>
          <w:sz w:val="28"/>
          <w:szCs w:val="28"/>
          <w:lang w:eastAsia="zh-CN"/>
        </w:rPr>
        <w:t>西咸新区秦汉新城生态环境局</w:t>
      </w:r>
      <w:r>
        <w:rPr>
          <w:rFonts w:hint="default" w:ascii="Times New Roman" w:hAnsi="Times New Roman" w:eastAsia="仿宋" w:cs="Times New Roman"/>
          <w:color w:val="auto"/>
          <w:sz w:val="28"/>
          <w:szCs w:val="28"/>
        </w:rPr>
        <w:t>突发环境事件应急管理体系，在</w:t>
      </w:r>
      <w:r>
        <w:rPr>
          <w:rFonts w:hint="eastAsia" w:eastAsia="仿宋" w:cs="Times New Roman"/>
          <w:color w:val="auto"/>
          <w:sz w:val="28"/>
          <w:szCs w:val="28"/>
          <w:lang w:eastAsia="zh-CN"/>
        </w:rPr>
        <w:t>西咸新区秦汉新城生态环境局</w:t>
      </w:r>
      <w:r>
        <w:rPr>
          <w:rFonts w:hint="default" w:ascii="Times New Roman" w:hAnsi="Times New Roman" w:eastAsia="仿宋" w:cs="Times New Roman"/>
          <w:color w:val="auto"/>
          <w:sz w:val="28"/>
          <w:szCs w:val="28"/>
        </w:rPr>
        <w:t>的指挥下开展较大环境事件的应急处置和救援。发生较大环境污染事故时，立即电话上报</w:t>
      </w:r>
      <w:r>
        <w:rPr>
          <w:rFonts w:hint="eastAsia" w:eastAsia="仿宋" w:cs="Times New Roman"/>
          <w:color w:val="auto"/>
          <w:sz w:val="28"/>
          <w:szCs w:val="28"/>
          <w:lang w:eastAsia="zh-CN"/>
        </w:rPr>
        <w:t>西咸新区秦汉新城生态环境局</w:t>
      </w:r>
      <w:r>
        <w:rPr>
          <w:rFonts w:hint="default" w:ascii="Times New Roman" w:hAnsi="Times New Roman" w:eastAsia="仿宋" w:cs="Times New Roman"/>
          <w:color w:val="auto"/>
          <w:sz w:val="28"/>
          <w:szCs w:val="28"/>
        </w:rPr>
        <w:t>，依托</w:t>
      </w:r>
      <w:r>
        <w:rPr>
          <w:rFonts w:hint="eastAsia" w:eastAsia="仿宋" w:cs="Times New Roman"/>
          <w:color w:val="auto"/>
          <w:sz w:val="28"/>
          <w:szCs w:val="28"/>
          <w:lang w:eastAsia="zh-CN"/>
        </w:rPr>
        <w:t>西咸新区秦汉新城生态环境局</w:t>
      </w:r>
      <w:r>
        <w:rPr>
          <w:rFonts w:hint="default" w:ascii="Times New Roman" w:hAnsi="Times New Roman" w:eastAsia="仿宋" w:cs="Times New Roman"/>
          <w:color w:val="auto"/>
          <w:sz w:val="28"/>
          <w:szCs w:val="28"/>
        </w:rPr>
        <w:t>进行信息发布、污染处置及控制情况通报。</w:t>
      </w:r>
    </w:p>
    <w:p>
      <w:pPr>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w:t>
      </w:r>
      <w:r>
        <w:rPr>
          <w:rFonts w:hint="eastAsia" w:eastAsia="仿宋" w:cs="Times New Roman"/>
          <w:color w:val="auto"/>
          <w:sz w:val="28"/>
          <w:szCs w:val="28"/>
          <w:lang w:eastAsia="zh-CN"/>
        </w:rPr>
        <w:t>已</w:t>
      </w:r>
      <w:r>
        <w:rPr>
          <w:rFonts w:hint="default" w:ascii="Times New Roman" w:hAnsi="Times New Roman" w:eastAsia="仿宋" w:cs="Times New Roman"/>
          <w:color w:val="auto"/>
          <w:sz w:val="28"/>
          <w:szCs w:val="28"/>
        </w:rPr>
        <w:t>签订应急救援协议或互救协议（</w:t>
      </w:r>
      <w:r>
        <w:rPr>
          <w:rFonts w:hint="eastAsia" w:eastAsia="仿宋" w:cs="Times New Roman"/>
          <w:color w:val="auto"/>
          <w:sz w:val="28"/>
          <w:szCs w:val="28"/>
          <w:lang w:eastAsia="zh-CN"/>
        </w:rPr>
        <w:t>陕西卓建永固建材有限公司</w:t>
      </w:r>
      <w:r>
        <w:rPr>
          <w:rFonts w:hint="default" w:ascii="Times New Roman" w:hAnsi="Times New Roman" w:eastAsia="仿宋" w:cs="Times New Roman"/>
          <w:color w:val="auto"/>
          <w:sz w:val="28"/>
          <w:szCs w:val="28"/>
        </w:rPr>
        <w:t>）</w:t>
      </w:r>
      <w:r>
        <w:rPr>
          <w:rFonts w:hint="eastAsia" w:eastAsia="仿宋" w:cs="Times New Roman"/>
          <w:color w:val="auto"/>
          <w:sz w:val="28"/>
          <w:szCs w:val="28"/>
          <w:lang w:eastAsia="zh-CN"/>
        </w:rPr>
        <w:t>，未签订</w:t>
      </w:r>
      <w:r>
        <w:rPr>
          <w:rFonts w:hint="default" w:ascii="Times New Roman" w:hAnsi="Times New Roman" w:eastAsia="仿宋" w:cs="Times New Roman"/>
          <w:color w:val="auto"/>
          <w:sz w:val="28"/>
          <w:szCs w:val="28"/>
        </w:rPr>
        <w:t>应急监测协议（资质监测单位，建立常规及应急监测协议）。</w:t>
      </w:r>
    </w:p>
    <w:p>
      <w:pPr>
        <w:adjustRightInd w:val="0"/>
        <w:snapToGrid w:val="0"/>
        <w:spacing w:line="360" w:lineRule="auto"/>
        <w:outlineLvl w:val="1"/>
        <w:rPr>
          <w:rFonts w:hint="default" w:ascii="Times New Roman" w:hAnsi="Times New Roman" w:eastAsia="仿宋" w:cs="Times New Roman"/>
          <w:b/>
          <w:bCs/>
          <w:color w:val="auto"/>
          <w:sz w:val="28"/>
          <w:szCs w:val="28"/>
        </w:rPr>
      </w:pPr>
      <w:bookmarkStart w:id="89" w:name="_Toc2311"/>
      <w:bookmarkStart w:id="90" w:name="_Toc6597"/>
      <w:r>
        <w:rPr>
          <w:rFonts w:hint="default" w:ascii="Times New Roman" w:hAnsi="Times New Roman" w:eastAsia="仿宋" w:cs="Times New Roman"/>
          <w:b/>
          <w:bCs/>
          <w:color w:val="auto"/>
          <w:sz w:val="28"/>
          <w:szCs w:val="28"/>
        </w:rPr>
        <w:t>5.4历史经验总结教训</w:t>
      </w:r>
      <w:bookmarkEnd w:id="89"/>
      <w:bookmarkEnd w:id="90"/>
    </w:p>
    <w:p>
      <w:pPr>
        <w:autoSpaceDE w:val="0"/>
        <w:autoSpaceDN w:val="0"/>
        <w:adjustRightInd w:val="0"/>
        <w:spacing w:line="360" w:lineRule="auto"/>
        <w:ind w:firstLine="560" w:firstLineChars="200"/>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根据</w:t>
      </w:r>
      <w:r>
        <w:rPr>
          <w:rFonts w:hint="default" w:ascii="Times New Roman" w:hAnsi="Times New Roman" w:eastAsia="仿宋" w:cs="Times New Roman"/>
          <w:color w:val="auto"/>
          <w:kern w:val="0"/>
          <w:sz w:val="28"/>
          <w:szCs w:val="28"/>
          <w:lang w:eastAsia="zh-CN"/>
        </w:rPr>
        <w:t>项目</w:t>
      </w:r>
      <w:r>
        <w:rPr>
          <w:rFonts w:hint="default" w:ascii="Times New Roman" w:hAnsi="Times New Roman" w:eastAsia="仿宋" w:cs="Times New Roman"/>
          <w:color w:val="auto"/>
          <w:kern w:val="0"/>
          <w:sz w:val="28"/>
          <w:szCs w:val="28"/>
        </w:rPr>
        <w:t>现状，结合相关企业突发环境事件案例，从这些案例中我们还可能吸取一些经验教训，以便采取措施防止类似事件的发生。</w:t>
      </w:r>
    </w:p>
    <w:p>
      <w:pPr>
        <w:autoSpaceDE w:val="0"/>
        <w:autoSpaceDN w:val="0"/>
        <w:adjustRightInd w:val="0"/>
        <w:jc w:val="center"/>
        <w:rPr>
          <w:rFonts w:hint="default" w:ascii="Times New Roman" w:hAnsi="Times New Roman" w:eastAsia="仿宋" w:cs="Times New Roman"/>
          <w:b/>
          <w:bCs/>
          <w:color w:val="auto"/>
          <w:kern w:val="0"/>
          <w:sz w:val="28"/>
          <w:szCs w:val="28"/>
        </w:rPr>
      </w:pPr>
      <w:r>
        <w:rPr>
          <w:rFonts w:hint="default" w:ascii="Times New Roman" w:hAnsi="Times New Roman" w:eastAsia="仿宋" w:cs="Times New Roman"/>
          <w:b/>
          <w:bCs/>
          <w:color w:val="auto"/>
          <w:kern w:val="0"/>
          <w:sz w:val="28"/>
          <w:szCs w:val="28"/>
        </w:rPr>
        <w:t>表5-2  经验教训总结</w:t>
      </w:r>
    </w:p>
    <w:tbl>
      <w:tblPr>
        <w:tblStyle w:val="24"/>
        <w:tblW w:w="988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73"/>
        <w:gridCol w:w="2412"/>
        <w:gridCol w:w="669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73"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序号</w:t>
            </w:r>
          </w:p>
        </w:tc>
        <w:tc>
          <w:tcPr>
            <w:tcW w:w="2412"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突发环境事件类型</w:t>
            </w:r>
          </w:p>
        </w:tc>
        <w:tc>
          <w:tcPr>
            <w:tcW w:w="6699"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根据经验教训</w:t>
            </w:r>
            <w:r>
              <w:rPr>
                <w:rFonts w:hint="default" w:ascii="Times New Roman" w:hAnsi="Times New Roman" w:eastAsia="仿宋" w:cs="Times New Roman"/>
                <w:b/>
                <w:bCs/>
                <w:color w:val="auto"/>
                <w:kern w:val="0"/>
                <w:sz w:val="24"/>
                <w:szCs w:val="24"/>
                <w:lang w:eastAsia="zh-CN"/>
              </w:rPr>
              <w:t>项目</w:t>
            </w:r>
            <w:r>
              <w:rPr>
                <w:rFonts w:hint="default" w:ascii="Times New Roman" w:hAnsi="Times New Roman" w:eastAsia="仿宋" w:cs="Times New Roman"/>
                <w:b/>
                <w:bCs/>
                <w:color w:val="auto"/>
                <w:kern w:val="0"/>
                <w:sz w:val="24"/>
                <w:szCs w:val="24"/>
              </w:rPr>
              <w:t>需加强/增加的措施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73"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w:t>
            </w:r>
          </w:p>
        </w:tc>
        <w:tc>
          <w:tcPr>
            <w:tcW w:w="2412"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泄漏事故</w:t>
            </w:r>
          </w:p>
        </w:tc>
        <w:tc>
          <w:tcPr>
            <w:tcW w:w="6699"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(1)定期对</w:t>
            </w:r>
            <w:r>
              <w:rPr>
                <w:rFonts w:hint="eastAsia" w:eastAsia="仿宋" w:cs="Times New Roman"/>
                <w:color w:val="auto"/>
                <w:kern w:val="0"/>
                <w:sz w:val="24"/>
                <w:szCs w:val="24"/>
                <w:lang w:eastAsia="zh-CN"/>
              </w:rPr>
              <w:t>废机油包装容器</w:t>
            </w:r>
            <w:r>
              <w:rPr>
                <w:rFonts w:hint="default" w:ascii="Times New Roman" w:hAnsi="Times New Roman" w:eastAsia="仿宋" w:cs="Times New Roman"/>
                <w:color w:val="auto"/>
                <w:kern w:val="0"/>
                <w:sz w:val="24"/>
                <w:szCs w:val="24"/>
              </w:rPr>
              <w:t>进行巡检、维护。</w:t>
            </w:r>
          </w:p>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w:t>
            </w:r>
            <w:r>
              <w:rPr>
                <w:rFonts w:hint="eastAsia" w:eastAsia="仿宋" w:cs="Times New Roman"/>
                <w:color w:val="auto"/>
                <w:kern w:val="0"/>
                <w:sz w:val="24"/>
                <w:szCs w:val="24"/>
                <w:lang w:eastAsia="zh-CN"/>
              </w:rPr>
              <w:t>环保装置脉冲布袋除尘</w:t>
            </w:r>
            <w:r>
              <w:rPr>
                <w:rFonts w:hint="default" w:ascii="Times New Roman" w:hAnsi="Times New Roman" w:eastAsia="仿宋" w:cs="Times New Roman"/>
                <w:color w:val="auto"/>
                <w:kern w:val="0"/>
                <w:sz w:val="24"/>
                <w:szCs w:val="24"/>
              </w:rPr>
              <w:t>装置由专人负责看管，并定期进行维护。</w:t>
            </w:r>
          </w:p>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(3)环境应急物资由专人负责，确保应急物资储备完备并能在第一时间投入使用。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73"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w:t>
            </w:r>
          </w:p>
        </w:tc>
        <w:tc>
          <w:tcPr>
            <w:tcW w:w="2412"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火灾事故引发厂外环境污染</w:t>
            </w:r>
          </w:p>
        </w:tc>
        <w:tc>
          <w:tcPr>
            <w:tcW w:w="6699"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(1)企业应建立完善的隐患排查治理制度，及时排查隐患并治理。</w:t>
            </w:r>
          </w:p>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(2)加强安全管理，定期开展员工培训，提高员工素质、增强操作技能，提升员工的安全意识。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73"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w:t>
            </w:r>
          </w:p>
        </w:tc>
        <w:tc>
          <w:tcPr>
            <w:tcW w:w="2412"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风险防控设施失灵</w:t>
            </w:r>
          </w:p>
        </w:tc>
        <w:tc>
          <w:tcPr>
            <w:tcW w:w="6699"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w:t>
            </w:r>
            <w:r>
              <w:rPr>
                <w:rFonts w:hint="eastAsia" w:eastAsia="仿宋" w:cs="Times New Roman"/>
                <w:color w:val="auto"/>
                <w:kern w:val="0"/>
                <w:sz w:val="24"/>
                <w:szCs w:val="24"/>
                <w:lang w:val="en-US" w:eastAsia="zh-CN"/>
              </w:rPr>
              <w:t>1</w:t>
            </w:r>
            <w:r>
              <w:rPr>
                <w:rFonts w:hint="default" w:ascii="Times New Roman" w:hAnsi="Times New Roman" w:eastAsia="仿宋" w:cs="Times New Roman"/>
                <w:color w:val="auto"/>
                <w:kern w:val="0"/>
                <w:sz w:val="24"/>
                <w:szCs w:val="24"/>
              </w:rPr>
              <w:t>)设置专人定期巡检设备，如发现隐患立即保修、整改。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73" w:type="dxa"/>
            <w:vAlign w:val="center"/>
          </w:tcPr>
          <w:p>
            <w:pPr>
              <w:jc w:val="center"/>
              <w:rPr>
                <w:rFonts w:hint="default" w:ascii="Times New Roman" w:hAnsi="Times New Roman" w:eastAsia="仿宋" w:cs="Times New Roman"/>
                <w:color w:val="auto"/>
                <w:kern w:val="0"/>
                <w:sz w:val="24"/>
                <w:szCs w:val="24"/>
                <w:lang w:eastAsia="zh-CN"/>
              </w:rPr>
            </w:pPr>
            <w:r>
              <w:rPr>
                <w:rFonts w:hint="default" w:ascii="Times New Roman" w:hAnsi="Times New Roman" w:eastAsia="仿宋" w:cs="Times New Roman"/>
                <w:color w:val="auto"/>
                <w:kern w:val="0"/>
                <w:sz w:val="24"/>
                <w:szCs w:val="24"/>
                <w:lang w:val="en-US" w:eastAsia="zh-CN"/>
              </w:rPr>
              <w:t>4</w:t>
            </w:r>
          </w:p>
        </w:tc>
        <w:tc>
          <w:tcPr>
            <w:tcW w:w="2412" w:type="dxa"/>
            <w:vAlign w:val="center"/>
          </w:tcPr>
          <w:p>
            <w:pPr>
              <w:ind w:left="42" w:leftChars="20"/>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运输泄漏事故</w:t>
            </w:r>
          </w:p>
        </w:tc>
        <w:tc>
          <w:tcPr>
            <w:tcW w:w="6699" w:type="dxa"/>
            <w:vAlign w:val="center"/>
          </w:tcPr>
          <w:p>
            <w:pPr>
              <w:ind w:left="42" w:leftChars="20"/>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(1)加强运输过程中的防范管理措施，驾驶人员的宣传教育。</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773" w:type="dxa"/>
            <w:vAlign w:val="center"/>
          </w:tcPr>
          <w:p>
            <w:pPr>
              <w:jc w:val="center"/>
              <w:rPr>
                <w:rFonts w:hint="default" w:ascii="Times New Roman" w:hAnsi="Times New Roman" w:eastAsia="仿宋" w:cs="Times New Roman"/>
                <w:color w:val="auto"/>
                <w:kern w:val="0"/>
                <w:sz w:val="24"/>
                <w:szCs w:val="24"/>
                <w:lang w:eastAsia="zh-CN"/>
              </w:rPr>
            </w:pPr>
            <w:r>
              <w:rPr>
                <w:rFonts w:hint="default" w:ascii="Times New Roman" w:hAnsi="Times New Roman" w:eastAsia="仿宋" w:cs="Times New Roman"/>
                <w:color w:val="auto"/>
                <w:kern w:val="0"/>
                <w:sz w:val="24"/>
                <w:szCs w:val="24"/>
                <w:lang w:val="en-US" w:eastAsia="zh-CN"/>
              </w:rPr>
              <w:t>5</w:t>
            </w:r>
          </w:p>
        </w:tc>
        <w:tc>
          <w:tcPr>
            <w:tcW w:w="2412" w:type="dxa"/>
            <w:vAlign w:val="center"/>
          </w:tcPr>
          <w:p>
            <w:pPr>
              <w:ind w:left="42" w:leftChars="20"/>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极端天气</w:t>
            </w:r>
          </w:p>
        </w:tc>
        <w:tc>
          <w:tcPr>
            <w:tcW w:w="6699" w:type="dxa"/>
            <w:vAlign w:val="center"/>
          </w:tcPr>
          <w:p>
            <w:pPr>
              <w:ind w:left="42"/>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(1)做好极端天气的预测和调度；</w:t>
            </w:r>
          </w:p>
          <w:p>
            <w:pPr>
              <w:ind w:left="42"/>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(2)做好环境安全生产隐患排查、防患治理工作。</w:t>
            </w:r>
          </w:p>
        </w:tc>
      </w:tr>
    </w:tbl>
    <w:p>
      <w:pPr>
        <w:adjustRightInd w:val="0"/>
        <w:snapToGrid w:val="0"/>
        <w:spacing w:line="360" w:lineRule="auto"/>
        <w:outlineLvl w:val="1"/>
        <w:rPr>
          <w:rFonts w:hint="default" w:ascii="Times New Roman" w:hAnsi="Times New Roman" w:eastAsia="仿宋" w:cs="Times New Roman"/>
          <w:color w:val="auto"/>
          <w:sz w:val="28"/>
          <w:szCs w:val="28"/>
        </w:rPr>
      </w:pPr>
      <w:bookmarkStart w:id="91" w:name="_Toc12493"/>
      <w:bookmarkStart w:id="92" w:name="_Toc3405"/>
      <w:r>
        <w:rPr>
          <w:rFonts w:hint="default" w:ascii="Times New Roman" w:hAnsi="Times New Roman" w:eastAsia="仿宋" w:cs="Times New Roman"/>
          <w:b/>
          <w:bCs/>
          <w:color w:val="auto"/>
          <w:sz w:val="28"/>
          <w:szCs w:val="28"/>
        </w:rPr>
        <w:t>5.5需要整改的短期、中期和长期内容</w:t>
      </w:r>
      <w:bookmarkEnd w:id="91"/>
      <w:bookmarkEnd w:id="92"/>
    </w:p>
    <w:p>
      <w:pPr>
        <w:spacing w:line="360" w:lineRule="auto"/>
        <w:ind w:firstLine="560" w:firstLineChars="200"/>
        <w:rPr>
          <w:rFonts w:hint="default" w:ascii="Times New Roman" w:hAnsi="Times New Roman" w:eastAsia="仿宋" w:cs="Times New Roman"/>
          <w:color w:val="auto"/>
          <w:sz w:val="24"/>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针对本次排查出来的每一项差距和隐患，根据其危害性、紧迫性和治理时间的长短，提出需要完成整改的期限，详见表5-3。</w:t>
      </w:r>
    </w:p>
    <w:p>
      <w:pPr>
        <w:autoSpaceDE w:val="0"/>
        <w:autoSpaceDN w:val="0"/>
        <w:adjustRightInd w:val="0"/>
        <w:jc w:val="center"/>
        <w:rPr>
          <w:rFonts w:hint="default" w:ascii="Times New Roman" w:hAnsi="Times New Roman" w:eastAsia="仿宋" w:cs="Times New Roman"/>
          <w:b/>
          <w:bCs/>
          <w:color w:val="auto"/>
          <w:kern w:val="0"/>
          <w:sz w:val="28"/>
          <w:szCs w:val="28"/>
        </w:rPr>
      </w:pPr>
      <w:r>
        <w:rPr>
          <w:rFonts w:hint="default" w:ascii="Times New Roman" w:hAnsi="Times New Roman" w:eastAsia="仿宋" w:cs="Times New Roman"/>
          <w:b/>
          <w:bCs/>
          <w:color w:val="auto"/>
          <w:kern w:val="0"/>
          <w:sz w:val="28"/>
          <w:szCs w:val="28"/>
        </w:rPr>
        <w:t>表5-3  需要整改的短期、中期和长期项目内容</w:t>
      </w:r>
    </w:p>
    <w:tbl>
      <w:tblPr>
        <w:tblStyle w:val="24"/>
        <w:tblW w:w="988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183"/>
        <w:gridCol w:w="6096"/>
        <w:gridCol w:w="160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类别</w:t>
            </w:r>
          </w:p>
        </w:tc>
        <w:tc>
          <w:tcPr>
            <w:tcW w:w="6096"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存在问题及需要整改的内容</w:t>
            </w:r>
          </w:p>
        </w:tc>
        <w:tc>
          <w:tcPr>
            <w:tcW w:w="1605" w:type="dxa"/>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整改期限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93" w:hRule="atLeast"/>
          <w:jc w:val="center"/>
        </w:trPr>
        <w:tc>
          <w:tcPr>
            <w:tcW w:w="2183" w:type="dxa"/>
            <w:vMerge w:val="restart"/>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环境应急资源</w:t>
            </w: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自行监测能力不完善，未与资质监测单位签订常规及应急监测协议。</w:t>
            </w:r>
          </w:p>
        </w:tc>
        <w:tc>
          <w:tcPr>
            <w:tcW w:w="1605" w:type="dxa"/>
            <w:vMerge w:val="restart"/>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短期</w:t>
            </w:r>
          </w:p>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（3个月内）</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Merge w:val="continue"/>
            <w:vAlign w:val="center"/>
          </w:tcPr>
          <w:p>
            <w:pPr>
              <w:jc w:val="center"/>
              <w:rPr>
                <w:rFonts w:hint="default" w:ascii="Times New Roman" w:hAnsi="Times New Roman" w:eastAsia="仿宋" w:cs="Times New Roman"/>
                <w:color w:val="auto"/>
                <w:kern w:val="0"/>
                <w:sz w:val="24"/>
                <w:szCs w:val="24"/>
              </w:rPr>
            </w:pP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lang w:eastAsia="zh-CN"/>
              </w:rPr>
              <w:t>公司</w:t>
            </w:r>
            <w:r>
              <w:rPr>
                <w:rFonts w:hint="default" w:ascii="Times New Roman" w:hAnsi="Times New Roman" w:eastAsia="仿宋" w:cs="Times New Roman"/>
                <w:color w:val="auto"/>
                <w:kern w:val="0"/>
                <w:sz w:val="24"/>
                <w:szCs w:val="24"/>
              </w:rPr>
              <w:t>现场未张贴应急疏散路线图。</w:t>
            </w:r>
          </w:p>
        </w:tc>
        <w:tc>
          <w:tcPr>
            <w:tcW w:w="1605" w:type="dxa"/>
            <w:vMerge w:val="continue"/>
            <w:vAlign w:val="center"/>
          </w:tcPr>
          <w:p>
            <w:pPr>
              <w:jc w:val="center"/>
              <w:rPr>
                <w:rFonts w:hint="default" w:ascii="Times New Roman" w:hAnsi="Times New Roman" w:eastAsia="仿宋" w:cs="Times New Roman"/>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Merge w:val="continue"/>
            <w:vAlign w:val="center"/>
          </w:tcPr>
          <w:p>
            <w:pPr>
              <w:jc w:val="center"/>
              <w:rPr>
                <w:rFonts w:hint="default" w:ascii="Times New Roman" w:hAnsi="Times New Roman" w:eastAsia="仿宋" w:cs="Times New Roman"/>
                <w:color w:val="auto"/>
                <w:kern w:val="0"/>
                <w:sz w:val="24"/>
                <w:szCs w:val="24"/>
              </w:rPr>
            </w:pP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未签订突发环境事件应急互救/救援协议。</w:t>
            </w:r>
          </w:p>
        </w:tc>
        <w:tc>
          <w:tcPr>
            <w:tcW w:w="1605" w:type="dxa"/>
            <w:vMerge w:val="continue"/>
            <w:vAlign w:val="center"/>
          </w:tcPr>
          <w:p>
            <w:pPr>
              <w:jc w:val="center"/>
              <w:rPr>
                <w:rFonts w:hint="default" w:ascii="Times New Roman" w:hAnsi="Times New Roman" w:eastAsia="仿宋" w:cs="Times New Roman"/>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环境风险防控与</w:t>
            </w:r>
          </w:p>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应急措施</w:t>
            </w: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建立健全环境应急管理体系，进一步落实环境风险防控重点岗位责任人，落实环境风险设施定期巡检和维护责任制度。</w:t>
            </w:r>
          </w:p>
        </w:tc>
        <w:tc>
          <w:tcPr>
            <w:tcW w:w="1605" w:type="dxa"/>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中期</w:t>
            </w:r>
          </w:p>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（3-6个月）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Merge w:val="restart"/>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环境风险管理制度</w:t>
            </w: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定期开展环境风险和环境应急管理宣传和培训活动，定期进行突发环境事件应急演练并归档。</w:t>
            </w:r>
          </w:p>
        </w:tc>
        <w:tc>
          <w:tcPr>
            <w:tcW w:w="1605" w:type="dxa"/>
            <w:vMerge w:val="restart"/>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长期</w:t>
            </w:r>
          </w:p>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(6个月以上)</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Merge w:val="continue"/>
            <w:vAlign w:val="center"/>
          </w:tcPr>
          <w:p>
            <w:pPr>
              <w:jc w:val="center"/>
              <w:rPr>
                <w:rFonts w:hint="default" w:ascii="Times New Roman" w:hAnsi="Times New Roman" w:eastAsia="仿宋" w:cs="Times New Roman"/>
                <w:color w:val="auto"/>
                <w:kern w:val="0"/>
                <w:sz w:val="24"/>
                <w:szCs w:val="24"/>
              </w:rPr>
            </w:pP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落实并完善隐患排查制度。</w:t>
            </w:r>
          </w:p>
        </w:tc>
        <w:tc>
          <w:tcPr>
            <w:tcW w:w="1605" w:type="dxa"/>
            <w:vMerge w:val="continue"/>
            <w:vAlign w:val="center"/>
          </w:tcPr>
          <w:p>
            <w:pPr>
              <w:rPr>
                <w:rFonts w:hint="default" w:ascii="Times New Roman" w:hAnsi="Times New Roman" w:eastAsia="仿宋" w:cs="Times New Roman"/>
                <w:color w:val="auto"/>
                <w:kern w:val="0"/>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183" w:type="dxa"/>
            <w:vMerge w:val="continue"/>
            <w:vAlign w:val="center"/>
          </w:tcPr>
          <w:p>
            <w:pPr>
              <w:jc w:val="center"/>
              <w:rPr>
                <w:rFonts w:hint="default" w:ascii="Times New Roman" w:hAnsi="Times New Roman" w:eastAsia="仿宋" w:cs="Times New Roman"/>
                <w:color w:val="auto"/>
                <w:kern w:val="0"/>
                <w:sz w:val="24"/>
                <w:szCs w:val="24"/>
              </w:rPr>
            </w:pPr>
          </w:p>
        </w:tc>
        <w:tc>
          <w:tcPr>
            <w:tcW w:w="6096" w:type="dxa"/>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定期开展安全动员大会和定期组织员工进行专题培训。</w:t>
            </w:r>
          </w:p>
        </w:tc>
        <w:tc>
          <w:tcPr>
            <w:tcW w:w="1605" w:type="dxa"/>
            <w:vMerge w:val="continue"/>
            <w:vAlign w:val="center"/>
          </w:tcPr>
          <w:p>
            <w:pPr>
              <w:jc w:val="center"/>
              <w:rPr>
                <w:rFonts w:hint="default" w:ascii="Times New Roman" w:hAnsi="Times New Roman" w:eastAsia="仿宋" w:cs="Times New Roman"/>
                <w:color w:val="auto"/>
                <w:kern w:val="0"/>
                <w:sz w:val="24"/>
                <w:szCs w:val="24"/>
              </w:rPr>
            </w:pPr>
          </w:p>
        </w:tc>
      </w:tr>
    </w:tbl>
    <w:p>
      <w:pPr>
        <w:spacing w:line="360" w:lineRule="auto"/>
        <w:ind w:firstLine="560" w:firstLineChars="200"/>
        <w:jc w:val="left"/>
        <w:rPr>
          <w:rFonts w:hint="default" w:ascii="Times New Roman" w:hAnsi="Times New Roman" w:eastAsia="仿宋" w:cs="Times New Roman"/>
          <w:color w:val="auto"/>
          <w:sz w:val="28"/>
          <w:szCs w:val="28"/>
        </w:rPr>
        <w:sectPr>
          <w:pgSz w:w="11906" w:h="16838"/>
          <w:pgMar w:top="1440" w:right="962" w:bottom="1440" w:left="1276" w:header="851" w:footer="992" w:gutter="0"/>
          <w:pgNumType w:fmt="decimal"/>
          <w:cols w:space="720" w:num="1"/>
          <w:docGrid w:type="lines" w:linePitch="312" w:charSpace="0"/>
        </w:sectPr>
      </w:pPr>
    </w:p>
    <w:p>
      <w:pPr>
        <w:spacing w:before="156" w:beforeLines="50" w:after="156" w:afterLines="50" w:line="360" w:lineRule="auto"/>
        <w:jc w:val="left"/>
        <w:outlineLvl w:val="0"/>
        <w:rPr>
          <w:rStyle w:val="26"/>
          <w:rFonts w:hint="default" w:ascii="Times New Roman" w:hAnsi="Times New Roman" w:eastAsia="仿宋" w:cs="Times New Roman"/>
          <w:color w:val="auto"/>
          <w:kern w:val="44"/>
          <w:sz w:val="32"/>
          <w:szCs w:val="32"/>
        </w:rPr>
      </w:pPr>
      <w:bookmarkStart w:id="93" w:name="_Toc23498"/>
      <w:r>
        <w:rPr>
          <w:rStyle w:val="26"/>
          <w:rFonts w:hint="default" w:ascii="Times New Roman" w:hAnsi="Times New Roman" w:eastAsia="仿宋" w:cs="Times New Roman"/>
          <w:color w:val="auto"/>
          <w:kern w:val="44"/>
          <w:sz w:val="32"/>
          <w:szCs w:val="32"/>
        </w:rPr>
        <w:t>6完善环境风险防控和应急措施的实施计划</w:t>
      </w:r>
      <w:bookmarkEnd w:id="93"/>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以上对企业现有环境风险防控与应急措施的完备性、可靠性和有效性的分析论证，我们找出了其中的差距和问题，并提出了需要整改的项目内容以整改的期限，针对需要整改的项目内容，分别制定了完善环境风险防控措施和应急措施的实施计划，并将计划完成情况登记建档备查。对照表5-3企业需要整改的短期、中期和长期项目内容，分别制定</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短期整改项目加强风险防控措施和应急管理的目标、责任人及完成时限。详细内容见表6-1。</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对于外部因素（环境风险受体的距离和防护等问题）致使企业不能排除或完善的情况，企业应及时向</w:t>
      </w:r>
      <w:r>
        <w:rPr>
          <w:rFonts w:hint="eastAsia" w:eastAsia="仿宋" w:cs="Times New Roman"/>
          <w:color w:val="auto"/>
          <w:sz w:val="28"/>
          <w:szCs w:val="28"/>
          <w:lang w:eastAsia="zh-CN"/>
        </w:rPr>
        <w:t>西咸新区秦汉新城生态环境局</w:t>
      </w:r>
      <w:r>
        <w:rPr>
          <w:rFonts w:hint="default" w:ascii="Times New Roman" w:hAnsi="Times New Roman" w:eastAsia="仿宋" w:cs="Times New Roman"/>
          <w:color w:val="auto"/>
          <w:sz w:val="28"/>
          <w:szCs w:val="28"/>
        </w:rPr>
        <w:t>等有关部门报告，并配合采取措施消隐患。</w:t>
      </w:r>
    </w:p>
    <w:p>
      <w:pPr>
        <w:pStyle w:val="22"/>
        <w:ind w:firstLine="562"/>
        <w:jc w:val="center"/>
        <w:rPr>
          <w:rFonts w:hint="default" w:ascii="Times New Roman" w:hAnsi="Times New Roman" w:eastAsia="仿宋" w:cs="Times New Roman"/>
          <w:color w:val="auto"/>
          <w:sz w:val="28"/>
          <w:szCs w:val="28"/>
        </w:rPr>
      </w:pPr>
      <w:r>
        <w:rPr>
          <w:rFonts w:hint="default" w:ascii="Times New Roman" w:hAnsi="Times New Roman" w:eastAsia="仿宋" w:cs="Times New Roman"/>
          <w:b/>
          <w:bCs/>
          <w:color w:val="auto"/>
          <w:kern w:val="0"/>
          <w:sz w:val="28"/>
          <w:szCs w:val="28"/>
        </w:rPr>
        <w:t>表6-1  环境风险防控与应急措施整改目标及实施计划</w:t>
      </w:r>
    </w:p>
    <w:tbl>
      <w:tblPr>
        <w:tblStyle w:val="24"/>
        <w:tblW w:w="98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2"/>
        <w:gridCol w:w="2942"/>
        <w:gridCol w:w="2872"/>
        <w:gridCol w:w="1525"/>
        <w:gridCol w:w="13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tcBorders>
              <w:tl2br w:val="nil"/>
              <w:tr2bl w:val="nil"/>
            </w:tcBorders>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类型</w:t>
            </w:r>
          </w:p>
        </w:tc>
        <w:tc>
          <w:tcPr>
            <w:tcW w:w="2942" w:type="dxa"/>
            <w:tcBorders>
              <w:tl2br w:val="nil"/>
              <w:tr2bl w:val="nil"/>
            </w:tcBorders>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存在问题</w:t>
            </w:r>
          </w:p>
        </w:tc>
        <w:tc>
          <w:tcPr>
            <w:tcW w:w="2872" w:type="dxa"/>
            <w:tcBorders>
              <w:tl2br w:val="nil"/>
              <w:tr2bl w:val="nil"/>
            </w:tcBorders>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整改目标</w:t>
            </w:r>
          </w:p>
        </w:tc>
        <w:tc>
          <w:tcPr>
            <w:tcW w:w="1525" w:type="dxa"/>
            <w:tcBorders>
              <w:tl2br w:val="nil"/>
              <w:tr2bl w:val="nil"/>
            </w:tcBorders>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完成时限</w:t>
            </w:r>
          </w:p>
        </w:tc>
        <w:tc>
          <w:tcPr>
            <w:tcW w:w="1343" w:type="dxa"/>
            <w:tcBorders>
              <w:tl2br w:val="nil"/>
              <w:tr2bl w:val="nil"/>
            </w:tcBorders>
            <w:vAlign w:val="center"/>
          </w:tcPr>
          <w:p>
            <w:pPr>
              <w:jc w:val="center"/>
              <w:rPr>
                <w:rFonts w:hint="default" w:ascii="Times New Roman" w:hAnsi="Times New Roman" w:eastAsia="仿宋" w:cs="Times New Roman"/>
                <w:b/>
                <w:bCs/>
                <w:color w:val="auto"/>
                <w:kern w:val="0"/>
                <w:sz w:val="24"/>
                <w:szCs w:val="24"/>
              </w:rPr>
            </w:pPr>
            <w:r>
              <w:rPr>
                <w:rFonts w:hint="default" w:ascii="Times New Roman" w:hAnsi="Times New Roman" w:eastAsia="仿宋" w:cs="Times New Roman"/>
                <w:b/>
                <w:bCs/>
                <w:color w:val="auto"/>
                <w:kern w:val="0"/>
                <w:sz w:val="24"/>
                <w:szCs w:val="24"/>
              </w:rPr>
              <w:t>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9" w:hRule="atLeast"/>
          <w:jc w:val="center"/>
        </w:trPr>
        <w:tc>
          <w:tcPr>
            <w:tcW w:w="1202" w:type="dxa"/>
            <w:vMerge w:val="restart"/>
            <w:tcBorders>
              <w:tl2br w:val="nil"/>
              <w:tr2bl w:val="nil"/>
            </w:tcBorders>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环境应急资源</w:t>
            </w: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自行监测能力不完善，未与资质监测单位签订常规及应急监测协议。</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完善自行监测能力，与资质监测单位签订常规及应急监测协议。</w:t>
            </w:r>
          </w:p>
        </w:tc>
        <w:tc>
          <w:tcPr>
            <w:tcW w:w="1525" w:type="dxa"/>
            <w:vMerge w:val="restart"/>
            <w:tcBorders>
              <w:tl2br w:val="nil"/>
              <w:tr2bl w:val="nil"/>
            </w:tcBorders>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短期</w:t>
            </w:r>
          </w:p>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（3个月内）</w:t>
            </w:r>
          </w:p>
        </w:tc>
        <w:tc>
          <w:tcPr>
            <w:tcW w:w="1343" w:type="dxa"/>
            <w:vMerge w:val="restart"/>
            <w:tcBorders>
              <w:tl2br w:val="nil"/>
              <w:tr2bl w:val="nil"/>
            </w:tcBorders>
            <w:vAlign w:val="center"/>
          </w:tcPr>
          <w:p>
            <w:pPr>
              <w:jc w:val="center"/>
              <w:rPr>
                <w:rFonts w:hint="default" w:ascii="Times New Roman" w:hAnsi="Times New Roman" w:eastAsia="仿宋" w:cs="Times New Roman"/>
                <w:color w:val="auto"/>
                <w:kern w:val="0"/>
                <w:sz w:val="24"/>
                <w:szCs w:val="24"/>
                <w:lang w:eastAsia="zh-CN"/>
              </w:rPr>
            </w:pPr>
            <w:r>
              <w:rPr>
                <w:rFonts w:hint="eastAsia" w:eastAsia="仿宋" w:cs="Times New Roman"/>
                <w:color w:val="auto"/>
                <w:kern w:val="0"/>
                <w:sz w:val="24"/>
                <w:szCs w:val="24"/>
                <w:lang w:eastAsia="zh-CN"/>
              </w:rPr>
              <w:t>张琦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lang w:eastAsia="zh-CN"/>
              </w:rPr>
              <w:t>公司</w:t>
            </w:r>
            <w:r>
              <w:rPr>
                <w:rFonts w:hint="default" w:ascii="Times New Roman" w:hAnsi="Times New Roman" w:eastAsia="仿宋" w:cs="Times New Roman"/>
                <w:color w:val="auto"/>
                <w:kern w:val="0"/>
                <w:sz w:val="24"/>
                <w:szCs w:val="24"/>
              </w:rPr>
              <w:t>现场未张贴应急疏散路线图。</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现场张贴应急疏散路线图。</w:t>
            </w:r>
          </w:p>
        </w:tc>
        <w:tc>
          <w:tcPr>
            <w:tcW w:w="1525"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1343"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未签订突发环境事件应急互救/救援协议。</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与周边单位签订突发环境事件应急互救/救援协议。</w:t>
            </w:r>
          </w:p>
        </w:tc>
        <w:tc>
          <w:tcPr>
            <w:tcW w:w="1525"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1343"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tcBorders>
              <w:tl2br w:val="nil"/>
              <w:tr2bl w:val="nil"/>
            </w:tcBorders>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环境风险防控与应急措施</w:t>
            </w: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建立健全环境应急管理体系，进一步落实环境风险防控重点岗位责任人，落实环境风险设施定期巡检和维护责任制度。</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建立健全环境应急管理体系，进一步落实环境风险防控重点岗位责任人，落实环境风险设施定期巡检和维护责任制度。</w:t>
            </w:r>
          </w:p>
        </w:tc>
        <w:tc>
          <w:tcPr>
            <w:tcW w:w="1525" w:type="dxa"/>
            <w:tcBorders>
              <w:tl2br w:val="nil"/>
              <w:tr2bl w:val="nil"/>
            </w:tcBorders>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中期</w:t>
            </w:r>
          </w:p>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（3-6个月）</w:t>
            </w:r>
          </w:p>
        </w:tc>
        <w:tc>
          <w:tcPr>
            <w:tcW w:w="1343" w:type="dxa"/>
            <w:tcBorders>
              <w:tl2br w:val="nil"/>
              <w:tr2bl w:val="nil"/>
            </w:tcBorders>
            <w:vAlign w:val="center"/>
          </w:tcPr>
          <w:p>
            <w:pPr>
              <w:jc w:val="center"/>
              <w:rPr>
                <w:rFonts w:hint="default" w:ascii="Times New Roman" w:hAnsi="Times New Roman" w:eastAsia="仿宋" w:cs="Times New Roman"/>
                <w:color w:val="auto"/>
                <w:kern w:val="0"/>
                <w:sz w:val="24"/>
                <w:szCs w:val="24"/>
                <w:lang w:eastAsia="zh-CN"/>
              </w:rPr>
            </w:pPr>
            <w:r>
              <w:rPr>
                <w:rFonts w:hint="eastAsia" w:eastAsia="仿宋" w:cs="Times New Roman"/>
                <w:color w:val="auto"/>
                <w:kern w:val="0"/>
                <w:sz w:val="24"/>
                <w:szCs w:val="24"/>
                <w:lang w:eastAsia="zh-CN"/>
              </w:rPr>
              <w:t>张琦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vMerge w:val="restart"/>
            <w:tcBorders>
              <w:tl2br w:val="nil"/>
              <w:tr2bl w:val="nil"/>
            </w:tcBorders>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环境风险管理制度</w:t>
            </w: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定期开展环境风险和环境应急管理宣传和培训活动，定期进行突发环境事件应急演练并归档。</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定期开展环境风险和环境应急管理宣传和培训活动，定期进行突发环境事件应急演练并归档。</w:t>
            </w:r>
          </w:p>
        </w:tc>
        <w:tc>
          <w:tcPr>
            <w:tcW w:w="1525" w:type="dxa"/>
            <w:vMerge w:val="restart"/>
            <w:tcBorders>
              <w:tl2br w:val="nil"/>
              <w:tr2bl w:val="nil"/>
            </w:tcBorders>
            <w:vAlign w:val="center"/>
          </w:tcPr>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定期、长期</w:t>
            </w:r>
          </w:p>
          <w:p>
            <w:pPr>
              <w:jc w:val="cente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(6个月以上)</w:t>
            </w:r>
          </w:p>
        </w:tc>
        <w:tc>
          <w:tcPr>
            <w:tcW w:w="1343" w:type="dxa"/>
            <w:vMerge w:val="restart"/>
            <w:tcBorders>
              <w:tl2br w:val="nil"/>
              <w:tr2bl w:val="nil"/>
            </w:tcBorders>
            <w:vAlign w:val="center"/>
          </w:tcPr>
          <w:p>
            <w:pPr>
              <w:jc w:val="center"/>
              <w:rPr>
                <w:rFonts w:hint="default" w:ascii="Times New Roman" w:hAnsi="Times New Roman" w:eastAsia="仿宋" w:cs="Times New Roman"/>
                <w:color w:val="auto"/>
                <w:kern w:val="0"/>
                <w:sz w:val="24"/>
                <w:szCs w:val="24"/>
                <w:lang w:eastAsia="zh-CN"/>
              </w:rPr>
            </w:pPr>
            <w:r>
              <w:rPr>
                <w:rFonts w:hint="eastAsia" w:eastAsia="仿宋" w:cs="Times New Roman"/>
                <w:color w:val="auto"/>
                <w:kern w:val="0"/>
                <w:sz w:val="24"/>
                <w:szCs w:val="24"/>
                <w:lang w:eastAsia="zh-CN"/>
              </w:rPr>
              <w:t>张琦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落实并完善环境安全隐患排查制度。</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落实并完善环境安全隐患排查制度。</w:t>
            </w:r>
          </w:p>
        </w:tc>
        <w:tc>
          <w:tcPr>
            <w:tcW w:w="1525"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1343"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02"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294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定期开展环境安全动员大会和定期组织员工进行专题培训。</w:t>
            </w:r>
          </w:p>
        </w:tc>
        <w:tc>
          <w:tcPr>
            <w:tcW w:w="2872" w:type="dxa"/>
            <w:tcBorders>
              <w:tl2br w:val="nil"/>
              <w:tr2bl w:val="nil"/>
            </w:tcBorders>
            <w:vAlign w:val="center"/>
          </w:tcPr>
          <w:p>
            <w:pPr>
              <w:rPr>
                <w:rFonts w:hint="default" w:ascii="Times New Roman" w:hAnsi="Times New Roman" w:eastAsia="仿宋" w:cs="Times New Roman"/>
                <w:color w:val="auto"/>
                <w:kern w:val="0"/>
                <w:sz w:val="24"/>
                <w:szCs w:val="24"/>
              </w:rPr>
            </w:pPr>
            <w:r>
              <w:rPr>
                <w:rFonts w:hint="default" w:ascii="Times New Roman" w:hAnsi="Times New Roman" w:eastAsia="仿宋" w:cs="Times New Roman"/>
                <w:color w:val="auto"/>
                <w:kern w:val="0"/>
                <w:sz w:val="24"/>
                <w:szCs w:val="24"/>
              </w:rPr>
              <w:t>定期开展环境安全动员大会和定期组织员工进行专题培训。</w:t>
            </w:r>
          </w:p>
        </w:tc>
        <w:tc>
          <w:tcPr>
            <w:tcW w:w="1525"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c>
          <w:tcPr>
            <w:tcW w:w="1343" w:type="dxa"/>
            <w:vMerge w:val="continue"/>
            <w:tcBorders>
              <w:tl2br w:val="nil"/>
              <w:tr2bl w:val="nil"/>
            </w:tcBorders>
            <w:vAlign w:val="center"/>
          </w:tcPr>
          <w:p>
            <w:pPr>
              <w:jc w:val="center"/>
              <w:rPr>
                <w:rFonts w:hint="default" w:ascii="Times New Roman" w:hAnsi="Times New Roman" w:eastAsia="仿宋" w:cs="Times New Roman"/>
                <w:color w:val="auto"/>
                <w:kern w:val="0"/>
                <w:sz w:val="24"/>
                <w:szCs w:val="24"/>
              </w:rPr>
            </w:pPr>
          </w:p>
        </w:tc>
      </w:tr>
    </w:tbl>
    <w:p>
      <w:pPr>
        <w:spacing w:before="156" w:beforeLines="50" w:after="156" w:afterLines="50" w:line="360" w:lineRule="auto"/>
        <w:jc w:val="left"/>
        <w:outlineLvl w:val="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br w:type="page"/>
      </w:r>
      <w:bookmarkStart w:id="94" w:name="_Toc4435"/>
      <w:r>
        <w:rPr>
          <w:rStyle w:val="26"/>
          <w:rFonts w:hint="default" w:ascii="Times New Roman" w:hAnsi="Times New Roman" w:eastAsia="仿宋" w:cs="Times New Roman"/>
          <w:color w:val="auto"/>
          <w:kern w:val="44"/>
          <w:sz w:val="32"/>
          <w:szCs w:val="32"/>
        </w:rPr>
        <w:t>7企业突发环境事件风险等级</w:t>
      </w:r>
      <w:bookmarkEnd w:id="94"/>
    </w:p>
    <w:p>
      <w:pPr>
        <w:adjustRightInd w:val="0"/>
        <w:snapToGrid w:val="0"/>
        <w:spacing w:line="360" w:lineRule="auto"/>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企业突发环境事件风险分级方法》（HJ941-2018），根据企业生产、使用、存储和释放的突发环境事件风险物质数量与其临界量的比值（Q），评估生产工艺过程与环境风险控制水平（M）以及环境风险受体敏感程度（E）的评估分析结果，分别评估企业突发大气环境事件风险和突发水环境事件风险，将企业突发大气或水环境事件风险等级划分为一般环境风险、较大环境风险和重大环境风险三级，分别用蓝色、黄色和红色标识。同时涉及突发大气和水环境事件风险的企业，以等级高者确定企业突发环境事件风险等级。企业突发环境事件风险等级划分流程见图 7.1。</w:t>
      </w:r>
    </w:p>
    <w:p>
      <w:pPr>
        <w:pStyle w:val="19"/>
        <w:ind w:left="0" w:leftChars="0" w:firstLine="0" w:firstLineChars="0"/>
        <w:rPr>
          <w:color w:val="auto"/>
        </w:rPr>
      </w:pPr>
      <w:r>
        <w:rPr>
          <w:color w:val="auto"/>
        </w:rPr>
        <w:drawing>
          <wp:inline distT="0" distB="0" distL="114300" distR="114300">
            <wp:extent cx="6136640" cy="4161790"/>
            <wp:effectExtent l="0" t="0" r="16510" b="1016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0"/>
                    <a:stretch>
                      <a:fillRect/>
                    </a:stretch>
                  </pic:blipFill>
                  <pic:spPr>
                    <a:xfrm>
                      <a:off x="0" y="0"/>
                      <a:ext cx="6136640" cy="4161790"/>
                    </a:xfrm>
                    <a:prstGeom prst="rect">
                      <a:avLst/>
                    </a:prstGeom>
                    <a:noFill/>
                    <a:ln>
                      <a:noFill/>
                    </a:ln>
                  </pic:spPr>
                </pic:pic>
              </a:graphicData>
            </a:graphic>
          </wp:inline>
        </w:drawing>
      </w:r>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图 7.1 企业突发环境事件风险等级划分流程示意图</w:t>
      </w:r>
    </w:p>
    <w:p>
      <w:pPr>
        <w:spacing w:line="360" w:lineRule="auto"/>
        <w:outlineLvl w:val="1"/>
        <w:rPr>
          <w:rFonts w:hint="default" w:ascii="Times New Roman" w:hAnsi="Times New Roman" w:eastAsia="仿宋" w:cs="Times New Roman"/>
          <w:b/>
          <w:bCs/>
          <w:snapToGrid w:val="0"/>
          <w:color w:val="auto"/>
          <w:kern w:val="0"/>
          <w:sz w:val="28"/>
          <w:szCs w:val="28"/>
        </w:rPr>
      </w:pPr>
      <w:bookmarkStart w:id="95" w:name="_Toc13546"/>
      <w:r>
        <w:rPr>
          <w:rFonts w:hint="default" w:ascii="Times New Roman" w:hAnsi="Times New Roman" w:eastAsia="仿宋" w:cs="Times New Roman"/>
          <w:b/>
          <w:bCs/>
          <w:snapToGrid w:val="0"/>
          <w:color w:val="auto"/>
          <w:kern w:val="0"/>
          <w:sz w:val="28"/>
          <w:szCs w:val="28"/>
        </w:rPr>
        <w:t>7.1突发大气环境事件风险分级</w:t>
      </w:r>
      <w:bookmarkEnd w:id="95"/>
    </w:p>
    <w:p>
      <w:pPr>
        <w:adjustRightInd w:val="0"/>
        <w:snapToGrid w:val="0"/>
        <w:spacing w:line="360" w:lineRule="auto"/>
        <w:ind w:firstLine="560"/>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rPr>
        <w:t>根据《企业突发环境事件风险分级方法》（HJ 941-2018），本项目涉及的主要危险物质为废机油。本项目外加剂为聚羧酸减水剂不属于《企业突发环境事件风险分级方法》（HJ941-2018）附录 A中所列有毒、易燃危险物质。经现场核查本项目废机油</w:t>
      </w:r>
      <w:r>
        <w:rPr>
          <w:rFonts w:hint="eastAsia" w:eastAsia="仿宋" w:cs="Times New Roman"/>
          <w:color w:val="auto"/>
          <w:sz w:val="28"/>
          <w:szCs w:val="28"/>
          <w:lang w:eastAsia="zh-CN"/>
        </w:rPr>
        <w:t>最大</w:t>
      </w:r>
      <w:r>
        <w:rPr>
          <w:rFonts w:hint="default" w:ascii="Times New Roman" w:hAnsi="Times New Roman" w:eastAsia="仿宋" w:cs="Times New Roman"/>
          <w:color w:val="auto"/>
          <w:sz w:val="28"/>
          <w:szCs w:val="28"/>
        </w:rPr>
        <w:t xml:space="preserve">存储量为 </w:t>
      </w:r>
      <w:r>
        <w:rPr>
          <w:rFonts w:hint="eastAsia" w:eastAsia="仿宋" w:cs="Times New Roman"/>
          <w:color w:val="auto"/>
          <w:sz w:val="28"/>
          <w:szCs w:val="28"/>
          <w:lang w:val="en-US" w:eastAsia="zh-CN"/>
        </w:rPr>
        <w:t>0.2t/a。</w:t>
      </w:r>
    </w:p>
    <w:p>
      <w:pPr>
        <w:adjustRightInd w:val="0"/>
        <w:snapToGrid w:val="0"/>
        <w:spacing w:line="360" w:lineRule="auto"/>
        <w:ind w:firstLine="56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判断企业生产原料、产品、中间产品、副产品、催化剂、辅助生产物料、燃料、“三废”污染物等是否涉及大气环境风险物质（混合或稀释的风险物质按其组分比例折算成纯物质），计算涉气风险物质在厂界内的存在量（如存在量呈动态变化，则按年度内最大存在量计算）与其在附录 A 中临界量的比值 Q：当企业只涉及一种风险物质时，该物质的数量与其临界量比值，即为 Q。</w:t>
      </w:r>
    </w:p>
    <w:p>
      <w:pPr>
        <w:adjustRightInd w:val="0"/>
        <w:snapToGrid w:val="0"/>
        <w:spacing w:line="360" w:lineRule="auto"/>
        <w:ind w:firstLine="560"/>
        <w:rPr>
          <w:rFonts w:hint="default" w:ascii="Times New Roman" w:hAnsi="Times New Roman" w:eastAsia="仿宋" w:cs="Times New Roman"/>
          <w:b/>
          <w:bCs/>
          <w:color w:val="auto"/>
          <w:sz w:val="28"/>
          <w:szCs w:val="28"/>
        </w:rPr>
      </w:pP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涉气风险物质最大存储量与临界量及比值见表7-1。</w:t>
      </w:r>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表7-1    涉气风险物质数量与临界量比值表</w:t>
      </w:r>
    </w:p>
    <w:tbl>
      <w:tblPr>
        <w:tblStyle w:val="57"/>
        <w:tblW w:w="988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976"/>
        <w:gridCol w:w="1977"/>
        <w:gridCol w:w="1977"/>
        <w:gridCol w:w="1977"/>
        <w:gridCol w:w="197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976"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涉气风险物质</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最大存在量（t）</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存储位置</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临界量（t）</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比值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976" w:type="dxa"/>
            <w:vAlign w:val="center"/>
          </w:tcPr>
          <w:p>
            <w:pPr>
              <w:jc w:val="center"/>
              <w:rPr>
                <w:rFonts w:hint="default" w:ascii="Times New Roman" w:hAnsi="Times New Roman" w:eastAsia="仿宋" w:cs="Times New Roman"/>
                <w:bCs/>
                <w:color w:val="auto"/>
                <w:kern w:val="0"/>
                <w:sz w:val="24"/>
                <w:szCs w:val="24"/>
                <w:lang w:eastAsia="zh-CN"/>
              </w:rPr>
            </w:pPr>
            <w:r>
              <w:rPr>
                <w:rFonts w:hint="eastAsia" w:eastAsia="仿宋" w:cs="Times New Roman"/>
                <w:bCs/>
                <w:color w:val="auto"/>
                <w:kern w:val="0"/>
                <w:sz w:val="24"/>
                <w:szCs w:val="24"/>
                <w:lang w:eastAsia="zh-CN"/>
              </w:rPr>
              <w:t>废机油</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0.2</w:t>
            </w:r>
          </w:p>
        </w:tc>
        <w:tc>
          <w:tcPr>
            <w:tcW w:w="1977" w:type="dxa"/>
            <w:vAlign w:val="center"/>
          </w:tcPr>
          <w:p>
            <w:pPr>
              <w:jc w:val="center"/>
              <w:rPr>
                <w:rFonts w:hint="default" w:ascii="Times New Roman" w:hAnsi="Times New Roman" w:eastAsia="仿宋" w:cs="Times New Roman"/>
                <w:bCs/>
                <w:color w:val="auto"/>
                <w:kern w:val="0"/>
                <w:sz w:val="24"/>
                <w:szCs w:val="24"/>
                <w:lang w:eastAsia="zh-CN"/>
              </w:rPr>
            </w:pPr>
            <w:r>
              <w:rPr>
                <w:rFonts w:hint="eastAsia" w:eastAsia="仿宋" w:cs="Times New Roman"/>
                <w:bCs/>
                <w:color w:val="auto"/>
                <w:kern w:val="0"/>
                <w:sz w:val="24"/>
                <w:szCs w:val="24"/>
                <w:lang w:eastAsia="zh-CN"/>
              </w:rPr>
              <w:t>危废暂存间</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2500</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0.00008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907" w:type="dxa"/>
            <w:gridSpan w:val="4"/>
            <w:vAlign w:val="center"/>
          </w:tcPr>
          <w:p>
            <w:pPr>
              <w:jc w:val="center"/>
              <w:rPr>
                <w:rFonts w:hint="default" w:ascii="Times New Roman" w:hAnsi="Times New Roman" w:eastAsia="仿宋" w:cs="Times New Roman"/>
                <w:bCs/>
                <w:color w:val="auto"/>
                <w:kern w:val="0"/>
                <w:sz w:val="24"/>
                <w:szCs w:val="24"/>
              </w:rPr>
            </w:pPr>
            <w:r>
              <w:rPr>
                <w:rFonts w:hint="default" w:ascii="Times New Roman" w:hAnsi="Times New Roman" w:eastAsia="仿宋" w:cs="Times New Roman"/>
                <w:bCs/>
                <w:color w:val="auto"/>
                <w:kern w:val="0"/>
                <w:sz w:val="24"/>
                <w:szCs w:val="24"/>
              </w:rPr>
              <w:t>Q</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0.00008</w:t>
            </w:r>
            <w:r>
              <w:rPr>
                <w:rFonts w:hint="default" w:ascii="Times New Roman" w:hAnsi="Times New Roman" w:eastAsia="仿宋" w:cs="Times New Roman"/>
                <w:bCs/>
                <w:color w:val="auto"/>
                <w:kern w:val="0"/>
                <w:sz w:val="24"/>
                <w:szCs w:val="24"/>
              </w:rPr>
              <w:t>&lt;1</w:t>
            </w:r>
          </w:p>
        </w:tc>
      </w:tr>
    </w:tbl>
    <w:p>
      <w:pPr>
        <w:adjustRightInd w:val="0"/>
        <w:snapToGrid w:val="0"/>
        <w:spacing w:line="360" w:lineRule="auto"/>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从表7-1可以得出： 企 业 涉 气 风 险 物 质 数 量 与 临 界 量 比 值Q=0.00</w:t>
      </w:r>
      <w:r>
        <w:rPr>
          <w:rFonts w:hint="eastAsia" w:eastAsia="仿宋" w:cs="Times New Roman"/>
          <w:color w:val="auto"/>
          <w:sz w:val="28"/>
          <w:szCs w:val="28"/>
          <w:lang w:val="en-US" w:eastAsia="zh-CN"/>
        </w:rPr>
        <w:t>008</w:t>
      </w:r>
      <w:r>
        <w:rPr>
          <w:rFonts w:hint="default" w:ascii="Times New Roman" w:hAnsi="Times New Roman" w:eastAsia="仿宋" w:cs="Times New Roman"/>
          <w:color w:val="auto"/>
          <w:sz w:val="28"/>
          <w:szCs w:val="28"/>
        </w:rPr>
        <w:t>＜1</w:t>
      </w:r>
      <w:r>
        <w:rPr>
          <w:rFonts w:hint="eastAsia" w:eastAsia="仿宋" w:cs="Times New Roman"/>
          <w:color w:val="auto"/>
          <w:sz w:val="28"/>
          <w:szCs w:val="28"/>
          <w:lang w:eastAsia="zh-CN"/>
        </w:rPr>
        <w:t>，故陕西勇轩建材有限公司</w:t>
      </w:r>
      <w:r>
        <w:rPr>
          <w:rFonts w:hint="default" w:ascii="Times New Roman" w:hAnsi="Times New Roman" w:eastAsia="仿宋" w:cs="Times New Roman"/>
          <w:color w:val="auto"/>
          <w:sz w:val="28"/>
          <w:szCs w:val="28"/>
        </w:rPr>
        <w:t>突发</w:t>
      </w:r>
      <w:r>
        <w:rPr>
          <w:rFonts w:hint="default" w:ascii="Times New Roman" w:hAnsi="Times New Roman" w:eastAsia="仿宋" w:cs="Times New Roman"/>
          <w:color w:val="auto"/>
          <w:sz w:val="28"/>
          <w:szCs w:val="28"/>
          <w:lang w:eastAsia="zh-CN"/>
        </w:rPr>
        <w:t>大气</w:t>
      </w:r>
      <w:r>
        <w:rPr>
          <w:rFonts w:hint="default" w:ascii="Times New Roman" w:hAnsi="Times New Roman" w:eastAsia="仿宋" w:cs="Times New Roman"/>
          <w:color w:val="auto"/>
          <w:sz w:val="28"/>
          <w:szCs w:val="28"/>
        </w:rPr>
        <w:t>环境事件风险等级直接评定为一般环境风险等级，表示为“一般-</w:t>
      </w:r>
      <w:r>
        <w:rPr>
          <w:rFonts w:hint="default" w:ascii="Times New Roman" w:hAnsi="Times New Roman" w:eastAsia="仿宋" w:cs="Times New Roman"/>
          <w:color w:val="auto"/>
          <w:sz w:val="28"/>
          <w:szCs w:val="28"/>
          <w:lang w:eastAsia="zh-CN"/>
        </w:rPr>
        <w:t>大气</w:t>
      </w:r>
      <w:r>
        <w:rPr>
          <w:rFonts w:hint="default" w:ascii="Times New Roman" w:hAnsi="Times New Roman" w:eastAsia="仿宋" w:cs="Times New Roman"/>
          <w:color w:val="auto"/>
          <w:sz w:val="28"/>
          <w:szCs w:val="28"/>
        </w:rPr>
        <w:t>（Q0）”。</w:t>
      </w:r>
    </w:p>
    <w:p>
      <w:pPr>
        <w:spacing w:line="360" w:lineRule="auto"/>
        <w:outlineLvl w:val="1"/>
        <w:rPr>
          <w:rFonts w:hint="default" w:ascii="Times New Roman" w:hAnsi="Times New Roman" w:eastAsia="仿宋" w:cs="Times New Roman"/>
          <w:b/>
          <w:bCs/>
          <w:snapToGrid w:val="0"/>
          <w:color w:val="auto"/>
          <w:kern w:val="0"/>
          <w:sz w:val="28"/>
          <w:szCs w:val="28"/>
        </w:rPr>
      </w:pPr>
      <w:bookmarkStart w:id="96" w:name="_Toc18436"/>
      <w:r>
        <w:rPr>
          <w:rFonts w:hint="default" w:ascii="Times New Roman" w:hAnsi="Times New Roman" w:eastAsia="仿宋" w:cs="Times New Roman"/>
          <w:b/>
          <w:bCs/>
          <w:snapToGrid w:val="0"/>
          <w:color w:val="auto"/>
          <w:kern w:val="0"/>
          <w:sz w:val="28"/>
          <w:szCs w:val="28"/>
        </w:rPr>
        <w:t>7.2突发水环境事件风险分级</w:t>
      </w:r>
      <w:bookmarkEnd w:id="96"/>
    </w:p>
    <w:p>
      <w:pPr>
        <w:adjustRightInd w:val="0"/>
        <w:snapToGrid w:val="0"/>
        <w:spacing w:line="360" w:lineRule="auto"/>
        <w:ind w:firstLine="560"/>
        <w:rPr>
          <w:rFonts w:hint="default" w:ascii="Times New Roman" w:hAnsi="Times New Roman" w:eastAsia="仿宋" w:cs="Times New Roman"/>
          <w:b/>
          <w:bCs/>
          <w:color w:val="auto"/>
          <w:sz w:val="28"/>
          <w:szCs w:val="28"/>
        </w:rPr>
      </w:pPr>
      <w:r>
        <w:rPr>
          <w:rFonts w:hint="default" w:ascii="Times New Roman" w:hAnsi="Times New Roman" w:eastAsia="仿宋" w:cs="Times New Roman"/>
          <w:color w:val="auto"/>
          <w:sz w:val="28"/>
          <w:szCs w:val="28"/>
        </w:rPr>
        <w:t>根据</w:t>
      </w:r>
      <w:r>
        <w:rPr>
          <w:rFonts w:hint="default" w:ascii="Times New Roman" w:hAnsi="Times New Roman" w:eastAsia="仿宋" w:cs="Times New Roman"/>
          <w:color w:val="auto"/>
          <w:kern w:val="0"/>
          <w:sz w:val="28"/>
          <w:szCs w:val="28"/>
        </w:rPr>
        <w:t>《企业突发环境事件风险分级方法》（HJ 941-2018），</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涉水风险物质</w:t>
      </w:r>
      <w:r>
        <w:rPr>
          <w:rFonts w:hint="eastAsia" w:eastAsia="仿宋" w:cs="Times New Roman"/>
          <w:color w:val="auto"/>
          <w:sz w:val="28"/>
          <w:szCs w:val="28"/>
          <w:lang w:eastAsia="zh-CN"/>
        </w:rPr>
        <w:t>为</w:t>
      </w:r>
      <w:r>
        <w:rPr>
          <w:rFonts w:hint="default" w:ascii="Times New Roman" w:hAnsi="Times New Roman" w:eastAsia="仿宋" w:cs="Times New Roman"/>
          <w:color w:val="auto"/>
          <w:sz w:val="28"/>
          <w:szCs w:val="28"/>
        </w:rPr>
        <w:t>废机油。</w:t>
      </w:r>
      <w:r>
        <w:rPr>
          <w:rFonts w:hint="default" w:ascii="Times New Roman" w:hAnsi="Times New Roman" w:eastAsia="仿宋" w:cs="Times New Roman"/>
          <w:color w:val="auto"/>
          <w:sz w:val="28"/>
          <w:szCs w:val="28"/>
          <w:lang w:eastAsia="zh-CN"/>
        </w:rPr>
        <w:t>项目</w:t>
      </w:r>
      <w:r>
        <w:rPr>
          <w:rFonts w:hint="default" w:ascii="Times New Roman" w:hAnsi="Times New Roman" w:eastAsia="仿宋" w:cs="Times New Roman"/>
          <w:color w:val="auto"/>
          <w:sz w:val="28"/>
          <w:szCs w:val="28"/>
        </w:rPr>
        <w:t>涉</w:t>
      </w:r>
      <w:r>
        <w:rPr>
          <w:rFonts w:hint="eastAsia" w:eastAsia="仿宋" w:cs="Times New Roman"/>
          <w:color w:val="auto"/>
          <w:sz w:val="28"/>
          <w:szCs w:val="28"/>
          <w:lang w:eastAsia="zh-CN"/>
        </w:rPr>
        <w:t>水</w:t>
      </w:r>
      <w:r>
        <w:rPr>
          <w:rFonts w:hint="default" w:ascii="Times New Roman" w:hAnsi="Times New Roman" w:eastAsia="仿宋" w:cs="Times New Roman"/>
          <w:color w:val="auto"/>
          <w:sz w:val="28"/>
          <w:szCs w:val="28"/>
        </w:rPr>
        <w:t>风险物质最大存储量与临界量及比值见表7-</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rPr>
        <w:t>。</w:t>
      </w:r>
    </w:p>
    <w:p>
      <w:pPr>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表7-</w:t>
      </w:r>
      <w:r>
        <w:rPr>
          <w:rFonts w:hint="eastAsia" w:eastAsia="仿宋" w:cs="Times New Roman"/>
          <w:b/>
          <w:bCs/>
          <w:color w:val="auto"/>
          <w:sz w:val="28"/>
          <w:szCs w:val="28"/>
          <w:lang w:val="en-US" w:eastAsia="zh-CN"/>
        </w:rPr>
        <w:t>2</w:t>
      </w:r>
      <w:r>
        <w:rPr>
          <w:rFonts w:hint="default" w:ascii="Times New Roman" w:hAnsi="Times New Roman" w:eastAsia="仿宋" w:cs="Times New Roman"/>
          <w:b/>
          <w:bCs/>
          <w:color w:val="auto"/>
          <w:sz w:val="28"/>
          <w:szCs w:val="28"/>
        </w:rPr>
        <w:t xml:space="preserve">    涉</w:t>
      </w:r>
      <w:r>
        <w:rPr>
          <w:rFonts w:hint="eastAsia" w:eastAsia="仿宋" w:cs="Times New Roman"/>
          <w:b/>
          <w:bCs/>
          <w:color w:val="auto"/>
          <w:sz w:val="28"/>
          <w:szCs w:val="28"/>
          <w:lang w:eastAsia="zh-CN"/>
        </w:rPr>
        <w:t>水</w:t>
      </w:r>
      <w:r>
        <w:rPr>
          <w:rFonts w:hint="default" w:ascii="Times New Roman" w:hAnsi="Times New Roman" w:eastAsia="仿宋" w:cs="Times New Roman"/>
          <w:b/>
          <w:bCs/>
          <w:color w:val="auto"/>
          <w:sz w:val="28"/>
          <w:szCs w:val="28"/>
        </w:rPr>
        <w:t>风险物质数量与临界量比值表</w:t>
      </w:r>
    </w:p>
    <w:tbl>
      <w:tblPr>
        <w:tblStyle w:val="57"/>
        <w:tblW w:w="988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976"/>
        <w:gridCol w:w="1977"/>
        <w:gridCol w:w="1977"/>
        <w:gridCol w:w="1977"/>
        <w:gridCol w:w="197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976"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涉气风险物质</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最大存在量（t）</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存储位置</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临界量（t）</w:t>
            </w:r>
          </w:p>
        </w:tc>
        <w:tc>
          <w:tcPr>
            <w:tcW w:w="1977" w:type="dxa"/>
            <w:vAlign w:val="center"/>
          </w:tcPr>
          <w:p>
            <w:pPr>
              <w:jc w:val="center"/>
              <w:rPr>
                <w:rFonts w:hint="default" w:ascii="Times New Roman" w:hAnsi="Times New Roman" w:eastAsia="仿宋" w:cs="Times New Roman"/>
                <w:b/>
                <w:color w:val="auto"/>
                <w:kern w:val="0"/>
                <w:sz w:val="24"/>
                <w:szCs w:val="24"/>
              </w:rPr>
            </w:pPr>
            <w:r>
              <w:rPr>
                <w:rFonts w:hint="default" w:ascii="Times New Roman" w:hAnsi="Times New Roman" w:eastAsia="仿宋" w:cs="Times New Roman"/>
                <w:b/>
                <w:color w:val="auto"/>
                <w:kern w:val="0"/>
                <w:sz w:val="24"/>
                <w:szCs w:val="24"/>
              </w:rPr>
              <w:t>比值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976" w:type="dxa"/>
            <w:vAlign w:val="center"/>
          </w:tcPr>
          <w:p>
            <w:pPr>
              <w:jc w:val="center"/>
              <w:rPr>
                <w:rFonts w:hint="default" w:ascii="Times New Roman" w:hAnsi="Times New Roman" w:eastAsia="仿宋" w:cs="Times New Roman"/>
                <w:bCs/>
                <w:color w:val="auto"/>
                <w:kern w:val="0"/>
                <w:sz w:val="24"/>
                <w:szCs w:val="24"/>
                <w:lang w:eastAsia="zh-CN"/>
              </w:rPr>
            </w:pPr>
            <w:r>
              <w:rPr>
                <w:rFonts w:hint="eastAsia" w:eastAsia="仿宋" w:cs="Times New Roman"/>
                <w:bCs/>
                <w:color w:val="auto"/>
                <w:kern w:val="0"/>
                <w:sz w:val="24"/>
                <w:szCs w:val="24"/>
                <w:lang w:eastAsia="zh-CN"/>
              </w:rPr>
              <w:t>废机油</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0.2</w:t>
            </w:r>
          </w:p>
        </w:tc>
        <w:tc>
          <w:tcPr>
            <w:tcW w:w="1977" w:type="dxa"/>
            <w:vAlign w:val="center"/>
          </w:tcPr>
          <w:p>
            <w:pPr>
              <w:jc w:val="center"/>
              <w:rPr>
                <w:rFonts w:hint="default" w:ascii="Times New Roman" w:hAnsi="Times New Roman" w:eastAsia="仿宋" w:cs="Times New Roman"/>
                <w:bCs/>
                <w:color w:val="auto"/>
                <w:kern w:val="0"/>
                <w:sz w:val="24"/>
                <w:szCs w:val="24"/>
                <w:lang w:eastAsia="zh-CN"/>
              </w:rPr>
            </w:pPr>
            <w:r>
              <w:rPr>
                <w:rFonts w:hint="eastAsia" w:eastAsia="仿宋" w:cs="Times New Roman"/>
                <w:bCs/>
                <w:color w:val="auto"/>
                <w:kern w:val="0"/>
                <w:sz w:val="24"/>
                <w:szCs w:val="24"/>
                <w:lang w:eastAsia="zh-CN"/>
              </w:rPr>
              <w:t>危废暂存间</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2500</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0.00008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907" w:type="dxa"/>
            <w:gridSpan w:val="4"/>
            <w:vAlign w:val="center"/>
          </w:tcPr>
          <w:p>
            <w:pPr>
              <w:jc w:val="center"/>
              <w:rPr>
                <w:rFonts w:hint="default" w:ascii="Times New Roman" w:hAnsi="Times New Roman" w:eastAsia="仿宋" w:cs="Times New Roman"/>
                <w:bCs/>
                <w:color w:val="auto"/>
                <w:kern w:val="0"/>
                <w:sz w:val="24"/>
                <w:szCs w:val="24"/>
              </w:rPr>
            </w:pPr>
            <w:r>
              <w:rPr>
                <w:rFonts w:hint="default" w:ascii="Times New Roman" w:hAnsi="Times New Roman" w:eastAsia="仿宋" w:cs="Times New Roman"/>
                <w:bCs/>
                <w:color w:val="auto"/>
                <w:kern w:val="0"/>
                <w:sz w:val="24"/>
                <w:szCs w:val="24"/>
              </w:rPr>
              <w:t>Q</w:t>
            </w:r>
          </w:p>
        </w:tc>
        <w:tc>
          <w:tcPr>
            <w:tcW w:w="1977" w:type="dxa"/>
            <w:vAlign w:val="center"/>
          </w:tcPr>
          <w:p>
            <w:pPr>
              <w:jc w:val="center"/>
              <w:rPr>
                <w:rFonts w:hint="default" w:ascii="Times New Roman" w:hAnsi="Times New Roman" w:eastAsia="仿宋" w:cs="Times New Roman"/>
                <w:bCs/>
                <w:color w:val="auto"/>
                <w:kern w:val="0"/>
                <w:sz w:val="24"/>
                <w:szCs w:val="24"/>
                <w:lang w:val="en-US" w:eastAsia="zh-CN"/>
              </w:rPr>
            </w:pPr>
            <w:r>
              <w:rPr>
                <w:rFonts w:hint="eastAsia" w:eastAsia="仿宋" w:cs="Times New Roman"/>
                <w:bCs/>
                <w:color w:val="auto"/>
                <w:kern w:val="0"/>
                <w:sz w:val="24"/>
                <w:szCs w:val="24"/>
                <w:lang w:val="en-US" w:eastAsia="zh-CN"/>
              </w:rPr>
              <w:t>0.00008</w:t>
            </w:r>
            <w:r>
              <w:rPr>
                <w:rFonts w:hint="default" w:ascii="Times New Roman" w:hAnsi="Times New Roman" w:eastAsia="仿宋" w:cs="Times New Roman"/>
                <w:bCs/>
                <w:color w:val="auto"/>
                <w:kern w:val="0"/>
                <w:sz w:val="24"/>
                <w:szCs w:val="24"/>
              </w:rPr>
              <w:t>&lt;1</w:t>
            </w:r>
          </w:p>
        </w:tc>
      </w:tr>
    </w:tbl>
    <w:p>
      <w:pPr>
        <w:adjustRightInd w:val="0"/>
        <w:snapToGrid w:val="0"/>
        <w:spacing w:line="360" w:lineRule="auto"/>
        <w:ind w:firstLine="56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从表7-1可以得出： 企 业 涉 </w:t>
      </w:r>
      <w:r>
        <w:rPr>
          <w:rFonts w:hint="eastAsia" w:eastAsia="仿宋" w:cs="Times New Roman"/>
          <w:color w:val="auto"/>
          <w:sz w:val="28"/>
          <w:szCs w:val="28"/>
          <w:lang w:eastAsia="zh-CN"/>
        </w:rPr>
        <w:t>水</w:t>
      </w:r>
      <w:r>
        <w:rPr>
          <w:rFonts w:hint="default" w:ascii="Times New Roman" w:hAnsi="Times New Roman" w:eastAsia="仿宋" w:cs="Times New Roman"/>
          <w:color w:val="auto"/>
          <w:sz w:val="28"/>
          <w:szCs w:val="28"/>
        </w:rPr>
        <w:t xml:space="preserve"> 风 险 物 质 数 量 与 临 界 量 比 值Q=0.00</w:t>
      </w:r>
      <w:r>
        <w:rPr>
          <w:rFonts w:hint="eastAsia" w:eastAsia="仿宋" w:cs="Times New Roman"/>
          <w:color w:val="auto"/>
          <w:sz w:val="28"/>
          <w:szCs w:val="28"/>
          <w:lang w:val="en-US" w:eastAsia="zh-CN"/>
        </w:rPr>
        <w:t>008</w:t>
      </w:r>
      <w:r>
        <w:rPr>
          <w:rFonts w:hint="default" w:ascii="Times New Roman" w:hAnsi="Times New Roman" w:eastAsia="仿宋" w:cs="Times New Roman"/>
          <w:color w:val="auto"/>
          <w:sz w:val="28"/>
          <w:szCs w:val="28"/>
        </w:rPr>
        <w:t>＜1</w:t>
      </w:r>
      <w:r>
        <w:rPr>
          <w:rFonts w:hint="eastAsia" w:eastAsia="仿宋" w:cs="Times New Roman"/>
          <w:color w:val="auto"/>
          <w:sz w:val="28"/>
          <w:szCs w:val="28"/>
          <w:lang w:eastAsia="zh-CN"/>
        </w:rPr>
        <w:t>，故陕西勇轩建材有限公司</w:t>
      </w:r>
      <w:r>
        <w:rPr>
          <w:rFonts w:hint="default" w:ascii="Times New Roman" w:hAnsi="Times New Roman" w:eastAsia="仿宋" w:cs="Times New Roman"/>
          <w:color w:val="auto"/>
          <w:sz w:val="28"/>
          <w:szCs w:val="28"/>
        </w:rPr>
        <w:t>突发</w:t>
      </w:r>
      <w:r>
        <w:rPr>
          <w:rFonts w:hint="eastAsia" w:eastAsia="仿宋" w:cs="Times New Roman"/>
          <w:color w:val="auto"/>
          <w:sz w:val="28"/>
          <w:szCs w:val="28"/>
          <w:lang w:eastAsia="zh-CN"/>
        </w:rPr>
        <w:t>水</w:t>
      </w:r>
      <w:r>
        <w:rPr>
          <w:rFonts w:hint="default" w:ascii="Times New Roman" w:hAnsi="Times New Roman" w:eastAsia="仿宋" w:cs="Times New Roman"/>
          <w:color w:val="auto"/>
          <w:sz w:val="28"/>
          <w:szCs w:val="28"/>
        </w:rPr>
        <w:t>环境事件风险等级直接评定为一般环境风险等级，表示为“一般-</w:t>
      </w:r>
      <w:r>
        <w:rPr>
          <w:rFonts w:hint="eastAsia" w:eastAsia="仿宋" w:cs="Times New Roman"/>
          <w:color w:val="auto"/>
          <w:sz w:val="28"/>
          <w:szCs w:val="28"/>
          <w:lang w:eastAsia="zh-CN"/>
        </w:rPr>
        <w:t>水</w:t>
      </w:r>
      <w:r>
        <w:rPr>
          <w:rFonts w:hint="default" w:ascii="Times New Roman" w:hAnsi="Times New Roman" w:eastAsia="仿宋" w:cs="Times New Roman"/>
          <w:color w:val="auto"/>
          <w:sz w:val="28"/>
          <w:szCs w:val="28"/>
        </w:rPr>
        <w:t>（Q0）”。</w:t>
      </w:r>
    </w:p>
    <w:p>
      <w:pPr>
        <w:adjustRightInd w:val="0"/>
        <w:snapToGrid w:val="0"/>
        <w:spacing w:line="360" w:lineRule="auto"/>
        <w:ind w:firstLine="560"/>
        <w:rPr>
          <w:rFonts w:hint="default" w:ascii="Times New Roman" w:hAnsi="Times New Roman" w:eastAsia="仿宋" w:cs="Times New Roman"/>
          <w:b/>
          <w:bCs/>
          <w:color w:val="auto"/>
          <w:sz w:val="28"/>
          <w:szCs w:val="28"/>
        </w:rPr>
      </w:pPr>
    </w:p>
    <w:p>
      <w:pPr>
        <w:spacing w:line="360" w:lineRule="auto"/>
        <w:outlineLvl w:val="1"/>
        <w:rPr>
          <w:rFonts w:hint="default" w:ascii="Times New Roman" w:hAnsi="Times New Roman" w:eastAsia="仿宋" w:cs="Times New Roman"/>
          <w:b/>
          <w:bCs/>
          <w:snapToGrid w:val="0"/>
          <w:color w:val="auto"/>
          <w:kern w:val="0"/>
          <w:sz w:val="28"/>
          <w:szCs w:val="28"/>
        </w:rPr>
      </w:pPr>
      <w:bookmarkStart w:id="97" w:name="_Toc30147"/>
      <w:r>
        <w:rPr>
          <w:rFonts w:hint="default" w:ascii="Times New Roman" w:hAnsi="Times New Roman" w:eastAsia="仿宋" w:cs="Times New Roman"/>
          <w:b/>
          <w:bCs/>
          <w:snapToGrid w:val="0"/>
          <w:color w:val="auto"/>
          <w:kern w:val="0"/>
          <w:sz w:val="28"/>
          <w:szCs w:val="28"/>
        </w:rPr>
        <w:t>7.3企业突发环境事件风险等级确定与调整</w:t>
      </w:r>
      <w:bookmarkEnd w:id="97"/>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(1)风险等级的确定</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根据7.1和7.2可知，</w:t>
      </w: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突发环境事件风险等级为一般环境风险等级。</w:t>
      </w:r>
    </w:p>
    <w:p>
      <w:pPr>
        <w:spacing w:line="360" w:lineRule="auto"/>
        <w:ind w:firstLine="560" w:firstLineChars="200"/>
        <w:rPr>
          <w:rFonts w:hint="default" w:ascii="Times New Roman" w:hAnsi="Times New Roman" w:eastAsia="仿宋" w:cs="Times New Roman"/>
          <w:b/>
          <w:bCs/>
          <w:color w:val="auto"/>
          <w:sz w:val="28"/>
          <w:szCs w:val="28"/>
        </w:rPr>
      </w:pPr>
      <w:r>
        <w:rPr>
          <w:rFonts w:hint="default" w:ascii="Times New Roman" w:hAnsi="Times New Roman" w:eastAsia="仿宋" w:cs="Times New Roman"/>
          <w:color w:val="auto"/>
          <w:sz w:val="28"/>
          <w:szCs w:val="28"/>
        </w:rPr>
        <w:t>(2)风险等级调整</w:t>
      </w:r>
    </w:p>
    <w:p>
      <w:pPr>
        <w:spacing w:line="360" w:lineRule="auto"/>
        <w:ind w:firstLine="560" w:firstLineChars="200"/>
        <w:rPr>
          <w:rFonts w:hint="default" w:ascii="Times New Roman" w:hAnsi="Times New Roman" w:eastAsia="仿宋" w:cs="Times New Roman"/>
          <w:color w:val="auto"/>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近三年内不存在违法排放污染物，不存在非法转移危险废物等行为，不存在环境保护主管部门处罚记录。故</w:t>
      </w: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突发环境事件风险等级不需要调高一级，为一般环境风险等级。</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(3)风险等级表征</w:t>
      </w:r>
    </w:p>
    <w:p>
      <w:pPr>
        <w:spacing w:line="360" w:lineRule="auto"/>
        <w:ind w:firstLine="560" w:firstLineChars="200"/>
        <w:jc w:val="left"/>
        <w:rPr>
          <w:rFonts w:hint="default" w:ascii="Times New Roman" w:hAnsi="Times New Roman" w:eastAsia="仿宋" w:cs="Times New Roman"/>
          <w:color w:val="auto"/>
          <w:sz w:val="28"/>
          <w:szCs w:val="28"/>
        </w:rPr>
      </w:pPr>
      <w:r>
        <w:rPr>
          <w:rFonts w:hint="eastAsia" w:eastAsia="仿宋" w:cs="Times New Roman"/>
          <w:color w:val="auto"/>
          <w:sz w:val="28"/>
          <w:szCs w:val="28"/>
          <w:lang w:eastAsia="zh-CN"/>
        </w:rPr>
        <w:t>陕西勇轩建材有限公司</w:t>
      </w:r>
      <w:r>
        <w:rPr>
          <w:rFonts w:hint="default" w:ascii="Times New Roman" w:hAnsi="Times New Roman" w:eastAsia="仿宋" w:cs="Times New Roman"/>
          <w:color w:val="auto"/>
          <w:sz w:val="28"/>
          <w:szCs w:val="28"/>
        </w:rPr>
        <w:t>突发环境事件风险等级表示为“一般环境风险等级[</w:t>
      </w:r>
      <w:r>
        <w:rPr>
          <w:rFonts w:hint="default" w:ascii="Times New Roman" w:hAnsi="Times New Roman" w:eastAsia="仿宋" w:cs="Times New Roman"/>
          <w:color w:val="auto"/>
          <w:sz w:val="28"/>
          <w:szCs w:val="28"/>
          <w:lang w:val="en-US" w:eastAsia="zh-CN"/>
        </w:rPr>
        <w:t>一般-大气（</w:t>
      </w:r>
      <w:r>
        <w:rPr>
          <w:rFonts w:hint="default" w:ascii="Times New Roman" w:hAnsi="Times New Roman" w:eastAsia="仿宋" w:cs="Times New Roman"/>
          <w:color w:val="auto"/>
          <w:sz w:val="28"/>
          <w:szCs w:val="28"/>
        </w:rPr>
        <w:t>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lang w:val="en-US" w:eastAsia="zh-CN"/>
        </w:rPr>
        <w:t>）</w:t>
      </w:r>
      <w:r>
        <w:rPr>
          <w:rFonts w:hint="eastAsia" w:eastAsia="仿宋" w:cs="Times New Roman"/>
          <w:color w:val="auto"/>
          <w:sz w:val="28"/>
          <w:szCs w:val="28"/>
          <w:lang w:val="en-US" w:eastAsia="zh-CN"/>
        </w:rPr>
        <w:t>+一般-水</w:t>
      </w:r>
      <w:r>
        <w:rPr>
          <w:rFonts w:hint="default"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rPr>
        <w:t>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rPr>
        <w:t>]”。</w:t>
      </w:r>
    </w:p>
    <w:p>
      <w:pPr>
        <w:spacing w:before="156" w:beforeLines="50" w:after="156" w:afterLines="50" w:line="360" w:lineRule="auto"/>
        <w:jc w:val="left"/>
        <w:outlineLvl w:val="0"/>
        <w:rPr>
          <w:rStyle w:val="26"/>
          <w:rFonts w:hint="default" w:ascii="Times New Roman" w:hAnsi="Times New Roman" w:eastAsia="仿宋" w:cs="Times New Roman"/>
          <w:color w:val="auto"/>
          <w:kern w:val="44"/>
          <w:sz w:val="32"/>
          <w:szCs w:val="32"/>
        </w:rPr>
        <w:sectPr>
          <w:headerReference r:id="rId12" w:type="default"/>
          <w:footerReference r:id="rId13" w:type="default"/>
          <w:pgSz w:w="11906" w:h="16838"/>
          <w:pgMar w:top="1440" w:right="962" w:bottom="1440" w:left="1276" w:header="851" w:footer="992" w:gutter="0"/>
          <w:pgNumType w:fmt="decimal"/>
          <w:cols w:space="720" w:num="1"/>
          <w:docGrid w:type="lines" w:linePitch="312" w:charSpace="0"/>
        </w:sectPr>
      </w:pPr>
    </w:p>
    <w:p>
      <w:pPr>
        <w:spacing w:before="156" w:beforeLines="50" w:after="156" w:afterLines="50" w:line="360" w:lineRule="auto"/>
        <w:jc w:val="left"/>
        <w:outlineLvl w:val="0"/>
        <w:rPr>
          <w:rStyle w:val="26"/>
          <w:rFonts w:hint="default" w:ascii="Times New Roman" w:hAnsi="Times New Roman" w:eastAsia="仿宋" w:cs="Times New Roman"/>
          <w:color w:val="auto"/>
          <w:kern w:val="44"/>
          <w:sz w:val="32"/>
          <w:szCs w:val="32"/>
        </w:rPr>
      </w:pPr>
      <w:bookmarkStart w:id="98" w:name="_Toc21834"/>
      <w:r>
        <w:rPr>
          <w:rStyle w:val="26"/>
          <w:rFonts w:hint="default" w:ascii="Times New Roman" w:hAnsi="Times New Roman" w:eastAsia="仿宋" w:cs="Times New Roman"/>
          <w:color w:val="auto"/>
          <w:kern w:val="44"/>
          <w:sz w:val="32"/>
          <w:szCs w:val="32"/>
        </w:rPr>
        <w:t>8附图附件</w:t>
      </w:r>
      <w:bookmarkEnd w:id="98"/>
    </w:p>
    <w:p>
      <w:pPr>
        <w:spacing w:line="360" w:lineRule="auto"/>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附图1    地理位置图</w:t>
      </w:r>
    </w:p>
    <w:p>
      <w:pPr>
        <w:spacing w:line="360" w:lineRule="auto"/>
        <w:jc w:val="left"/>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附图2    平面布置图</w:t>
      </w:r>
    </w:p>
    <w:p>
      <w:pPr>
        <w:spacing w:line="360" w:lineRule="auto"/>
        <w:jc w:val="left"/>
        <w:rPr>
          <w:rFonts w:hint="default" w:ascii="Times New Roman" w:hAnsi="Times New Roman" w:eastAsia="仿宋" w:cs="Times New Roman"/>
          <w:color w:val="auto"/>
          <w:sz w:val="28"/>
          <w:szCs w:val="28"/>
        </w:rPr>
        <w:sectPr>
          <w:footerReference r:id="rId14" w:type="default"/>
          <w:pgSz w:w="11906" w:h="16838"/>
          <w:pgMar w:top="1440" w:right="1587" w:bottom="1440" w:left="1587" w:header="851" w:footer="992" w:gutter="0"/>
          <w:pgNumType w:fmt="decimal"/>
          <w:cols w:space="720" w:num="1"/>
          <w:docGrid w:type="lines" w:linePitch="312" w:charSpace="0"/>
        </w:sectPr>
      </w:pPr>
      <w:r>
        <w:rPr>
          <w:rFonts w:hint="default" w:ascii="Times New Roman" w:hAnsi="Times New Roman" w:eastAsia="仿宋" w:cs="Times New Roman"/>
          <w:color w:val="auto"/>
          <w:sz w:val="28"/>
          <w:szCs w:val="28"/>
        </w:rPr>
        <w:t>附图3    周围环境风险受体分布图</w:t>
      </w:r>
    </w:p>
    <w:p>
      <w:pPr>
        <w:pStyle w:val="2"/>
        <w:rPr>
          <w:rFonts w:hint="default"/>
          <w:color w:val="auto"/>
        </w:rPr>
        <w:sectPr>
          <w:type w:val="continuous"/>
          <w:pgSz w:w="11906" w:h="16838"/>
          <w:pgMar w:top="1440" w:right="1587" w:bottom="1440" w:left="1587" w:header="851" w:footer="992" w:gutter="0"/>
          <w:pgNumType w:fmt="decimal"/>
          <w:cols w:space="720" w:num="1"/>
          <w:docGrid w:type="lines" w:linePitch="312" w:charSpace="0"/>
        </w:sectPr>
      </w:pPr>
    </w:p>
    <w:p>
      <w:pPr>
        <w:pStyle w:val="7"/>
        <w:ind w:firstLine="562"/>
        <w:jc w:val="center"/>
        <w:rPr>
          <w:rFonts w:hint="default" w:ascii="Times New Roman" w:hAnsi="Times New Roman" w:eastAsia="仿宋" w:cs="Times New Roman"/>
          <w:b/>
          <w:bCs/>
          <w:color w:val="auto"/>
          <w:sz w:val="28"/>
          <w:szCs w:val="28"/>
        </w:rPr>
      </w:pPr>
    </w:p>
    <w:p>
      <w:pPr>
        <w:pStyle w:val="7"/>
        <w:ind w:left="0" w:leftChars="0" w:firstLine="0" w:firstLineChars="0"/>
        <w:jc w:val="center"/>
        <w:rPr>
          <w:rFonts w:hint="default" w:ascii="Times New Roman" w:hAnsi="Times New Roman" w:eastAsia="仿宋" w:cs="Times New Roman"/>
          <w:color w:val="auto"/>
        </w:rPr>
      </w:pPr>
      <w:r>
        <w:rPr>
          <w:color w:val="auto"/>
        </w:rPr>
        <w:drawing>
          <wp:inline distT="0" distB="0" distL="114300" distR="114300">
            <wp:extent cx="8851900" cy="4533265"/>
            <wp:effectExtent l="0" t="0" r="6350" b="63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21"/>
                    <a:stretch>
                      <a:fillRect/>
                    </a:stretch>
                  </pic:blipFill>
                  <pic:spPr>
                    <a:xfrm>
                      <a:off x="0" y="0"/>
                      <a:ext cx="8851900" cy="4533265"/>
                    </a:xfrm>
                    <a:prstGeom prst="rect">
                      <a:avLst/>
                    </a:prstGeom>
                    <a:noFill/>
                    <a:ln>
                      <a:noFill/>
                    </a:ln>
                  </pic:spPr>
                </pic:pic>
              </a:graphicData>
            </a:graphic>
          </wp:inline>
        </w:drawing>
      </w:r>
    </w:p>
    <w:p>
      <w:pPr>
        <w:pStyle w:val="7"/>
        <w:ind w:left="0" w:leftChars="0" w:firstLine="0" w:firstLineChars="0"/>
        <w:jc w:val="center"/>
        <w:rPr>
          <w:rFonts w:hint="default"/>
          <w:color w:val="auto"/>
        </w:rPr>
        <w:sectPr>
          <w:footerReference r:id="rId15" w:type="default"/>
          <w:pgSz w:w="16838" w:h="11906" w:orient="landscape"/>
          <w:pgMar w:top="1587" w:right="1440" w:bottom="1587" w:left="1440" w:header="851" w:footer="992" w:gutter="0"/>
          <w:pgNumType w:fmt="decimal"/>
          <w:cols w:space="720" w:num="1"/>
          <w:docGrid w:type="lines" w:linePitch="312" w:charSpace="0"/>
        </w:sectPr>
      </w:pPr>
      <w:r>
        <w:rPr>
          <w:rFonts w:hint="default" w:ascii="Times New Roman" w:hAnsi="Times New Roman" w:eastAsia="仿宋" w:cs="Times New Roman"/>
          <w:b/>
          <w:bCs/>
          <w:color w:val="auto"/>
          <w:sz w:val="28"/>
          <w:szCs w:val="28"/>
        </w:rPr>
        <w:t>附图1  地理位置图</w:t>
      </w:r>
    </w:p>
    <w:p>
      <w:pPr>
        <w:pStyle w:val="7"/>
        <w:ind w:firstLine="0" w:firstLineChars="0"/>
        <w:rPr>
          <w:rFonts w:hint="default" w:ascii="Times New Roman" w:hAnsi="Times New Roman" w:eastAsia="仿宋" w:cs="Times New Roman"/>
          <w:color w:val="auto"/>
          <w:lang w:eastAsia="zh-CN"/>
        </w:rPr>
      </w:pPr>
      <w:r>
        <w:rPr>
          <w:color w:val="auto"/>
          <w:sz w:val="21"/>
        </w:rPr>
        <mc:AlternateContent>
          <mc:Choice Requires="wps">
            <w:drawing>
              <wp:anchor distT="0" distB="0" distL="114300" distR="114300" simplePos="0" relativeHeight="3751051264" behindDoc="0" locked="0" layoutInCell="1" allowOverlap="1">
                <wp:simplePos x="0" y="0"/>
                <wp:positionH relativeFrom="column">
                  <wp:posOffset>3137535</wp:posOffset>
                </wp:positionH>
                <wp:positionV relativeFrom="paragraph">
                  <wp:posOffset>2459990</wp:posOffset>
                </wp:positionV>
                <wp:extent cx="1894205" cy="104775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94205" cy="10477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sz w:val="28"/>
                                <w:szCs w:val="28"/>
                              </w:rPr>
                            </w:pPr>
                            <w:r>
                              <w:rPr>
                                <w:rFonts w:hint="eastAsia"/>
                                <w:sz w:val="28"/>
                                <w:szCs w:val="28"/>
                              </w:rPr>
                              <w:t>陕西卓建永固建材有限公司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7.05pt;margin-top:193.7pt;height:82.5pt;width:149.15pt;z-index:-543916032;mso-width-relative:page;mso-height-relative:page;" filled="f" stroked="f" coordsize="21600,21600" o:gfxdata="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Zi/sdwAAAALAQAADwAAAAAAAAABACAAAAAiAAAAZHJzL2Rvd25yZXYueG1sUEsBAhQAFAAAAAgA&#10;h07iQIHzSPkhAgAAGwQAAA4AAAAAAAAAAQAgAAAAKwEAAGRycy9lMm9Eb2MueG1sUEsFBgAAAAAG&#10;AAYAWQEAAL4FAAAAAA==&#10;">
                <v:fill on="f" focussize="0,0"/>
                <v:stroke on="f" weight="0.5pt"/>
                <v:imagedata o:title=""/>
                <o:lock v:ext="edit" aspectratio="f"/>
                <v:textbox>
                  <w:txbxContent>
                    <w:p>
                      <w:pPr>
                        <w:jc w:val="center"/>
                        <w:rPr>
                          <w:sz w:val="28"/>
                          <w:szCs w:val="28"/>
                        </w:rPr>
                      </w:pPr>
                      <w:r>
                        <w:rPr>
                          <w:rFonts w:hint="eastAsia"/>
                          <w:sz w:val="28"/>
                          <w:szCs w:val="28"/>
                        </w:rPr>
                        <w:t>陕西卓建永固建材有限公司</w:t>
                      </w:r>
                    </w:p>
                  </w:txbxContent>
                </v:textbox>
              </v:shape>
            </w:pict>
          </mc:Fallback>
        </mc:AlternateContent>
      </w:r>
      <w:r>
        <w:rPr>
          <w:color w:val="auto"/>
          <w:sz w:val="21"/>
        </w:rPr>
        <mc:AlternateContent>
          <mc:Choice Requires="wpg">
            <w:drawing>
              <wp:anchor distT="0" distB="0" distL="114300" distR="114300" simplePos="0" relativeHeight="976898048" behindDoc="0" locked="0" layoutInCell="1" allowOverlap="1">
                <wp:simplePos x="0" y="0"/>
                <wp:positionH relativeFrom="column">
                  <wp:posOffset>5046980</wp:posOffset>
                </wp:positionH>
                <wp:positionV relativeFrom="paragraph">
                  <wp:posOffset>-53975</wp:posOffset>
                </wp:positionV>
                <wp:extent cx="487680" cy="797560"/>
                <wp:effectExtent l="0" t="0" r="0" b="17145"/>
                <wp:wrapNone/>
                <wp:docPr id="132" name="组合 132"/>
                <wp:cNvGraphicFramePr/>
                <a:graphic xmlns:a="http://schemas.openxmlformats.org/drawingml/2006/main">
                  <a:graphicData uri="http://schemas.microsoft.com/office/word/2010/wordprocessingGroup">
                    <wpg:wgp>
                      <wpg:cNvGrpSpPr/>
                      <wpg:grpSpPr>
                        <a:xfrm>
                          <a:off x="0" y="0"/>
                          <a:ext cx="487680" cy="797560"/>
                          <a:chOff x="15488" y="1447864"/>
                          <a:chExt cx="768" cy="1256"/>
                        </a:xfrm>
                      </wpg:grpSpPr>
                      <wps:wsp>
                        <wps:cNvPr id="133" name="上箭头 126"/>
                        <wps:cNvSpPr/>
                        <wps:spPr>
                          <a:xfrm>
                            <a:off x="15769" y="1448482"/>
                            <a:ext cx="244" cy="638"/>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34" name="文本框 127"/>
                        <wps:cNvSpPr txBox="1"/>
                        <wps:spPr>
                          <a:xfrm>
                            <a:off x="15488" y="1447864"/>
                            <a:ext cx="769" cy="63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sz w:val="28"/>
                                  <w:szCs w:val="28"/>
                                  <w:lang w:val="en-US" w:eastAsia="zh-CN"/>
                                </w:rPr>
                              </w:pPr>
                              <w:r>
                                <w:rPr>
                                  <w:rFonts w:hint="eastAsia"/>
                                  <w:sz w:val="28"/>
                                  <w:szCs w:val="28"/>
                                  <w:lang w:val="en-US" w:eastAsia="zh-CN"/>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397.4pt;margin-top:-4.25pt;height:62.8pt;width:38.4pt;z-index:976898048;mso-width-relative:page;mso-height-relative:page;" coordorigin="15488,1447864" coordsize="768,1256" o:gfxdata="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">
                <o:lock v:ext="edit" aspectratio="f"/>
                <v:shape id="上箭头 126" o:spid="_x0000_s1026" o:spt="68" type="#_x0000_t68" style="position:absolute;left:15769;top:1448482;height:638;width:244;v-text-anchor:middle;" fillcolor="#4F81BD [3204]" filled="t" stroked="t" coordsize="21600,21600" o:gfxdata="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gKdc&#10;wAAAANwAAAAPAAAAAAAAAAEAIAAAACIAAABkcnMvZG93bnJldi54bWxQSwECFAAUAAAACACHTuJA&#10;My8FnjsAAAA5AAAAEAAAAAAAAAABACAAAAAPAQAAZHJzL3NoYXBleG1sLnhtbFBLBQYAAAAABgAG&#10;AFsBAAC5AwAAAAA=&#10;" adj="4130,5400">
                  <v:fill on="t" focussize="0,0"/>
                  <v:stroke weight="2pt" color="#385D8A [3204]" joinstyle="round"/>
                  <v:imagedata o:title=""/>
                  <o:lock v:ext="edit" aspectratio="f"/>
                </v:shape>
                <v:shape id="文本框 127" o:spid="_x0000_s1026" o:spt="202" type="#_x0000_t202" style="position:absolute;left:15488;top:1447864;height:638;width:769;" filled="f" stroked="f" coordsize="21600,21600" o:gfxdata="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6dwTC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eastAsia" w:eastAsia="宋体"/>
                            <w:sz w:val="28"/>
                            <w:szCs w:val="28"/>
                            <w:lang w:val="en-US" w:eastAsia="zh-CN"/>
                          </w:rPr>
                        </w:pPr>
                        <w:r>
                          <w:rPr>
                            <w:rFonts w:hint="eastAsia"/>
                            <w:sz w:val="28"/>
                            <w:szCs w:val="28"/>
                            <w:lang w:val="en-US" w:eastAsia="zh-CN"/>
                          </w:rPr>
                          <w:t>N</w:t>
                        </w:r>
                      </w:p>
                    </w:txbxContent>
                  </v:textbox>
                </v:shape>
              </v:group>
            </w:pict>
          </mc:Fallback>
        </mc:AlternateContent>
      </w:r>
      <w:r>
        <w:rPr>
          <w:color w:val="auto"/>
          <w:sz w:val="21"/>
        </w:rPr>
        <mc:AlternateContent>
          <mc:Choice Requires="wps">
            <w:drawing>
              <wp:anchor distT="0" distB="0" distL="114300" distR="114300" simplePos="0" relativeHeight="976896000" behindDoc="0" locked="0" layoutInCell="1" allowOverlap="1">
                <wp:simplePos x="0" y="0"/>
                <wp:positionH relativeFrom="column">
                  <wp:posOffset>3023235</wp:posOffset>
                </wp:positionH>
                <wp:positionV relativeFrom="paragraph">
                  <wp:posOffset>57785</wp:posOffset>
                </wp:positionV>
                <wp:extent cx="976630" cy="1595120"/>
                <wp:effectExtent l="12700" t="0" r="20320" b="30480"/>
                <wp:wrapNone/>
                <wp:docPr id="130" name="矩形 130"/>
                <wp:cNvGraphicFramePr/>
                <a:graphic xmlns:a="http://schemas.openxmlformats.org/drawingml/2006/main">
                  <a:graphicData uri="http://schemas.microsoft.com/office/word/2010/wordprocessingShape">
                    <wps:wsp>
                      <wps:cNvSpPr/>
                      <wps:spPr>
                        <a:xfrm>
                          <a:off x="0" y="0"/>
                          <a:ext cx="976630" cy="15951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38.05pt;margin-top:4.55pt;height:125.6pt;width:76.9pt;z-index:976896000;v-text-anchor:middle;mso-width-relative:page;mso-height-relative:page;" fillcolor="#FFFFFF [3212]" filled="t" stroked="t" coordsize="21600,21600" o:gfxdata="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YvPCB2gAAAAkBAAAPAAAAAAAAAAEA&#10;IAAAACIAAABkcnMvZG93bnJldi54bWxQSwECFAAUAAAACACHTuJANR3KZ0YCAACTBAAADgAAAAAA&#10;AAABACAAAAApAQAAZHJzL2Uyb0RvYy54bWxQSwUGAAAAAAYABgBZAQAA4QUAAAAA&#10;">
                <v:fill on="t" focussize="0,0"/>
                <v:stroke weight="2pt" color="#FFFFFF [3212]" joinstyle="round"/>
                <v:imagedata o:title=""/>
                <o:lock v:ext="edit" aspectratio="f"/>
              </v:rect>
            </w:pict>
          </mc:Fallback>
        </mc:AlternateContent>
      </w:r>
      <w:r>
        <w:rPr>
          <w:color w:val="auto"/>
          <w:sz w:val="21"/>
        </w:rPr>
        <mc:AlternateContent>
          <mc:Choice Requires="wps">
            <w:drawing>
              <wp:anchor distT="0" distB="0" distL="114300" distR="114300" simplePos="0" relativeHeight="976897024" behindDoc="0" locked="0" layoutInCell="1" allowOverlap="1">
                <wp:simplePos x="0" y="0"/>
                <wp:positionH relativeFrom="column">
                  <wp:posOffset>2599690</wp:posOffset>
                </wp:positionH>
                <wp:positionV relativeFrom="paragraph">
                  <wp:posOffset>624205</wp:posOffset>
                </wp:positionV>
                <wp:extent cx="2984500" cy="4191000"/>
                <wp:effectExtent l="12700" t="12700" r="12700" b="25400"/>
                <wp:wrapNone/>
                <wp:docPr id="131" name="任意多边形 131"/>
                <wp:cNvGraphicFramePr/>
                <a:graphic xmlns:a="http://schemas.openxmlformats.org/drawingml/2006/main">
                  <a:graphicData uri="http://schemas.microsoft.com/office/word/2010/wordprocessingShape">
                    <wps:wsp>
                      <wps:cNvSpPr/>
                      <wps:spPr>
                        <a:xfrm>
                          <a:off x="0" y="0"/>
                          <a:ext cx="2984500" cy="4191000"/>
                        </a:xfrm>
                        <a:custGeom>
                          <a:avLst/>
                          <a:gdLst>
                            <a:gd name="connisteX0" fmla="*/ 0 w 2984500"/>
                            <a:gd name="connsiteY0" fmla="*/ 274955 h 4191000"/>
                            <a:gd name="connisteX1" fmla="*/ 2413000 w 2984500"/>
                            <a:gd name="connsiteY1" fmla="*/ 0 h 4191000"/>
                            <a:gd name="connisteX2" fmla="*/ 2984500 w 2984500"/>
                            <a:gd name="connsiteY2" fmla="*/ 3894455 h 4191000"/>
                            <a:gd name="connisteX3" fmla="*/ 592455 w 2984500"/>
                            <a:gd name="connsiteY3" fmla="*/ 4191000 h 4191000"/>
                            <a:gd name="connisteX4" fmla="*/ 0 w 2984500"/>
                            <a:gd name="connsiteY4" fmla="*/ 274955 h 4191000"/>
                          </a:gdLst>
                          <a:ahLst/>
                          <a:cxnLst>
                            <a:cxn ang="0">
                              <a:pos x="connisteX0" y="connsiteY0"/>
                            </a:cxn>
                            <a:cxn ang="0">
                              <a:pos x="connisteX1" y="connsiteY1"/>
                            </a:cxn>
                            <a:cxn ang="0">
                              <a:pos x="connisteX2" y="connsiteY2"/>
                            </a:cxn>
                            <a:cxn ang="0">
                              <a:pos x="connisteX3" y="connsiteY3"/>
                            </a:cxn>
                            <a:cxn ang="0">
                              <a:pos x="connisteX4" y="connsiteY4"/>
                            </a:cxn>
                          </a:cxnLst>
                          <a:rect l="l" t="t" r="r" b="b"/>
                          <a:pathLst>
                            <a:path w="2984500" h="4191000">
                              <a:moveTo>
                                <a:pt x="0" y="274955"/>
                              </a:moveTo>
                              <a:lnTo>
                                <a:pt x="2413000" y="0"/>
                              </a:lnTo>
                              <a:lnTo>
                                <a:pt x="2984500" y="3894455"/>
                              </a:lnTo>
                              <a:lnTo>
                                <a:pt x="592455" y="4191000"/>
                              </a:lnTo>
                              <a:lnTo>
                                <a:pt x="0" y="274955"/>
                              </a:lnTo>
                              <a:close/>
                            </a:path>
                          </a:pathLst>
                        </a:custGeom>
                        <a:noFill/>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204.7pt;margin-top:49.15pt;height:330pt;width:235pt;z-index:976897024;mso-width-relative:page;mso-height-relative:page;" filled="f" stroked="t" coordsize="2984500,4191000" o:gfxdata="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" path="m0,274955l2413000,0,2984500,3894455,592455,4191000,0,274955xe">
                <v:path o:connectlocs="0,274955;2413000,0;2984500,3894455;592455,4191000;0,274955" o:connectangles="0,0,0,0,0"/>
                <v:fill on="f" focussize="0,0"/>
                <v:stroke weight="2pt" color="#385D8A [3204]" joinstyle="round"/>
                <v:imagedata o:title=""/>
                <o:lock v:ext="edit" aspectratio="f"/>
              </v:shape>
            </w:pict>
          </mc:Fallback>
        </mc:AlternateContent>
      </w:r>
      <w:r>
        <w:rPr>
          <w:color w:val="auto"/>
          <w:sz w:val="21"/>
        </w:rPr>
        <mc:AlternateContent>
          <mc:Choice Requires="wps">
            <w:drawing>
              <wp:anchor distT="0" distB="0" distL="114300" distR="114300" simplePos="0" relativeHeight="3017167872" behindDoc="0" locked="0" layoutInCell="1" allowOverlap="1">
                <wp:simplePos x="0" y="0"/>
                <wp:positionH relativeFrom="column">
                  <wp:posOffset>1583055</wp:posOffset>
                </wp:positionH>
                <wp:positionV relativeFrom="paragraph">
                  <wp:posOffset>4502785</wp:posOffset>
                </wp:positionV>
                <wp:extent cx="634365" cy="252095"/>
                <wp:effectExtent l="0" t="0" r="0" b="0"/>
                <wp:wrapNone/>
                <wp:docPr id="116" name="文本框 116"/>
                <wp:cNvGraphicFramePr/>
                <a:graphic xmlns:a="http://schemas.openxmlformats.org/drawingml/2006/main">
                  <a:graphicData uri="http://schemas.microsoft.com/office/word/2010/wordprocessingShape">
                    <wps:wsp>
                      <wps:cNvSpPr txBox="1"/>
                      <wps:spPr>
                        <a:xfrm rot="20460000">
                          <a:off x="0" y="0"/>
                          <a:ext cx="634365" cy="2520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b/>
                                <w:bCs/>
                                <w:color w:val="00B0F0"/>
                                <w:lang w:eastAsia="zh-CN"/>
                              </w:rPr>
                              <w:t>洗车台</w:t>
                            </w:r>
                            <w:r>
                              <w:rPr>
                                <w:rFonts w:hint="eastAsia"/>
                                <w:lang w:eastAsia="zh-CN"/>
                              </w:rPr>
                              <w:t>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4.65pt;margin-top:354.55pt;height:19.85pt;width:49.95pt;rotation:-1245184f;z-index:-1277799424;mso-width-relative:page;mso-height-relative:page;" filled="f" stroked="f" coordsize="21600,21600" o:gfxdata="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BNw7f2AAAAAsBAAAPAAAAAAAAAAEAIAAAACIAAABkcnMvZG93bnJldi54bWxQSwECFAAUAAAA&#10;CACHTuJAifix6icCAAAqBAAADgAAAAAAAAABACAAAAAnAQAAZHJzL2Uyb0RvYy54bWxQSwUGAAAA&#10;AAYABgBZAQAAwAUAAAAA&#10;">
                <v:fill on="f" focussize="0,0"/>
                <v:stroke on="f" weight="0.5pt"/>
                <v:imagedata o:title=""/>
                <o:lock v:ext="edit" aspectratio="f"/>
                <v:textbox>
                  <w:txbxContent>
                    <w:p>
                      <w:pPr>
                        <w:rPr>
                          <w:rFonts w:hint="eastAsia" w:eastAsia="宋体"/>
                          <w:lang w:eastAsia="zh-CN"/>
                        </w:rPr>
                      </w:pPr>
                      <w:r>
                        <w:rPr>
                          <w:rFonts w:hint="eastAsia"/>
                          <w:b/>
                          <w:bCs/>
                          <w:color w:val="00B0F0"/>
                          <w:lang w:eastAsia="zh-CN"/>
                        </w:rPr>
                        <w:t>洗车台</w:t>
                      </w:r>
                      <w:r>
                        <w:rPr>
                          <w:rFonts w:hint="eastAsia"/>
                          <w:lang w:eastAsia="zh-CN"/>
                        </w:rPr>
                        <w:t>该</w:t>
                      </w:r>
                    </w:p>
                  </w:txbxContent>
                </v:textbox>
              </v:shape>
            </w:pict>
          </mc:Fallback>
        </mc:AlternateContent>
      </w:r>
      <w:r>
        <w:rPr>
          <w:color w:val="auto"/>
          <w:sz w:val="21"/>
        </w:rPr>
        <mc:AlternateContent>
          <mc:Choice Requires="wps">
            <w:drawing>
              <wp:anchor distT="0" distB="0" distL="114300" distR="114300" simplePos="0" relativeHeight="3017166848" behindDoc="0" locked="0" layoutInCell="1" allowOverlap="1">
                <wp:simplePos x="0" y="0"/>
                <wp:positionH relativeFrom="column">
                  <wp:posOffset>1652905</wp:posOffset>
                </wp:positionH>
                <wp:positionV relativeFrom="paragraph">
                  <wp:posOffset>4584065</wp:posOffset>
                </wp:positionV>
                <wp:extent cx="306705" cy="169545"/>
                <wp:effectExtent l="30480" t="53975" r="43815" b="62230"/>
                <wp:wrapNone/>
                <wp:docPr id="115" name="矩形 115"/>
                <wp:cNvGraphicFramePr/>
                <a:graphic xmlns:a="http://schemas.openxmlformats.org/drawingml/2006/main">
                  <a:graphicData uri="http://schemas.microsoft.com/office/word/2010/wordprocessingShape">
                    <wps:wsp>
                      <wps:cNvSpPr/>
                      <wps:spPr>
                        <a:xfrm rot="20580000">
                          <a:off x="0" y="0"/>
                          <a:ext cx="306705" cy="169545"/>
                        </a:xfrm>
                        <a:prstGeom prst="rect">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0.15pt;margin-top:360.95pt;height:13.35pt;width:24.15pt;rotation:-1114112f;z-index:-1277800448;v-text-anchor:middle;mso-width-relative:page;mso-height-relative:page;" filled="f" stroked="t" coordsize="21600,21600" o:gfxdata="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SdohzZAAAA&#10;CwEAAA8AAAAAAAAAAQAgAAAAIgAAAGRycy9kb3ducmV2LnhtbFBLAQIUABQAAAAIAIdO4kD6uMDe&#10;VQIAAIMEAAAOAAAAAAAAAAEAIAAAACgBAABkcnMvZTJvRG9jLnhtbFBLBQYAAAAABgAGAFkBAADv&#10;BQAAAAA=&#10;">
                <v:fill on="f" focussize="0,0"/>
                <v:stroke weight="2pt" color="#00B0F0 [3204]" joinstyle="round"/>
                <v:imagedata o:title=""/>
                <o:lock v:ext="edit" aspectratio="f"/>
                <v:textbox>
                  <w:txbxContent>
                    <w:p>
                      <w:pPr>
                        <w:jc w:val="center"/>
                      </w:pPr>
                    </w:p>
                  </w:txbxContent>
                </v:textbox>
              </v:rect>
            </w:pict>
          </mc:Fallback>
        </mc:AlternateContent>
      </w:r>
      <w:r>
        <w:rPr>
          <w:color w:val="auto"/>
          <w:sz w:val="32"/>
        </w:rPr>
        <mc:AlternateContent>
          <mc:Choice Requires="wps">
            <w:drawing>
              <wp:anchor distT="0" distB="0" distL="114300" distR="114300" simplePos="0" relativeHeight="762476544" behindDoc="0" locked="0" layoutInCell="1" allowOverlap="1">
                <wp:simplePos x="0" y="0"/>
                <wp:positionH relativeFrom="column">
                  <wp:posOffset>2465070</wp:posOffset>
                </wp:positionH>
                <wp:positionV relativeFrom="paragraph">
                  <wp:posOffset>4983480</wp:posOffset>
                </wp:positionV>
                <wp:extent cx="735330" cy="245745"/>
                <wp:effectExtent l="0" t="0" r="0" b="0"/>
                <wp:wrapNone/>
                <wp:docPr id="7" name="文本框 7"/>
                <wp:cNvGraphicFramePr/>
                <a:graphic xmlns:a="http://schemas.openxmlformats.org/drawingml/2006/main">
                  <a:graphicData uri="http://schemas.microsoft.com/office/word/2010/wordprocessingShape">
                    <wps:wsp>
                      <wps:cNvSpPr txBox="1"/>
                      <wps:spPr>
                        <a:xfrm rot="20880000">
                          <a:off x="3631565" y="6257925"/>
                          <a:ext cx="735330" cy="2457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b/>
                                <w:bCs/>
                                <w:sz w:val="13"/>
                                <w:szCs w:val="13"/>
                                <w:lang w:eastAsia="zh-CN"/>
                              </w:rPr>
                            </w:pPr>
                            <w:r>
                              <w:rPr>
                                <w:rFonts w:hint="eastAsia"/>
                                <w:b/>
                                <w:bCs/>
                                <w:sz w:val="13"/>
                                <w:szCs w:val="13"/>
                                <w:lang w:eastAsia="zh-CN"/>
                              </w:rPr>
                              <w:t>应急物资库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4.1pt;margin-top:392.4pt;height:19.35pt;width:57.9pt;rotation:-786432f;z-index:762476544;mso-width-relative:page;mso-height-relative:page;" filled="f" stroked="f" coordsize="21600,21600" o:gfxdata="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aRCjLZAAAACwEAAA8AAAAAAAAAAQAgAAAAIgAAAGRycy9kb3ducmV2&#10;LnhtbFBLAQIUABQAAAAIAIdO4kDdcrTDNAIAADIEAAAOAAAAAAAAAAEAIAAAACgBAABkcnMvZTJv&#10;RG9jLnhtbFBLBQYAAAAABgAGAFkBAADOBQAAAAA=&#10;">
                <v:fill on="f" focussize="0,0"/>
                <v:stroke on="f" weight="0.5pt"/>
                <v:imagedata o:title=""/>
                <o:lock v:ext="edit" aspectratio="f"/>
                <v:textbox>
                  <w:txbxContent>
                    <w:p>
                      <w:pPr>
                        <w:rPr>
                          <w:rFonts w:hint="eastAsia" w:eastAsia="宋体"/>
                          <w:b/>
                          <w:bCs/>
                          <w:sz w:val="13"/>
                          <w:szCs w:val="13"/>
                          <w:lang w:eastAsia="zh-CN"/>
                        </w:rPr>
                      </w:pPr>
                      <w:r>
                        <w:rPr>
                          <w:rFonts w:hint="eastAsia"/>
                          <w:b/>
                          <w:bCs/>
                          <w:sz w:val="13"/>
                          <w:szCs w:val="13"/>
                          <w:lang w:eastAsia="zh-CN"/>
                        </w:rPr>
                        <w:t>应急物资库</w:t>
                      </w:r>
                    </w:p>
                  </w:txbxContent>
                </v:textbox>
              </v:shape>
            </w:pict>
          </mc:Fallback>
        </mc:AlternateContent>
      </w:r>
      <w:r>
        <w:rPr>
          <w:color w:val="auto"/>
          <w:sz w:val="32"/>
        </w:rPr>
        <mc:AlternateContent>
          <mc:Choice Requires="wps">
            <w:drawing>
              <wp:anchor distT="0" distB="0" distL="114300" distR="114300" simplePos="0" relativeHeight="762475520" behindDoc="0" locked="0" layoutInCell="1" allowOverlap="1">
                <wp:simplePos x="0" y="0"/>
                <wp:positionH relativeFrom="column">
                  <wp:posOffset>2717165</wp:posOffset>
                </wp:positionH>
                <wp:positionV relativeFrom="paragraph">
                  <wp:posOffset>5050790</wp:posOffset>
                </wp:positionV>
                <wp:extent cx="233680" cy="166370"/>
                <wp:effectExtent l="26670" t="33655" r="44450" b="47625"/>
                <wp:wrapNone/>
                <wp:docPr id="6" name="矩形 6"/>
                <wp:cNvGraphicFramePr/>
                <a:graphic xmlns:a="http://schemas.openxmlformats.org/drawingml/2006/main">
                  <a:graphicData uri="http://schemas.microsoft.com/office/word/2010/wordprocessingShape">
                    <wps:wsp>
                      <wps:cNvSpPr/>
                      <wps:spPr>
                        <a:xfrm rot="20940000">
                          <a:off x="0" y="0"/>
                          <a:ext cx="233680" cy="166370"/>
                        </a:xfrm>
                        <a:prstGeom prst="rect">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3.95pt;margin-top:397.7pt;height:13.1pt;width:18.4pt;rotation:-720896f;z-index:762475520;v-text-anchor:middle;mso-width-relative:page;mso-height-relative:page;" filled="f" stroked="t" coordsize="21600,21600" o:gfxdata="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IKQTQNoAAAALAQAADwAA&#10;AAAAAAABACAAAAAiAAAAZHJzL2Rvd25yZXYueG1sUEsBAhQAFAAAAAgAh07iQM2yGZ1NAgAAdAQA&#10;AA4AAAAAAAAAAQAgAAAAKQEAAGRycy9lMm9Eb2MueG1sUEsFBgAAAAAGAAYAWQEAAOgFAAAAAA==&#10;">
                <v:fill on="f" focussize="0,0"/>
                <v:stroke weight="2pt" color="#00B050 [3204]" joinstyle="round"/>
                <v:imagedata o:title=""/>
                <o:lock v:ext="edit" aspectratio="f"/>
              </v:rect>
            </w:pict>
          </mc:Fallback>
        </mc:AlternateContent>
      </w:r>
      <w:r>
        <w:rPr>
          <w:color w:val="auto"/>
          <w:sz w:val="32"/>
        </w:rPr>
        <mc:AlternateContent>
          <mc:Choice Requires="wps">
            <w:drawing>
              <wp:anchor distT="0" distB="0" distL="114300" distR="114300" simplePos="0" relativeHeight="507066368" behindDoc="0" locked="0" layoutInCell="1" allowOverlap="1">
                <wp:simplePos x="0" y="0"/>
                <wp:positionH relativeFrom="column">
                  <wp:posOffset>2679700</wp:posOffset>
                </wp:positionH>
                <wp:positionV relativeFrom="paragraph">
                  <wp:posOffset>4874895</wp:posOffset>
                </wp:positionV>
                <wp:extent cx="233680" cy="166370"/>
                <wp:effectExtent l="26670" t="33655" r="44450" b="47625"/>
                <wp:wrapNone/>
                <wp:docPr id="4" name="矩形 4"/>
                <wp:cNvGraphicFramePr/>
                <a:graphic xmlns:a="http://schemas.openxmlformats.org/drawingml/2006/main">
                  <a:graphicData uri="http://schemas.microsoft.com/office/word/2010/wordprocessingShape">
                    <wps:wsp>
                      <wps:cNvSpPr/>
                      <wps:spPr>
                        <a:xfrm rot="20940000">
                          <a:off x="3653790" y="5851525"/>
                          <a:ext cx="233680" cy="1663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1pt;margin-top:383.85pt;height:13.1pt;width:18.4pt;rotation:-720896f;z-index:507066368;v-text-anchor:middle;mso-width-relative:page;mso-height-relative:page;" filled="f" stroked="t" coordsize="21600,21600" o:gfxdata="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Dfl+HZAAAACwEAAA8AAAAAAAAAAQAgAAAAIgAAAGRycy9kb3ducmV2LnhtbFBLAQIUABQAAAAI&#10;AIdO4kBHI+YXXgIAAIsEAAAOAAAAAAAAAAEAIAAAACgBAABkcnMvZTJvRG9jLnhtbFBLBQYAAAAA&#10;BgAGAFkBAAD4BQAAAAA=&#10;">
                <v:fill on="f" focussize="0,0"/>
                <v:stroke weight="2pt" color="#FF0000 [3204]" joinstyle="round"/>
                <v:imagedata o:title=""/>
                <o:lock v:ext="edit" aspectratio="f"/>
                <v:textbox>
                  <w:txbxContent>
                    <w:p>
                      <w:pPr>
                        <w:jc w:val="center"/>
                      </w:pPr>
                    </w:p>
                  </w:txbxContent>
                </v:textbox>
              </v:rect>
            </w:pict>
          </mc:Fallback>
        </mc:AlternateContent>
      </w:r>
      <w:r>
        <w:rPr>
          <w:color w:val="auto"/>
          <w:sz w:val="32"/>
        </w:rPr>
        <mc:AlternateContent>
          <mc:Choice Requires="wps">
            <w:drawing>
              <wp:anchor distT="0" distB="0" distL="114300" distR="114300" simplePos="0" relativeHeight="507065344" behindDoc="0" locked="0" layoutInCell="1" allowOverlap="1">
                <wp:simplePos x="0" y="0"/>
                <wp:positionH relativeFrom="column">
                  <wp:posOffset>2593975</wp:posOffset>
                </wp:positionH>
                <wp:positionV relativeFrom="paragraph">
                  <wp:posOffset>4308475</wp:posOffset>
                </wp:positionV>
                <wp:extent cx="280670" cy="213995"/>
                <wp:effectExtent l="19685" t="22225" r="23495" b="30480"/>
                <wp:wrapNone/>
                <wp:docPr id="3" name="矩形 3"/>
                <wp:cNvGraphicFramePr/>
                <a:graphic xmlns:a="http://schemas.openxmlformats.org/drawingml/2006/main">
                  <a:graphicData uri="http://schemas.microsoft.com/office/word/2010/wordprocessingShape">
                    <wps:wsp>
                      <wps:cNvSpPr/>
                      <wps:spPr>
                        <a:xfrm rot="21360000">
                          <a:off x="3601720" y="5222875"/>
                          <a:ext cx="280670" cy="21399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04.25pt;margin-top:339.25pt;height:16.85pt;width:22.1pt;rotation:-262144f;z-index:507065344;v-text-anchor:middle;mso-width-relative:page;mso-height-relative:page;" fillcolor="#FFFFFF [3212]" filled="t" stroked="t" coordsize="21600,21600" o:gfxdata="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KMBsjPbAAAACwEAAA8AAAAAAAAAAQAgAAAAIgAAAGRycy9kb3ducmV2LnhtbFBLAQIUABQA&#10;AAAIAIdO4kDqK8hgXwIAALQEAAAOAAAAAAAAAAEAIAAAACoBAABkcnMvZTJvRG9jLnhtbFBLBQYA&#10;AAAABgAGAFkBAAD7BQAAAAA=&#10;">
                <v:fill on="t" focussize="0,0"/>
                <v:stroke weight="2pt" color="#FFFFFF [3212]" joinstyle="round"/>
                <v:imagedata o:title=""/>
                <o:lock v:ext="edit" aspectratio="f"/>
                <v:textbox>
                  <w:txbxContent>
                    <w:p>
                      <w:pPr>
                        <w:jc w:val="center"/>
                      </w:pPr>
                    </w:p>
                  </w:txbxContent>
                </v:textbox>
              </v:rect>
            </w:pict>
          </mc:Fallback>
        </mc:AlternateContent>
      </w:r>
      <w:r>
        <w:rPr>
          <w:color w:val="auto"/>
        </w:rPr>
        <w:drawing>
          <wp:inline distT="0" distB="0" distL="114300" distR="114300">
            <wp:extent cx="5621020" cy="7677150"/>
            <wp:effectExtent l="0" t="0" r="17780" b="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22"/>
                    <a:stretch>
                      <a:fillRect/>
                    </a:stretch>
                  </pic:blipFill>
                  <pic:spPr>
                    <a:xfrm>
                      <a:off x="0" y="0"/>
                      <a:ext cx="5621020" cy="7677150"/>
                    </a:xfrm>
                    <a:prstGeom prst="rect">
                      <a:avLst/>
                    </a:prstGeom>
                    <a:noFill/>
                    <a:ln>
                      <a:noFill/>
                    </a:ln>
                  </pic:spPr>
                </pic:pic>
              </a:graphicData>
            </a:graphic>
          </wp:inline>
        </w:drawing>
      </w:r>
    </w:p>
    <w:p>
      <w:pPr>
        <w:pStyle w:val="7"/>
        <w:ind w:left="0" w:leftChars="0" w:firstLine="0" w:firstLineChars="0"/>
        <w:jc w:val="center"/>
        <w:rPr>
          <w:rFonts w:hint="default"/>
          <w:color w:val="auto"/>
        </w:rPr>
        <w:sectPr>
          <w:pgSz w:w="11906" w:h="16838"/>
          <w:pgMar w:top="1440" w:right="1587" w:bottom="1440" w:left="1587" w:header="851" w:footer="992" w:gutter="0"/>
          <w:pgNumType w:fmt="decimal"/>
          <w:cols w:space="720" w:num="1"/>
          <w:docGrid w:type="lines" w:linePitch="312" w:charSpace="0"/>
        </w:sectPr>
      </w:pPr>
      <w:r>
        <w:rPr>
          <w:rFonts w:hint="default" w:ascii="Times New Roman" w:hAnsi="Times New Roman" w:eastAsia="仿宋" w:cs="Times New Roman"/>
          <w:b/>
          <w:bCs/>
          <w:color w:val="auto"/>
          <w:sz w:val="28"/>
          <w:szCs w:val="28"/>
        </w:rPr>
        <w:t>附图2  平面布置图</w:t>
      </w:r>
    </w:p>
    <w:p>
      <w:pPr>
        <w:pStyle w:val="48"/>
        <w:spacing w:line="240" w:lineRule="auto"/>
        <w:ind w:firstLine="0" w:firstLineChars="0"/>
        <w:jc w:val="center"/>
        <w:rPr>
          <w:rFonts w:hint="default" w:ascii="Times New Roman" w:hAnsi="Times New Roman" w:eastAsia="仿宋" w:cs="Times New Roman"/>
          <w:color w:val="auto"/>
        </w:rPr>
      </w:pPr>
      <w:r>
        <w:rPr>
          <w:rFonts w:hint="default" w:ascii="Times New Roman" w:hAnsi="Times New Roman" w:eastAsia="仿宋" w:cs="Times New Roman"/>
          <w:color w:val="auto"/>
          <w:sz w:val="21"/>
        </w:rPr>
        <mc:AlternateContent>
          <mc:Choice Requires="wpg">
            <w:drawing>
              <wp:anchor distT="0" distB="0" distL="114300" distR="114300" simplePos="0" relativeHeight="458489856" behindDoc="0" locked="0" layoutInCell="1" allowOverlap="1">
                <wp:simplePos x="0" y="0"/>
                <wp:positionH relativeFrom="column">
                  <wp:posOffset>5621020</wp:posOffset>
                </wp:positionH>
                <wp:positionV relativeFrom="paragraph">
                  <wp:posOffset>4557395</wp:posOffset>
                </wp:positionV>
                <wp:extent cx="2227580" cy="648970"/>
                <wp:effectExtent l="4445" t="4445" r="15875" b="13335"/>
                <wp:wrapNone/>
                <wp:docPr id="57" name="组合 57"/>
                <wp:cNvGraphicFramePr/>
                <a:graphic xmlns:a="http://schemas.openxmlformats.org/drawingml/2006/main">
                  <a:graphicData uri="http://schemas.microsoft.com/office/word/2010/wordprocessingGroup">
                    <wpg:wgp>
                      <wpg:cNvGrpSpPr/>
                      <wpg:grpSpPr>
                        <a:xfrm>
                          <a:off x="0" y="0"/>
                          <a:ext cx="2227580" cy="648970"/>
                          <a:chOff x="11078" y="1214760"/>
                          <a:chExt cx="3508" cy="1022"/>
                        </a:xfrm>
                      </wpg:grpSpPr>
                      <wps:wsp>
                        <wps:cNvPr id="101" name="文本框 101"/>
                        <wps:cNvSpPr txBox="1"/>
                        <wps:spPr>
                          <a:xfrm>
                            <a:off x="11078" y="1214760"/>
                            <a:ext cx="3509" cy="102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ageBreakBefore w:val="0"/>
                                <w:widowControl w:val="0"/>
                                <w:kinsoku/>
                                <w:wordWrap/>
                                <w:overflowPunct/>
                                <w:topLinePunct w:val="0"/>
                                <w:autoSpaceDE/>
                                <w:autoSpaceDN/>
                                <w:bidi w:val="0"/>
                                <w:adjustRightInd/>
                                <w:snapToGrid/>
                                <w:spacing w:line="240" w:lineRule="atLeast"/>
                                <w:jc w:val="center"/>
                                <w:textAlignment w:val="auto"/>
                                <w:rPr>
                                  <w:rFonts w:hint="eastAsia"/>
                                  <w:b w:val="0"/>
                                  <w:bCs w:val="0"/>
                                  <w:sz w:val="21"/>
                                  <w:szCs w:val="21"/>
                                  <w:lang w:val="en-US" w:eastAsia="zh-CN"/>
                                </w:rPr>
                              </w:pPr>
                              <w:r>
                                <w:rPr>
                                  <w:rFonts w:hint="eastAsia"/>
                                  <w:b w:val="0"/>
                                  <w:bCs w:val="0"/>
                                  <w:sz w:val="21"/>
                                  <w:szCs w:val="21"/>
                                  <w:lang w:val="en-US" w:eastAsia="zh-CN"/>
                                </w:rPr>
                                <w:t>图例</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500m范围环境影响风险受体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cs="Times New Roman"/>
                                  <w:b w:val="0"/>
                                  <w:bCs w:val="0"/>
                                  <w:sz w:val="21"/>
                                  <w:szCs w:val="21"/>
                                  <w:lang w:val="en-US" w:eastAsia="zh-CN"/>
                                </w:rPr>
                                <w:t>5</w:t>
                              </w:r>
                              <w:r>
                                <w:rPr>
                                  <w:rFonts w:hint="eastAsia" w:ascii="Times New Roman" w:hAnsi="Times New Roman" w:cs="Times New Roman"/>
                                  <w:b w:val="0"/>
                                  <w:bCs w:val="0"/>
                                  <w:sz w:val="21"/>
                                  <w:szCs w:val="21"/>
                                  <w:lang w:val="en-US" w:eastAsia="zh-CN"/>
                                </w:rPr>
                                <w:t>000m范围环境影响风险受体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default" w:ascii="Times New Roman" w:hAnsi="Times New Roman" w:cs="Times New Roman"/>
                                  <w:b w:val="0"/>
                                  <w:bCs w:val="0"/>
                                  <w:sz w:val="21"/>
                                  <w:szCs w:val="21"/>
                                  <w:lang w:val="en-US" w:eastAsia="zh-CN"/>
                                </w:rPr>
                              </w:pPr>
                            </w:p>
                          </w:txbxContent>
                        </wps:txbx>
                        <wps:bodyPr upright="1"/>
                      </wps:wsp>
                      <wps:wsp>
                        <wps:cNvPr id="109" name="椭圆 109"/>
                        <wps:cNvSpPr/>
                        <wps:spPr>
                          <a:xfrm>
                            <a:off x="11356" y="1215228"/>
                            <a:ext cx="206" cy="206"/>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0" name="椭圆 110"/>
                        <wps:cNvSpPr/>
                        <wps:spPr>
                          <a:xfrm>
                            <a:off x="11362" y="1215496"/>
                            <a:ext cx="206" cy="206"/>
                          </a:xfrm>
                          <a:prstGeom prst="ellipse">
                            <a:avLst/>
                          </a:prstGeom>
                          <a:noFill/>
                          <a:ln w="9525">
                            <a:solidFill>
                              <a:srgbClr val="2314E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442.6pt;margin-top:358.85pt;height:51.1pt;width:175.4pt;z-index:458489856;mso-width-relative:page;mso-height-relative:page;" coordorigin="11078,1214760" coordsize="3508,1022" o:gfxdata="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">
                <o:lock v:ext="edit" aspectratio="f"/>
                <v:shape id="_x0000_s1026" o:spid="_x0000_s1026" o:spt="202" type="#_x0000_t202" style="position:absolute;left:11078;top:1214760;height:1023;width:3509;" fillcolor="#FFFFFF" filled="t" stroked="t" coordsize="21600,21600" o:gfxdata="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wp4w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pageBreakBefore w:val="0"/>
                          <w:widowControl w:val="0"/>
                          <w:kinsoku/>
                          <w:wordWrap/>
                          <w:overflowPunct/>
                          <w:topLinePunct w:val="0"/>
                          <w:autoSpaceDE/>
                          <w:autoSpaceDN/>
                          <w:bidi w:val="0"/>
                          <w:adjustRightInd/>
                          <w:snapToGrid/>
                          <w:spacing w:line="240" w:lineRule="atLeast"/>
                          <w:jc w:val="center"/>
                          <w:textAlignment w:val="auto"/>
                          <w:rPr>
                            <w:rFonts w:hint="eastAsia"/>
                            <w:b w:val="0"/>
                            <w:bCs w:val="0"/>
                            <w:sz w:val="21"/>
                            <w:szCs w:val="21"/>
                            <w:lang w:val="en-US" w:eastAsia="zh-CN"/>
                          </w:rPr>
                        </w:pPr>
                        <w:r>
                          <w:rPr>
                            <w:rFonts w:hint="eastAsia"/>
                            <w:b w:val="0"/>
                            <w:bCs w:val="0"/>
                            <w:sz w:val="21"/>
                            <w:szCs w:val="21"/>
                            <w:lang w:val="en-US" w:eastAsia="zh-CN"/>
                          </w:rPr>
                          <w:t>图例</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500m范围环境影响风险受体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eastAsia" w:ascii="Times New Roman" w:hAnsi="Times New Roman" w:cs="Times New Roman"/>
                            <w:b w:val="0"/>
                            <w:bCs w:val="0"/>
                            <w:sz w:val="21"/>
                            <w:szCs w:val="21"/>
                            <w:lang w:val="en-US" w:eastAsia="zh-CN"/>
                          </w:rPr>
                        </w:pPr>
                        <w:r>
                          <w:rPr>
                            <w:rFonts w:hint="eastAsia" w:cs="Times New Roman"/>
                            <w:b w:val="0"/>
                            <w:bCs w:val="0"/>
                            <w:sz w:val="21"/>
                            <w:szCs w:val="21"/>
                            <w:lang w:val="en-US" w:eastAsia="zh-CN"/>
                          </w:rPr>
                          <w:t>5</w:t>
                        </w:r>
                        <w:r>
                          <w:rPr>
                            <w:rFonts w:hint="eastAsia" w:ascii="Times New Roman" w:hAnsi="Times New Roman" w:cs="Times New Roman"/>
                            <w:b w:val="0"/>
                            <w:bCs w:val="0"/>
                            <w:sz w:val="21"/>
                            <w:szCs w:val="21"/>
                            <w:lang w:val="en-US" w:eastAsia="zh-CN"/>
                          </w:rPr>
                          <w:t>000m范围环境影响风险受体</w:t>
                        </w:r>
                      </w:p>
                      <w:p>
                        <w:pPr>
                          <w:pageBreakBefore w:val="0"/>
                          <w:widowControl w:val="0"/>
                          <w:kinsoku/>
                          <w:wordWrap/>
                          <w:overflowPunct/>
                          <w:topLinePunct w:val="0"/>
                          <w:autoSpaceDE/>
                          <w:autoSpaceDN/>
                          <w:bidi w:val="0"/>
                          <w:adjustRightInd/>
                          <w:snapToGrid/>
                          <w:spacing w:line="240" w:lineRule="atLeast"/>
                          <w:jc w:val="right"/>
                          <w:textAlignment w:val="auto"/>
                          <w:rPr>
                            <w:rFonts w:hint="default" w:ascii="Times New Roman" w:hAnsi="Times New Roman" w:cs="Times New Roman"/>
                            <w:b w:val="0"/>
                            <w:bCs w:val="0"/>
                            <w:sz w:val="21"/>
                            <w:szCs w:val="21"/>
                            <w:lang w:val="en-US" w:eastAsia="zh-CN"/>
                          </w:rPr>
                        </w:pPr>
                      </w:p>
                    </w:txbxContent>
                  </v:textbox>
                </v:shape>
                <v:shape id="_x0000_s1026" o:spid="_x0000_s1026" o:spt="3" type="#_x0000_t3" style="position:absolute;left:11356;top:1215228;height:206;width:206;v-text-anchor:middle;" filled="f" stroked="t" coordsize="21600,21600" o:gfxdata="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us07vQAA&#10;ANwAAAAPAAAAAAAAAAEAIAAAACIAAABkcnMvZG93bnJldi54bWxQSwECFAAUAAAACACHTuJAMy8F&#10;njsAAAA5AAAAEAAAAAAAAAABACAAAAAMAQAAZHJzL3NoYXBleG1sLnhtbFBLBQYAAAAABgAGAFsB&#10;AAC2AwAAAAA=&#10;">
                  <v:fill on="f" focussize="0,0"/>
                  <v:stroke color="#FF0000 [3204]" joinstyle="round"/>
                  <v:imagedata o:title=""/>
                  <o:lock v:ext="edit" aspectratio="f"/>
                </v:shape>
                <v:shape id="_x0000_s1026" o:spid="_x0000_s1026" o:spt="3" type="#_x0000_t3" style="position:absolute;left:11362;top:1215496;height:206;width:206;v-text-anchor:middle;" filled="f" stroked="t" coordsize="21600,21600" o:gfxdata="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V1N6/&#10;AAAA3AAAAA8AAAAAAAAAAQAgAAAAIgAAAGRycy9kb3ducmV2LnhtbFBLAQIUABQAAAAIAIdO4kAz&#10;LwWeOwAAADkAAAAQAAAAAAAAAAEAIAAAAA4BAABkcnMvc2hhcGV4bWwueG1sUEsFBgAAAAAGAAYA&#10;WwEAALgDAAAAAA==&#10;">
                  <v:fill on="f" focussize="0,0"/>
                  <v:stroke color="#2314EA [3204]" joinstyle="round"/>
                  <v:imagedata o:title=""/>
                  <o:lock v:ext="edit" aspectratio="f"/>
                </v:shape>
              </v:group>
            </w:pict>
          </mc:Fallback>
        </mc:AlternateContent>
      </w:r>
      <w:r>
        <w:rPr>
          <w:color w:val="auto"/>
        </w:rPr>
        <w:drawing>
          <wp:inline distT="0" distB="0" distL="114300" distR="114300">
            <wp:extent cx="6838315" cy="5166995"/>
            <wp:effectExtent l="0" t="0" r="635" b="1460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23"/>
                    <a:stretch>
                      <a:fillRect/>
                    </a:stretch>
                  </pic:blipFill>
                  <pic:spPr>
                    <a:xfrm>
                      <a:off x="0" y="0"/>
                      <a:ext cx="6838315" cy="5166995"/>
                    </a:xfrm>
                    <a:prstGeom prst="rect">
                      <a:avLst/>
                    </a:prstGeom>
                    <a:noFill/>
                    <a:ln>
                      <a:noFill/>
                    </a:ln>
                  </pic:spPr>
                </pic:pic>
              </a:graphicData>
            </a:graphic>
          </wp:inline>
        </w:drawing>
      </w:r>
    </w:p>
    <w:p>
      <w:pPr>
        <w:pStyle w:val="48"/>
        <w:spacing w:line="240" w:lineRule="auto"/>
        <w:ind w:firstLine="0" w:firstLineChars="0"/>
        <w:jc w:val="center"/>
        <w:rPr>
          <w:rFonts w:hint="default" w:ascii="Times New Roman" w:hAnsi="Times New Roman" w:eastAsia="仿宋" w:cs="Times New Roman"/>
          <w:color w:val="auto"/>
        </w:rPr>
      </w:pPr>
      <w:r>
        <w:rPr>
          <w:rFonts w:hint="default" w:ascii="Times New Roman" w:hAnsi="Times New Roman" w:eastAsia="仿宋" w:cs="Times New Roman"/>
          <w:b/>
          <w:snapToGrid w:val="0"/>
          <w:color w:val="auto"/>
          <w:kern w:val="0"/>
          <w:sz w:val="28"/>
        </w:rPr>
        <w:t>附图3  周围环境风险受体分布图</w:t>
      </w:r>
    </w:p>
    <w:sectPr>
      <w:pgSz w:w="16838" w:h="11906" w:orient="landscape"/>
      <w:pgMar w:top="1587" w:right="1440" w:bottom="1587" w:left="144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1"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5"/>
                            <w:rPr>
                              <w:sz w:val="21"/>
                              <w:szCs w:val="21"/>
                            </w:rPr>
                          </w:pPr>
                          <w:r>
                            <w:rPr>
                              <w:rFonts w:hint="eastAsia"/>
                              <w:sz w:val="21"/>
                              <w:szCs w:val="21"/>
                            </w:rPr>
                            <w:fldChar w:fldCharType="begin"/>
                          </w:r>
                          <w:r>
                            <w:rPr>
                              <w:rFonts w:hint="eastAsia"/>
                              <w:sz w:val="21"/>
                              <w:szCs w:val="21"/>
                            </w:rPr>
                            <w:instrText xml:space="preserve"> PAGE  \* MERGEFORMAT </w:instrText>
                          </w:r>
                          <w:r>
                            <w:rPr>
                              <w:rFonts w:hint="eastAsia"/>
                              <w:sz w:val="21"/>
                              <w:szCs w:val="21"/>
                            </w:rPr>
                            <w:fldChar w:fldCharType="separate"/>
                          </w:r>
                          <w:r>
                            <w:rPr>
                              <w:sz w:val="21"/>
                              <w:szCs w:val="21"/>
                            </w:rPr>
                            <w:t>2</w:t>
                          </w:r>
                          <w:r>
                            <w:rPr>
                              <w:rFonts w:hint="eastAsia"/>
                              <w:sz w:val="21"/>
                              <w:szCs w:val="21"/>
                            </w:rPr>
                            <w:fldChar w:fldCharType="end"/>
                          </w:r>
                        </w:p>
                      </w:txbxContent>
                    </wps:txbx>
                    <wps:bodyPr vert="horz" wrap="none" lIns="0" tIns="0" rIns="0" bIns="0" anchor="t">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hpgkvTAAAABQEAAA8AAAAAAAAAAQAgAAAAIgAAAGRycy9kb3ducmV2LnhtbFBLAQIU&#10;ABQAAAAIAIdO4kBkrOTFvwEAAGEDAAAOAAAAAAAAAAEAIAAAACIBAABkcnMvZTJvRG9jLnhtbFBL&#10;BQYAAAAABgAGAFkBAABTBQAAAAA=&#10;">
              <v:fill on="f" focussize="0,0"/>
              <v:stroke on="f" weight="1.25pt"/>
              <v:imagedata o:title=""/>
              <o:lock v:ext="edit" aspectratio="f"/>
              <v:textbox inset="0mm,0mm,0mm,0mm" style="mso-fit-shape-to-text:t;">
                <w:txbxContent>
                  <w:p>
                    <w:pPr>
                      <w:pStyle w:val="15"/>
                      <w:rPr>
                        <w:sz w:val="21"/>
                        <w:szCs w:val="21"/>
                      </w:rPr>
                    </w:pPr>
                    <w:r>
                      <w:rPr>
                        <w:rFonts w:hint="eastAsia"/>
                        <w:sz w:val="21"/>
                        <w:szCs w:val="21"/>
                      </w:rPr>
                      <w:fldChar w:fldCharType="begin"/>
                    </w:r>
                    <w:r>
                      <w:rPr>
                        <w:rFonts w:hint="eastAsia"/>
                        <w:sz w:val="21"/>
                        <w:szCs w:val="21"/>
                      </w:rPr>
                      <w:instrText xml:space="preserve"> PAGE  \* MERGEFORMAT </w:instrText>
                    </w:r>
                    <w:r>
                      <w:rPr>
                        <w:rFonts w:hint="eastAsia"/>
                        <w:sz w:val="21"/>
                        <w:szCs w:val="21"/>
                      </w:rPr>
                      <w:fldChar w:fldCharType="separate"/>
                    </w:r>
                    <w:r>
                      <w:rPr>
                        <w:sz w:val="21"/>
                        <w:szCs w:val="21"/>
                      </w:rPr>
                      <w:t>2</w:t>
                    </w:r>
                    <w:r>
                      <w:rPr>
                        <w:rFonts w:hint="eastAsia"/>
                        <w:sz w:val="21"/>
                        <w:szCs w:val="21"/>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tabs>
        <w:tab w:val="clear" w:pos="4153"/>
      </w:tabs>
      <w:jc w:val="center"/>
      <w:rPr>
        <w:sz w:val="21"/>
        <w:szCs w:val="21"/>
      </w:rPr>
    </w:pPr>
    <w:r>
      <w:rPr>
        <w:sz w:val="2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2"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5"/>
                          </w:pPr>
                          <w:r>
                            <w:rPr>
                              <w:rFonts w:hint="eastAsia"/>
                            </w:rPr>
                            <w:fldChar w:fldCharType="begin"/>
                          </w:r>
                          <w:r>
                            <w:rPr>
                              <w:rFonts w:hint="eastAsia"/>
                            </w:rPr>
                            <w:instrText xml:space="preserve"> PAGE  \* MERGEFORMAT </w:instrText>
                          </w:r>
                          <w:r>
                            <w:rPr>
                              <w:rFonts w:hint="eastAsia"/>
                            </w:rPr>
                            <w:fldChar w:fldCharType="separate"/>
                          </w:r>
                          <w:r>
                            <w:t>24</w:t>
                          </w:r>
                          <w:r>
                            <w:rPr>
                              <w:rFonts w:hint="eastAsia"/>
                            </w:rPr>
                            <w:fldChar w:fldCharType="end"/>
                          </w:r>
                        </w:p>
                      </w:txbxContent>
                    </wps:txbx>
                    <wps:bodyPr vert="horz" wrap="none" lIns="0" tIns="0" rIns="0" bIns="0" anchor="t">
                      <a:spAutoFit/>
                    </wps:bodyPr>
                  </wps:wsp>
                </a:graphicData>
              </a:graphic>
            </wp:anchor>
          </w:drawing>
        </mc:Choice>
        <mc:Fallback>
          <w:pict>
            <v:shape id="文本框 5"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hpgkvTAAAABQEAAA8AAAAAAAAAAQAgAAAAIgAAAGRycy9kb3ducmV2LnhtbFBLAQIU&#10;ABQAAAAIAIdO4kCZOejQvwEAAGEDAAAOAAAAAAAAAAEAIAAAACIBAABkcnMvZTJvRG9jLnhtbFBL&#10;BQYAAAAABgAGAFkBAABTBQAAAAA=&#10;">
              <v:fill on="f" focussize="0,0"/>
              <v:stroke on="f" weight="1.25pt"/>
              <v:imagedata o:title=""/>
              <o:lock v:ext="edit" aspectratio="f"/>
              <v:textbox inset="0mm,0mm,0mm,0mm" style="mso-fit-shape-to-text:t;">
                <w:txbxContent>
                  <w:p>
                    <w:pPr>
                      <w:pStyle w:val="15"/>
                    </w:pPr>
                    <w:r>
                      <w:rPr>
                        <w:rFonts w:hint="eastAsia"/>
                      </w:rPr>
                      <w:fldChar w:fldCharType="begin"/>
                    </w:r>
                    <w:r>
                      <w:rPr>
                        <w:rFonts w:hint="eastAsia"/>
                      </w:rPr>
                      <w:instrText xml:space="preserve"> PAGE  \* MERGEFORMAT </w:instrText>
                    </w:r>
                    <w:r>
                      <w:rPr>
                        <w:rFonts w:hint="eastAsia"/>
                      </w:rPr>
                      <w:fldChar w:fldCharType="separate"/>
                    </w:r>
                    <w:r>
                      <w:t>24</w:t>
                    </w:r>
                    <w:r>
                      <w:rPr>
                        <w:rFonts w:hint="eastAsi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5"/>
                          </w:pPr>
                          <w:r>
                            <w:rPr>
                              <w:rFonts w:hint="eastAsia"/>
                            </w:rPr>
                            <w:fldChar w:fldCharType="begin"/>
                          </w:r>
                          <w:r>
                            <w:rPr>
                              <w:rFonts w:hint="eastAsia"/>
                            </w:rPr>
                            <w:instrText xml:space="preserve"> PAGE  \* MERGEFORMAT </w:instrText>
                          </w:r>
                          <w:r>
                            <w:rPr>
                              <w:rFonts w:hint="eastAsia"/>
                            </w:rPr>
                            <w:fldChar w:fldCharType="separate"/>
                          </w:r>
                          <w:r>
                            <w:t>45</w:t>
                          </w:r>
                          <w:r>
                            <w:rPr>
                              <w:rFonts w:hint="eastAsia"/>
                            </w:rPr>
                            <w:fldChar w:fldCharType="end"/>
                          </w:r>
                        </w:p>
                      </w:txbxContent>
                    </wps:txbx>
                    <wps:bodyPr vert="horz" wrap="none" lIns="0" tIns="0" rIns="0" bIns="0" anchor="t">
                      <a:spAutoFit/>
                    </wps:bodyPr>
                  </wps:wsp>
                </a:graphicData>
              </a:graphic>
            </wp:anchor>
          </w:drawing>
        </mc:Choice>
        <mc:Fallback>
          <w:pict>
            <v:shape id="文本框 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hpgkvTAAAABQEAAA8AAAAAAAAAAQAgAAAAIgAAAGRycy9kb3ducmV2LnhtbFBLAQIU&#10;ABQAAAAIAIdO4kDrX2OSvwEAAGEDAAAOAAAAAAAAAAEAIAAAACIBAABkcnMvZTJvRG9jLnhtbFBL&#10;BQYAAAAABgAGAFkBAABTBQAAAAA=&#10;">
              <v:fill on="f" focussize="0,0"/>
              <v:stroke on="f" weight="1.25pt"/>
              <v:imagedata o:title=""/>
              <o:lock v:ext="edit" aspectratio="f"/>
              <v:textbox inset="0mm,0mm,0mm,0mm" style="mso-fit-shape-to-text:t;">
                <w:txbxContent>
                  <w:p>
                    <w:pPr>
                      <w:pStyle w:val="15"/>
                    </w:pPr>
                    <w:r>
                      <w:rPr>
                        <w:rFonts w:hint="eastAsia"/>
                      </w:rPr>
                      <w:fldChar w:fldCharType="begin"/>
                    </w:r>
                    <w:r>
                      <w:rPr>
                        <w:rFonts w:hint="eastAsia"/>
                      </w:rPr>
                      <w:instrText xml:space="preserve"> PAGE  \* MERGEFORMAT </w:instrText>
                    </w:r>
                    <w:r>
                      <w:rPr>
                        <w:rFonts w:hint="eastAsia"/>
                      </w:rPr>
                      <w:fldChar w:fldCharType="separate"/>
                    </w:r>
                    <w:r>
                      <w:t>45</w:t>
                    </w:r>
                    <w:r>
                      <w:rPr>
                        <w:rFonts w:hint="eastAsia"/>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0" name="文本框 1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56</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zSVju0AAAAAUBAAAPAAAAAAAAAAEA&#10;IAAAACIAAABkcnMvZG93bnJldi54bWxQSwECFAAUAAAACACHTuJAGY7zkBcCAAAXBAAADgAAAAAA&#10;AAABACAAAAAfAQAAZHJzL2Uyb0RvYy54bWxQSwUGAAAAAAYABgBZAQAAqAUAAAAA&#10;">
              <v:fill on="f" focussize="0,0"/>
              <v:stroke on="f" weight="0.5pt"/>
              <v:imagedata o:title=""/>
              <o:lock v:ext="edit" aspectratio="f"/>
              <v:textbox inset="0mm,0mm,0mm,0mm" style="mso-fit-shape-to-text:t;">
                <w:txbxContent>
                  <w:p>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56</w:t>
                    </w:r>
                    <w:r>
                      <w:rPr>
                        <w:rFonts w:hint="eastAsia"/>
                        <w:lang w:eastAsia="zh-CN"/>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1" name="文本框 1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7</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IybQwVAgAAFwQAAA4AAABkcnMvZTJvRG9jLnhtbK1Ty47TMBTdI/EP&#10;lvc0aYFRVT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HIybQwVAgAAFwQAAA4AAAAAAAAA&#10;AQAgAAAAHwEAAGRycy9lMm9Eb2MueG1sUEsFBgAAAAAGAAYAWQEAAKYFAAAAAA==&#10;">
              <v:fill on="f" focussize="0,0"/>
              <v:stroke on="f" weight="0.5pt"/>
              <v:imagedata o:title=""/>
              <o:lock v:ext="edit" aspectratio="f"/>
              <v:textbox inset="0mm,0mm,0mm,0mm" style="mso-fit-shape-to-text:t;">
                <w:txbxContent>
                  <w:p>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7</w:t>
                    </w:r>
                    <w:r>
                      <w:rPr>
                        <w:rFonts w:hint="eastAsia"/>
                        <w:lang w:eastAsia="zh-CN"/>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hint="eastAsia" w:ascii="仿宋" w:hAnsi="仿宋" w:eastAsia="仿宋" w:cs="仿宋"/>
        <w:color w:val="FF0000"/>
        <w:sz w:val="21"/>
        <w:szCs w:val="21"/>
      </w:rPr>
    </w:pPr>
    <w:r>
      <w:rPr>
        <w:rFonts w:hint="eastAsia" w:ascii="仿宋" w:hAnsi="仿宋" w:eastAsia="仿宋" w:cs="仿宋"/>
        <w:color w:val="auto"/>
        <w:sz w:val="21"/>
        <w:szCs w:val="21"/>
        <w:lang w:eastAsia="zh-CN"/>
      </w:rPr>
      <w:t>陕西勇轩建材有限公司</w:t>
    </w:r>
    <w:r>
      <w:rPr>
        <w:rFonts w:hint="eastAsia" w:ascii="仿宋" w:hAnsi="仿宋" w:eastAsia="仿宋" w:cs="仿宋"/>
        <w:color w:val="auto"/>
        <w:sz w:val="21"/>
        <w:szCs w:val="21"/>
      </w:rPr>
      <w:t>突发环境事件风险评估报告</w:t>
    </w:r>
  </w:p>
  <w:p>
    <w:pPr>
      <w:pStyle w:val="16"/>
      <w:pBdr>
        <w:bottom w:val="none" w:color="auto" w:sz="0" w:space="1"/>
      </w:pBdr>
      <w:rPr>
        <w:rFonts w:hint="eastAsia" w:ascii="仿宋" w:hAnsi="仿宋" w:eastAsia="仿宋" w:cs="仿宋"/>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cs="宋体"/>
        <w:color w:val="FF0000"/>
        <w:sz w:val="21"/>
        <w:szCs w:val="21"/>
      </w:rPr>
    </w:pPr>
    <w:r>
      <w:rPr>
        <w:rFonts w:hint="eastAsia" w:ascii="宋体" w:hAnsi="宋体" w:cs="宋体"/>
        <w:color w:val="auto"/>
        <w:sz w:val="21"/>
        <w:szCs w:val="21"/>
        <w:lang w:eastAsia="zh-CN"/>
      </w:rPr>
      <w:t>陕西勇轩建材有限公司</w:t>
    </w:r>
    <w:r>
      <w:rPr>
        <w:rFonts w:hint="eastAsia" w:ascii="宋体" w:hAnsi="宋体" w:cs="宋体"/>
        <w:color w:val="auto"/>
        <w:sz w:val="21"/>
        <w:szCs w:val="21"/>
      </w:rPr>
      <w:t>突发环境事件风险评估报告</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0"/>
      </w:pBdr>
    </w:pPr>
    <w:r>
      <w:rPr>
        <w:rFonts w:hint="eastAsia" w:ascii="仿宋" w:hAnsi="仿宋" w:eastAsia="仿宋" w:cs="仿宋"/>
        <w:sz w:val="21"/>
        <w:szCs w:val="21"/>
        <w:lang w:eastAsia="zh-CN"/>
      </w:rPr>
      <w:t>陕西勇轩建材有限公司</w:t>
    </w:r>
    <w:r>
      <w:rPr>
        <w:rFonts w:hint="eastAsia" w:ascii="仿宋" w:hAnsi="仿宋" w:eastAsia="仿宋" w:cs="仿宋"/>
        <w:sz w:val="21"/>
        <w:szCs w:val="21"/>
      </w:rPr>
      <w:t>突发环境事件风险评估报告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0"/>
      </w:pBdr>
    </w:pPr>
    <w:r>
      <w:rPr>
        <w:rFonts w:hint="eastAsia" w:ascii="仿宋" w:hAnsi="仿宋" w:eastAsia="仿宋" w:cs="仿宋"/>
        <w:sz w:val="21"/>
        <w:szCs w:val="21"/>
        <w:lang w:eastAsia="zh-CN"/>
      </w:rPr>
      <w:t>陕西勇轩建材有限公司</w:t>
    </w:r>
    <w:r>
      <w:rPr>
        <w:rFonts w:hint="eastAsia" w:ascii="仿宋" w:hAnsi="仿宋" w:eastAsia="仿宋" w:cs="仿宋"/>
        <w:sz w:val="21"/>
        <w:szCs w:val="21"/>
      </w:rPr>
      <w:t>突发环境事件风险评估报告</w:t>
    </w:r>
  </w:p>
  <w:p>
    <w:pPr>
      <w:pStyle w:val="1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DA865F0"/>
    <w:multiLevelType w:val="singleLevel"/>
    <w:tmpl w:val="BDA865F0"/>
    <w:lvl w:ilvl="0" w:tentative="0">
      <w:start w:val="1"/>
      <w:numFmt w:val="decimal"/>
      <w:suff w:val="nothing"/>
      <w:lvlText w:val="（%1）"/>
      <w:lvlJc w:val="left"/>
    </w:lvl>
  </w:abstractNum>
  <w:abstractNum w:abstractNumId="1">
    <w:nsid w:val="E9219FF9"/>
    <w:multiLevelType w:val="singleLevel"/>
    <w:tmpl w:val="E9219FF9"/>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D35"/>
    <w:rsid w:val="000623F0"/>
    <w:rsid w:val="00091F78"/>
    <w:rsid w:val="00107441"/>
    <w:rsid w:val="002E0B40"/>
    <w:rsid w:val="00360637"/>
    <w:rsid w:val="00385602"/>
    <w:rsid w:val="003C50A5"/>
    <w:rsid w:val="00426EB0"/>
    <w:rsid w:val="00440788"/>
    <w:rsid w:val="004558BA"/>
    <w:rsid w:val="00484582"/>
    <w:rsid w:val="004C0191"/>
    <w:rsid w:val="00554518"/>
    <w:rsid w:val="005A7647"/>
    <w:rsid w:val="00774D15"/>
    <w:rsid w:val="00792F0F"/>
    <w:rsid w:val="0079439C"/>
    <w:rsid w:val="00803CC5"/>
    <w:rsid w:val="00821574"/>
    <w:rsid w:val="00876CED"/>
    <w:rsid w:val="008C6CF0"/>
    <w:rsid w:val="009E6B49"/>
    <w:rsid w:val="00A23E4D"/>
    <w:rsid w:val="00A8660F"/>
    <w:rsid w:val="00B56D35"/>
    <w:rsid w:val="00B85C55"/>
    <w:rsid w:val="00C21C3F"/>
    <w:rsid w:val="00C452EF"/>
    <w:rsid w:val="00C502CB"/>
    <w:rsid w:val="00CC0C15"/>
    <w:rsid w:val="00CC2A29"/>
    <w:rsid w:val="00D01323"/>
    <w:rsid w:val="00D45758"/>
    <w:rsid w:val="00D7330A"/>
    <w:rsid w:val="00DA6CE3"/>
    <w:rsid w:val="00E174BA"/>
    <w:rsid w:val="00F57B24"/>
    <w:rsid w:val="01031E41"/>
    <w:rsid w:val="01666E74"/>
    <w:rsid w:val="022A4F7A"/>
    <w:rsid w:val="02A601DB"/>
    <w:rsid w:val="02B65DD3"/>
    <w:rsid w:val="03353070"/>
    <w:rsid w:val="035F1B28"/>
    <w:rsid w:val="03817B07"/>
    <w:rsid w:val="03A041EC"/>
    <w:rsid w:val="03D969F7"/>
    <w:rsid w:val="04443FCA"/>
    <w:rsid w:val="044969B5"/>
    <w:rsid w:val="04674261"/>
    <w:rsid w:val="04766CF0"/>
    <w:rsid w:val="04D748E8"/>
    <w:rsid w:val="0583205C"/>
    <w:rsid w:val="05D72572"/>
    <w:rsid w:val="0611766F"/>
    <w:rsid w:val="0676301C"/>
    <w:rsid w:val="06EB5D8D"/>
    <w:rsid w:val="07B22FA5"/>
    <w:rsid w:val="083A756E"/>
    <w:rsid w:val="085468A6"/>
    <w:rsid w:val="08B754A4"/>
    <w:rsid w:val="08C43EA9"/>
    <w:rsid w:val="08D3611C"/>
    <w:rsid w:val="090B16D0"/>
    <w:rsid w:val="09647D4E"/>
    <w:rsid w:val="09676CFD"/>
    <w:rsid w:val="09987012"/>
    <w:rsid w:val="099B7ED1"/>
    <w:rsid w:val="0B204BE5"/>
    <w:rsid w:val="0B955479"/>
    <w:rsid w:val="0C273C65"/>
    <w:rsid w:val="0C274EC8"/>
    <w:rsid w:val="0C7D2BC0"/>
    <w:rsid w:val="0CDA1324"/>
    <w:rsid w:val="0E966359"/>
    <w:rsid w:val="0E9F75EC"/>
    <w:rsid w:val="0EB349B6"/>
    <w:rsid w:val="0EE30F0C"/>
    <w:rsid w:val="0F123A60"/>
    <w:rsid w:val="0F190E69"/>
    <w:rsid w:val="0F7301C5"/>
    <w:rsid w:val="0FC936F3"/>
    <w:rsid w:val="100F22E3"/>
    <w:rsid w:val="10A8338D"/>
    <w:rsid w:val="10D666EE"/>
    <w:rsid w:val="10FE54DE"/>
    <w:rsid w:val="11C70337"/>
    <w:rsid w:val="11E80097"/>
    <w:rsid w:val="122526C5"/>
    <w:rsid w:val="12DB6509"/>
    <w:rsid w:val="133679A5"/>
    <w:rsid w:val="136D0EC2"/>
    <w:rsid w:val="14416C63"/>
    <w:rsid w:val="14456EE5"/>
    <w:rsid w:val="151A0788"/>
    <w:rsid w:val="151F2940"/>
    <w:rsid w:val="15E17A8D"/>
    <w:rsid w:val="164A4E27"/>
    <w:rsid w:val="167E4B42"/>
    <w:rsid w:val="173C695A"/>
    <w:rsid w:val="17531D9A"/>
    <w:rsid w:val="175E4845"/>
    <w:rsid w:val="181C6D1E"/>
    <w:rsid w:val="182F4F9A"/>
    <w:rsid w:val="18361570"/>
    <w:rsid w:val="19381302"/>
    <w:rsid w:val="194515BE"/>
    <w:rsid w:val="1AE53FDC"/>
    <w:rsid w:val="1B44379E"/>
    <w:rsid w:val="1C16486F"/>
    <w:rsid w:val="1C990F5A"/>
    <w:rsid w:val="1CE10BC8"/>
    <w:rsid w:val="1CEF1D40"/>
    <w:rsid w:val="1E142B6E"/>
    <w:rsid w:val="1E3F4846"/>
    <w:rsid w:val="1EB1522D"/>
    <w:rsid w:val="1EBA73D1"/>
    <w:rsid w:val="1FA3735A"/>
    <w:rsid w:val="201276D9"/>
    <w:rsid w:val="20CE3AA7"/>
    <w:rsid w:val="20EF6A75"/>
    <w:rsid w:val="21CD4E03"/>
    <w:rsid w:val="21CE7937"/>
    <w:rsid w:val="21E62AD9"/>
    <w:rsid w:val="21FA3393"/>
    <w:rsid w:val="2205328B"/>
    <w:rsid w:val="2278603B"/>
    <w:rsid w:val="230B4747"/>
    <w:rsid w:val="23B65224"/>
    <w:rsid w:val="2409024D"/>
    <w:rsid w:val="24486234"/>
    <w:rsid w:val="250F0442"/>
    <w:rsid w:val="25245673"/>
    <w:rsid w:val="253B46D8"/>
    <w:rsid w:val="2547507F"/>
    <w:rsid w:val="25737980"/>
    <w:rsid w:val="25FA0519"/>
    <w:rsid w:val="264C493E"/>
    <w:rsid w:val="266643F7"/>
    <w:rsid w:val="26A8072D"/>
    <w:rsid w:val="27766E90"/>
    <w:rsid w:val="277F1DA4"/>
    <w:rsid w:val="2849480A"/>
    <w:rsid w:val="28A47562"/>
    <w:rsid w:val="28E726BE"/>
    <w:rsid w:val="29D325BC"/>
    <w:rsid w:val="2A71150D"/>
    <w:rsid w:val="2A906317"/>
    <w:rsid w:val="2AAB76B5"/>
    <w:rsid w:val="2AF62582"/>
    <w:rsid w:val="2B334974"/>
    <w:rsid w:val="2B6608BC"/>
    <w:rsid w:val="2BC61555"/>
    <w:rsid w:val="2BCC33F4"/>
    <w:rsid w:val="2C4A16C2"/>
    <w:rsid w:val="2C6F11C5"/>
    <w:rsid w:val="2D9C3704"/>
    <w:rsid w:val="2DAC1B6C"/>
    <w:rsid w:val="2DC27941"/>
    <w:rsid w:val="2EBB5AE9"/>
    <w:rsid w:val="2EDD23B1"/>
    <w:rsid w:val="2F315683"/>
    <w:rsid w:val="2F676898"/>
    <w:rsid w:val="2F8A71FE"/>
    <w:rsid w:val="2FD548F1"/>
    <w:rsid w:val="2FEE5A52"/>
    <w:rsid w:val="304C6A49"/>
    <w:rsid w:val="304E3E35"/>
    <w:rsid w:val="309A05A2"/>
    <w:rsid w:val="309F71F6"/>
    <w:rsid w:val="30BA3CEC"/>
    <w:rsid w:val="30CE660B"/>
    <w:rsid w:val="315027FA"/>
    <w:rsid w:val="31515CA7"/>
    <w:rsid w:val="3199733D"/>
    <w:rsid w:val="31C363EC"/>
    <w:rsid w:val="31E83CCD"/>
    <w:rsid w:val="32135ABB"/>
    <w:rsid w:val="32264BB5"/>
    <w:rsid w:val="325213D2"/>
    <w:rsid w:val="325B0F3F"/>
    <w:rsid w:val="330203CC"/>
    <w:rsid w:val="334F37E0"/>
    <w:rsid w:val="33A54073"/>
    <w:rsid w:val="341401B5"/>
    <w:rsid w:val="348537BA"/>
    <w:rsid w:val="34AF416F"/>
    <w:rsid w:val="34D222B4"/>
    <w:rsid w:val="350827D7"/>
    <w:rsid w:val="353B567E"/>
    <w:rsid w:val="353C16CB"/>
    <w:rsid w:val="3542029B"/>
    <w:rsid w:val="35830DEF"/>
    <w:rsid w:val="35A370BA"/>
    <w:rsid w:val="35DD48B8"/>
    <w:rsid w:val="35E97BB7"/>
    <w:rsid w:val="36506039"/>
    <w:rsid w:val="36613E75"/>
    <w:rsid w:val="36760BFE"/>
    <w:rsid w:val="36DD5F93"/>
    <w:rsid w:val="3838129F"/>
    <w:rsid w:val="3926130A"/>
    <w:rsid w:val="393B3A5D"/>
    <w:rsid w:val="394341F6"/>
    <w:rsid w:val="394537F7"/>
    <w:rsid w:val="3994519D"/>
    <w:rsid w:val="39D50280"/>
    <w:rsid w:val="3A185DAF"/>
    <w:rsid w:val="3A1A75EE"/>
    <w:rsid w:val="3A526123"/>
    <w:rsid w:val="3A8A5F1F"/>
    <w:rsid w:val="3AB70263"/>
    <w:rsid w:val="3AF73E80"/>
    <w:rsid w:val="3BCD6814"/>
    <w:rsid w:val="3C5923B6"/>
    <w:rsid w:val="3CB52BF9"/>
    <w:rsid w:val="3CF53D56"/>
    <w:rsid w:val="3E006F89"/>
    <w:rsid w:val="3E365644"/>
    <w:rsid w:val="3E734CCD"/>
    <w:rsid w:val="3E9D4C55"/>
    <w:rsid w:val="3EF86FE4"/>
    <w:rsid w:val="3FBB6401"/>
    <w:rsid w:val="3FFB388E"/>
    <w:rsid w:val="4012608A"/>
    <w:rsid w:val="40D36216"/>
    <w:rsid w:val="40D822A6"/>
    <w:rsid w:val="40DE4B65"/>
    <w:rsid w:val="410739EC"/>
    <w:rsid w:val="4145526D"/>
    <w:rsid w:val="415B7C1D"/>
    <w:rsid w:val="417003A9"/>
    <w:rsid w:val="41F97160"/>
    <w:rsid w:val="42270249"/>
    <w:rsid w:val="42606EFC"/>
    <w:rsid w:val="42EF71D9"/>
    <w:rsid w:val="436A5D8D"/>
    <w:rsid w:val="439126E1"/>
    <w:rsid w:val="44590C55"/>
    <w:rsid w:val="450F0BE6"/>
    <w:rsid w:val="451D67BC"/>
    <w:rsid w:val="451E0DDF"/>
    <w:rsid w:val="45432273"/>
    <w:rsid w:val="45E721A5"/>
    <w:rsid w:val="4635480F"/>
    <w:rsid w:val="46747BA7"/>
    <w:rsid w:val="468912D9"/>
    <w:rsid w:val="46E81105"/>
    <w:rsid w:val="47BC63D6"/>
    <w:rsid w:val="47BD0449"/>
    <w:rsid w:val="483E6B1A"/>
    <w:rsid w:val="489F1948"/>
    <w:rsid w:val="49AC3650"/>
    <w:rsid w:val="49F86E44"/>
    <w:rsid w:val="4A6B1F95"/>
    <w:rsid w:val="4B4715EE"/>
    <w:rsid w:val="4B5A3245"/>
    <w:rsid w:val="4BB10B80"/>
    <w:rsid w:val="4BE654C0"/>
    <w:rsid w:val="4C0E6D98"/>
    <w:rsid w:val="4CAA1519"/>
    <w:rsid w:val="4CFE5765"/>
    <w:rsid w:val="4DBF1EEF"/>
    <w:rsid w:val="4E626291"/>
    <w:rsid w:val="4F063812"/>
    <w:rsid w:val="4F232095"/>
    <w:rsid w:val="4F901834"/>
    <w:rsid w:val="4F970DF2"/>
    <w:rsid w:val="50C76AE2"/>
    <w:rsid w:val="51491CE9"/>
    <w:rsid w:val="51573A39"/>
    <w:rsid w:val="519A4B37"/>
    <w:rsid w:val="519D6229"/>
    <w:rsid w:val="51DB765B"/>
    <w:rsid w:val="522916E6"/>
    <w:rsid w:val="52373C3F"/>
    <w:rsid w:val="52622B45"/>
    <w:rsid w:val="52694D9C"/>
    <w:rsid w:val="526C343B"/>
    <w:rsid w:val="52C41C53"/>
    <w:rsid w:val="532A0654"/>
    <w:rsid w:val="532D5190"/>
    <w:rsid w:val="532E57F2"/>
    <w:rsid w:val="53894358"/>
    <w:rsid w:val="53A801BD"/>
    <w:rsid w:val="53D55487"/>
    <w:rsid w:val="53DC366B"/>
    <w:rsid w:val="540B4C3A"/>
    <w:rsid w:val="544613B5"/>
    <w:rsid w:val="54BB5C66"/>
    <w:rsid w:val="55A0150D"/>
    <w:rsid w:val="55C32EB4"/>
    <w:rsid w:val="570D0731"/>
    <w:rsid w:val="57334AFA"/>
    <w:rsid w:val="5812484A"/>
    <w:rsid w:val="581C192C"/>
    <w:rsid w:val="58B827A1"/>
    <w:rsid w:val="5972725D"/>
    <w:rsid w:val="59792B0A"/>
    <w:rsid w:val="59BB67B8"/>
    <w:rsid w:val="59E2172C"/>
    <w:rsid w:val="5A5B14CF"/>
    <w:rsid w:val="5A634939"/>
    <w:rsid w:val="5AB13681"/>
    <w:rsid w:val="5ABB1E2D"/>
    <w:rsid w:val="5AC03DB0"/>
    <w:rsid w:val="5AC72692"/>
    <w:rsid w:val="5AD25321"/>
    <w:rsid w:val="5ADB47FA"/>
    <w:rsid w:val="5AE0145A"/>
    <w:rsid w:val="5B33325E"/>
    <w:rsid w:val="5BB56CA8"/>
    <w:rsid w:val="5BC305B0"/>
    <w:rsid w:val="5BDF3CAA"/>
    <w:rsid w:val="5C23035D"/>
    <w:rsid w:val="5C666AF8"/>
    <w:rsid w:val="5CC63AF4"/>
    <w:rsid w:val="5CF37E58"/>
    <w:rsid w:val="5D0A7474"/>
    <w:rsid w:val="5D130FAD"/>
    <w:rsid w:val="5DAE021A"/>
    <w:rsid w:val="5DB678E6"/>
    <w:rsid w:val="5DCD4133"/>
    <w:rsid w:val="5E030176"/>
    <w:rsid w:val="5E3F08EF"/>
    <w:rsid w:val="5E7D5DD0"/>
    <w:rsid w:val="5E9032C8"/>
    <w:rsid w:val="5FB14D23"/>
    <w:rsid w:val="5FB547E0"/>
    <w:rsid w:val="5FC01944"/>
    <w:rsid w:val="5FC23C1B"/>
    <w:rsid w:val="5FC87968"/>
    <w:rsid w:val="60506013"/>
    <w:rsid w:val="60D41C6C"/>
    <w:rsid w:val="62643B14"/>
    <w:rsid w:val="629356EC"/>
    <w:rsid w:val="63306DCE"/>
    <w:rsid w:val="633B2E6E"/>
    <w:rsid w:val="63E31DDC"/>
    <w:rsid w:val="63EC39E5"/>
    <w:rsid w:val="647A1A1D"/>
    <w:rsid w:val="64CA19D6"/>
    <w:rsid w:val="654C546F"/>
    <w:rsid w:val="656F602A"/>
    <w:rsid w:val="66596958"/>
    <w:rsid w:val="66BC137F"/>
    <w:rsid w:val="66C67B69"/>
    <w:rsid w:val="66EE616D"/>
    <w:rsid w:val="67100ACE"/>
    <w:rsid w:val="67406A41"/>
    <w:rsid w:val="678676C4"/>
    <w:rsid w:val="679B1154"/>
    <w:rsid w:val="681745BB"/>
    <w:rsid w:val="68440755"/>
    <w:rsid w:val="68600EB6"/>
    <w:rsid w:val="68D01368"/>
    <w:rsid w:val="69986E8B"/>
    <w:rsid w:val="69BA41B2"/>
    <w:rsid w:val="69DA5499"/>
    <w:rsid w:val="6A1523AD"/>
    <w:rsid w:val="6A6942BB"/>
    <w:rsid w:val="6B4906B4"/>
    <w:rsid w:val="6B6C0BF8"/>
    <w:rsid w:val="6B8022D2"/>
    <w:rsid w:val="6BA14013"/>
    <w:rsid w:val="6BFB4B4B"/>
    <w:rsid w:val="6C026CFF"/>
    <w:rsid w:val="6CB0136C"/>
    <w:rsid w:val="6CF231C6"/>
    <w:rsid w:val="6D667757"/>
    <w:rsid w:val="6E8D3FE9"/>
    <w:rsid w:val="6EBC5999"/>
    <w:rsid w:val="7008461A"/>
    <w:rsid w:val="709A5D19"/>
    <w:rsid w:val="70A73474"/>
    <w:rsid w:val="711E56D5"/>
    <w:rsid w:val="7127658E"/>
    <w:rsid w:val="71970C6C"/>
    <w:rsid w:val="71AE4EEF"/>
    <w:rsid w:val="71B80AD8"/>
    <w:rsid w:val="72167322"/>
    <w:rsid w:val="722046E9"/>
    <w:rsid w:val="7223051B"/>
    <w:rsid w:val="729F7E8D"/>
    <w:rsid w:val="73274A01"/>
    <w:rsid w:val="740A43BD"/>
    <w:rsid w:val="741F699F"/>
    <w:rsid w:val="74853FC0"/>
    <w:rsid w:val="748745C7"/>
    <w:rsid w:val="74AE0496"/>
    <w:rsid w:val="750D5BF3"/>
    <w:rsid w:val="7581381E"/>
    <w:rsid w:val="7587269D"/>
    <w:rsid w:val="758D1050"/>
    <w:rsid w:val="75BE4D75"/>
    <w:rsid w:val="76964EFD"/>
    <w:rsid w:val="778644EE"/>
    <w:rsid w:val="78274756"/>
    <w:rsid w:val="78E72D8C"/>
    <w:rsid w:val="79235B4F"/>
    <w:rsid w:val="79F3283B"/>
    <w:rsid w:val="7A384A70"/>
    <w:rsid w:val="7B3C2D93"/>
    <w:rsid w:val="7B617090"/>
    <w:rsid w:val="7B803B62"/>
    <w:rsid w:val="7C077F66"/>
    <w:rsid w:val="7C2A7816"/>
    <w:rsid w:val="7C3E3F47"/>
    <w:rsid w:val="7C787DE9"/>
    <w:rsid w:val="7D001301"/>
    <w:rsid w:val="7D1D159E"/>
    <w:rsid w:val="7D993995"/>
    <w:rsid w:val="7DDE071B"/>
    <w:rsid w:val="7E8D1E3B"/>
    <w:rsid w:val="7EDE38AD"/>
    <w:rsid w:val="7F120731"/>
    <w:rsid w:val="7F2A0E78"/>
    <w:rsid w:val="7FA955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name="annotation text"/>
    <w:lsdException w:qFormat="1" w:uiPriority="0" w:semiHidden="0" w:name="header"/>
    <w:lsdException w:qFormat="1"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qFormat="1" w:unhideWhenUsed="0" w:uiPriority="0" w:semiHidden="0"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0"/>
      <w:lang w:val="en-US" w:eastAsia="zh-CN" w:bidi="ar-SA"/>
    </w:rPr>
  </w:style>
  <w:style w:type="paragraph" w:styleId="3">
    <w:name w:val="heading 1"/>
    <w:basedOn w:val="1"/>
    <w:next w:val="1"/>
    <w:link w:val="32"/>
    <w:qFormat/>
    <w:uiPriority w:val="9"/>
    <w:pPr>
      <w:keepNext/>
      <w:keepLines/>
      <w:spacing w:before="340" w:after="330" w:line="578" w:lineRule="auto"/>
      <w:outlineLvl w:val="0"/>
    </w:pPr>
    <w:rPr>
      <w:b/>
      <w:bCs/>
      <w:kern w:val="44"/>
      <w:sz w:val="44"/>
      <w:szCs w:val="44"/>
    </w:rPr>
  </w:style>
  <w:style w:type="paragraph" w:styleId="2">
    <w:name w:val="heading 2"/>
    <w:basedOn w:val="1"/>
    <w:next w:val="1"/>
    <w:link w:val="33"/>
    <w:qFormat/>
    <w:uiPriority w:val="0"/>
    <w:pPr>
      <w:keepNext/>
      <w:keepLines/>
      <w:spacing w:before="260" w:after="260" w:line="415" w:lineRule="auto"/>
      <w:outlineLvl w:val="1"/>
    </w:pPr>
    <w:rPr>
      <w:rFonts w:ascii="Arial" w:hAnsi="Arial" w:eastAsia="黑体"/>
      <w:b/>
      <w:bCs/>
      <w:sz w:val="32"/>
      <w:szCs w:val="32"/>
    </w:rPr>
  </w:style>
  <w:style w:type="paragraph" w:styleId="4">
    <w:name w:val="heading 3"/>
    <w:basedOn w:val="1"/>
    <w:next w:val="1"/>
    <w:link w:val="34"/>
    <w:qFormat/>
    <w:uiPriority w:val="0"/>
    <w:pPr>
      <w:keepNext/>
      <w:keepLines/>
      <w:spacing w:before="260" w:after="260" w:line="415" w:lineRule="auto"/>
      <w:outlineLvl w:val="2"/>
    </w:pPr>
    <w:rPr>
      <w:b/>
      <w:bCs/>
      <w:sz w:val="32"/>
      <w:szCs w:val="32"/>
    </w:rPr>
  </w:style>
  <w:style w:type="paragraph" w:styleId="5">
    <w:name w:val="heading 4"/>
    <w:basedOn w:val="1"/>
    <w:next w:val="1"/>
    <w:link w:val="35"/>
    <w:qFormat/>
    <w:uiPriority w:val="0"/>
    <w:pPr>
      <w:keepNext/>
      <w:keepLines/>
      <w:spacing w:before="280" w:after="290" w:line="372" w:lineRule="auto"/>
      <w:outlineLvl w:val="3"/>
    </w:pPr>
    <w:rPr>
      <w:rFonts w:ascii="Arial" w:hAnsi="Arial" w:eastAsia="黑体"/>
      <w:b/>
      <w:sz w:val="28"/>
    </w:rPr>
  </w:style>
  <w:style w:type="character" w:default="1" w:styleId="25">
    <w:name w:val="Default Paragraph Font"/>
    <w:semiHidden/>
    <w:unhideWhenUsed/>
    <w:qFormat/>
    <w:uiPriority w:val="1"/>
  </w:style>
  <w:style w:type="table" w:default="1" w:styleId="23">
    <w:name w:val="Normal Table"/>
    <w:semiHidden/>
    <w:unhideWhenUsed/>
    <w:qFormat/>
    <w:uiPriority w:val="99"/>
    <w:tblPr>
      <w:tblCellMar>
        <w:top w:w="0" w:type="dxa"/>
        <w:left w:w="108" w:type="dxa"/>
        <w:bottom w:w="0" w:type="dxa"/>
        <w:right w:w="108" w:type="dxa"/>
      </w:tblCellMar>
    </w:tblPr>
  </w:style>
  <w:style w:type="paragraph" w:styleId="6">
    <w:name w:val="Note Heading"/>
    <w:basedOn w:val="1"/>
    <w:next w:val="1"/>
    <w:link w:val="38"/>
    <w:qFormat/>
    <w:uiPriority w:val="0"/>
    <w:pPr>
      <w:jc w:val="center"/>
    </w:pPr>
    <w:rPr>
      <w:rFonts w:hAnsi="宋体"/>
    </w:rPr>
  </w:style>
  <w:style w:type="paragraph" w:styleId="7">
    <w:name w:val="Normal Indent"/>
    <w:basedOn w:val="1"/>
    <w:next w:val="1"/>
    <w:qFormat/>
    <w:uiPriority w:val="0"/>
    <w:pPr>
      <w:ind w:firstLine="420" w:firstLineChars="200"/>
    </w:pPr>
    <w:rPr>
      <w:rFonts w:eastAsia="仿宋_GB2312"/>
      <w:sz w:val="32"/>
    </w:rPr>
  </w:style>
  <w:style w:type="paragraph" w:styleId="8">
    <w:name w:val="annotation text"/>
    <w:basedOn w:val="1"/>
    <w:semiHidden/>
    <w:unhideWhenUsed/>
    <w:qFormat/>
    <w:uiPriority w:val="99"/>
    <w:pPr>
      <w:jc w:val="left"/>
    </w:pPr>
  </w:style>
  <w:style w:type="paragraph" w:styleId="9">
    <w:name w:val="Body Text"/>
    <w:basedOn w:val="1"/>
    <w:link w:val="39"/>
    <w:qFormat/>
    <w:uiPriority w:val="0"/>
    <w:pPr>
      <w:spacing w:after="120"/>
    </w:pPr>
    <w:rPr>
      <w:szCs w:val="24"/>
    </w:rPr>
  </w:style>
  <w:style w:type="paragraph" w:styleId="10">
    <w:name w:val="Body Text Indent"/>
    <w:basedOn w:val="1"/>
    <w:next w:val="1"/>
    <w:link w:val="36"/>
    <w:unhideWhenUsed/>
    <w:qFormat/>
    <w:uiPriority w:val="0"/>
    <w:pPr>
      <w:spacing w:after="120"/>
      <w:ind w:left="420" w:leftChars="200"/>
    </w:pPr>
  </w:style>
  <w:style w:type="paragraph" w:styleId="11">
    <w:name w:val="Block Text"/>
    <w:basedOn w:val="1"/>
    <w:qFormat/>
    <w:uiPriority w:val="0"/>
    <w:pPr>
      <w:ind w:left="46" w:leftChars="22" w:right="29" w:rightChars="14" w:firstLine="210" w:firstLineChars="100"/>
    </w:pPr>
    <w:rPr>
      <w:rFonts w:ascii="宋体" w:hAnsi="宋体"/>
      <w:color w:val="FF0000"/>
      <w:sz w:val="21"/>
      <w:szCs w:val="24"/>
    </w:rPr>
  </w:style>
  <w:style w:type="paragraph" w:styleId="12">
    <w:name w:val="Plain Text"/>
    <w:basedOn w:val="1"/>
    <w:qFormat/>
    <w:uiPriority w:val="0"/>
    <w:pPr>
      <w:widowControl/>
      <w:spacing w:before="100" w:beforeAutospacing="1" w:after="100" w:afterAutospacing="1"/>
      <w:jc w:val="left"/>
    </w:pPr>
    <w:rPr>
      <w:rFonts w:hAnsi="宋体"/>
      <w:sz w:val="24"/>
      <w:szCs w:val="24"/>
    </w:rPr>
  </w:style>
  <w:style w:type="paragraph" w:styleId="13">
    <w:name w:val="Body Text Indent 2"/>
    <w:basedOn w:val="1"/>
    <w:link w:val="40"/>
    <w:qFormat/>
    <w:uiPriority w:val="0"/>
    <w:pPr>
      <w:spacing w:after="120" w:line="480" w:lineRule="auto"/>
      <w:ind w:left="420" w:leftChars="200"/>
    </w:pPr>
    <w:rPr>
      <w:szCs w:val="24"/>
    </w:rPr>
  </w:style>
  <w:style w:type="paragraph" w:styleId="14">
    <w:name w:val="Balloon Text"/>
    <w:basedOn w:val="1"/>
    <w:link w:val="55"/>
    <w:qFormat/>
    <w:uiPriority w:val="0"/>
    <w:rPr>
      <w:sz w:val="18"/>
      <w:szCs w:val="18"/>
    </w:rPr>
  </w:style>
  <w:style w:type="paragraph" w:styleId="15">
    <w:name w:val="footer"/>
    <w:basedOn w:val="1"/>
    <w:link w:val="31"/>
    <w:unhideWhenUsed/>
    <w:qFormat/>
    <w:uiPriority w:val="0"/>
    <w:pPr>
      <w:tabs>
        <w:tab w:val="center" w:pos="4153"/>
        <w:tab w:val="right" w:pos="8306"/>
      </w:tabs>
      <w:snapToGrid w:val="0"/>
      <w:jc w:val="left"/>
    </w:pPr>
    <w:rPr>
      <w:sz w:val="18"/>
      <w:szCs w:val="18"/>
    </w:rPr>
  </w:style>
  <w:style w:type="paragraph" w:styleId="16">
    <w:name w:val="header"/>
    <w:basedOn w:val="1"/>
    <w:link w:val="30"/>
    <w:unhideWhenUsed/>
    <w:qFormat/>
    <w:uiPriority w:val="0"/>
    <w:pPr>
      <w:pBdr>
        <w:bottom w:val="single" w:color="auto" w:sz="6" w:space="1"/>
      </w:pBdr>
      <w:tabs>
        <w:tab w:val="center" w:pos="4153"/>
        <w:tab w:val="right" w:pos="8306"/>
      </w:tabs>
      <w:snapToGrid w:val="0"/>
      <w:jc w:val="center"/>
    </w:pPr>
    <w:rPr>
      <w:sz w:val="18"/>
      <w:szCs w:val="18"/>
    </w:rPr>
  </w:style>
  <w:style w:type="paragraph" w:styleId="17">
    <w:name w:val="toc 1"/>
    <w:basedOn w:val="1"/>
    <w:next w:val="1"/>
    <w:qFormat/>
    <w:uiPriority w:val="0"/>
  </w:style>
  <w:style w:type="paragraph" w:styleId="18">
    <w:name w:val="Body Text Indent 3"/>
    <w:basedOn w:val="1"/>
    <w:link w:val="41"/>
    <w:qFormat/>
    <w:uiPriority w:val="0"/>
    <w:pPr>
      <w:spacing w:after="120"/>
      <w:ind w:left="420" w:leftChars="200"/>
    </w:pPr>
    <w:rPr>
      <w:sz w:val="16"/>
      <w:szCs w:val="16"/>
    </w:rPr>
  </w:style>
  <w:style w:type="paragraph" w:styleId="19">
    <w:name w:val="table of figures"/>
    <w:basedOn w:val="1"/>
    <w:next w:val="1"/>
    <w:qFormat/>
    <w:uiPriority w:val="0"/>
    <w:pPr>
      <w:widowControl/>
      <w:spacing w:before="60" w:after="60" w:line="240" w:lineRule="auto"/>
      <w:ind w:left="200" w:leftChars="200" w:hanging="200" w:hangingChars="200"/>
    </w:pPr>
    <w:rPr>
      <w:rFonts w:eastAsia="宋体" w:cs="Times New Roman"/>
      <w:szCs w:val="24"/>
    </w:rPr>
  </w:style>
  <w:style w:type="paragraph" w:styleId="20">
    <w:name w:val="toc 2"/>
    <w:basedOn w:val="1"/>
    <w:next w:val="1"/>
    <w:qFormat/>
    <w:uiPriority w:val="0"/>
    <w:pPr>
      <w:ind w:left="420" w:leftChars="200"/>
    </w:pPr>
  </w:style>
  <w:style w:type="paragraph" w:styleId="21">
    <w:name w:val="Normal (Web)"/>
    <w:basedOn w:val="1"/>
    <w:qFormat/>
    <w:uiPriority w:val="0"/>
    <w:pPr>
      <w:widowControl/>
      <w:jc w:val="left"/>
    </w:pPr>
    <w:rPr>
      <w:rFonts w:ascii="宋体" w:hAnsi="宋体"/>
      <w:kern w:val="0"/>
      <w:sz w:val="24"/>
      <w:szCs w:val="24"/>
    </w:rPr>
  </w:style>
  <w:style w:type="paragraph" w:styleId="22">
    <w:name w:val="Body Text First Indent 2"/>
    <w:basedOn w:val="10"/>
    <w:next w:val="1"/>
    <w:link w:val="37"/>
    <w:qFormat/>
    <w:uiPriority w:val="0"/>
    <w:pPr>
      <w:adjustRightInd w:val="0"/>
      <w:snapToGrid w:val="0"/>
      <w:spacing w:after="0" w:line="360" w:lineRule="auto"/>
      <w:ind w:left="0" w:leftChars="0" w:firstLine="420" w:firstLineChars="200"/>
    </w:pPr>
    <w:rPr>
      <w:rFonts w:eastAsia="Times New Roman"/>
      <w:sz w:val="18"/>
      <w:szCs w:val="18"/>
    </w:rPr>
  </w:style>
  <w:style w:type="table" w:styleId="24">
    <w:name w:val="Table Grid"/>
    <w:basedOn w:val="23"/>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6">
    <w:name w:val="Strong"/>
    <w:basedOn w:val="25"/>
    <w:qFormat/>
    <w:uiPriority w:val="0"/>
    <w:rPr>
      <w:b/>
      <w:bCs/>
    </w:rPr>
  </w:style>
  <w:style w:type="character" w:styleId="27">
    <w:name w:val="page number"/>
    <w:basedOn w:val="25"/>
    <w:qFormat/>
    <w:uiPriority w:val="0"/>
  </w:style>
  <w:style w:type="character" w:styleId="28">
    <w:name w:val="Hyperlink"/>
    <w:basedOn w:val="25"/>
    <w:qFormat/>
    <w:uiPriority w:val="0"/>
    <w:rPr>
      <w:color w:val="0000FF"/>
      <w:u w:val="single"/>
    </w:rPr>
  </w:style>
  <w:style w:type="character" w:styleId="29">
    <w:name w:val="annotation reference"/>
    <w:basedOn w:val="25"/>
    <w:semiHidden/>
    <w:unhideWhenUsed/>
    <w:qFormat/>
    <w:uiPriority w:val="99"/>
    <w:rPr>
      <w:sz w:val="21"/>
      <w:szCs w:val="21"/>
    </w:rPr>
  </w:style>
  <w:style w:type="character" w:customStyle="1" w:styleId="30">
    <w:name w:val="页眉 Char"/>
    <w:basedOn w:val="25"/>
    <w:link w:val="16"/>
    <w:qFormat/>
    <w:uiPriority w:val="99"/>
    <w:rPr>
      <w:sz w:val="18"/>
      <w:szCs w:val="18"/>
    </w:rPr>
  </w:style>
  <w:style w:type="character" w:customStyle="1" w:styleId="31">
    <w:name w:val="页脚 Char"/>
    <w:basedOn w:val="25"/>
    <w:link w:val="15"/>
    <w:qFormat/>
    <w:uiPriority w:val="99"/>
    <w:rPr>
      <w:sz w:val="18"/>
      <w:szCs w:val="18"/>
    </w:rPr>
  </w:style>
  <w:style w:type="character" w:customStyle="1" w:styleId="32">
    <w:name w:val="标题 1 Char"/>
    <w:basedOn w:val="25"/>
    <w:link w:val="3"/>
    <w:qFormat/>
    <w:uiPriority w:val="9"/>
    <w:rPr>
      <w:rFonts w:ascii="Times New Roman" w:hAnsi="Times New Roman" w:eastAsia="宋体" w:cs="Times New Roman"/>
      <w:b/>
      <w:bCs/>
      <w:kern w:val="44"/>
      <w:sz w:val="44"/>
      <w:szCs w:val="44"/>
    </w:rPr>
  </w:style>
  <w:style w:type="character" w:customStyle="1" w:styleId="33">
    <w:name w:val="标题 2 Char"/>
    <w:basedOn w:val="25"/>
    <w:link w:val="2"/>
    <w:qFormat/>
    <w:uiPriority w:val="0"/>
    <w:rPr>
      <w:rFonts w:ascii="Arial" w:hAnsi="Arial" w:eastAsia="黑体" w:cs="Times New Roman"/>
      <w:b/>
      <w:bCs/>
      <w:sz w:val="32"/>
      <w:szCs w:val="32"/>
    </w:rPr>
  </w:style>
  <w:style w:type="character" w:customStyle="1" w:styleId="34">
    <w:name w:val="标题 3 Char"/>
    <w:basedOn w:val="25"/>
    <w:link w:val="4"/>
    <w:qFormat/>
    <w:uiPriority w:val="0"/>
    <w:rPr>
      <w:rFonts w:ascii="Times New Roman" w:hAnsi="Times New Roman" w:eastAsia="宋体" w:cs="Times New Roman"/>
      <w:b/>
      <w:bCs/>
      <w:sz w:val="32"/>
      <w:szCs w:val="32"/>
    </w:rPr>
  </w:style>
  <w:style w:type="character" w:customStyle="1" w:styleId="35">
    <w:name w:val="标题 4 Char"/>
    <w:basedOn w:val="25"/>
    <w:link w:val="5"/>
    <w:qFormat/>
    <w:uiPriority w:val="0"/>
    <w:rPr>
      <w:rFonts w:ascii="Arial" w:hAnsi="Arial" w:eastAsia="黑体" w:cs="Times New Roman"/>
      <w:b/>
      <w:sz w:val="28"/>
      <w:szCs w:val="20"/>
    </w:rPr>
  </w:style>
  <w:style w:type="character" w:customStyle="1" w:styleId="36">
    <w:name w:val="正文文本缩进 Char"/>
    <w:basedOn w:val="25"/>
    <w:link w:val="10"/>
    <w:semiHidden/>
    <w:qFormat/>
    <w:uiPriority w:val="99"/>
    <w:rPr>
      <w:rFonts w:ascii="Times New Roman" w:hAnsi="Times New Roman" w:eastAsia="宋体" w:cs="Times New Roman"/>
      <w:szCs w:val="20"/>
    </w:rPr>
  </w:style>
  <w:style w:type="character" w:customStyle="1" w:styleId="37">
    <w:name w:val="正文首行缩进 2 Char"/>
    <w:basedOn w:val="36"/>
    <w:link w:val="22"/>
    <w:qFormat/>
    <w:uiPriority w:val="0"/>
    <w:rPr>
      <w:rFonts w:ascii="Times New Roman" w:hAnsi="Times New Roman" w:eastAsia="Times New Roman" w:cs="Times New Roman"/>
      <w:sz w:val="18"/>
      <w:szCs w:val="18"/>
    </w:rPr>
  </w:style>
  <w:style w:type="character" w:customStyle="1" w:styleId="38">
    <w:name w:val="注释标题 Char"/>
    <w:basedOn w:val="25"/>
    <w:link w:val="6"/>
    <w:qFormat/>
    <w:uiPriority w:val="0"/>
    <w:rPr>
      <w:rFonts w:ascii="Times New Roman" w:hAnsi="宋体" w:eastAsia="宋体" w:cs="Times New Roman"/>
      <w:szCs w:val="20"/>
    </w:rPr>
  </w:style>
  <w:style w:type="character" w:customStyle="1" w:styleId="39">
    <w:name w:val="正文文本 Char"/>
    <w:basedOn w:val="25"/>
    <w:link w:val="9"/>
    <w:qFormat/>
    <w:uiPriority w:val="0"/>
    <w:rPr>
      <w:rFonts w:ascii="Times New Roman" w:hAnsi="Times New Roman" w:eastAsia="宋体" w:cs="Times New Roman"/>
      <w:szCs w:val="24"/>
    </w:rPr>
  </w:style>
  <w:style w:type="character" w:customStyle="1" w:styleId="40">
    <w:name w:val="正文文本缩进 2 Char"/>
    <w:basedOn w:val="25"/>
    <w:link w:val="13"/>
    <w:qFormat/>
    <w:uiPriority w:val="0"/>
    <w:rPr>
      <w:rFonts w:ascii="Times New Roman" w:hAnsi="Times New Roman" w:eastAsia="宋体" w:cs="Times New Roman"/>
      <w:szCs w:val="24"/>
    </w:rPr>
  </w:style>
  <w:style w:type="character" w:customStyle="1" w:styleId="41">
    <w:name w:val="正文文本缩进 3 Char"/>
    <w:basedOn w:val="25"/>
    <w:link w:val="18"/>
    <w:qFormat/>
    <w:uiPriority w:val="0"/>
    <w:rPr>
      <w:rFonts w:ascii="Times New Roman" w:hAnsi="Times New Roman" w:eastAsia="宋体" w:cs="Times New Roman"/>
      <w:sz w:val="16"/>
      <w:szCs w:val="16"/>
    </w:rPr>
  </w:style>
  <w:style w:type="paragraph" w:customStyle="1" w:styleId="42">
    <w:name w:val="Char Char Char1"/>
    <w:basedOn w:val="1"/>
    <w:qFormat/>
    <w:uiPriority w:val="0"/>
    <w:pPr>
      <w:widowControl/>
      <w:spacing w:after="160" w:line="240" w:lineRule="exact"/>
      <w:jc w:val="left"/>
    </w:pPr>
  </w:style>
  <w:style w:type="paragraph" w:customStyle="1" w:styleId="43">
    <w:name w:val="报告书正文"/>
    <w:basedOn w:val="1"/>
    <w:qFormat/>
    <w:uiPriority w:val="0"/>
    <w:pPr>
      <w:spacing w:line="360" w:lineRule="auto"/>
      <w:ind w:firstLine="200" w:firstLineChars="200"/>
    </w:pPr>
    <w:rPr>
      <w:rFonts w:ascii="宋体"/>
      <w:sz w:val="24"/>
    </w:rPr>
  </w:style>
  <w:style w:type="paragraph" w:customStyle="1" w:styleId="44">
    <w:name w:val="正文文本1"/>
    <w:basedOn w:val="1"/>
    <w:unhideWhenUsed/>
    <w:qFormat/>
    <w:uiPriority w:val="0"/>
    <w:pPr>
      <w:autoSpaceDE w:val="0"/>
      <w:autoSpaceDN w:val="0"/>
      <w:ind w:left="104"/>
      <w:jc w:val="left"/>
    </w:pPr>
    <w:rPr>
      <w:kern w:val="0"/>
      <w:sz w:val="24"/>
    </w:rPr>
  </w:style>
  <w:style w:type="paragraph" w:customStyle="1" w:styleId="45">
    <w:name w:val="表格内容"/>
    <w:basedOn w:val="1"/>
    <w:qFormat/>
    <w:uiPriority w:val="0"/>
    <w:pPr>
      <w:jc w:val="center"/>
    </w:pPr>
  </w:style>
  <w:style w:type="paragraph" w:customStyle="1" w:styleId="46">
    <w:name w:val="6-表头"/>
    <w:basedOn w:val="1"/>
    <w:qFormat/>
    <w:uiPriority w:val="0"/>
    <w:pPr>
      <w:autoSpaceDE w:val="0"/>
      <w:autoSpaceDN w:val="0"/>
      <w:adjustRightInd w:val="0"/>
      <w:spacing w:beforeLines="70"/>
      <w:jc w:val="center"/>
    </w:pPr>
    <w:rPr>
      <w:b/>
      <w:bCs/>
      <w:szCs w:val="21"/>
    </w:rPr>
  </w:style>
  <w:style w:type="paragraph" w:customStyle="1" w:styleId="47">
    <w:name w:val="简单回函地址"/>
    <w:basedOn w:val="1"/>
    <w:qFormat/>
    <w:uiPriority w:val="0"/>
    <w:pPr>
      <w:adjustRightInd w:val="0"/>
      <w:spacing w:line="312" w:lineRule="atLeast"/>
    </w:pPr>
    <w:rPr>
      <w:kern w:val="0"/>
    </w:rPr>
  </w:style>
  <w:style w:type="paragraph" w:customStyle="1" w:styleId="48">
    <w:name w:val="Char"/>
    <w:basedOn w:val="1"/>
    <w:link w:val="54"/>
    <w:qFormat/>
    <w:uiPriority w:val="0"/>
    <w:pPr>
      <w:autoSpaceDE w:val="0"/>
      <w:autoSpaceDN w:val="0"/>
      <w:adjustRightInd w:val="0"/>
      <w:snapToGrid w:val="0"/>
      <w:spacing w:before="50" w:after="50" w:line="360" w:lineRule="auto"/>
      <w:ind w:firstLine="560" w:firstLineChars="200"/>
    </w:pPr>
    <w:rPr>
      <w:rFonts w:ascii="宋体" w:hAnsi="宋体"/>
      <w:szCs w:val="24"/>
    </w:rPr>
  </w:style>
  <w:style w:type="paragraph" w:customStyle="1" w:styleId="49">
    <w:name w:val="Default"/>
    <w:unhideWhenUsed/>
    <w:qFormat/>
    <w:uiPriority w:val="99"/>
    <w:pPr>
      <w:widowControl w:val="0"/>
      <w:autoSpaceDE w:val="0"/>
      <w:autoSpaceDN w:val="0"/>
      <w:adjustRightInd w:val="0"/>
    </w:pPr>
    <w:rPr>
      <w:rFonts w:hint="eastAsia" w:ascii="宋体" w:hAnsi="宋体" w:eastAsia="宋体" w:cs="Times New Roman"/>
      <w:color w:val="000000"/>
      <w:kern w:val="0"/>
      <w:sz w:val="24"/>
      <w:szCs w:val="20"/>
      <w:lang w:val="en-US" w:eastAsia="zh-CN" w:bidi="ar-SA"/>
    </w:rPr>
  </w:style>
  <w:style w:type="paragraph" w:customStyle="1" w:styleId="50">
    <w:name w:val="武正文"/>
    <w:basedOn w:val="1"/>
    <w:qFormat/>
    <w:uiPriority w:val="0"/>
    <w:pPr>
      <w:adjustRightInd w:val="0"/>
      <w:snapToGrid w:val="0"/>
      <w:spacing w:line="360" w:lineRule="auto"/>
      <w:ind w:firstLine="200" w:firstLineChars="200"/>
    </w:pPr>
    <w:rPr>
      <w:rFonts w:hAnsi="宋体"/>
      <w:color w:val="000000"/>
      <w:szCs w:val="24"/>
    </w:rPr>
  </w:style>
  <w:style w:type="paragraph" w:customStyle="1" w:styleId="51">
    <w:name w:val="Char Char11"/>
    <w:basedOn w:val="1"/>
    <w:qFormat/>
    <w:uiPriority w:val="0"/>
    <w:pPr>
      <w:spacing w:line="360" w:lineRule="auto"/>
      <w:ind w:firstLine="200" w:firstLineChars="200"/>
    </w:pPr>
  </w:style>
  <w:style w:type="paragraph" w:customStyle="1" w:styleId="52">
    <w:name w:val="无间隔1"/>
    <w:basedOn w:val="1"/>
    <w:qFormat/>
    <w:uiPriority w:val="1"/>
    <w:rPr>
      <w:szCs w:val="32"/>
    </w:rPr>
  </w:style>
  <w:style w:type="paragraph" w:customStyle="1" w:styleId="53">
    <w:name w:val="_Style 2"/>
    <w:basedOn w:val="1"/>
    <w:qFormat/>
    <w:uiPriority w:val="0"/>
    <w:pPr>
      <w:ind w:firstLine="420" w:firstLineChars="200"/>
    </w:pPr>
  </w:style>
  <w:style w:type="character" w:customStyle="1" w:styleId="54">
    <w:name w:val="Char Char"/>
    <w:basedOn w:val="25"/>
    <w:link w:val="48"/>
    <w:qFormat/>
    <w:locked/>
    <w:uiPriority w:val="0"/>
    <w:rPr>
      <w:rFonts w:ascii="宋体" w:hAnsi="宋体" w:eastAsia="宋体" w:cs="Times New Roman"/>
      <w:szCs w:val="24"/>
    </w:rPr>
  </w:style>
  <w:style w:type="character" w:customStyle="1" w:styleId="55">
    <w:name w:val="批注框文本 Char"/>
    <w:basedOn w:val="25"/>
    <w:link w:val="14"/>
    <w:qFormat/>
    <w:uiPriority w:val="0"/>
    <w:rPr>
      <w:rFonts w:ascii="Times New Roman" w:hAnsi="Times New Roman" w:eastAsia="宋体" w:cs="Times New Roman"/>
      <w:sz w:val="18"/>
      <w:szCs w:val="18"/>
    </w:rPr>
  </w:style>
  <w:style w:type="table" w:customStyle="1" w:styleId="56">
    <w:name w:val="网格型1"/>
    <w:basedOn w:val="23"/>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7">
    <w:name w:val="网格型2"/>
    <w:basedOn w:val="23"/>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58">
    <w:name w:val="zw"/>
    <w:basedOn w:val="1"/>
    <w:qFormat/>
    <w:uiPriority w:val="0"/>
    <w:pPr>
      <w:widowControl/>
      <w:spacing w:before="100" w:beforeLines="0" w:beforeAutospacing="1" w:after="100" w:afterLines="0" w:afterAutospacing="1" w:line="440" w:lineRule="atLeast"/>
      <w:jc w:val="left"/>
    </w:pPr>
    <w:rPr>
      <w:rFonts w:ascii="宋体" w:hAnsi="宋体" w:cs="宋体"/>
      <w:kern w:val="0"/>
      <w:sz w:val="22"/>
      <w:szCs w:val="22"/>
    </w:rPr>
  </w:style>
  <w:style w:type="character" w:customStyle="1" w:styleId="59">
    <w:name w:val="zw1"/>
    <w:basedOn w:val="25"/>
    <w:qFormat/>
    <w:uiPriority w:val="0"/>
    <w:rPr>
      <w:rFonts w:hint="eastAsia" w:ascii="宋体" w:hAnsi="宋体" w:eastAsia="宋体"/>
      <w:sz w:val="22"/>
      <w:szCs w:val="22"/>
    </w:rPr>
  </w:style>
  <w:style w:type="paragraph" w:styleId="60">
    <w:name w:val="List Paragraph"/>
    <w:basedOn w:val="1"/>
    <w:qFormat/>
    <w:uiPriority w:val="34"/>
    <w:pPr>
      <w:ind w:firstLine="420" w:firstLineChars="200"/>
    </w:pPr>
  </w:style>
  <w:style w:type="character" w:customStyle="1" w:styleId="61">
    <w:name w:val="NormalCharacter"/>
    <w:semiHidden/>
    <w:qFormat/>
    <w:uiPriority w:val="0"/>
  </w:style>
  <w:style w:type="paragraph" w:customStyle="1" w:styleId="62">
    <w:name w:val="表格样式1"/>
    <w:basedOn w:val="1"/>
    <w:qFormat/>
    <w:uiPriority w:val="0"/>
    <w:pPr>
      <w:adjustRightInd w:val="0"/>
      <w:snapToGrid w:val="0"/>
      <w:jc w:val="center"/>
    </w:pPr>
    <w:rPr>
      <w:color w:val="000000"/>
      <w:szCs w:val="21"/>
    </w:rPr>
  </w:style>
  <w:style w:type="paragraph" w:customStyle="1" w:styleId="63">
    <w:name w:val="body text"/>
    <w:basedOn w:val="1"/>
    <w:unhideWhenUsed/>
    <w:qFormat/>
    <w:uiPriority w:val="99"/>
    <w:pPr>
      <w:autoSpaceDE w:val="0"/>
      <w:autoSpaceDN w:val="0"/>
      <w:ind w:left="104"/>
      <w:jc w:val="left"/>
    </w:pPr>
    <w:rPr>
      <w:rFonts w:eastAsia="宋体"/>
      <w:sz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png"/><Relationship Id="rId2" Type="http://schemas.openxmlformats.org/officeDocument/2006/relationships/settings" Target="settings.xml"/><Relationship Id="rId19" Type="http://schemas.openxmlformats.org/officeDocument/2006/relationships/image" Target="media/image2.emf"/><Relationship Id="rId18" Type="http://schemas.openxmlformats.org/officeDocument/2006/relationships/oleObject" Target="embeddings/oleObject1.bin"/><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header" Target="header5.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47</Pages>
  <Words>20015</Words>
  <Characters>21815</Characters>
  <Lines>216</Lines>
  <Paragraphs>61</Paragraphs>
  <TotalTime>13</TotalTime>
  <ScaleCrop>false</ScaleCrop>
  <LinksUpToDate>false</LinksUpToDate>
  <CharactersWithSpaces>22405</CharactersWithSpaces>
  <Application>WPS Office_11.1.0.9929_F1E327BC-269C-435d-A152-05C5408002CA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2019-07-10T07:52:00Z</dcterms:created>
  <dc:creator>Administrator</dc:creator>
  <cp:lastModifiedBy>梨落</cp:lastModifiedBy>
  <dcterms:modified xsi:type="dcterms:W3CDTF">2020-12-15T08:23:43Z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2052-11.1.0.9929</vt:lpwstr>
  </property>
</Properties>
</file>