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ascii="仿宋" w:hAnsi="仿宋" w:eastAsia="仿宋" w:cs="仿宋"/>
          <w:color w:val="auto"/>
        </w:rPr>
      </w:pPr>
    </w:p>
    <w:p>
      <w:pPr>
        <w:rPr>
          <w:rFonts w:hint="eastAsia" w:ascii="仿宋" w:hAnsi="仿宋" w:eastAsia="仿宋" w:cs="仿宋"/>
          <w:color w:val="auto"/>
        </w:rPr>
      </w:pPr>
      <w:bookmarkStart w:id="0" w:name="_GoBack"/>
      <w:bookmarkEnd w:id="0"/>
    </w:p>
    <w:p>
      <w:pPr>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rPr>
      </w:pPr>
    </w:p>
    <w:p>
      <w:pPr>
        <w:spacing w:line="900" w:lineRule="exact"/>
        <w:jc w:val="center"/>
        <w:rPr>
          <w:rFonts w:hint="eastAsia" w:ascii="仿宋" w:hAnsi="仿宋" w:eastAsia="仿宋" w:cs="仿宋"/>
          <w:b/>
          <w:bCs/>
          <w:color w:val="auto"/>
          <w:sz w:val="44"/>
          <w:szCs w:val="44"/>
          <w:lang w:eastAsia="zh-CN"/>
        </w:rPr>
      </w:pPr>
      <w:r>
        <w:rPr>
          <w:rFonts w:hint="eastAsia" w:ascii="仿宋" w:hAnsi="仿宋" w:eastAsia="仿宋" w:cs="仿宋"/>
          <w:b/>
          <w:bCs/>
          <w:color w:val="auto"/>
          <w:sz w:val="44"/>
          <w:szCs w:val="44"/>
          <w:lang w:eastAsia="zh-CN"/>
        </w:rPr>
        <w:t>陕西勇轩建材有限公司</w:t>
      </w:r>
    </w:p>
    <w:p>
      <w:pPr>
        <w:spacing w:line="900" w:lineRule="exact"/>
        <w:jc w:val="center"/>
        <w:rPr>
          <w:rFonts w:hint="eastAsia" w:ascii="仿宋" w:hAnsi="仿宋" w:eastAsia="仿宋" w:cs="仿宋"/>
          <w:b/>
          <w:bCs/>
          <w:color w:val="auto"/>
          <w:sz w:val="44"/>
          <w:szCs w:val="44"/>
        </w:rPr>
      </w:pPr>
      <w:r>
        <w:rPr>
          <w:rFonts w:hint="eastAsia" w:ascii="仿宋" w:hAnsi="仿宋" w:eastAsia="仿宋" w:cs="仿宋"/>
          <w:b/>
          <w:bCs/>
          <w:color w:val="auto"/>
          <w:sz w:val="44"/>
          <w:szCs w:val="44"/>
        </w:rPr>
        <w:t>突发环境事件应急预案编制说明</w:t>
      </w:r>
    </w:p>
    <w:p>
      <w:pPr>
        <w:jc w:val="center"/>
        <w:rPr>
          <w:rFonts w:hint="eastAsia" w:ascii="仿宋" w:hAnsi="仿宋" w:eastAsia="仿宋" w:cs="仿宋"/>
          <w:color w:val="auto"/>
          <w:sz w:val="44"/>
          <w:szCs w:val="44"/>
        </w:rPr>
      </w:pPr>
    </w:p>
    <w:p>
      <w:pPr>
        <w:jc w:val="center"/>
        <w:rPr>
          <w:rFonts w:hint="eastAsia" w:ascii="仿宋" w:hAnsi="仿宋" w:eastAsia="仿宋" w:cs="仿宋"/>
          <w:color w:val="auto"/>
          <w:sz w:val="44"/>
          <w:szCs w:val="44"/>
        </w:rPr>
      </w:pPr>
    </w:p>
    <w:p>
      <w:pPr>
        <w:jc w:val="center"/>
        <w:rPr>
          <w:rFonts w:hint="eastAsia" w:ascii="仿宋" w:hAnsi="仿宋" w:eastAsia="仿宋" w:cs="仿宋"/>
          <w:color w:val="auto"/>
          <w:sz w:val="44"/>
          <w:szCs w:val="44"/>
        </w:rPr>
      </w:pPr>
    </w:p>
    <w:p>
      <w:pPr>
        <w:jc w:val="center"/>
        <w:rPr>
          <w:rFonts w:hint="eastAsia" w:ascii="仿宋" w:hAnsi="仿宋" w:eastAsia="仿宋" w:cs="仿宋"/>
          <w:color w:val="auto"/>
          <w:sz w:val="44"/>
          <w:szCs w:val="44"/>
        </w:rPr>
      </w:pPr>
    </w:p>
    <w:p>
      <w:pPr>
        <w:jc w:val="center"/>
        <w:rPr>
          <w:rFonts w:hint="eastAsia" w:ascii="仿宋" w:hAnsi="仿宋" w:eastAsia="仿宋" w:cs="仿宋"/>
          <w:color w:val="auto"/>
          <w:sz w:val="44"/>
          <w:szCs w:val="44"/>
        </w:rPr>
      </w:pPr>
    </w:p>
    <w:p>
      <w:pPr>
        <w:pStyle w:val="2"/>
        <w:rPr>
          <w:rFonts w:hint="eastAsia"/>
          <w:color w:val="auto"/>
        </w:rPr>
      </w:pPr>
    </w:p>
    <w:p>
      <w:pPr>
        <w:jc w:val="center"/>
        <w:rPr>
          <w:rFonts w:hint="eastAsia" w:ascii="仿宋" w:hAnsi="仿宋" w:eastAsia="仿宋" w:cs="仿宋"/>
          <w:color w:val="auto"/>
          <w:sz w:val="44"/>
          <w:szCs w:val="44"/>
        </w:rPr>
      </w:pPr>
    </w:p>
    <w:p>
      <w:pPr>
        <w:pStyle w:val="2"/>
        <w:rPr>
          <w:rFonts w:hint="eastAsia" w:ascii="仿宋" w:hAnsi="仿宋" w:eastAsia="仿宋" w:cs="仿宋"/>
          <w:color w:val="auto"/>
          <w:sz w:val="44"/>
          <w:szCs w:val="44"/>
        </w:rPr>
      </w:pPr>
    </w:p>
    <w:p>
      <w:pPr>
        <w:pStyle w:val="2"/>
        <w:rPr>
          <w:rFonts w:hint="eastAsia" w:ascii="仿宋" w:hAnsi="仿宋" w:eastAsia="仿宋" w:cs="仿宋"/>
          <w:color w:val="auto"/>
          <w:sz w:val="44"/>
          <w:szCs w:val="44"/>
        </w:rPr>
      </w:pPr>
    </w:p>
    <w:p>
      <w:pPr>
        <w:jc w:val="center"/>
        <w:rPr>
          <w:rFonts w:hint="eastAsia" w:ascii="仿宋" w:hAnsi="仿宋" w:eastAsia="仿宋" w:cs="仿宋"/>
          <w:color w:val="auto"/>
          <w:sz w:val="44"/>
          <w:szCs w:val="44"/>
        </w:rPr>
      </w:pPr>
    </w:p>
    <w:p>
      <w:pPr>
        <w:jc w:val="center"/>
        <w:rPr>
          <w:rFonts w:hint="eastAsia" w:ascii="仿宋" w:hAnsi="仿宋" w:eastAsia="仿宋" w:cs="仿宋"/>
          <w:color w:val="auto"/>
          <w:sz w:val="44"/>
          <w:szCs w:val="44"/>
        </w:rPr>
      </w:pPr>
    </w:p>
    <w:p>
      <w:pPr>
        <w:pStyle w:val="9"/>
        <w:tabs>
          <w:tab w:val="right" w:leader="dot" w:pos="9174"/>
        </w:tabs>
        <w:spacing w:line="360" w:lineRule="auto"/>
        <w:jc w:val="center"/>
        <w:rPr>
          <w:rFonts w:hint="eastAsia" w:ascii="仿宋" w:hAnsi="仿宋" w:eastAsia="仿宋" w:cs="仿宋"/>
          <w:b/>
          <w:color w:val="auto"/>
          <w:sz w:val="36"/>
          <w:szCs w:val="36"/>
        </w:rPr>
      </w:pPr>
    </w:p>
    <w:p>
      <w:pPr>
        <w:pStyle w:val="9"/>
        <w:tabs>
          <w:tab w:val="right" w:leader="dot" w:pos="9174"/>
        </w:tabs>
        <w:spacing w:line="360" w:lineRule="auto"/>
        <w:jc w:val="center"/>
        <w:rPr>
          <w:rFonts w:hint="eastAsia" w:ascii="仿宋" w:hAnsi="仿宋" w:eastAsia="仿宋" w:cs="仿宋"/>
          <w:color w:val="auto"/>
          <w:sz w:val="32"/>
          <w:szCs w:val="32"/>
          <w:lang w:eastAsia="zh-CN"/>
        </w:rPr>
      </w:pPr>
      <w:r>
        <w:rPr>
          <w:rFonts w:hint="eastAsia" w:ascii="仿宋" w:hAnsi="仿宋" w:eastAsia="仿宋" w:cs="仿宋"/>
          <w:b/>
          <w:color w:val="auto"/>
          <w:sz w:val="36"/>
          <w:szCs w:val="36"/>
          <w:lang w:eastAsia="zh-CN"/>
        </w:rPr>
        <w:t>陕西勇轩建材有限公司</w:t>
      </w:r>
    </w:p>
    <w:p>
      <w:pPr>
        <w:spacing w:line="360" w:lineRule="auto"/>
        <w:jc w:val="center"/>
        <w:rPr>
          <w:rFonts w:hint="eastAsia" w:ascii="仿宋" w:hAnsi="仿宋" w:eastAsia="仿宋" w:cs="仿宋"/>
          <w:b/>
          <w:color w:val="auto"/>
          <w:sz w:val="36"/>
          <w:szCs w:val="36"/>
        </w:rPr>
      </w:pPr>
      <w:r>
        <w:rPr>
          <w:rFonts w:hint="eastAsia" w:ascii="仿宋" w:hAnsi="仿宋" w:eastAsia="仿宋" w:cs="仿宋"/>
          <w:b/>
          <w:color w:val="auto"/>
          <w:sz w:val="36"/>
          <w:szCs w:val="36"/>
          <w:lang w:val="en-US" w:eastAsia="zh-CN"/>
        </w:rPr>
        <w:t>2020</w:t>
      </w:r>
      <w:r>
        <w:rPr>
          <w:rFonts w:hint="eastAsia" w:ascii="仿宋" w:hAnsi="仿宋" w:eastAsia="仿宋" w:cs="仿宋"/>
          <w:b/>
          <w:color w:val="auto"/>
          <w:sz w:val="36"/>
          <w:szCs w:val="36"/>
        </w:rPr>
        <w:t>年</w:t>
      </w:r>
      <w:r>
        <w:rPr>
          <w:rFonts w:hint="eastAsia" w:ascii="仿宋" w:hAnsi="仿宋" w:eastAsia="仿宋" w:cs="仿宋"/>
          <w:b/>
          <w:color w:val="auto"/>
          <w:sz w:val="36"/>
          <w:szCs w:val="36"/>
          <w:lang w:val="en-US" w:eastAsia="zh-CN"/>
        </w:rPr>
        <w:t>12</w:t>
      </w:r>
      <w:r>
        <w:rPr>
          <w:rFonts w:hint="eastAsia" w:ascii="仿宋" w:hAnsi="仿宋" w:eastAsia="仿宋" w:cs="仿宋"/>
          <w:b/>
          <w:color w:val="auto"/>
          <w:sz w:val="36"/>
          <w:szCs w:val="36"/>
        </w:rPr>
        <w:t>月</w:t>
      </w:r>
    </w:p>
    <w:p>
      <w:pPr>
        <w:jc w:val="center"/>
        <w:rPr>
          <w:rFonts w:hint="eastAsia" w:ascii="仿宋" w:hAnsi="仿宋" w:eastAsia="仿宋" w:cs="仿宋"/>
          <w:color w:val="auto"/>
          <w:sz w:val="32"/>
          <w:szCs w:val="32"/>
        </w:rPr>
      </w:pPr>
    </w:p>
    <w:p>
      <w:pPr>
        <w:jc w:val="center"/>
        <w:rPr>
          <w:rFonts w:hint="eastAsia" w:ascii="仿宋" w:hAnsi="仿宋" w:eastAsia="仿宋" w:cs="仿宋"/>
          <w:color w:val="auto"/>
          <w:sz w:val="32"/>
          <w:szCs w:val="32"/>
        </w:rPr>
        <w:sectPr>
          <w:headerReference r:id="rId5" w:type="first"/>
          <w:footerReference r:id="rId7" w:type="first"/>
          <w:headerReference r:id="rId3" w:type="default"/>
          <w:headerReference r:id="rId4" w:type="even"/>
          <w:footerReference r:id="rId6" w:type="even"/>
          <w:pgSz w:w="11906" w:h="16838"/>
          <w:pgMar w:top="1440" w:right="1800" w:bottom="1440" w:left="1800" w:header="851" w:footer="992" w:gutter="0"/>
          <w:cols w:space="720" w:num="1"/>
          <w:docGrid w:type="lines" w:linePitch="312" w:charSpace="0"/>
        </w:sectPr>
      </w:pPr>
    </w:p>
    <w:p>
      <w:pPr>
        <w:pStyle w:val="2"/>
        <w:rPr>
          <w:rFonts w:hint="eastAsia" w:ascii="仿宋" w:hAnsi="仿宋" w:eastAsia="仿宋" w:cs="仿宋"/>
          <w:color w:val="auto"/>
        </w:rPr>
        <w:sectPr>
          <w:pgSz w:w="11906" w:h="16838"/>
          <w:pgMar w:top="1440" w:right="1800" w:bottom="1440" w:left="1800" w:header="851" w:footer="992" w:gutter="0"/>
          <w:cols w:space="720" w:num="1"/>
          <w:docGrid w:type="lines" w:linePitch="312" w:charSpace="0"/>
        </w:sectPr>
      </w:pPr>
    </w:p>
    <w:p>
      <w:pPr>
        <w:autoSpaceDE w:val="0"/>
        <w:autoSpaceDN w:val="0"/>
        <w:spacing w:line="360" w:lineRule="auto"/>
        <w:jc w:val="center"/>
        <w:rPr>
          <w:rFonts w:hint="eastAsia" w:ascii="仿宋" w:hAnsi="仿宋" w:eastAsia="仿宋" w:cs="仿宋"/>
          <w:b/>
          <w:color w:val="auto"/>
          <w:kern w:val="0"/>
          <w:sz w:val="28"/>
          <w:szCs w:val="28"/>
        </w:rPr>
      </w:pPr>
    </w:p>
    <w:p>
      <w:pPr>
        <w:autoSpaceDE w:val="0"/>
        <w:autoSpaceDN w:val="0"/>
        <w:spacing w:line="360" w:lineRule="auto"/>
        <w:jc w:val="center"/>
        <w:rPr>
          <w:rFonts w:hint="eastAsia" w:ascii="仿宋" w:hAnsi="仿宋" w:eastAsia="仿宋" w:cs="仿宋"/>
          <w:b/>
          <w:color w:val="auto"/>
          <w:kern w:val="0"/>
          <w:sz w:val="28"/>
          <w:szCs w:val="28"/>
        </w:rPr>
      </w:pPr>
    </w:p>
    <w:p>
      <w:pPr>
        <w:autoSpaceDE w:val="0"/>
        <w:autoSpaceDN w:val="0"/>
        <w:spacing w:line="360" w:lineRule="auto"/>
        <w:jc w:val="center"/>
        <w:rPr>
          <w:rFonts w:hint="eastAsia" w:ascii="仿宋" w:hAnsi="仿宋" w:eastAsia="仿宋" w:cs="仿宋"/>
          <w:b/>
          <w:color w:val="auto"/>
          <w:kern w:val="0"/>
          <w:sz w:val="28"/>
          <w:szCs w:val="28"/>
        </w:rPr>
      </w:pPr>
    </w:p>
    <w:p>
      <w:pPr>
        <w:autoSpaceDE w:val="0"/>
        <w:autoSpaceDN w:val="0"/>
        <w:spacing w:line="360" w:lineRule="auto"/>
        <w:jc w:val="center"/>
        <w:rPr>
          <w:rFonts w:hint="eastAsia" w:ascii="仿宋" w:hAnsi="仿宋" w:eastAsia="仿宋" w:cs="仿宋"/>
          <w:b/>
          <w:color w:val="auto"/>
          <w:kern w:val="0"/>
          <w:sz w:val="28"/>
          <w:szCs w:val="28"/>
        </w:rPr>
      </w:pPr>
    </w:p>
    <w:p>
      <w:pPr>
        <w:autoSpaceDE w:val="0"/>
        <w:autoSpaceDN w:val="0"/>
        <w:spacing w:line="360" w:lineRule="auto"/>
        <w:jc w:val="center"/>
        <w:rPr>
          <w:rFonts w:hint="eastAsia" w:ascii="仿宋" w:hAnsi="仿宋" w:eastAsia="仿宋" w:cs="仿宋"/>
          <w:b/>
          <w:color w:val="auto"/>
          <w:kern w:val="0"/>
          <w:sz w:val="28"/>
          <w:szCs w:val="28"/>
        </w:rPr>
      </w:pPr>
    </w:p>
    <w:p>
      <w:pPr>
        <w:autoSpaceDE w:val="0"/>
        <w:autoSpaceDN w:val="0"/>
        <w:spacing w:line="360" w:lineRule="auto"/>
        <w:jc w:val="center"/>
        <w:rPr>
          <w:rFonts w:hint="eastAsia" w:ascii="仿宋" w:hAnsi="仿宋" w:eastAsia="仿宋" w:cs="仿宋"/>
          <w:b/>
          <w:color w:val="auto"/>
          <w:kern w:val="0"/>
          <w:sz w:val="28"/>
          <w:szCs w:val="28"/>
        </w:rPr>
      </w:pPr>
    </w:p>
    <w:p>
      <w:pPr>
        <w:autoSpaceDE w:val="0"/>
        <w:autoSpaceDN w:val="0"/>
        <w:spacing w:line="360" w:lineRule="auto"/>
        <w:jc w:val="center"/>
        <w:rPr>
          <w:rFonts w:hint="eastAsia" w:ascii="仿宋" w:hAnsi="仿宋" w:eastAsia="仿宋" w:cs="仿宋"/>
          <w:b/>
          <w:color w:val="auto"/>
          <w:kern w:val="0"/>
          <w:sz w:val="28"/>
          <w:szCs w:val="28"/>
        </w:rPr>
      </w:pPr>
    </w:p>
    <w:p>
      <w:pPr>
        <w:autoSpaceDE w:val="0"/>
        <w:autoSpaceDN w:val="0"/>
        <w:spacing w:line="360" w:lineRule="auto"/>
        <w:jc w:val="center"/>
        <w:rPr>
          <w:rFonts w:hint="eastAsia" w:ascii="仿宋" w:hAnsi="仿宋" w:eastAsia="仿宋" w:cs="仿宋"/>
          <w:b/>
          <w:color w:val="auto"/>
          <w:kern w:val="0"/>
          <w:sz w:val="28"/>
          <w:szCs w:val="28"/>
        </w:rPr>
      </w:pPr>
    </w:p>
    <w:p>
      <w:pPr>
        <w:autoSpaceDE w:val="0"/>
        <w:autoSpaceDN w:val="0"/>
        <w:spacing w:line="360" w:lineRule="auto"/>
        <w:jc w:val="center"/>
        <w:rPr>
          <w:rFonts w:hint="eastAsia" w:ascii="仿宋" w:hAnsi="仿宋" w:eastAsia="仿宋" w:cs="仿宋"/>
          <w:b/>
          <w:color w:val="auto"/>
          <w:sz w:val="28"/>
          <w:szCs w:val="28"/>
        </w:rPr>
      </w:pPr>
      <w:r>
        <w:rPr>
          <w:rFonts w:hint="eastAsia" w:ascii="仿宋" w:hAnsi="仿宋" w:eastAsia="仿宋" w:cs="仿宋"/>
          <w:b/>
          <w:color w:val="auto"/>
          <w:kern w:val="0"/>
          <w:sz w:val="28"/>
          <w:szCs w:val="28"/>
        </w:rPr>
        <w:t>《</w:t>
      </w:r>
      <w:r>
        <w:rPr>
          <w:rFonts w:hint="eastAsia" w:ascii="仿宋" w:hAnsi="仿宋" w:eastAsia="仿宋" w:cs="仿宋"/>
          <w:b/>
          <w:color w:val="auto"/>
          <w:kern w:val="0"/>
          <w:sz w:val="28"/>
          <w:szCs w:val="28"/>
          <w:lang w:eastAsia="zh-CN"/>
        </w:rPr>
        <w:t>陕西勇轩建材有限公司</w:t>
      </w:r>
      <w:r>
        <w:rPr>
          <w:rFonts w:hint="eastAsia" w:ascii="仿宋" w:hAnsi="仿宋" w:eastAsia="仿宋" w:cs="仿宋"/>
          <w:b/>
          <w:color w:val="auto"/>
          <w:kern w:val="0"/>
          <w:sz w:val="28"/>
          <w:szCs w:val="28"/>
        </w:rPr>
        <w:t>突发环境事件应急预案》</w:t>
      </w:r>
    </w:p>
    <w:p>
      <w:pPr>
        <w:autoSpaceDE w:val="0"/>
        <w:autoSpaceDN w:val="0"/>
        <w:spacing w:line="360" w:lineRule="auto"/>
        <w:ind w:firstLine="1251" w:firstLineChars="445"/>
        <w:jc w:val="left"/>
        <w:rPr>
          <w:rFonts w:hint="eastAsia" w:ascii="仿宋" w:hAnsi="仿宋" w:eastAsia="仿宋" w:cs="仿宋"/>
          <w:b/>
          <w:color w:val="auto"/>
          <w:sz w:val="28"/>
          <w:szCs w:val="28"/>
        </w:rPr>
      </w:pPr>
      <w:r>
        <w:rPr>
          <w:rFonts w:hint="eastAsia" w:ascii="仿宋" w:hAnsi="仿宋" w:eastAsia="仿宋" w:cs="仿宋"/>
          <w:b/>
          <w:color w:val="auto"/>
          <w:kern w:val="0"/>
          <w:sz w:val="28"/>
          <w:szCs w:val="28"/>
        </w:rPr>
        <w:t xml:space="preserve">            编制小组组成人员</w:t>
      </w:r>
    </w:p>
    <w:p>
      <w:pPr>
        <w:autoSpaceDE w:val="0"/>
        <w:autoSpaceDN w:val="0"/>
        <w:spacing w:line="360" w:lineRule="auto"/>
        <w:ind w:firstLine="200"/>
        <w:jc w:val="left"/>
        <w:rPr>
          <w:rFonts w:hint="eastAsia" w:ascii="仿宋" w:hAnsi="仿宋" w:eastAsia="仿宋" w:cs="仿宋"/>
          <w:color w:val="auto"/>
          <w:sz w:val="28"/>
          <w:szCs w:val="28"/>
        </w:rPr>
      </w:pPr>
    </w:p>
    <w:p>
      <w:pPr>
        <w:autoSpaceDE w:val="0"/>
        <w:autoSpaceDN w:val="0"/>
        <w:spacing w:line="360" w:lineRule="auto"/>
        <w:ind w:firstLine="200"/>
        <w:jc w:val="left"/>
        <w:rPr>
          <w:rFonts w:hint="eastAsia" w:ascii="仿宋" w:hAnsi="仿宋" w:eastAsia="仿宋" w:cs="仿宋"/>
          <w:color w:val="auto"/>
          <w:sz w:val="28"/>
          <w:szCs w:val="28"/>
        </w:rPr>
      </w:pPr>
    </w:p>
    <w:p>
      <w:pPr>
        <w:autoSpaceDE w:val="0"/>
        <w:autoSpaceDN w:val="0"/>
        <w:spacing w:line="360" w:lineRule="auto"/>
        <w:jc w:val="center"/>
        <w:rPr>
          <w:rFonts w:hint="eastAsia" w:ascii="仿宋" w:hAnsi="仿宋" w:eastAsia="仿宋" w:cs="仿宋"/>
          <w:color w:val="auto"/>
          <w:kern w:val="0"/>
          <w:sz w:val="28"/>
          <w:szCs w:val="28"/>
          <w:lang w:eastAsia="zh-CN"/>
        </w:rPr>
      </w:pPr>
      <w:r>
        <w:rPr>
          <w:rFonts w:hint="eastAsia" w:ascii="仿宋" w:hAnsi="仿宋" w:eastAsia="仿宋" w:cs="仿宋"/>
          <w:color w:val="auto"/>
          <w:kern w:val="0"/>
          <w:sz w:val="28"/>
          <w:szCs w:val="28"/>
        </w:rPr>
        <w:t>批    准：</w:t>
      </w:r>
      <w:r>
        <w:rPr>
          <w:rFonts w:hint="eastAsia" w:ascii="仿宋" w:hAnsi="仿宋" w:eastAsia="仿宋" w:cs="仿宋"/>
          <w:color w:val="auto"/>
          <w:kern w:val="0"/>
          <w:sz w:val="28"/>
          <w:szCs w:val="28"/>
          <w:lang w:eastAsia="zh-CN"/>
        </w:rPr>
        <w:t>徐建锋</w:t>
      </w:r>
    </w:p>
    <w:p>
      <w:pPr>
        <w:autoSpaceDE w:val="0"/>
        <w:autoSpaceDN w:val="0"/>
        <w:spacing w:line="360" w:lineRule="auto"/>
        <w:ind w:firstLine="3080" w:firstLineChars="1100"/>
        <w:jc w:val="both"/>
        <w:rPr>
          <w:rFonts w:hint="eastAsia" w:ascii="仿宋" w:hAnsi="仿宋" w:eastAsia="仿宋" w:cs="仿宋"/>
          <w:color w:val="auto"/>
          <w:kern w:val="0"/>
          <w:sz w:val="28"/>
          <w:szCs w:val="28"/>
          <w:lang w:eastAsia="zh-CN"/>
        </w:rPr>
      </w:pPr>
      <w:r>
        <w:rPr>
          <w:rFonts w:hint="eastAsia" w:ascii="仿宋" w:hAnsi="仿宋" w:eastAsia="仿宋" w:cs="仿宋"/>
          <w:color w:val="auto"/>
          <w:kern w:val="0"/>
          <w:sz w:val="28"/>
          <w:szCs w:val="28"/>
        </w:rPr>
        <w:t xml:space="preserve">审  </w:t>
      </w:r>
      <w:r>
        <w:rPr>
          <w:rFonts w:hint="eastAsia" w:ascii="仿宋" w:hAnsi="仿宋" w:eastAsia="仿宋" w:cs="仿宋"/>
          <w:color w:val="auto"/>
          <w:kern w:val="0"/>
          <w:sz w:val="28"/>
          <w:szCs w:val="28"/>
          <w:lang w:val="en-US" w:eastAsia="zh-CN"/>
        </w:rPr>
        <w:t xml:space="preserve"> </w:t>
      </w:r>
      <w:r>
        <w:rPr>
          <w:rFonts w:hint="eastAsia" w:ascii="仿宋" w:hAnsi="仿宋" w:eastAsia="仿宋" w:cs="仿宋"/>
          <w:color w:val="auto"/>
          <w:kern w:val="0"/>
          <w:sz w:val="28"/>
          <w:szCs w:val="28"/>
        </w:rPr>
        <w:t xml:space="preserve"> 核：</w:t>
      </w:r>
      <w:r>
        <w:rPr>
          <w:rFonts w:hint="eastAsia" w:ascii="仿宋" w:hAnsi="仿宋" w:eastAsia="仿宋" w:cs="仿宋"/>
          <w:color w:val="auto"/>
          <w:kern w:val="0"/>
          <w:sz w:val="28"/>
          <w:szCs w:val="28"/>
          <w:lang w:eastAsia="zh-CN"/>
        </w:rPr>
        <w:t>张琦</w:t>
      </w:r>
    </w:p>
    <w:p>
      <w:pPr>
        <w:autoSpaceDE w:val="0"/>
        <w:autoSpaceDN w:val="0"/>
        <w:spacing w:line="360" w:lineRule="auto"/>
        <w:jc w:val="center"/>
        <w:rPr>
          <w:rFonts w:hint="eastAsia" w:ascii="仿宋" w:hAnsi="仿宋" w:eastAsia="仿宋" w:cs="仿宋"/>
          <w:color w:val="auto"/>
          <w:kern w:val="0"/>
          <w:sz w:val="28"/>
          <w:szCs w:val="28"/>
          <w:lang w:eastAsia="zh-CN"/>
        </w:rPr>
      </w:pPr>
      <w:r>
        <w:rPr>
          <w:rFonts w:hint="eastAsia" w:ascii="仿宋" w:hAnsi="仿宋" w:eastAsia="仿宋" w:cs="仿宋"/>
          <w:color w:val="auto"/>
          <w:kern w:val="0"/>
          <w:sz w:val="28"/>
          <w:szCs w:val="28"/>
        </w:rPr>
        <w:t>编制人员：</w:t>
      </w:r>
      <w:r>
        <w:rPr>
          <w:rFonts w:hint="eastAsia" w:ascii="仿宋" w:hAnsi="仿宋" w:eastAsia="仿宋" w:cs="仿宋"/>
          <w:color w:val="auto"/>
          <w:kern w:val="0"/>
          <w:sz w:val="28"/>
          <w:szCs w:val="28"/>
          <w:lang w:eastAsia="zh-CN"/>
        </w:rPr>
        <w:t>张芳庆</w:t>
      </w:r>
    </w:p>
    <w:p>
      <w:pPr>
        <w:ind w:left="2100" w:leftChars="1000"/>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rPr>
        <w:sectPr>
          <w:footerReference r:id="rId8" w:type="default"/>
          <w:pgSz w:w="11907" w:h="16840"/>
          <w:pgMar w:top="1440" w:right="1797" w:bottom="1440" w:left="1797" w:header="851" w:footer="992" w:gutter="0"/>
          <w:pgNumType w:fmt="upperRoman"/>
          <w:cols w:space="720" w:num="1"/>
          <w:docGrid w:linePitch="286" w:charSpace="0"/>
        </w:sectPr>
      </w:pPr>
    </w:p>
    <w:p>
      <w:pPr>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rPr>
      </w:pPr>
    </w:p>
    <w:p>
      <w:pPr>
        <w:pStyle w:val="10"/>
        <w:ind w:firstLine="0" w:firstLineChars="0"/>
        <w:rPr>
          <w:rFonts w:hint="eastAsia" w:ascii="仿宋" w:hAnsi="仿宋" w:eastAsia="仿宋" w:cs="仿宋"/>
          <w:color w:val="auto"/>
        </w:rPr>
        <w:sectPr>
          <w:pgSz w:w="11907" w:h="16840"/>
          <w:pgMar w:top="1440" w:right="1797" w:bottom="1440" w:left="1797" w:header="851" w:footer="992" w:gutter="0"/>
          <w:pgNumType w:fmt="upperRoman"/>
          <w:cols w:space="720" w:num="1"/>
          <w:docGrid w:linePitch="286" w:charSpace="0"/>
        </w:sectPr>
      </w:pPr>
    </w:p>
    <w:p>
      <w:pPr>
        <w:adjustRightInd w:val="0"/>
        <w:snapToGrid w:val="0"/>
        <w:spacing w:line="360" w:lineRule="auto"/>
        <w:jc w:val="center"/>
        <w:rPr>
          <w:rFonts w:hint="eastAsia" w:ascii="仿宋" w:hAnsi="仿宋" w:eastAsia="仿宋" w:cs="仿宋"/>
          <w:b/>
          <w:color w:val="auto"/>
          <w:sz w:val="36"/>
          <w:szCs w:val="36"/>
        </w:rPr>
      </w:pPr>
      <w:r>
        <w:rPr>
          <w:rFonts w:hint="eastAsia" w:ascii="仿宋" w:hAnsi="仿宋" w:eastAsia="仿宋" w:cs="仿宋"/>
          <w:b/>
          <w:color w:val="auto"/>
          <w:sz w:val="36"/>
          <w:szCs w:val="36"/>
        </w:rPr>
        <w:t>《</w:t>
      </w:r>
      <w:r>
        <w:rPr>
          <w:rFonts w:hint="eastAsia" w:ascii="仿宋" w:hAnsi="仿宋" w:eastAsia="仿宋" w:cs="仿宋"/>
          <w:b/>
          <w:color w:val="auto"/>
          <w:sz w:val="36"/>
          <w:szCs w:val="36"/>
          <w:lang w:eastAsia="zh-CN"/>
        </w:rPr>
        <w:t>陕西勇轩建材有限公司</w:t>
      </w:r>
      <w:r>
        <w:rPr>
          <w:rFonts w:hint="eastAsia" w:ascii="仿宋" w:hAnsi="仿宋" w:eastAsia="仿宋" w:cs="仿宋"/>
          <w:b/>
          <w:color w:val="auto"/>
          <w:sz w:val="36"/>
          <w:szCs w:val="36"/>
        </w:rPr>
        <w:t>突发环境事件应急预案》编制说明</w:t>
      </w:r>
    </w:p>
    <w:p>
      <w:pPr>
        <w:spacing w:line="56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为了规范突发环境事件应急预案管理，进一步建立健全和完善应急预案体系。现将我</w:t>
      </w:r>
      <w:r>
        <w:rPr>
          <w:rFonts w:hint="eastAsia" w:ascii="仿宋" w:hAnsi="仿宋" w:eastAsia="仿宋" w:cs="仿宋"/>
          <w:color w:val="auto"/>
          <w:sz w:val="28"/>
          <w:szCs w:val="28"/>
          <w:lang w:eastAsia="zh-CN"/>
        </w:rPr>
        <w:t>公司</w:t>
      </w:r>
      <w:r>
        <w:rPr>
          <w:rFonts w:hint="eastAsia" w:ascii="仿宋" w:hAnsi="仿宋" w:eastAsia="仿宋" w:cs="仿宋"/>
          <w:color w:val="auto"/>
          <w:sz w:val="28"/>
          <w:szCs w:val="28"/>
        </w:rPr>
        <w:t>突发环境事件应急预案编制情况作以说明。</w:t>
      </w:r>
    </w:p>
    <w:p>
      <w:pPr>
        <w:numPr>
          <w:ilvl w:val="0"/>
          <w:numId w:val="1"/>
        </w:numPr>
        <w:spacing w:line="560" w:lineRule="exact"/>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应急预案编制过程概述</w:t>
      </w:r>
    </w:p>
    <w:p>
      <w:pPr>
        <w:spacing w:line="560" w:lineRule="exact"/>
        <w:ind w:firstLine="560" w:firstLineChars="200"/>
        <w:rPr>
          <w:rFonts w:hint="eastAsia" w:ascii="仿宋" w:hAnsi="仿宋" w:eastAsia="仿宋" w:cs="仿宋"/>
          <w:color w:val="auto"/>
          <w:spacing w:val="6"/>
          <w:sz w:val="28"/>
        </w:rPr>
      </w:pPr>
      <w:r>
        <w:rPr>
          <w:rStyle w:val="17"/>
          <w:rFonts w:hint="eastAsia" w:ascii="仿宋" w:hAnsi="仿宋" w:eastAsia="仿宋" w:cs="仿宋"/>
          <w:color w:val="auto"/>
          <w:sz w:val="28"/>
        </w:rPr>
        <w:t>1、</w:t>
      </w:r>
      <w:r>
        <w:rPr>
          <w:rFonts w:hint="eastAsia" w:ascii="仿宋" w:hAnsi="仿宋" w:eastAsia="仿宋" w:cs="仿宋"/>
          <w:color w:val="auto"/>
          <w:sz w:val="28"/>
          <w:szCs w:val="28"/>
          <w:lang w:eastAsia="zh-CN"/>
        </w:rPr>
        <w:t>本公司</w:t>
      </w:r>
      <w:r>
        <w:rPr>
          <w:rFonts w:hint="eastAsia" w:ascii="仿宋" w:hAnsi="仿宋" w:eastAsia="仿宋" w:cs="仿宋"/>
          <w:color w:val="auto"/>
          <w:sz w:val="28"/>
          <w:szCs w:val="28"/>
        </w:rPr>
        <w:t>成立了突发环境事件应急预案编制小组，由</w:t>
      </w:r>
      <w:r>
        <w:rPr>
          <w:rFonts w:hint="eastAsia" w:ascii="仿宋" w:hAnsi="仿宋" w:eastAsia="仿宋" w:cs="仿宋"/>
          <w:color w:val="auto"/>
          <w:sz w:val="28"/>
          <w:szCs w:val="28"/>
          <w:lang w:eastAsia="zh-CN"/>
        </w:rPr>
        <w:t>总经理徐建锋</w:t>
      </w:r>
      <w:r>
        <w:rPr>
          <w:rFonts w:hint="eastAsia" w:ascii="仿宋" w:hAnsi="仿宋" w:eastAsia="仿宋" w:cs="仿宋"/>
          <w:color w:val="auto"/>
          <w:sz w:val="28"/>
        </w:rPr>
        <w:t>担</w:t>
      </w:r>
      <w:r>
        <w:rPr>
          <w:rFonts w:hint="eastAsia" w:ascii="仿宋" w:hAnsi="仿宋" w:eastAsia="仿宋" w:cs="仿宋"/>
          <w:color w:val="auto"/>
          <w:sz w:val="28"/>
          <w:szCs w:val="28"/>
        </w:rPr>
        <w:t>任</w:t>
      </w:r>
      <w:r>
        <w:rPr>
          <w:rFonts w:hint="eastAsia" w:ascii="仿宋" w:hAnsi="仿宋" w:eastAsia="仿宋" w:cs="仿宋"/>
          <w:color w:val="auto"/>
          <w:sz w:val="28"/>
        </w:rPr>
        <w:t>（总指挥）组长，由</w:t>
      </w:r>
      <w:r>
        <w:rPr>
          <w:rFonts w:hint="eastAsia" w:ascii="仿宋" w:hAnsi="仿宋" w:eastAsia="仿宋" w:cs="仿宋"/>
          <w:color w:val="auto"/>
          <w:sz w:val="28"/>
          <w:lang w:eastAsia="zh-CN"/>
        </w:rPr>
        <w:t>张芳庆</w:t>
      </w:r>
      <w:r>
        <w:rPr>
          <w:rFonts w:hint="eastAsia" w:ascii="仿宋" w:hAnsi="仿宋" w:eastAsia="仿宋" w:cs="仿宋"/>
          <w:color w:val="auto"/>
          <w:sz w:val="28"/>
        </w:rPr>
        <w:t>执笔编写。</w:t>
      </w:r>
    </w:p>
    <w:p>
      <w:pPr>
        <w:pStyle w:val="16"/>
        <w:adjustRightInd/>
        <w:snapToGrid/>
        <w:spacing w:before="0" w:after="0" w:line="560" w:lineRule="exact"/>
        <w:rPr>
          <w:rFonts w:hint="eastAsia" w:ascii="仿宋" w:hAnsi="仿宋" w:eastAsia="仿宋" w:cs="仿宋"/>
          <w:color w:val="auto"/>
          <w:spacing w:val="-6"/>
          <w:kern w:val="0"/>
          <w:sz w:val="28"/>
          <w:szCs w:val="28"/>
        </w:rPr>
      </w:pPr>
      <w:r>
        <w:rPr>
          <w:rFonts w:hint="eastAsia" w:ascii="仿宋" w:hAnsi="仿宋" w:eastAsia="仿宋" w:cs="仿宋"/>
          <w:color w:val="auto"/>
          <w:sz w:val="28"/>
        </w:rPr>
        <w:t>2、本次</w:t>
      </w:r>
      <w:r>
        <w:rPr>
          <w:rFonts w:hint="eastAsia" w:ascii="仿宋" w:hAnsi="仿宋" w:eastAsia="仿宋" w:cs="仿宋"/>
          <w:color w:val="auto"/>
          <w:spacing w:val="-6"/>
          <w:kern w:val="0"/>
          <w:sz w:val="28"/>
          <w:szCs w:val="28"/>
        </w:rPr>
        <w:t>编制小组分析了各类事故衍化规律、自然灾害影响程度，识别了环境危害因素，分析了与周边可能受影响的居民、单位、区域环境的关系，构建了突发环境事件及其后果情景，确定了环境风险等级；编制小组还调查了</w:t>
      </w:r>
      <w:r>
        <w:rPr>
          <w:rFonts w:hint="eastAsia" w:ascii="仿宋" w:hAnsi="仿宋" w:eastAsia="仿宋" w:cs="仿宋"/>
          <w:color w:val="auto"/>
          <w:spacing w:val="-6"/>
          <w:kern w:val="0"/>
          <w:sz w:val="28"/>
          <w:szCs w:val="28"/>
          <w:lang w:eastAsia="zh-CN"/>
        </w:rPr>
        <w:t>本公司</w:t>
      </w:r>
      <w:r>
        <w:rPr>
          <w:rFonts w:hint="eastAsia" w:ascii="仿宋" w:hAnsi="仿宋" w:eastAsia="仿宋" w:cs="仿宋"/>
          <w:color w:val="auto"/>
          <w:spacing w:val="-6"/>
          <w:kern w:val="0"/>
          <w:sz w:val="28"/>
          <w:szCs w:val="28"/>
        </w:rPr>
        <w:t>第一时间可调用的环境应急队伍、装备、物资、场所等应急资源状况和可请求援助或协议援助的应急资源状况。最后，编制小组对可能的突发环境事件情景下需要采取的处置措施、向可能受影响的居民和单位通报的内容与方式、向</w:t>
      </w:r>
      <w:r>
        <w:rPr>
          <w:rFonts w:hint="eastAsia" w:ascii="仿宋" w:hAnsi="仿宋" w:eastAsia="仿宋" w:cs="仿宋"/>
          <w:color w:val="auto"/>
          <w:spacing w:val="-6"/>
          <w:kern w:val="0"/>
          <w:sz w:val="28"/>
          <w:szCs w:val="28"/>
          <w:lang w:eastAsia="zh-CN"/>
        </w:rPr>
        <w:t>生态环境</w:t>
      </w:r>
      <w:r>
        <w:rPr>
          <w:rFonts w:hint="eastAsia" w:ascii="仿宋" w:hAnsi="仿宋" w:eastAsia="仿宋" w:cs="仿宋"/>
          <w:color w:val="auto"/>
          <w:spacing w:val="-6"/>
          <w:kern w:val="0"/>
          <w:sz w:val="28"/>
          <w:szCs w:val="28"/>
        </w:rPr>
        <w:t>主管部门和有关部门报告的内容与方式，以及与政府预案的衔接方式进行了重点说明，最终形成环境应急预案。</w:t>
      </w:r>
    </w:p>
    <w:p>
      <w:pPr>
        <w:pStyle w:val="16"/>
        <w:adjustRightInd/>
        <w:snapToGrid/>
        <w:spacing w:before="0" w:after="0" w:line="560" w:lineRule="exact"/>
        <w:rPr>
          <w:rFonts w:hint="eastAsia" w:ascii="仿宋" w:hAnsi="仿宋" w:eastAsia="仿宋" w:cs="仿宋"/>
          <w:color w:val="auto"/>
          <w:spacing w:val="-6"/>
          <w:kern w:val="0"/>
          <w:sz w:val="28"/>
          <w:szCs w:val="28"/>
          <w:lang w:val="en-US" w:eastAsia="zh-CN"/>
        </w:rPr>
      </w:pPr>
      <w:r>
        <w:rPr>
          <w:rFonts w:hint="eastAsia" w:ascii="仿宋" w:hAnsi="仿宋" w:eastAsia="仿宋" w:cs="仿宋"/>
          <w:color w:val="auto"/>
          <w:spacing w:val="-6"/>
          <w:kern w:val="0"/>
          <w:sz w:val="28"/>
          <w:szCs w:val="28"/>
          <w:lang w:val="en-US" w:eastAsia="zh-CN"/>
        </w:rPr>
        <w:t>3、为了检验本预案的适用性，本企业按预案内容进行了桌面演练预案编制工作组根据本企业员工、周边可能受影响的居民和企业对本预案提出的意见和建议进行了分析，经修改后，对本预案进行了桌面演练，根据演练暴露出的问题，对本预案内容进行了调整。</w:t>
      </w:r>
    </w:p>
    <w:p>
      <w:pPr>
        <w:spacing w:line="560" w:lineRule="exact"/>
        <w:ind w:firstLine="560"/>
        <w:rPr>
          <w:rFonts w:hint="eastAsia" w:ascii="仿宋" w:hAnsi="仿宋" w:eastAsia="仿宋" w:cs="仿宋"/>
          <w:color w:val="auto"/>
          <w:sz w:val="28"/>
          <w:szCs w:val="28"/>
        </w:rPr>
      </w:pPr>
      <w:r>
        <w:rPr>
          <w:rFonts w:hint="eastAsia" w:ascii="仿宋" w:hAnsi="仿宋" w:eastAsia="仿宋" w:cs="仿宋"/>
          <w:bCs/>
          <w:color w:val="auto"/>
          <w:sz w:val="28"/>
          <w:szCs w:val="28"/>
        </w:rPr>
        <w:t>二、</w:t>
      </w:r>
      <w:r>
        <w:rPr>
          <w:rFonts w:hint="eastAsia" w:ascii="仿宋" w:hAnsi="仿宋" w:eastAsia="仿宋" w:cs="仿宋"/>
          <w:color w:val="auto"/>
          <w:sz w:val="28"/>
          <w:szCs w:val="28"/>
        </w:rPr>
        <w:t>重点内容说明</w:t>
      </w:r>
    </w:p>
    <w:p>
      <w:pPr>
        <w:spacing w:line="560" w:lineRule="exact"/>
        <w:ind w:firstLine="560" w:firstLineChars="200"/>
        <w:jc w:val="center"/>
        <w:rPr>
          <w:rFonts w:hint="eastAsia" w:ascii="仿宋" w:hAnsi="仿宋" w:eastAsia="仿宋" w:cs="仿宋"/>
          <w:color w:val="auto"/>
          <w:sz w:val="28"/>
          <w:szCs w:val="28"/>
        </w:rPr>
      </w:pPr>
      <w:r>
        <w:rPr>
          <w:rFonts w:hint="eastAsia" w:ascii="仿宋" w:hAnsi="仿宋" w:eastAsia="仿宋" w:cs="仿宋"/>
          <w:color w:val="auto"/>
          <w:sz w:val="28"/>
          <w:szCs w:val="28"/>
        </w:rPr>
        <w:t>该《预案》共分11个部分，分别为总则、企业概况、应急组织体系、环境风险分析、预防与预警、应急处置、</w:t>
      </w:r>
      <w:r>
        <w:rPr>
          <w:rFonts w:hint="eastAsia" w:ascii="仿宋" w:hAnsi="仿宋" w:eastAsia="仿宋" w:cs="仿宋"/>
          <w:color w:val="auto"/>
          <w:sz w:val="28"/>
        </w:rPr>
        <w:t>后期处置、</w:t>
      </w:r>
      <w:r>
        <w:rPr>
          <w:rFonts w:hint="eastAsia" w:ascii="仿宋" w:hAnsi="仿宋" w:eastAsia="仿宋" w:cs="仿宋"/>
          <w:color w:val="auto"/>
          <w:sz w:val="28"/>
          <w:szCs w:val="28"/>
        </w:rPr>
        <w:t>应急保障、</w:t>
      </w:r>
    </w:p>
    <w:p>
      <w:pPr>
        <w:spacing w:line="560" w:lineRule="exact"/>
        <w:rPr>
          <w:rFonts w:hint="eastAsia" w:ascii="仿宋" w:hAnsi="仿宋" w:eastAsia="仿宋" w:cs="仿宋"/>
          <w:color w:val="auto"/>
          <w:sz w:val="28"/>
          <w:szCs w:val="28"/>
        </w:rPr>
      </w:pPr>
      <w:r>
        <w:rPr>
          <w:rFonts w:hint="eastAsia" w:ascii="仿宋" w:hAnsi="仿宋" w:eastAsia="仿宋" w:cs="仿宋"/>
          <w:bCs/>
          <w:color w:val="auto"/>
          <w:sz w:val="28"/>
          <w:szCs w:val="28"/>
        </w:rPr>
        <w:t>监督与管理、</w:t>
      </w:r>
      <w:r>
        <w:rPr>
          <w:rFonts w:hint="eastAsia" w:ascii="仿宋" w:hAnsi="仿宋" w:eastAsia="仿宋" w:cs="仿宋"/>
          <w:color w:val="auto"/>
          <w:sz w:val="28"/>
          <w:szCs w:val="28"/>
        </w:rPr>
        <w:t>附则、附件。</w:t>
      </w:r>
    </w:p>
    <w:p>
      <w:pPr>
        <w:pStyle w:val="4"/>
        <w:spacing w:line="560" w:lineRule="exact"/>
        <w:ind w:firstLine="560"/>
        <w:rPr>
          <w:rFonts w:hint="eastAsia" w:ascii="仿宋" w:hAnsi="仿宋" w:eastAsia="仿宋" w:cs="仿宋"/>
          <w:color w:val="auto"/>
        </w:rPr>
      </w:pPr>
      <w:r>
        <w:rPr>
          <w:rFonts w:hint="eastAsia" w:ascii="仿宋" w:hAnsi="仿宋" w:eastAsia="仿宋" w:cs="仿宋"/>
          <w:color w:val="auto"/>
          <w:sz w:val="28"/>
          <w:szCs w:val="28"/>
        </w:rPr>
        <w:t>重点内容说明如下：</w:t>
      </w:r>
    </w:p>
    <w:p>
      <w:pPr>
        <w:spacing w:line="560" w:lineRule="exact"/>
        <w:ind w:firstLine="560" w:firstLineChars="200"/>
        <w:rPr>
          <w:rFonts w:hint="eastAsia" w:ascii="仿宋" w:hAnsi="仿宋" w:eastAsia="仿宋" w:cs="仿宋"/>
          <w:color w:val="auto"/>
          <w:sz w:val="28"/>
          <w:szCs w:val="28"/>
        </w:rPr>
      </w:pPr>
      <w:r>
        <w:rPr>
          <w:rStyle w:val="17"/>
          <w:rFonts w:hint="eastAsia" w:ascii="仿宋" w:hAnsi="仿宋" w:eastAsia="仿宋" w:cs="仿宋"/>
          <w:color w:val="auto"/>
          <w:sz w:val="28"/>
        </w:rPr>
        <w:t>1、</w:t>
      </w:r>
      <w:r>
        <w:rPr>
          <w:rFonts w:hint="eastAsia" w:ascii="仿宋" w:hAnsi="仿宋" w:eastAsia="仿宋" w:cs="仿宋"/>
          <w:color w:val="auto"/>
          <w:sz w:val="28"/>
          <w:szCs w:val="28"/>
        </w:rPr>
        <w:t>应急预案编制小组首先开展了应急资源调查和检查，并对环境风险事故进行分析评估，针对存在问题认真进行了研究，改进、完善了管理制度，落实了监管责任，应急物资、应急队伍常备不懈。</w:t>
      </w:r>
    </w:p>
    <w:p>
      <w:pPr>
        <w:spacing w:line="560" w:lineRule="exact"/>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2、结合</w:t>
      </w:r>
      <w:r>
        <w:rPr>
          <w:rFonts w:hint="eastAsia" w:ascii="仿宋" w:hAnsi="仿宋" w:eastAsia="仿宋" w:cs="仿宋"/>
          <w:bCs/>
          <w:color w:val="auto"/>
          <w:sz w:val="28"/>
          <w:szCs w:val="28"/>
          <w:lang w:eastAsia="zh-CN"/>
        </w:rPr>
        <w:t>厂区</w:t>
      </w:r>
      <w:r>
        <w:rPr>
          <w:rFonts w:hint="eastAsia" w:ascii="仿宋" w:hAnsi="仿宋" w:eastAsia="仿宋" w:cs="仿宋"/>
          <w:bCs/>
          <w:color w:val="auto"/>
          <w:sz w:val="28"/>
          <w:szCs w:val="28"/>
        </w:rPr>
        <w:t>的特点进行了环境风险分析，通过风险识别、源项分析、最大可信事故及后果分析，得出</w:t>
      </w:r>
      <w:r>
        <w:rPr>
          <w:rFonts w:hint="eastAsia" w:ascii="仿宋" w:hAnsi="仿宋" w:eastAsia="仿宋" w:cs="仿宋"/>
          <w:bCs/>
          <w:color w:val="auto"/>
          <w:sz w:val="28"/>
          <w:szCs w:val="28"/>
          <w:lang w:eastAsia="zh-CN"/>
        </w:rPr>
        <w:t>厂区</w:t>
      </w:r>
      <w:r>
        <w:rPr>
          <w:rFonts w:hint="eastAsia" w:ascii="仿宋" w:hAnsi="仿宋" w:eastAsia="仿宋" w:cs="仿宋"/>
          <w:bCs/>
          <w:color w:val="auto"/>
          <w:sz w:val="28"/>
          <w:szCs w:val="28"/>
        </w:rPr>
        <w:t>可能发生的事故。</w:t>
      </w:r>
    </w:p>
    <w:p>
      <w:pPr>
        <w:spacing w:line="560" w:lineRule="exact"/>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3、提出了环境风险预防措施，预警分级条件及预警发布与解除时机。</w:t>
      </w:r>
    </w:p>
    <w:p>
      <w:pPr>
        <w:spacing w:line="560" w:lineRule="exact"/>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4、针对</w:t>
      </w:r>
      <w:r>
        <w:rPr>
          <w:rFonts w:hint="eastAsia" w:ascii="仿宋" w:hAnsi="仿宋" w:eastAsia="仿宋" w:cs="仿宋"/>
          <w:bCs/>
          <w:color w:val="auto"/>
          <w:sz w:val="28"/>
          <w:szCs w:val="28"/>
          <w:lang w:eastAsia="zh-CN"/>
        </w:rPr>
        <w:t>本公司</w:t>
      </w:r>
      <w:r>
        <w:rPr>
          <w:rFonts w:hint="eastAsia" w:ascii="仿宋" w:hAnsi="仿宋" w:eastAsia="仿宋" w:cs="仿宋"/>
          <w:bCs/>
          <w:color w:val="auto"/>
          <w:sz w:val="28"/>
          <w:szCs w:val="28"/>
        </w:rPr>
        <w:t>可能发生的事故进行了响应分级，有针对性的提出了各类事故的现场处置措施。</w:t>
      </w:r>
    </w:p>
    <w:p>
      <w:pPr>
        <w:spacing w:line="560" w:lineRule="exact"/>
        <w:ind w:firstLine="584" w:firstLineChars="200"/>
        <w:rPr>
          <w:rFonts w:hint="eastAsia" w:ascii="仿宋" w:hAnsi="仿宋" w:eastAsia="仿宋" w:cs="仿宋"/>
          <w:bCs/>
          <w:color w:val="auto"/>
          <w:spacing w:val="6"/>
          <w:sz w:val="28"/>
          <w:szCs w:val="28"/>
        </w:rPr>
      </w:pPr>
      <w:r>
        <w:rPr>
          <w:rFonts w:hint="eastAsia" w:ascii="仿宋" w:hAnsi="仿宋" w:eastAsia="仿宋" w:cs="仿宋"/>
          <w:bCs/>
          <w:color w:val="auto"/>
          <w:spacing w:val="6"/>
          <w:sz w:val="28"/>
          <w:szCs w:val="28"/>
        </w:rPr>
        <w:t>三、征求意见及采纳情况说明</w:t>
      </w:r>
    </w:p>
    <w:p>
      <w:pPr>
        <w:spacing w:line="560" w:lineRule="exact"/>
        <w:ind w:firstLine="584" w:firstLineChars="200"/>
        <w:rPr>
          <w:rFonts w:hint="eastAsia" w:ascii="仿宋" w:hAnsi="仿宋" w:eastAsia="仿宋" w:cs="仿宋"/>
          <w:color w:val="auto"/>
          <w:spacing w:val="6"/>
          <w:sz w:val="28"/>
          <w:szCs w:val="28"/>
          <w:lang w:val="en-US" w:eastAsia="zh-CN"/>
        </w:rPr>
      </w:pPr>
      <w:r>
        <w:rPr>
          <w:rFonts w:hint="eastAsia" w:ascii="仿宋" w:hAnsi="仿宋" w:eastAsia="仿宋" w:cs="仿宋"/>
          <w:color w:val="auto"/>
          <w:spacing w:val="6"/>
          <w:sz w:val="28"/>
          <w:szCs w:val="28"/>
          <w:lang w:eastAsia="zh-CN"/>
        </w:rPr>
        <w:t>我公司</w:t>
      </w:r>
      <w:r>
        <w:rPr>
          <w:rFonts w:hint="eastAsia" w:ascii="仿宋" w:hAnsi="仿宋" w:eastAsia="仿宋" w:cs="仿宋"/>
          <w:color w:val="auto"/>
          <w:spacing w:val="6"/>
          <w:sz w:val="28"/>
          <w:szCs w:val="28"/>
        </w:rPr>
        <w:t>聘请了熟悉</w:t>
      </w:r>
      <w:r>
        <w:rPr>
          <w:rFonts w:hint="eastAsia" w:ascii="仿宋" w:hAnsi="仿宋" w:eastAsia="仿宋" w:cs="仿宋"/>
          <w:color w:val="auto"/>
          <w:sz w:val="28"/>
          <w:szCs w:val="28"/>
        </w:rPr>
        <w:t>突发环境事件</w:t>
      </w:r>
      <w:r>
        <w:rPr>
          <w:rFonts w:hint="eastAsia" w:ascii="仿宋" w:hAnsi="仿宋" w:eastAsia="仿宋" w:cs="仿宋"/>
          <w:color w:val="auto"/>
          <w:spacing w:val="6"/>
          <w:sz w:val="28"/>
          <w:szCs w:val="28"/>
        </w:rPr>
        <w:t>的专业人员，召开了全体员工、周边企业代表、周边居民代表等参加的</w:t>
      </w:r>
      <w:r>
        <w:rPr>
          <w:rFonts w:hint="eastAsia" w:ascii="仿宋" w:hAnsi="仿宋" w:eastAsia="仿宋" w:cs="仿宋"/>
          <w:color w:val="auto"/>
          <w:sz w:val="28"/>
          <w:szCs w:val="28"/>
        </w:rPr>
        <w:t>《突发环境事件应急预案》内部</w:t>
      </w:r>
      <w:r>
        <w:rPr>
          <w:rFonts w:hint="eastAsia" w:ascii="仿宋" w:hAnsi="仿宋" w:eastAsia="仿宋" w:cs="仿宋"/>
          <w:color w:val="auto"/>
          <w:spacing w:val="6"/>
          <w:sz w:val="28"/>
          <w:szCs w:val="28"/>
        </w:rPr>
        <w:t>征求意见会议。与会人员充分发表了意见和看法，经认真讨论，大家一致认为：《预案》基本符合</w:t>
      </w:r>
      <w:r>
        <w:rPr>
          <w:rFonts w:hint="eastAsia" w:ascii="仿宋" w:hAnsi="仿宋" w:eastAsia="仿宋" w:cs="仿宋"/>
          <w:bCs/>
          <w:snapToGrid w:val="0"/>
          <w:color w:val="auto"/>
          <w:kern w:val="0"/>
          <w:sz w:val="28"/>
          <w:szCs w:val="28"/>
        </w:rPr>
        <w:t>《关于进一步加强突发环境事件应急预案工作的通知》（陕环办发[2012]126号）中关于编制内容</w:t>
      </w:r>
      <w:r>
        <w:rPr>
          <w:rFonts w:hint="eastAsia" w:ascii="仿宋" w:hAnsi="仿宋" w:eastAsia="仿宋" w:cs="仿宋"/>
          <w:color w:val="auto"/>
          <w:spacing w:val="6"/>
          <w:sz w:val="28"/>
          <w:szCs w:val="28"/>
        </w:rPr>
        <w:t>的要求。突出了预防为主，注重</w:t>
      </w:r>
      <w:r>
        <w:rPr>
          <w:rFonts w:hint="eastAsia" w:ascii="仿宋" w:hAnsi="仿宋" w:eastAsia="仿宋" w:cs="仿宋"/>
          <w:color w:val="auto"/>
          <w:sz w:val="28"/>
          <w:szCs w:val="28"/>
        </w:rPr>
        <w:t>实用性和可操作性，也提出了部分修改意</w:t>
      </w:r>
      <w:r>
        <w:rPr>
          <w:rFonts w:hint="eastAsia" w:ascii="仿宋" w:hAnsi="仿宋" w:eastAsia="仿宋" w:cs="仿宋"/>
          <w:color w:val="auto"/>
          <w:spacing w:val="6"/>
          <w:sz w:val="28"/>
          <w:szCs w:val="28"/>
        </w:rPr>
        <w:t>见，会议一致同意通过本预案。</w:t>
      </w:r>
      <w:r>
        <w:rPr>
          <w:rFonts w:hint="eastAsia" w:ascii="仿宋" w:hAnsi="仿宋" w:eastAsia="仿宋" w:cs="仿宋"/>
          <w:color w:val="auto"/>
          <w:sz w:val="28"/>
          <w:szCs w:val="28"/>
        </w:rPr>
        <w:t>内部</w:t>
      </w:r>
      <w:r>
        <w:rPr>
          <w:rFonts w:hint="eastAsia" w:ascii="仿宋" w:hAnsi="仿宋" w:eastAsia="仿宋" w:cs="仿宋"/>
          <w:color w:val="auto"/>
          <w:spacing w:val="6"/>
          <w:sz w:val="28"/>
          <w:szCs w:val="28"/>
        </w:rPr>
        <w:t>征求意见会议汇总意见有三项</w:t>
      </w:r>
      <w:r>
        <w:rPr>
          <w:rFonts w:hint="eastAsia" w:ascii="仿宋" w:hAnsi="仿宋" w:eastAsia="仿宋" w:cs="仿宋"/>
          <w:color w:val="auto"/>
          <w:spacing w:val="6"/>
          <w:sz w:val="28"/>
          <w:szCs w:val="28"/>
          <w:lang w:eastAsia="zh-CN"/>
        </w:rPr>
        <w:t>，见下表</w:t>
      </w:r>
      <w:r>
        <w:rPr>
          <w:rFonts w:hint="eastAsia" w:ascii="仿宋" w:hAnsi="仿宋" w:eastAsia="仿宋" w:cs="仿宋"/>
          <w:color w:val="auto"/>
          <w:spacing w:val="6"/>
          <w:sz w:val="28"/>
          <w:szCs w:val="28"/>
        </w:rPr>
        <w:t>：</w:t>
      </w:r>
    </w:p>
    <w:p>
      <w:pPr>
        <w:spacing w:after="312" w:afterLines="100"/>
        <w:jc w:val="center"/>
        <w:rPr>
          <w:rFonts w:hint="eastAsia" w:ascii="仿宋" w:hAnsi="仿宋" w:eastAsia="仿宋" w:cs="仿宋"/>
          <w:b/>
          <w:color w:val="auto"/>
          <w:sz w:val="28"/>
          <w:szCs w:val="28"/>
        </w:rPr>
      </w:pPr>
    </w:p>
    <w:p>
      <w:pPr>
        <w:spacing w:after="312" w:afterLines="100"/>
        <w:jc w:val="center"/>
        <w:rPr>
          <w:rFonts w:hint="eastAsia" w:ascii="仿宋" w:hAnsi="仿宋" w:eastAsia="仿宋" w:cs="仿宋"/>
          <w:b/>
          <w:color w:val="auto"/>
          <w:sz w:val="28"/>
          <w:szCs w:val="28"/>
        </w:rPr>
      </w:pPr>
    </w:p>
    <w:p>
      <w:pPr>
        <w:spacing w:after="312" w:afterLines="100"/>
        <w:jc w:val="center"/>
        <w:rPr>
          <w:rFonts w:hint="eastAsia" w:ascii="仿宋" w:hAnsi="仿宋" w:eastAsia="仿宋" w:cs="仿宋"/>
          <w:b/>
          <w:color w:val="auto"/>
          <w:sz w:val="28"/>
          <w:szCs w:val="28"/>
        </w:rPr>
      </w:pPr>
    </w:p>
    <w:p>
      <w:pPr>
        <w:spacing w:after="312" w:afterLines="100"/>
        <w:jc w:val="center"/>
        <w:rPr>
          <w:rFonts w:hint="eastAsia" w:ascii="仿宋" w:hAnsi="仿宋" w:eastAsia="仿宋" w:cs="仿宋"/>
          <w:b/>
          <w:color w:val="auto"/>
          <w:sz w:val="28"/>
          <w:szCs w:val="28"/>
        </w:rPr>
        <w:sectPr>
          <w:footerReference r:id="rId9" w:type="default"/>
          <w:pgSz w:w="11906" w:h="16838"/>
          <w:pgMar w:top="1440" w:right="1800" w:bottom="1440" w:left="1800" w:header="851" w:footer="992" w:gutter="0"/>
          <w:pgNumType w:fmt="decimal" w:start="1"/>
          <w:cols w:space="720" w:num="1"/>
          <w:docGrid w:type="lines" w:linePitch="312" w:charSpace="0"/>
        </w:sectPr>
      </w:pPr>
    </w:p>
    <w:p>
      <w:pPr>
        <w:spacing w:after="312" w:afterLines="100"/>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突发环境事件应急预案征求意见建议清单</w:t>
      </w:r>
    </w:p>
    <w:tbl>
      <w:tblPr>
        <w:tblStyle w:val="12"/>
        <w:tblW w:w="90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
        <w:gridCol w:w="2679"/>
        <w:gridCol w:w="1198"/>
        <w:gridCol w:w="3352"/>
        <w:gridCol w:w="1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729" w:type="dxa"/>
            <w:vAlign w:val="center"/>
          </w:tcPr>
          <w:p>
            <w:pPr>
              <w:jc w:val="center"/>
              <w:rPr>
                <w:rFonts w:hint="eastAsia" w:ascii="仿宋" w:hAnsi="仿宋" w:eastAsia="仿宋" w:cs="仿宋"/>
                <w:b/>
                <w:bCs/>
                <w:color w:val="auto"/>
                <w:sz w:val="24"/>
                <w:szCs w:val="24"/>
              </w:rPr>
            </w:pPr>
            <w:r>
              <w:rPr>
                <w:rFonts w:hint="eastAsia" w:ascii="仿宋" w:hAnsi="仿宋" w:eastAsia="仿宋" w:cs="仿宋"/>
                <w:b/>
                <w:bCs/>
                <w:color w:val="auto"/>
                <w:sz w:val="24"/>
                <w:szCs w:val="24"/>
              </w:rPr>
              <w:t>序号</w:t>
            </w:r>
          </w:p>
        </w:tc>
        <w:tc>
          <w:tcPr>
            <w:tcW w:w="2679" w:type="dxa"/>
            <w:vAlign w:val="center"/>
          </w:tcPr>
          <w:p>
            <w:pPr>
              <w:jc w:val="center"/>
              <w:rPr>
                <w:rFonts w:hint="eastAsia" w:ascii="仿宋" w:hAnsi="仿宋" w:eastAsia="仿宋" w:cs="仿宋"/>
                <w:b/>
                <w:bCs/>
                <w:color w:val="auto"/>
                <w:sz w:val="24"/>
                <w:szCs w:val="24"/>
              </w:rPr>
            </w:pPr>
            <w:r>
              <w:rPr>
                <w:rFonts w:hint="eastAsia" w:ascii="仿宋" w:hAnsi="仿宋" w:eastAsia="仿宋" w:cs="仿宋"/>
                <w:b/>
                <w:bCs/>
                <w:color w:val="auto"/>
                <w:sz w:val="24"/>
                <w:szCs w:val="24"/>
              </w:rPr>
              <w:t>意见及建议</w:t>
            </w:r>
          </w:p>
        </w:tc>
        <w:tc>
          <w:tcPr>
            <w:tcW w:w="1198" w:type="dxa"/>
            <w:vAlign w:val="center"/>
          </w:tcPr>
          <w:p>
            <w:pPr>
              <w:jc w:val="center"/>
              <w:rPr>
                <w:rFonts w:hint="eastAsia" w:ascii="仿宋" w:hAnsi="仿宋" w:eastAsia="仿宋" w:cs="仿宋"/>
                <w:b/>
                <w:bCs/>
                <w:color w:val="auto"/>
                <w:sz w:val="24"/>
                <w:szCs w:val="24"/>
              </w:rPr>
            </w:pPr>
            <w:r>
              <w:rPr>
                <w:rFonts w:hint="eastAsia" w:ascii="仿宋" w:hAnsi="仿宋" w:eastAsia="仿宋" w:cs="仿宋"/>
                <w:b/>
                <w:bCs/>
                <w:color w:val="auto"/>
                <w:sz w:val="24"/>
                <w:szCs w:val="24"/>
              </w:rPr>
              <w:t>采纳情况</w:t>
            </w:r>
          </w:p>
        </w:tc>
        <w:tc>
          <w:tcPr>
            <w:tcW w:w="3352" w:type="dxa"/>
            <w:vAlign w:val="center"/>
          </w:tcPr>
          <w:p>
            <w:pPr>
              <w:jc w:val="center"/>
              <w:rPr>
                <w:rFonts w:hint="eastAsia" w:ascii="仿宋" w:hAnsi="仿宋" w:eastAsia="仿宋" w:cs="仿宋"/>
                <w:b/>
                <w:bCs/>
                <w:color w:val="auto"/>
                <w:sz w:val="24"/>
                <w:szCs w:val="24"/>
              </w:rPr>
            </w:pPr>
            <w:r>
              <w:rPr>
                <w:rFonts w:hint="eastAsia" w:ascii="仿宋" w:hAnsi="仿宋" w:eastAsia="仿宋" w:cs="仿宋"/>
                <w:b/>
                <w:bCs/>
                <w:color w:val="auto"/>
                <w:sz w:val="24"/>
                <w:szCs w:val="24"/>
              </w:rPr>
              <w:t>说明</w:t>
            </w:r>
          </w:p>
        </w:tc>
        <w:tc>
          <w:tcPr>
            <w:tcW w:w="1118" w:type="dxa"/>
            <w:vAlign w:val="center"/>
          </w:tcPr>
          <w:p>
            <w:pPr>
              <w:jc w:val="center"/>
              <w:rPr>
                <w:rFonts w:hint="eastAsia" w:ascii="仿宋" w:hAnsi="仿宋" w:eastAsia="仿宋" w:cs="仿宋"/>
                <w:b/>
                <w:bCs/>
                <w:color w:val="auto"/>
                <w:sz w:val="24"/>
                <w:szCs w:val="24"/>
              </w:rPr>
            </w:pPr>
            <w:r>
              <w:rPr>
                <w:rFonts w:hint="eastAsia" w:ascii="仿宋" w:hAnsi="仿宋" w:eastAsia="仿宋" w:cs="仿宋"/>
                <w:b/>
                <w:bCs/>
                <w:color w:val="auto"/>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0" w:hRule="atLeast"/>
        </w:trPr>
        <w:tc>
          <w:tcPr>
            <w:tcW w:w="729" w:type="dxa"/>
            <w:vAlign w:val="center"/>
          </w:tcPr>
          <w:p>
            <w:pPr>
              <w:jc w:val="center"/>
              <w:rPr>
                <w:rFonts w:hint="eastAsia" w:ascii="仿宋" w:hAnsi="仿宋" w:eastAsia="仿宋" w:cs="仿宋"/>
                <w:color w:val="auto"/>
              </w:rPr>
            </w:pPr>
            <w:r>
              <w:rPr>
                <w:rFonts w:hint="eastAsia" w:ascii="仿宋" w:hAnsi="仿宋" w:eastAsia="仿宋" w:cs="仿宋"/>
                <w:color w:val="auto"/>
              </w:rPr>
              <w:t>1</w:t>
            </w:r>
          </w:p>
        </w:tc>
        <w:tc>
          <w:tcPr>
            <w:tcW w:w="2679" w:type="dxa"/>
            <w:vAlign w:val="center"/>
          </w:tcPr>
          <w:p>
            <w:pPr>
              <w:jc w:val="center"/>
              <w:rPr>
                <w:rFonts w:hint="eastAsia" w:ascii="仿宋" w:hAnsi="仿宋" w:eastAsia="仿宋" w:cs="仿宋"/>
                <w:color w:val="auto"/>
              </w:rPr>
            </w:pPr>
            <w:r>
              <w:rPr>
                <w:rFonts w:hint="eastAsia" w:ascii="仿宋" w:hAnsi="仿宋" w:eastAsia="仿宋" w:cs="仿宋"/>
                <w:color w:val="auto"/>
              </w:rPr>
              <w:t>增加应急预案与政府部门应急预案的衔接关系。</w:t>
            </w:r>
          </w:p>
        </w:tc>
        <w:tc>
          <w:tcPr>
            <w:tcW w:w="1198" w:type="dxa"/>
            <w:vAlign w:val="center"/>
          </w:tcPr>
          <w:p>
            <w:pPr>
              <w:jc w:val="center"/>
              <w:rPr>
                <w:rFonts w:hint="eastAsia" w:ascii="仿宋" w:hAnsi="仿宋" w:eastAsia="仿宋" w:cs="仿宋"/>
                <w:color w:val="auto"/>
              </w:rPr>
            </w:pPr>
            <w:r>
              <w:rPr>
                <w:rFonts w:hint="eastAsia" w:ascii="仿宋" w:hAnsi="仿宋" w:eastAsia="仿宋" w:cs="仿宋"/>
                <w:color w:val="auto"/>
              </w:rPr>
              <w:t>采纳</w:t>
            </w:r>
          </w:p>
        </w:tc>
        <w:tc>
          <w:tcPr>
            <w:tcW w:w="3352" w:type="dxa"/>
            <w:vAlign w:val="center"/>
          </w:tcPr>
          <w:p>
            <w:pPr>
              <w:jc w:val="center"/>
              <w:rPr>
                <w:rFonts w:hint="eastAsia" w:ascii="仿宋" w:hAnsi="仿宋" w:eastAsia="仿宋" w:cs="仿宋"/>
                <w:color w:val="auto"/>
              </w:rPr>
            </w:pPr>
            <w:r>
              <w:rPr>
                <w:rFonts w:hint="eastAsia" w:ascii="仿宋" w:hAnsi="仿宋" w:eastAsia="仿宋" w:cs="仿宋"/>
                <w:color w:val="auto"/>
              </w:rPr>
              <w:t>增加了1.6节应急预案体系说明，明确了与政府部门应急预案的衔接关系。</w:t>
            </w:r>
          </w:p>
        </w:tc>
        <w:tc>
          <w:tcPr>
            <w:tcW w:w="1118" w:type="dxa"/>
            <w:vAlign w:val="center"/>
          </w:tcPr>
          <w:p>
            <w:pPr>
              <w:jc w:val="center"/>
              <w:rPr>
                <w:rFonts w:hint="eastAsia" w:ascii="仿宋" w:hAnsi="仿宋" w:eastAsia="仿宋" w:cs="仿宋"/>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0" w:hRule="atLeast"/>
        </w:trPr>
        <w:tc>
          <w:tcPr>
            <w:tcW w:w="729" w:type="dxa"/>
            <w:vAlign w:val="center"/>
          </w:tcPr>
          <w:p>
            <w:pPr>
              <w:jc w:val="center"/>
              <w:rPr>
                <w:rFonts w:hint="eastAsia" w:ascii="仿宋" w:hAnsi="仿宋" w:eastAsia="仿宋" w:cs="仿宋"/>
                <w:color w:val="auto"/>
              </w:rPr>
            </w:pPr>
            <w:r>
              <w:rPr>
                <w:rFonts w:hint="eastAsia" w:ascii="仿宋" w:hAnsi="仿宋" w:eastAsia="仿宋" w:cs="仿宋"/>
                <w:color w:val="auto"/>
              </w:rPr>
              <w:t>2</w:t>
            </w:r>
          </w:p>
        </w:tc>
        <w:tc>
          <w:tcPr>
            <w:tcW w:w="2679" w:type="dxa"/>
            <w:vAlign w:val="center"/>
          </w:tcPr>
          <w:p>
            <w:pPr>
              <w:jc w:val="center"/>
              <w:rPr>
                <w:rFonts w:hint="eastAsia" w:ascii="仿宋" w:hAnsi="仿宋" w:eastAsia="仿宋" w:cs="仿宋"/>
                <w:color w:val="auto"/>
              </w:rPr>
            </w:pPr>
            <w:r>
              <w:rPr>
                <w:rFonts w:hint="eastAsia" w:ascii="仿宋" w:hAnsi="仿宋" w:eastAsia="仿宋" w:cs="仿宋"/>
                <w:color w:val="auto"/>
              </w:rPr>
              <w:t>应急救援队伍应根据企业实际进行设置。</w:t>
            </w:r>
          </w:p>
        </w:tc>
        <w:tc>
          <w:tcPr>
            <w:tcW w:w="1198" w:type="dxa"/>
            <w:vAlign w:val="center"/>
          </w:tcPr>
          <w:p>
            <w:pPr>
              <w:jc w:val="center"/>
              <w:rPr>
                <w:rFonts w:hint="eastAsia" w:ascii="仿宋" w:hAnsi="仿宋" w:eastAsia="仿宋" w:cs="仿宋"/>
                <w:color w:val="auto"/>
              </w:rPr>
            </w:pPr>
            <w:r>
              <w:rPr>
                <w:rFonts w:hint="eastAsia" w:ascii="仿宋" w:hAnsi="仿宋" w:eastAsia="仿宋" w:cs="仿宋"/>
                <w:color w:val="auto"/>
              </w:rPr>
              <w:t>采纳</w:t>
            </w:r>
          </w:p>
        </w:tc>
        <w:tc>
          <w:tcPr>
            <w:tcW w:w="3352" w:type="dxa"/>
            <w:vAlign w:val="center"/>
          </w:tcPr>
          <w:p>
            <w:pPr>
              <w:jc w:val="center"/>
              <w:rPr>
                <w:rFonts w:hint="eastAsia" w:ascii="仿宋" w:hAnsi="仿宋" w:eastAsia="仿宋" w:cs="仿宋"/>
                <w:color w:val="auto"/>
              </w:rPr>
            </w:pPr>
            <w:r>
              <w:rPr>
                <w:rFonts w:hint="eastAsia" w:ascii="仿宋" w:hAnsi="仿宋" w:eastAsia="仿宋" w:cs="仿宋"/>
                <w:color w:val="auto"/>
              </w:rPr>
              <w:t>重新设置了应急救援队伍。</w:t>
            </w:r>
          </w:p>
        </w:tc>
        <w:tc>
          <w:tcPr>
            <w:tcW w:w="1118" w:type="dxa"/>
            <w:vAlign w:val="center"/>
          </w:tcPr>
          <w:p>
            <w:pPr>
              <w:jc w:val="center"/>
              <w:rPr>
                <w:rFonts w:hint="eastAsia" w:ascii="仿宋" w:hAnsi="仿宋" w:eastAsia="仿宋" w:cs="仿宋"/>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729" w:type="dxa"/>
            <w:vAlign w:val="center"/>
          </w:tcPr>
          <w:p>
            <w:pPr>
              <w:jc w:val="center"/>
              <w:rPr>
                <w:rFonts w:hint="eastAsia" w:ascii="仿宋" w:hAnsi="仿宋" w:eastAsia="仿宋" w:cs="仿宋"/>
                <w:color w:val="auto"/>
              </w:rPr>
            </w:pPr>
            <w:r>
              <w:rPr>
                <w:rFonts w:hint="eastAsia" w:ascii="仿宋" w:hAnsi="仿宋" w:eastAsia="仿宋" w:cs="仿宋"/>
                <w:color w:val="auto"/>
              </w:rPr>
              <w:t>3</w:t>
            </w:r>
          </w:p>
        </w:tc>
        <w:tc>
          <w:tcPr>
            <w:tcW w:w="2679" w:type="dxa"/>
            <w:vAlign w:val="center"/>
          </w:tcPr>
          <w:p>
            <w:pPr>
              <w:jc w:val="center"/>
              <w:rPr>
                <w:rFonts w:hint="eastAsia" w:ascii="仿宋" w:hAnsi="仿宋" w:eastAsia="仿宋" w:cs="仿宋"/>
                <w:color w:val="auto"/>
              </w:rPr>
            </w:pPr>
            <w:r>
              <w:rPr>
                <w:rFonts w:hint="eastAsia" w:ascii="仿宋" w:hAnsi="仿宋" w:eastAsia="仿宋" w:cs="仿宋"/>
                <w:color w:val="auto"/>
              </w:rPr>
              <w:t>附件中增加周边环境敏感点分布图。</w:t>
            </w:r>
          </w:p>
        </w:tc>
        <w:tc>
          <w:tcPr>
            <w:tcW w:w="1198" w:type="dxa"/>
            <w:vAlign w:val="center"/>
          </w:tcPr>
          <w:p>
            <w:pPr>
              <w:jc w:val="center"/>
              <w:rPr>
                <w:rFonts w:hint="eastAsia" w:ascii="仿宋" w:hAnsi="仿宋" w:eastAsia="仿宋" w:cs="仿宋"/>
                <w:color w:val="auto"/>
              </w:rPr>
            </w:pPr>
            <w:r>
              <w:rPr>
                <w:rFonts w:hint="eastAsia" w:ascii="仿宋" w:hAnsi="仿宋" w:eastAsia="仿宋" w:cs="仿宋"/>
                <w:color w:val="auto"/>
              </w:rPr>
              <w:t>采纳</w:t>
            </w:r>
          </w:p>
        </w:tc>
        <w:tc>
          <w:tcPr>
            <w:tcW w:w="3352" w:type="dxa"/>
            <w:vAlign w:val="center"/>
          </w:tcPr>
          <w:p>
            <w:pPr>
              <w:jc w:val="center"/>
              <w:rPr>
                <w:rFonts w:hint="eastAsia" w:ascii="仿宋" w:hAnsi="仿宋" w:eastAsia="仿宋" w:cs="仿宋"/>
                <w:color w:val="auto"/>
              </w:rPr>
            </w:pPr>
            <w:r>
              <w:rPr>
                <w:rFonts w:hint="eastAsia" w:ascii="仿宋" w:hAnsi="仿宋" w:eastAsia="仿宋" w:cs="仿宋"/>
                <w:color w:val="auto"/>
              </w:rPr>
              <w:t>增加了周边环境敏感点分布图。</w:t>
            </w:r>
          </w:p>
        </w:tc>
        <w:tc>
          <w:tcPr>
            <w:tcW w:w="1118" w:type="dxa"/>
            <w:vAlign w:val="center"/>
          </w:tcPr>
          <w:p>
            <w:pPr>
              <w:jc w:val="center"/>
              <w:rPr>
                <w:rFonts w:hint="eastAsia" w:ascii="仿宋" w:hAnsi="仿宋" w:eastAsia="仿宋" w:cs="仿宋"/>
                <w:color w:val="auto"/>
              </w:rPr>
            </w:pPr>
          </w:p>
        </w:tc>
      </w:tr>
    </w:tbl>
    <w:p>
      <w:pPr>
        <w:pStyle w:val="4"/>
        <w:ind w:firstLine="584"/>
        <w:rPr>
          <w:rFonts w:hint="eastAsia" w:ascii="仿宋" w:hAnsi="仿宋" w:eastAsia="仿宋" w:cs="仿宋"/>
          <w:color w:val="auto"/>
          <w:spacing w:val="6"/>
          <w:sz w:val="28"/>
          <w:szCs w:val="28"/>
        </w:rPr>
      </w:pPr>
      <w:r>
        <w:rPr>
          <w:rFonts w:hint="eastAsia" w:ascii="仿宋" w:hAnsi="仿宋" w:eastAsia="仿宋" w:cs="仿宋"/>
          <w:color w:val="auto"/>
          <w:spacing w:val="6"/>
          <w:sz w:val="28"/>
          <w:szCs w:val="28"/>
        </w:rPr>
        <w:t>为了检验《预案》的适用性，</w:t>
      </w:r>
      <w:r>
        <w:rPr>
          <w:rFonts w:hint="eastAsia" w:ascii="仿宋" w:hAnsi="仿宋" w:eastAsia="仿宋" w:cs="仿宋"/>
          <w:color w:val="auto"/>
          <w:spacing w:val="6"/>
          <w:sz w:val="28"/>
          <w:szCs w:val="28"/>
          <w:lang w:eastAsia="zh-CN"/>
        </w:rPr>
        <w:t>本公司</w:t>
      </w:r>
      <w:r>
        <w:rPr>
          <w:rFonts w:hint="eastAsia" w:ascii="仿宋" w:hAnsi="仿宋" w:eastAsia="仿宋" w:cs="仿宋"/>
          <w:color w:val="auto"/>
          <w:spacing w:val="6"/>
          <w:sz w:val="28"/>
          <w:szCs w:val="28"/>
        </w:rPr>
        <w:t>按预案内容进行桌面演练。预案编制小组根据会议对《预案》提出的意见和建议进行了分析，认为均比较合理，予以采纳，根据演练暴露出的问题，对预案内容进行了调整。</w:t>
      </w:r>
    </w:p>
    <w:p>
      <w:pPr>
        <w:spacing w:after="312" w:afterLines="100"/>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演练暴露问题清单及解决措施</w:t>
      </w:r>
    </w:p>
    <w:tbl>
      <w:tblPr>
        <w:tblStyle w:val="12"/>
        <w:tblW w:w="8907" w:type="dxa"/>
        <w:tblInd w:w="-1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
        <w:gridCol w:w="2679"/>
        <w:gridCol w:w="3377"/>
        <w:gridCol w:w="20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833" w:type="dxa"/>
            <w:vAlign w:val="center"/>
          </w:tcPr>
          <w:p>
            <w:pPr>
              <w:jc w:val="center"/>
              <w:rPr>
                <w:rFonts w:hint="eastAsia" w:ascii="仿宋" w:hAnsi="仿宋" w:eastAsia="仿宋" w:cs="仿宋"/>
                <w:b/>
                <w:bCs/>
                <w:color w:val="auto"/>
                <w:sz w:val="24"/>
                <w:szCs w:val="24"/>
              </w:rPr>
            </w:pPr>
            <w:r>
              <w:rPr>
                <w:rFonts w:hint="eastAsia" w:ascii="仿宋" w:hAnsi="仿宋" w:eastAsia="仿宋" w:cs="仿宋"/>
                <w:b/>
                <w:bCs/>
                <w:color w:val="auto"/>
                <w:sz w:val="24"/>
                <w:szCs w:val="24"/>
              </w:rPr>
              <w:t>序号</w:t>
            </w:r>
          </w:p>
        </w:tc>
        <w:tc>
          <w:tcPr>
            <w:tcW w:w="2679" w:type="dxa"/>
            <w:vAlign w:val="center"/>
          </w:tcPr>
          <w:p>
            <w:pPr>
              <w:jc w:val="center"/>
              <w:rPr>
                <w:rFonts w:hint="eastAsia" w:ascii="仿宋" w:hAnsi="仿宋" w:eastAsia="仿宋" w:cs="仿宋"/>
                <w:b/>
                <w:bCs/>
                <w:color w:val="auto"/>
                <w:sz w:val="24"/>
                <w:szCs w:val="24"/>
              </w:rPr>
            </w:pPr>
            <w:r>
              <w:rPr>
                <w:rFonts w:hint="eastAsia" w:ascii="仿宋" w:hAnsi="仿宋" w:eastAsia="仿宋" w:cs="仿宋"/>
                <w:b/>
                <w:bCs/>
                <w:color w:val="auto"/>
                <w:sz w:val="24"/>
                <w:szCs w:val="24"/>
              </w:rPr>
              <w:t>暴露问题</w:t>
            </w:r>
          </w:p>
        </w:tc>
        <w:tc>
          <w:tcPr>
            <w:tcW w:w="3377" w:type="dxa"/>
            <w:vAlign w:val="center"/>
          </w:tcPr>
          <w:p>
            <w:pPr>
              <w:jc w:val="center"/>
              <w:rPr>
                <w:rFonts w:hint="eastAsia" w:ascii="仿宋" w:hAnsi="仿宋" w:eastAsia="仿宋" w:cs="仿宋"/>
                <w:b/>
                <w:bCs/>
                <w:color w:val="auto"/>
                <w:sz w:val="24"/>
                <w:szCs w:val="24"/>
              </w:rPr>
            </w:pPr>
            <w:r>
              <w:rPr>
                <w:rFonts w:hint="eastAsia" w:ascii="仿宋" w:hAnsi="仿宋" w:eastAsia="仿宋" w:cs="仿宋"/>
                <w:b/>
                <w:bCs/>
                <w:color w:val="auto"/>
                <w:sz w:val="24"/>
                <w:szCs w:val="24"/>
              </w:rPr>
              <w:t>解决措施</w:t>
            </w:r>
          </w:p>
        </w:tc>
        <w:tc>
          <w:tcPr>
            <w:tcW w:w="2018" w:type="dxa"/>
            <w:vAlign w:val="center"/>
          </w:tcPr>
          <w:p>
            <w:pPr>
              <w:jc w:val="center"/>
              <w:rPr>
                <w:rFonts w:hint="eastAsia" w:ascii="仿宋" w:hAnsi="仿宋" w:eastAsia="仿宋" w:cs="仿宋"/>
                <w:b/>
                <w:bCs/>
                <w:color w:val="auto"/>
                <w:sz w:val="24"/>
                <w:szCs w:val="24"/>
              </w:rPr>
            </w:pPr>
            <w:r>
              <w:rPr>
                <w:rFonts w:hint="eastAsia" w:ascii="仿宋" w:hAnsi="仿宋" w:eastAsia="仿宋" w:cs="仿宋"/>
                <w:b/>
                <w:bCs/>
                <w:color w:val="auto"/>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4" w:hRule="atLeast"/>
        </w:trPr>
        <w:tc>
          <w:tcPr>
            <w:tcW w:w="833" w:type="dxa"/>
            <w:vAlign w:val="center"/>
          </w:tcPr>
          <w:p>
            <w:pPr>
              <w:jc w:val="center"/>
              <w:rPr>
                <w:rFonts w:hint="eastAsia" w:ascii="仿宋" w:hAnsi="仿宋" w:eastAsia="仿宋" w:cs="仿宋"/>
                <w:color w:val="auto"/>
              </w:rPr>
            </w:pPr>
            <w:r>
              <w:rPr>
                <w:rFonts w:hint="eastAsia" w:ascii="仿宋" w:hAnsi="仿宋" w:eastAsia="仿宋" w:cs="仿宋"/>
                <w:color w:val="auto"/>
              </w:rPr>
              <w:t>1</w:t>
            </w:r>
          </w:p>
        </w:tc>
        <w:tc>
          <w:tcPr>
            <w:tcW w:w="2679" w:type="dxa"/>
            <w:vAlign w:val="center"/>
          </w:tcPr>
          <w:p>
            <w:pPr>
              <w:jc w:val="center"/>
              <w:rPr>
                <w:rFonts w:hint="eastAsia" w:ascii="仿宋" w:hAnsi="仿宋" w:eastAsia="仿宋" w:cs="仿宋"/>
                <w:color w:val="auto"/>
              </w:rPr>
            </w:pPr>
            <w:r>
              <w:rPr>
                <w:rFonts w:hint="eastAsia" w:ascii="仿宋" w:hAnsi="仿宋" w:eastAsia="仿宋" w:cs="仿宋"/>
                <w:color w:val="auto"/>
              </w:rPr>
              <w:t>个别人员使用灭火器不熟练。</w:t>
            </w:r>
          </w:p>
        </w:tc>
        <w:tc>
          <w:tcPr>
            <w:tcW w:w="3377" w:type="dxa"/>
            <w:vAlign w:val="center"/>
          </w:tcPr>
          <w:p>
            <w:pPr>
              <w:jc w:val="center"/>
              <w:rPr>
                <w:rFonts w:hint="eastAsia" w:ascii="仿宋" w:hAnsi="仿宋" w:eastAsia="仿宋" w:cs="仿宋"/>
                <w:color w:val="auto"/>
              </w:rPr>
            </w:pPr>
            <w:r>
              <w:rPr>
                <w:rFonts w:hint="eastAsia" w:ascii="仿宋" w:hAnsi="仿宋" w:eastAsia="仿宋" w:cs="仿宋"/>
                <w:color w:val="auto"/>
              </w:rPr>
              <w:t>对员工进行灭火器使用培训。</w:t>
            </w:r>
          </w:p>
        </w:tc>
        <w:tc>
          <w:tcPr>
            <w:tcW w:w="2018" w:type="dxa"/>
            <w:vAlign w:val="center"/>
          </w:tcPr>
          <w:p>
            <w:pPr>
              <w:jc w:val="center"/>
              <w:rPr>
                <w:rFonts w:hint="eastAsia" w:ascii="仿宋" w:hAnsi="仿宋" w:eastAsia="仿宋" w:cs="仿宋"/>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4" w:hRule="atLeast"/>
        </w:trPr>
        <w:tc>
          <w:tcPr>
            <w:tcW w:w="833" w:type="dxa"/>
            <w:vAlign w:val="center"/>
          </w:tcPr>
          <w:p>
            <w:pPr>
              <w:jc w:val="center"/>
              <w:rPr>
                <w:rFonts w:hint="eastAsia" w:ascii="仿宋" w:hAnsi="仿宋" w:eastAsia="仿宋" w:cs="仿宋"/>
                <w:color w:val="auto"/>
              </w:rPr>
            </w:pPr>
            <w:r>
              <w:rPr>
                <w:rFonts w:hint="eastAsia" w:ascii="仿宋" w:hAnsi="仿宋" w:eastAsia="仿宋" w:cs="仿宋"/>
                <w:color w:val="auto"/>
              </w:rPr>
              <w:t>2</w:t>
            </w:r>
          </w:p>
        </w:tc>
        <w:tc>
          <w:tcPr>
            <w:tcW w:w="2679" w:type="dxa"/>
            <w:vAlign w:val="center"/>
          </w:tcPr>
          <w:p>
            <w:pPr>
              <w:jc w:val="center"/>
              <w:rPr>
                <w:rFonts w:hint="eastAsia" w:ascii="仿宋" w:hAnsi="仿宋" w:eastAsia="仿宋" w:cs="仿宋"/>
                <w:color w:val="auto"/>
              </w:rPr>
            </w:pPr>
            <w:r>
              <w:rPr>
                <w:rFonts w:hint="eastAsia" w:ascii="仿宋" w:hAnsi="仿宋" w:eastAsia="仿宋" w:cs="仿宋"/>
                <w:color w:val="auto"/>
              </w:rPr>
              <w:t>负责人不知道发生事故后向上级报告的时限。</w:t>
            </w:r>
          </w:p>
        </w:tc>
        <w:tc>
          <w:tcPr>
            <w:tcW w:w="3377" w:type="dxa"/>
            <w:vAlign w:val="center"/>
          </w:tcPr>
          <w:p>
            <w:pPr>
              <w:jc w:val="center"/>
              <w:rPr>
                <w:rFonts w:hint="eastAsia" w:ascii="仿宋" w:hAnsi="仿宋" w:eastAsia="仿宋" w:cs="仿宋"/>
                <w:color w:val="auto"/>
              </w:rPr>
            </w:pPr>
            <w:r>
              <w:rPr>
                <w:rFonts w:hint="eastAsia" w:ascii="仿宋" w:hAnsi="仿宋" w:eastAsia="仿宋" w:cs="仿宋"/>
                <w:color w:val="auto"/>
              </w:rPr>
              <w:t>在预案中明确了外部报告时限。</w:t>
            </w:r>
          </w:p>
        </w:tc>
        <w:tc>
          <w:tcPr>
            <w:tcW w:w="2018" w:type="dxa"/>
            <w:vAlign w:val="center"/>
          </w:tcPr>
          <w:p>
            <w:pPr>
              <w:jc w:val="center"/>
              <w:rPr>
                <w:rFonts w:hint="eastAsia" w:ascii="仿宋" w:hAnsi="仿宋" w:eastAsia="仿宋" w:cs="仿宋"/>
                <w:color w:val="auto"/>
              </w:rPr>
            </w:pPr>
          </w:p>
        </w:tc>
      </w:tr>
    </w:tbl>
    <w:p>
      <w:pPr>
        <w:numPr>
          <w:ilvl w:val="0"/>
          <w:numId w:val="2"/>
        </w:numPr>
        <w:spacing w:line="560" w:lineRule="exact"/>
        <w:ind w:left="420" w:leftChars="200"/>
        <w:rPr>
          <w:rFonts w:hint="eastAsia" w:ascii="仿宋" w:hAnsi="仿宋" w:eastAsia="仿宋" w:cs="仿宋"/>
          <w:color w:val="auto"/>
          <w:spacing w:val="6"/>
          <w:sz w:val="28"/>
          <w:szCs w:val="28"/>
        </w:rPr>
      </w:pPr>
      <w:r>
        <w:rPr>
          <w:rFonts w:hint="eastAsia" w:ascii="仿宋" w:hAnsi="仿宋" w:eastAsia="仿宋" w:cs="仿宋"/>
          <w:color w:val="auto"/>
          <w:spacing w:val="6"/>
          <w:sz w:val="28"/>
          <w:szCs w:val="28"/>
        </w:rPr>
        <w:t>评审情况说明</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84" w:firstLineChars="200"/>
        <w:textAlignment w:val="auto"/>
        <w:rPr>
          <w:rFonts w:hint="eastAsia" w:ascii="仿宋" w:hAnsi="仿宋" w:eastAsia="仿宋" w:cs="仿宋"/>
          <w:color w:val="auto"/>
          <w:spacing w:val="6"/>
          <w:sz w:val="28"/>
          <w:szCs w:val="28"/>
          <w:lang w:eastAsia="zh-CN"/>
        </w:rPr>
      </w:pPr>
      <w:r>
        <w:rPr>
          <w:rFonts w:hint="eastAsia" w:ascii="仿宋" w:hAnsi="仿宋" w:eastAsia="仿宋" w:cs="仿宋"/>
          <w:color w:val="auto"/>
          <w:spacing w:val="6"/>
          <w:sz w:val="28"/>
          <w:szCs w:val="28"/>
          <w:lang w:eastAsia="zh-CN"/>
        </w:rPr>
        <w:t>《陕西勇轩建材有限公司突发环境事件应急预案》</w:t>
      </w:r>
      <w:r>
        <w:rPr>
          <w:rFonts w:hint="eastAsia" w:ascii="仿宋" w:hAnsi="仿宋" w:eastAsia="仿宋" w:cs="仿宋"/>
          <w:color w:val="auto"/>
          <w:spacing w:val="6"/>
          <w:sz w:val="28"/>
          <w:szCs w:val="28"/>
          <w:lang w:val="en-US" w:eastAsia="zh-CN"/>
        </w:rPr>
        <w:t>于2020年11月由王珍、赵艺、卢立栋三位专家进行了函申，通过评审。专家函申过程提出以下修改意见和建议：</w:t>
      </w:r>
    </w:p>
    <w:p>
      <w:pPr>
        <w:pStyle w:val="6"/>
        <w:keepNext w:val="0"/>
        <w:keepLines w:val="0"/>
        <w:pageBreakBefore w:val="0"/>
        <w:widowControl/>
        <w:numPr>
          <w:ilvl w:val="0"/>
          <w:numId w:val="3"/>
        </w:numPr>
        <w:kinsoku/>
        <w:wordWrap/>
        <w:overflowPunct/>
        <w:topLinePunct/>
        <w:autoSpaceDE/>
        <w:autoSpaceDN/>
        <w:bidi w:val="0"/>
        <w:adjustRightInd/>
        <w:snapToGrid/>
        <w:spacing w:after="0" w:line="240" w:lineRule="auto"/>
        <w:ind w:left="0" w:firstLine="584" w:firstLineChars="200"/>
        <w:jc w:val="left"/>
        <w:textAlignment w:val="auto"/>
        <w:rPr>
          <w:rFonts w:hint="eastAsia" w:ascii="仿宋" w:hAnsi="仿宋" w:eastAsia="仿宋" w:cs="仿宋"/>
          <w:color w:val="auto"/>
          <w:spacing w:val="6"/>
          <w:kern w:val="2"/>
          <w:sz w:val="28"/>
          <w:szCs w:val="28"/>
          <w:lang w:val="en-US" w:eastAsia="zh-CN" w:bidi="ar-SA"/>
        </w:rPr>
      </w:pPr>
      <w:r>
        <w:rPr>
          <w:rFonts w:hint="eastAsia" w:ascii="仿宋" w:hAnsi="仿宋" w:eastAsia="仿宋" w:cs="仿宋"/>
          <w:color w:val="auto"/>
          <w:spacing w:val="6"/>
          <w:kern w:val="2"/>
          <w:sz w:val="28"/>
          <w:szCs w:val="28"/>
          <w:lang w:val="en-US" w:eastAsia="zh-CN" w:bidi="ar-SA"/>
        </w:rPr>
        <w:t>项目不涉及危化品使用和储存，仅涉及机油油的储存和使用，且储存量较小，因此报告要结合项目为一般风险源的特点编制。</w:t>
      </w:r>
    </w:p>
    <w:p>
      <w:pPr>
        <w:pStyle w:val="6"/>
        <w:keepNext w:val="0"/>
        <w:keepLines w:val="0"/>
        <w:pageBreakBefore w:val="0"/>
        <w:widowControl/>
        <w:kinsoku/>
        <w:wordWrap/>
        <w:overflowPunct/>
        <w:topLinePunct/>
        <w:autoSpaceDE/>
        <w:autoSpaceDN/>
        <w:bidi w:val="0"/>
        <w:adjustRightInd/>
        <w:snapToGrid/>
        <w:spacing w:after="0" w:line="240" w:lineRule="auto"/>
        <w:ind w:left="0" w:firstLine="584" w:firstLineChars="200"/>
        <w:jc w:val="left"/>
        <w:textAlignment w:val="auto"/>
        <w:rPr>
          <w:rFonts w:hint="eastAsia" w:ascii="仿宋" w:hAnsi="仿宋" w:eastAsia="仿宋" w:cs="仿宋"/>
          <w:color w:val="auto"/>
          <w:spacing w:val="6"/>
          <w:kern w:val="2"/>
          <w:sz w:val="28"/>
          <w:szCs w:val="28"/>
          <w:lang w:val="en-US" w:eastAsia="zh-CN" w:bidi="ar-SA"/>
        </w:rPr>
      </w:pPr>
      <w:r>
        <w:rPr>
          <w:rFonts w:hint="eastAsia" w:ascii="仿宋" w:hAnsi="仿宋" w:eastAsia="仿宋" w:cs="仿宋"/>
          <w:color w:val="auto"/>
          <w:spacing w:val="6"/>
          <w:kern w:val="2"/>
          <w:sz w:val="28"/>
          <w:szCs w:val="28"/>
          <w:lang w:val="en-US" w:eastAsia="zh-CN" w:bidi="ar-SA"/>
        </w:rPr>
        <w:t>2. 项目仅涉及机油的储存和使用，事故无外乎泄漏和火灾，风险评估的结果也是一般风险源，但是预案中设置了多个应急机构，应该简化应急组织机构图，对于没有必要设置和可以合并设置的机构进行简化合并。由于不涉及有毒有害化学品，因此事故的应急处置相对简单，不需要应急监测等，应结合本项目的实际情况规范应急处置的内容，并应具有可操作性。</w:t>
      </w:r>
    </w:p>
    <w:p>
      <w:pPr>
        <w:pStyle w:val="6"/>
        <w:keepNext w:val="0"/>
        <w:keepLines w:val="0"/>
        <w:pageBreakBefore w:val="0"/>
        <w:widowControl/>
        <w:kinsoku/>
        <w:wordWrap/>
        <w:overflowPunct/>
        <w:topLinePunct/>
        <w:autoSpaceDE/>
        <w:autoSpaceDN/>
        <w:bidi w:val="0"/>
        <w:adjustRightInd/>
        <w:snapToGrid/>
        <w:spacing w:after="0" w:line="240" w:lineRule="auto"/>
        <w:ind w:left="0" w:firstLine="584" w:firstLineChars="200"/>
        <w:jc w:val="left"/>
        <w:textAlignment w:val="auto"/>
        <w:rPr>
          <w:rFonts w:hint="eastAsia" w:ascii="仿宋" w:hAnsi="仿宋" w:eastAsia="仿宋" w:cs="仿宋"/>
          <w:color w:val="auto"/>
          <w:spacing w:val="6"/>
          <w:kern w:val="2"/>
          <w:sz w:val="28"/>
          <w:szCs w:val="28"/>
          <w:lang w:val="en-US" w:eastAsia="zh-CN" w:bidi="ar-SA"/>
        </w:rPr>
      </w:pPr>
      <w:r>
        <w:rPr>
          <w:rFonts w:hint="eastAsia" w:ascii="仿宋" w:hAnsi="仿宋" w:eastAsia="仿宋" w:cs="仿宋"/>
          <w:color w:val="auto"/>
          <w:spacing w:val="6"/>
          <w:kern w:val="2"/>
          <w:sz w:val="28"/>
          <w:szCs w:val="28"/>
          <w:lang w:val="en-US" w:eastAsia="zh-CN" w:bidi="ar-SA"/>
        </w:rPr>
        <w:t>3. 由于项目不涉及有毒有害物质，事故状态下周边村民和企业人员没有必要撤离，可简化相关内容。</w:t>
      </w:r>
    </w:p>
    <w:p>
      <w:pPr>
        <w:pStyle w:val="6"/>
        <w:keepNext w:val="0"/>
        <w:keepLines w:val="0"/>
        <w:pageBreakBefore w:val="0"/>
        <w:widowControl/>
        <w:kinsoku/>
        <w:wordWrap/>
        <w:overflowPunct/>
        <w:topLinePunct/>
        <w:autoSpaceDE/>
        <w:autoSpaceDN/>
        <w:bidi w:val="0"/>
        <w:adjustRightInd/>
        <w:snapToGrid/>
        <w:spacing w:after="0" w:line="240" w:lineRule="auto"/>
        <w:ind w:left="0" w:firstLine="584" w:firstLineChars="200"/>
        <w:jc w:val="left"/>
        <w:textAlignment w:val="auto"/>
        <w:rPr>
          <w:rFonts w:hint="eastAsia" w:ascii="仿宋" w:hAnsi="仿宋" w:eastAsia="仿宋" w:cs="仿宋"/>
          <w:color w:val="auto"/>
          <w:spacing w:val="6"/>
          <w:kern w:val="2"/>
          <w:sz w:val="28"/>
          <w:szCs w:val="28"/>
          <w:lang w:val="en-US" w:eastAsia="zh-CN" w:bidi="ar-SA"/>
        </w:rPr>
      </w:pPr>
      <w:r>
        <w:rPr>
          <w:rFonts w:hint="eastAsia" w:ascii="仿宋" w:hAnsi="仿宋" w:eastAsia="仿宋" w:cs="仿宋"/>
          <w:color w:val="auto"/>
          <w:spacing w:val="6"/>
          <w:kern w:val="2"/>
          <w:sz w:val="28"/>
          <w:szCs w:val="28"/>
          <w:lang w:val="en-US" w:eastAsia="zh-CN" w:bidi="ar-SA"/>
        </w:rPr>
        <w:t>4. 应急资源调查内容应结合项目实际，紧紧围绕机油泄漏和火灾事故，识别可能的事故和应急措施；充危废处置协议。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84" w:firstLineChars="200"/>
        <w:textAlignment w:val="auto"/>
        <w:rPr>
          <w:rFonts w:hint="eastAsia" w:ascii="仿宋" w:hAnsi="仿宋" w:eastAsia="仿宋" w:cs="仿宋"/>
          <w:color w:val="auto"/>
          <w:sz w:val="28"/>
          <w:szCs w:val="28"/>
        </w:rPr>
      </w:pPr>
      <w:r>
        <w:rPr>
          <w:rFonts w:hint="eastAsia" w:ascii="仿宋" w:hAnsi="仿宋" w:eastAsia="仿宋" w:cs="仿宋"/>
          <w:color w:val="auto"/>
          <w:spacing w:val="6"/>
          <w:sz w:val="28"/>
          <w:szCs w:val="28"/>
          <w:lang w:val="en-US" w:eastAsia="zh-CN"/>
        </w:rPr>
        <w:t>已根据专家意见修改完善。</w:t>
      </w: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75D8EF"/>
    <w:multiLevelType w:val="singleLevel"/>
    <w:tmpl w:val="2E75D8EF"/>
    <w:lvl w:ilvl="0" w:tentative="0">
      <w:start w:val="1"/>
      <w:numFmt w:val="decimal"/>
      <w:suff w:val="space"/>
      <w:lvlText w:val="%1."/>
      <w:lvlJc w:val="left"/>
    </w:lvl>
  </w:abstractNum>
  <w:abstractNum w:abstractNumId="1">
    <w:nsid w:val="39D7093D"/>
    <w:multiLevelType w:val="singleLevel"/>
    <w:tmpl w:val="39D7093D"/>
    <w:lvl w:ilvl="0" w:tentative="0">
      <w:start w:val="4"/>
      <w:numFmt w:val="chineseCounting"/>
      <w:suff w:val="nothing"/>
      <w:lvlText w:val="%1、"/>
      <w:lvlJc w:val="left"/>
      <w:rPr>
        <w:rFonts w:hint="eastAsia"/>
      </w:rPr>
    </w:lvl>
  </w:abstractNum>
  <w:abstractNum w:abstractNumId="2">
    <w:nsid w:val="55EA969E"/>
    <w:multiLevelType w:val="singleLevel"/>
    <w:tmpl w:val="55EA969E"/>
    <w:lvl w:ilvl="0" w:tentative="0">
      <w:start w:val="1"/>
      <w:numFmt w:val="chineseCounting"/>
      <w:suff w:val="nothing"/>
      <w:lvlText w:val="%1、"/>
      <w:lvlJc w:val="left"/>
    </w:lvl>
  </w:abstractNum>
  <w:num w:numId="1">
    <w:abstractNumId w:val="2"/>
    <w:lvlOverride w:ilvl="0">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3E330C"/>
    <w:rsid w:val="0004415D"/>
    <w:rsid w:val="00163083"/>
    <w:rsid w:val="002A4961"/>
    <w:rsid w:val="002A6209"/>
    <w:rsid w:val="002C5386"/>
    <w:rsid w:val="002E4236"/>
    <w:rsid w:val="003471C4"/>
    <w:rsid w:val="003E1BBF"/>
    <w:rsid w:val="00400F66"/>
    <w:rsid w:val="004B720D"/>
    <w:rsid w:val="004E6082"/>
    <w:rsid w:val="0056187B"/>
    <w:rsid w:val="005834CF"/>
    <w:rsid w:val="006910BF"/>
    <w:rsid w:val="00762C7B"/>
    <w:rsid w:val="007C698D"/>
    <w:rsid w:val="00866EB5"/>
    <w:rsid w:val="008A3783"/>
    <w:rsid w:val="008E5C7C"/>
    <w:rsid w:val="008F1579"/>
    <w:rsid w:val="009038E0"/>
    <w:rsid w:val="0095034A"/>
    <w:rsid w:val="009737C8"/>
    <w:rsid w:val="0099149F"/>
    <w:rsid w:val="009A101C"/>
    <w:rsid w:val="009B4616"/>
    <w:rsid w:val="009B603F"/>
    <w:rsid w:val="009D0CCC"/>
    <w:rsid w:val="009D3DEC"/>
    <w:rsid w:val="009D4D28"/>
    <w:rsid w:val="00A12E32"/>
    <w:rsid w:val="00A66E22"/>
    <w:rsid w:val="00B359C6"/>
    <w:rsid w:val="00B41561"/>
    <w:rsid w:val="00B93DBB"/>
    <w:rsid w:val="00BD1B5F"/>
    <w:rsid w:val="00BD24D6"/>
    <w:rsid w:val="00C90322"/>
    <w:rsid w:val="00D25E14"/>
    <w:rsid w:val="00D46EBE"/>
    <w:rsid w:val="00D77805"/>
    <w:rsid w:val="00D911B4"/>
    <w:rsid w:val="00DD60F9"/>
    <w:rsid w:val="00EE1E1F"/>
    <w:rsid w:val="00EF41DA"/>
    <w:rsid w:val="00F67816"/>
    <w:rsid w:val="00FD6F32"/>
    <w:rsid w:val="021C5121"/>
    <w:rsid w:val="02F02F39"/>
    <w:rsid w:val="030A0B86"/>
    <w:rsid w:val="03C35630"/>
    <w:rsid w:val="043D043F"/>
    <w:rsid w:val="061D5012"/>
    <w:rsid w:val="063F45B3"/>
    <w:rsid w:val="09D92802"/>
    <w:rsid w:val="0AA11B8B"/>
    <w:rsid w:val="0C266D6A"/>
    <w:rsid w:val="0D542C96"/>
    <w:rsid w:val="11EC2B44"/>
    <w:rsid w:val="128D28FB"/>
    <w:rsid w:val="15784296"/>
    <w:rsid w:val="16367A1F"/>
    <w:rsid w:val="17444D8C"/>
    <w:rsid w:val="17C00905"/>
    <w:rsid w:val="17D63935"/>
    <w:rsid w:val="18246AC4"/>
    <w:rsid w:val="185E123E"/>
    <w:rsid w:val="18B34DAC"/>
    <w:rsid w:val="1B0155EC"/>
    <w:rsid w:val="1BE5331F"/>
    <w:rsid w:val="1C066A7B"/>
    <w:rsid w:val="1DB75B79"/>
    <w:rsid w:val="234C7C08"/>
    <w:rsid w:val="24596112"/>
    <w:rsid w:val="24961F75"/>
    <w:rsid w:val="24E752E3"/>
    <w:rsid w:val="264A30CB"/>
    <w:rsid w:val="26CD504B"/>
    <w:rsid w:val="283E7AC1"/>
    <w:rsid w:val="295865A8"/>
    <w:rsid w:val="29AE24B7"/>
    <w:rsid w:val="2B51263A"/>
    <w:rsid w:val="2D020723"/>
    <w:rsid w:val="2D5B7478"/>
    <w:rsid w:val="2D741567"/>
    <w:rsid w:val="2FD8234C"/>
    <w:rsid w:val="3046678E"/>
    <w:rsid w:val="31CA169F"/>
    <w:rsid w:val="320D777F"/>
    <w:rsid w:val="328574D8"/>
    <w:rsid w:val="366F0919"/>
    <w:rsid w:val="36E15DEA"/>
    <w:rsid w:val="374A2BC9"/>
    <w:rsid w:val="37B247A1"/>
    <w:rsid w:val="398A366B"/>
    <w:rsid w:val="3993747A"/>
    <w:rsid w:val="39F06CFE"/>
    <w:rsid w:val="3A5C5534"/>
    <w:rsid w:val="3A660EF1"/>
    <w:rsid w:val="3D54326A"/>
    <w:rsid w:val="3E0A4A09"/>
    <w:rsid w:val="42993CFF"/>
    <w:rsid w:val="43AA4F1B"/>
    <w:rsid w:val="441A05DE"/>
    <w:rsid w:val="452F02EB"/>
    <w:rsid w:val="45301A6A"/>
    <w:rsid w:val="45B61021"/>
    <w:rsid w:val="47277F70"/>
    <w:rsid w:val="47844B6F"/>
    <w:rsid w:val="47B663E9"/>
    <w:rsid w:val="490A47BE"/>
    <w:rsid w:val="498D0E07"/>
    <w:rsid w:val="4A091D73"/>
    <w:rsid w:val="4AB61C93"/>
    <w:rsid w:val="4E4534D8"/>
    <w:rsid w:val="4FFE0DD4"/>
    <w:rsid w:val="557C0AE7"/>
    <w:rsid w:val="558A4431"/>
    <w:rsid w:val="56CA03BC"/>
    <w:rsid w:val="5942789D"/>
    <w:rsid w:val="5B551AB7"/>
    <w:rsid w:val="5BD2521D"/>
    <w:rsid w:val="5E1902EF"/>
    <w:rsid w:val="5E547BEB"/>
    <w:rsid w:val="5E860A92"/>
    <w:rsid w:val="5EC32C60"/>
    <w:rsid w:val="61A3016F"/>
    <w:rsid w:val="63BE0CC7"/>
    <w:rsid w:val="687B56AE"/>
    <w:rsid w:val="6A207687"/>
    <w:rsid w:val="6B8F557D"/>
    <w:rsid w:val="6CE11911"/>
    <w:rsid w:val="6E38406D"/>
    <w:rsid w:val="7169287A"/>
    <w:rsid w:val="7221206D"/>
    <w:rsid w:val="72296820"/>
    <w:rsid w:val="745A7B8E"/>
    <w:rsid w:val="76F033BB"/>
    <w:rsid w:val="793E330C"/>
    <w:rsid w:val="7AC03325"/>
    <w:rsid w:val="7B9D2711"/>
    <w:rsid w:val="7C7A56A1"/>
    <w:rsid w:val="7D15399E"/>
    <w:rsid w:val="7DDE0E99"/>
    <w:rsid w:val="7E7B04A9"/>
    <w:rsid w:val="7EAD4375"/>
    <w:rsid w:val="7F516976"/>
    <w:rsid w:val="7FA224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99" w:name="annotation text"/>
    <w:lsdException w:qFormat="1" w:unhideWhenUsed="0"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unhideWhenUsed/>
    <w:qFormat/>
    <w:uiPriority w:val="9"/>
    <w:pPr>
      <w:keepNext/>
      <w:keepLines/>
      <w:spacing w:before="260" w:after="260" w:line="416" w:lineRule="auto"/>
      <w:outlineLvl w:val="1"/>
    </w:pPr>
    <w:rPr>
      <w:rFonts w:ascii="Cambria" w:hAnsi="Cambria"/>
      <w:b/>
      <w:bCs/>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adjustRightInd w:val="0"/>
      <w:snapToGrid w:val="0"/>
      <w:spacing w:line="360" w:lineRule="auto"/>
      <w:ind w:firstLine="480" w:firstLineChars="200"/>
    </w:pPr>
    <w:rPr>
      <w:sz w:val="24"/>
    </w:rPr>
  </w:style>
  <w:style w:type="paragraph" w:styleId="4">
    <w:name w:val="Normal Indent"/>
    <w:basedOn w:val="1"/>
    <w:unhideWhenUsed/>
    <w:qFormat/>
    <w:uiPriority w:val="99"/>
    <w:pPr>
      <w:ind w:firstLine="420" w:firstLineChars="200"/>
    </w:pPr>
    <w:rPr>
      <w:rFonts w:eastAsia="仿宋_GB2312"/>
      <w:sz w:val="32"/>
    </w:rPr>
  </w:style>
  <w:style w:type="paragraph" w:styleId="5">
    <w:name w:val="annotation text"/>
    <w:basedOn w:val="1"/>
    <w:semiHidden/>
    <w:unhideWhenUsed/>
    <w:qFormat/>
    <w:uiPriority w:val="99"/>
    <w:pPr>
      <w:jc w:val="left"/>
    </w:pPr>
  </w:style>
  <w:style w:type="paragraph" w:styleId="6">
    <w:name w:val="Body Text"/>
    <w:basedOn w:val="1"/>
    <w:qFormat/>
    <w:uiPriority w:val="0"/>
    <w:pPr>
      <w:spacing w:after="120" w:line="360" w:lineRule="auto"/>
    </w:pPr>
    <w:rPr>
      <w:sz w:val="24"/>
    </w:rPr>
  </w:style>
  <w:style w:type="paragraph" w:styleId="7">
    <w:name w:val="footer"/>
    <w:basedOn w:val="1"/>
    <w:unhideWhenUsed/>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style>
  <w:style w:type="paragraph" w:styleId="10">
    <w:name w:val="Body Text First Indent 2"/>
    <w:basedOn w:val="2"/>
    <w:qFormat/>
    <w:uiPriority w:val="0"/>
    <w:pPr>
      <w:ind w:firstLine="420"/>
    </w:pPr>
    <w:rPr>
      <w:rFonts w:eastAsia="Times New Roman"/>
      <w:sz w:val="18"/>
      <w:szCs w:val="18"/>
    </w:rPr>
  </w:style>
  <w:style w:type="table" w:styleId="12">
    <w:name w:val="Table Grid"/>
    <w:basedOn w:val="11"/>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sz w:val="24"/>
      <w:szCs w:val="24"/>
    </w:rPr>
  </w:style>
  <w:style w:type="paragraph" w:customStyle="1" w:styleId="15">
    <w:name w:val="Char Char Char1"/>
    <w:basedOn w:val="1"/>
    <w:qFormat/>
    <w:uiPriority w:val="0"/>
    <w:pPr>
      <w:widowControl/>
      <w:spacing w:after="160" w:line="240" w:lineRule="exact"/>
      <w:jc w:val="left"/>
    </w:pPr>
  </w:style>
  <w:style w:type="paragraph" w:customStyle="1" w:styleId="16">
    <w:name w:val="Char"/>
    <w:basedOn w:val="1"/>
    <w:link w:val="17"/>
    <w:qFormat/>
    <w:uiPriority w:val="0"/>
    <w:pPr>
      <w:autoSpaceDE w:val="0"/>
      <w:autoSpaceDN w:val="0"/>
      <w:adjustRightInd w:val="0"/>
      <w:snapToGrid w:val="0"/>
      <w:spacing w:before="50" w:after="50" w:line="360" w:lineRule="auto"/>
      <w:ind w:firstLine="560" w:firstLineChars="200"/>
    </w:pPr>
    <w:rPr>
      <w:szCs w:val="24"/>
    </w:rPr>
  </w:style>
  <w:style w:type="character" w:customStyle="1" w:styleId="17">
    <w:name w:val="Char Char"/>
    <w:basedOn w:val="13"/>
    <w:link w:val="16"/>
    <w:qFormat/>
    <w:locked/>
    <w:uiPriority w:val="0"/>
    <w:rPr>
      <w:rFonts w:eastAsia="宋体"/>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8</Pages>
  <Words>1855</Words>
  <Characters>1877</Characters>
  <Lines>12</Lines>
  <Paragraphs>3</Paragraphs>
  <TotalTime>1</TotalTime>
  <ScaleCrop>false</ScaleCrop>
  <LinksUpToDate>false</LinksUpToDate>
  <CharactersWithSpaces>1900</CharactersWithSpaces>
  <Application>WPS Office_11.1.0.9929_F1E327BC-269C-435d-A152-05C5408002CA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2015-09-05T07:05:00Z</dcterms:created>
  <dc:creator>Administrator</dc:creator>
  <cp:lastModifiedBy>梨落</cp:lastModifiedBy>
  <dcterms:modified xsi:type="dcterms:W3CDTF">2020-12-08T02:07:44Z</dcterms:modified>
  <dc:title>                 陕西汉阴黄龙金矿有限公司</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2052-11.1.0.9929</vt:lpwstr>
  </property>
</Properties>
</file>