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color w:val="000000" w:themeColor="text1"/>
          <w:sz w:val="24"/>
          <w14:textFill>
            <w14:solidFill>
              <w14:schemeClr w14:val="tx1"/>
            </w14:solidFill>
          </w14:textFill>
        </w:rPr>
      </w:pPr>
    </w:p>
    <w:p>
      <w:pPr>
        <w:pStyle w:val="11"/>
        <w:rPr>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jc w:val="center"/>
        <w:rPr>
          <w:rFonts w:eastAsia="黑体"/>
          <w:color w:val="000000" w:themeColor="text1"/>
          <w:sz w:val="48"/>
          <w:szCs w:val="48"/>
          <w:lang w:val="en-GB"/>
          <w14:textFill>
            <w14:solidFill>
              <w14:schemeClr w14:val="tx1"/>
            </w14:solidFill>
          </w14:textFill>
        </w:rPr>
      </w:pPr>
    </w:p>
    <w:p>
      <w:pPr>
        <w:jc w:val="center"/>
        <w:rPr>
          <w:rFonts w:eastAsia="黑体"/>
          <w:color w:val="000000" w:themeColor="text1"/>
          <w:sz w:val="48"/>
          <w:szCs w:val="48"/>
          <w:lang w:val="en-GB"/>
          <w14:textFill>
            <w14:solidFill>
              <w14:schemeClr w14:val="tx1"/>
            </w14:solidFill>
          </w14:textFill>
        </w:rPr>
      </w:pPr>
    </w:p>
    <w:p>
      <w:pPr>
        <w:jc w:val="center"/>
        <w:rPr>
          <w:rFonts w:eastAsia="黑体"/>
          <w:color w:val="000000" w:themeColor="text1"/>
          <w:sz w:val="48"/>
          <w:szCs w:val="48"/>
          <w:lang w:val="en-GB"/>
          <w14:textFill>
            <w14:solidFill>
              <w14:schemeClr w14:val="tx1"/>
            </w14:solidFill>
          </w14:textFill>
        </w:rPr>
      </w:pPr>
      <w:r>
        <w:rPr>
          <w:rFonts w:hint="eastAsia" w:eastAsia="黑体"/>
          <w:color w:val="000000" w:themeColor="text1"/>
          <w:sz w:val="48"/>
          <w:szCs w:val="48"/>
          <w:lang w:val="en-GB"/>
          <w14:textFill>
            <w14:solidFill>
              <w14:schemeClr w14:val="tx1"/>
            </w14:solidFill>
          </w14:textFill>
        </w:rPr>
        <w:t>年产20万立方聚苯板建设项目</w:t>
      </w:r>
    </w:p>
    <w:p>
      <w:pPr>
        <w:ind w:firstLine="175" w:firstLineChars="17"/>
        <w:jc w:val="center"/>
        <w:rPr>
          <w:rFonts w:eastAsia="华文行楷"/>
          <w:color w:val="000000" w:themeColor="text1"/>
          <w:w w:val="95"/>
          <w:sz w:val="100"/>
          <w:szCs w:val="96"/>
          <w14:textFill>
            <w14:solidFill>
              <w14:schemeClr w14:val="tx1"/>
            </w14:solidFill>
          </w14:textFill>
        </w:rPr>
      </w:pPr>
      <w:r>
        <w:rPr>
          <w:rFonts w:eastAsia="华文行楷"/>
          <w:color w:val="000000" w:themeColor="text1"/>
          <w:spacing w:val="40"/>
          <w:w w:val="95"/>
          <w:sz w:val="100"/>
          <w:szCs w:val="96"/>
          <w14:textFill>
            <w14:solidFill>
              <w14:schemeClr w14:val="tx1"/>
            </w14:solidFill>
          </w14:textFill>
        </w:rPr>
        <w:t>环境影响报告表</w:t>
      </w:r>
    </w:p>
    <w:p>
      <w:pPr>
        <w:rPr>
          <w:rFonts w:eastAsia="黑体"/>
          <w:color w:val="000000" w:themeColor="text1"/>
          <w:sz w:val="48"/>
          <w:szCs w:val="48"/>
          <w:lang w:val="en-GB"/>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jc w:val="center"/>
        <w:rPr>
          <w:rFonts w:eastAsia="黑体"/>
          <w:color w:val="000000" w:themeColor="text1"/>
          <w:w w:val="98"/>
          <w:sz w:val="30"/>
          <w:szCs w:val="30"/>
          <w14:textFill>
            <w14:solidFill>
              <w14:schemeClr w14:val="tx1"/>
            </w14:solidFill>
          </w14:textFill>
        </w:rPr>
      </w:pPr>
      <w:r>
        <w:rPr>
          <w:rFonts w:eastAsia="黑体"/>
          <w:color w:val="000000" w:themeColor="text1"/>
          <w:w w:val="98"/>
          <w:sz w:val="30"/>
          <w:szCs w:val="30"/>
          <w14:textFill>
            <w14:solidFill>
              <w14:schemeClr w14:val="tx1"/>
            </w14:solidFill>
          </w14:textFill>
        </w:rPr>
        <w:t>建设单位：</w:t>
      </w:r>
      <w:r>
        <w:rPr>
          <w:rFonts w:hint="eastAsia" w:eastAsia="黑体"/>
          <w:color w:val="000000" w:themeColor="text1"/>
          <w:w w:val="98"/>
          <w:sz w:val="30"/>
          <w:szCs w:val="30"/>
          <w14:textFill>
            <w14:solidFill>
              <w14:schemeClr w14:val="tx1"/>
            </w14:solidFill>
          </w14:textFill>
        </w:rPr>
        <w:t>陕西广兴华创材料科技有限公司</w:t>
      </w:r>
    </w:p>
    <w:p>
      <w:pPr>
        <w:jc w:val="center"/>
        <w:rPr>
          <w:rFonts w:eastAsia="黑体"/>
          <w:color w:val="000000" w:themeColor="text1"/>
          <w:spacing w:val="20"/>
          <w:w w:val="98"/>
          <w:sz w:val="30"/>
          <w:szCs w:val="30"/>
          <w14:textFill>
            <w14:solidFill>
              <w14:schemeClr w14:val="tx1"/>
            </w14:solidFill>
          </w14:textFill>
        </w:rPr>
      </w:pPr>
      <w:r>
        <w:rPr>
          <w:rFonts w:eastAsia="黑体"/>
          <w:color w:val="000000" w:themeColor="text1"/>
          <w:spacing w:val="20"/>
          <w:w w:val="98"/>
          <w:sz w:val="30"/>
          <w:szCs w:val="30"/>
          <w14:textFill>
            <w14:solidFill>
              <w14:schemeClr w14:val="tx1"/>
            </w14:solidFill>
          </w14:textFill>
        </w:rPr>
        <w:t>评价单位：核工业二O三研究所</w:t>
      </w:r>
    </w:p>
    <w:p>
      <w:pPr>
        <w:jc w:val="center"/>
        <w:rPr>
          <w:rFonts w:eastAsia="黑体"/>
          <w:color w:val="000000" w:themeColor="text1"/>
          <w:w w:val="98"/>
          <w:sz w:val="30"/>
          <w:szCs w:val="30"/>
          <w14:textFill>
            <w14:solidFill>
              <w14:schemeClr w14:val="tx1"/>
            </w14:solidFill>
          </w14:textFill>
        </w:rPr>
      </w:pPr>
      <w:r>
        <w:rPr>
          <w:rFonts w:eastAsia="黑体"/>
          <w:color w:val="000000" w:themeColor="text1"/>
          <w:spacing w:val="60"/>
          <w:w w:val="98"/>
          <w:sz w:val="30"/>
          <w:szCs w:val="30"/>
          <w14:textFill>
            <w14:solidFill>
              <w14:schemeClr w14:val="tx1"/>
            </w14:solidFill>
          </w14:textFill>
        </w:rPr>
        <w:t>二</w:t>
      </w:r>
      <w:r>
        <w:rPr>
          <w:rFonts w:eastAsia="黑体"/>
          <w:color w:val="000000" w:themeColor="text1"/>
          <w:spacing w:val="20"/>
          <w:w w:val="98"/>
          <w:sz w:val="30"/>
          <w:szCs w:val="30"/>
          <w14:textFill>
            <w14:solidFill>
              <w14:schemeClr w14:val="tx1"/>
            </w14:solidFill>
          </w14:textFill>
        </w:rPr>
        <w:t>O</w:t>
      </w:r>
      <w:r>
        <w:rPr>
          <w:rFonts w:eastAsia="黑体"/>
          <w:color w:val="000000" w:themeColor="text1"/>
          <w:spacing w:val="60"/>
          <w:w w:val="98"/>
          <w:sz w:val="30"/>
          <w:szCs w:val="30"/>
          <w14:textFill>
            <w14:solidFill>
              <w14:schemeClr w14:val="tx1"/>
            </w14:solidFill>
          </w14:textFill>
        </w:rPr>
        <w:t>二</w:t>
      </w:r>
      <w:r>
        <w:rPr>
          <w:rFonts w:eastAsia="黑体"/>
          <w:color w:val="000000" w:themeColor="text1"/>
          <w:spacing w:val="20"/>
          <w:w w:val="98"/>
          <w:sz w:val="30"/>
          <w:szCs w:val="30"/>
          <w14:textFill>
            <w14:solidFill>
              <w14:schemeClr w14:val="tx1"/>
            </w14:solidFill>
          </w14:textFill>
        </w:rPr>
        <w:t>O</w:t>
      </w:r>
      <w:r>
        <w:rPr>
          <w:rFonts w:eastAsia="黑体"/>
          <w:color w:val="000000" w:themeColor="text1"/>
          <w:spacing w:val="60"/>
          <w:w w:val="98"/>
          <w:sz w:val="30"/>
          <w:szCs w:val="30"/>
          <w14:textFill>
            <w14:solidFill>
              <w14:schemeClr w14:val="tx1"/>
            </w14:solidFill>
          </w14:textFill>
        </w:rPr>
        <w:t>年</w:t>
      </w:r>
      <w:r>
        <w:rPr>
          <w:rFonts w:hint="eastAsia" w:eastAsia="黑体"/>
          <w:color w:val="000000" w:themeColor="text1"/>
          <w:spacing w:val="60"/>
          <w:w w:val="98"/>
          <w:sz w:val="30"/>
          <w:szCs w:val="30"/>
          <w14:textFill>
            <w14:solidFill>
              <w14:schemeClr w14:val="tx1"/>
            </w14:solidFill>
          </w14:textFill>
        </w:rPr>
        <w:t>十一</w:t>
      </w:r>
      <w:r>
        <w:rPr>
          <w:rFonts w:eastAsia="黑体"/>
          <w:color w:val="000000" w:themeColor="text1"/>
          <w:w w:val="98"/>
          <w:sz w:val="30"/>
          <w:szCs w:val="30"/>
          <w14:textFill>
            <w14:solidFill>
              <w14:schemeClr w14:val="tx1"/>
            </w14:solidFill>
          </w14:textFill>
        </w:rPr>
        <w:t>月</w:t>
      </w:r>
    </w:p>
    <w:p>
      <w:pPr>
        <w:rPr>
          <w:color w:val="000000" w:themeColor="text1"/>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p>
    <w:p>
      <w:pPr>
        <w:jc w:val="center"/>
        <w:rPr>
          <w:rFonts w:eastAsia="黑体"/>
          <w:color w:val="000000" w:themeColor="text1"/>
          <w:sz w:val="72"/>
          <w14:textFill>
            <w14:solidFill>
              <w14:schemeClr w14:val="tx1"/>
            </w14:solidFill>
          </w14:textFill>
        </w:rPr>
      </w:pPr>
    </w:p>
    <w:p>
      <w:pPr>
        <w:jc w:val="center"/>
        <w:rPr>
          <w:rFonts w:eastAsia="黑体"/>
          <w:color w:val="000000" w:themeColor="text1"/>
          <w:sz w:val="72"/>
          <w14:textFill>
            <w14:solidFill>
              <w14:schemeClr w14:val="tx1"/>
            </w14:solidFill>
          </w14:textFill>
        </w:rPr>
      </w:pPr>
    </w:p>
    <w:p>
      <w:pPr>
        <w:jc w:val="center"/>
        <w:rPr>
          <w:rFonts w:eastAsia="黑体"/>
          <w:color w:val="000000" w:themeColor="text1"/>
          <w:sz w:val="72"/>
          <w14:textFill>
            <w14:solidFill>
              <w14:schemeClr w14:val="tx1"/>
            </w14:solidFill>
          </w14:textFill>
        </w:rPr>
      </w:pPr>
      <w:r>
        <w:rPr>
          <w:rFonts w:eastAsia="黑体"/>
          <w:color w:val="000000" w:themeColor="text1"/>
          <w:sz w:val="72"/>
          <w14:textFill>
            <w14:solidFill>
              <w14:schemeClr w14:val="tx1"/>
            </w14:solidFill>
          </w14:textFill>
        </w:rPr>
        <w:t>建设项目环境影响报告表</w:t>
      </w:r>
    </w:p>
    <w:p>
      <w:pPr>
        <w:jc w:val="center"/>
        <w:rPr>
          <w:rFonts w:eastAsia="黑体"/>
          <w:color w:val="000000" w:themeColor="text1"/>
          <w:sz w:val="72"/>
          <w14:textFill>
            <w14:solidFill>
              <w14:schemeClr w14:val="tx1"/>
            </w14:solidFill>
          </w14:textFill>
        </w:rPr>
      </w:pPr>
    </w:p>
    <w:p>
      <w:pPr>
        <w:jc w:val="center"/>
        <w:rPr>
          <w:rFonts w:eastAsia="黑体"/>
          <w:color w:val="000000" w:themeColor="text1"/>
          <w:sz w:val="72"/>
          <w14:textFill>
            <w14:solidFill>
              <w14:schemeClr w14:val="tx1"/>
            </w14:solidFill>
          </w14:textFill>
        </w:rPr>
      </w:pPr>
    </w:p>
    <w:p>
      <w:pPr>
        <w:jc w:val="center"/>
        <w:rPr>
          <w:rFonts w:eastAsia="黑体"/>
          <w:color w:val="000000" w:themeColor="text1"/>
          <w:sz w:val="72"/>
          <w14:textFill>
            <w14:solidFill>
              <w14:schemeClr w14:val="tx1"/>
            </w14:solidFill>
          </w14:textFill>
        </w:rPr>
      </w:pPr>
    </w:p>
    <w:p>
      <w:pPr>
        <w:jc w:val="center"/>
        <w:rPr>
          <w:rFonts w:eastAsia="黑体"/>
          <w:color w:val="000000" w:themeColor="text1"/>
          <w:sz w:val="72"/>
          <w14:textFill>
            <w14:solidFill>
              <w14:schemeClr w14:val="tx1"/>
            </w14:solidFill>
          </w14:textFill>
        </w:rPr>
      </w:pPr>
    </w:p>
    <w:p>
      <w:pPr>
        <w:jc w:val="center"/>
        <w:rPr>
          <w:rFonts w:eastAsia="黑体"/>
          <w:color w:val="000000" w:themeColor="text1"/>
          <w:sz w:val="72"/>
          <w14:textFill>
            <w14:solidFill>
              <w14:schemeClr w14:val="tx1"/>
            </w14:solidFill>
          </w14:textFill>
        </w:rPr>
      </w:pPr>
    </w:p>
    <w:p>
      <w:pPr>
        <w:ind w:left="1304" w:hanging="1304" w:hangingChars="400"/>
        <w:jc w:val="left"/>
        <w:rPr>
          <w:rFonts w:eastAsia="黑体"/>
          <w:color w:val="000000" w:themeColor="text1"/>
          <w:sz w:val="28"/>
          <w:u w:val="single"/>
          <w14:textFill>
            <w14:solidFill>
              <w14:schemeClr w14:val="tx1"/>
            </w14:solidFill>
          </w14:textFill>
        </w:rPr>
      </w:pPr>
      <w:r>
        <w:rPr>
          <w:rFonts w:eastAsia="黑体"/>
          <w:color w:val="000000" w:themeColor="text1"/>
          <w:spacing w:val="23"/>
          <w:kern w:val="0"/>
          <w:sz w:val="28"/>
          <w:szCs w:val="28"/>
          <w14:textFill>
            <w14:solidFill>
              <w14:schemeClr w14:val="tx1"/>
            </w14:solidFill>
          </w14:textFill>
        </w:rPr>
        <w:t>项目名称</w:t>
      </w:r>
      <w:r>
        <w:rPr>
          <w:rFonts w:eastAsia="黑体"/>
          <w:color w:val="000000" w:themeColor="text1"/>
          <w:spacing w:val="4"/>
          <w:kern w:val="0"/>
          <w:sz w:val="28"/>
          <w:szCs w:val="28"/>
          <w14:textFill>
            <w14:solidFill>
              <w14:schemeClr w14:val="tx1"/>
            </w14:solidFill>
          </w14:textFill>
        </w:rPr>
        <w:t>:</w:t>
      </w:r>
      <w:r>
        <w:rPr>
          <w:rFonts w:hint="eastAsia" w:eastAsia="黑体"/>
          <w:color w:val="000000" w:themeColor="text1"/>
          <w:sz w:val="28"/>
          <w:szCs w:val="28"/>
          <w:u w:val="single"/>
          <w14:textFill>
            <w14:solidFill>
              <w14:schemeClr w14:val="tx1"/>
            </w14:solidFill>
          </w14:textFill>
        </w:rPr>
        <w:t xml:space="preserve"> </w:t>
      </w:r>
      <w:r>
        <w:rPr>
          <w:rFonts w:eastAsia="黑体"/>
          <w:color w:val="000000" w:themeColor="text1"/>
          <w:sz w:val="28"/>
          <w:szCs w:val="28"/>
          <w:u w:val="single"/>
          <w14:textFill>
            <w14:solidFill>
              <w14:schemeClr w14:val="tx1"/>
            </w14:solidFill>
          </w14:textFill>
        </w:rPr>
        <w:t xml:space="preserve">    </w:t>
      </w:r>
      <w:r>
        <w:rPr>
          <w:rFonts w:hint="eastAsia" w:eastAsia="黑体"/>
          <w:color w:val="000000" w:themeColor="text1"/>
          <w:sz w:val="28"/>
          <w:szCs w:val="28"/>
          <w:u w:val="single"/>
          <w14:textFill>
            <w14:solidFill>
              <w14:schemeClr w14:val="tx1"/>
            </w14:solidFill>
          </w14:textFill>
        </w:rPr>
        <w:t xml:space="preserve"> </w:t>
      </w:r>
      <w:r>
        <w:rPr>
          <w:rFonts w:eastAsia="黑体"/>
          <w:color w:val="000000" w:themeColor="text1"/>
          <w:sz w:val="28"/>
          <w:szCs w:val="28"/>
          <w:u w:val="single"/>
          <w14:textFill>
            <w14:solidFill>
              <w14:schemeClr w14:val="tx1"/>
            </w14:solidFill>
          </w14:textFill>
        </w:rPr>
        <w:t xml:space="preserve">         </w:t>
      </w:r>
      <w:r>
        <w:rPr>
          <w:rFonts w:hint="eastAsia" w:eastAsia="黑体"/>
          <w:color w:val="000000" w:themeColor="text1"/>
          <w:sz w:val="28"/>
          <w:szCs w:val="28"/>
          <w:u w:val="single"/>
          <w14:textFill>
            <w14:solidFill>
              <w14:schemeClr w14:val="tx1"/>
            </w14:solidFill>
          </w14:textFill>
        </w:rPr>
        <w:t>年产20万立方聚苯板建设项目</w:t>
      </w:r>
      <w:r>
        <w:rPr>
          <w:rFonts w:eastAsia="黑体"/>
          <w:color w:val="000000" w:themeColor="text1"/>
          <w:sz w:val="28"/>
          <w:szCs w:val="28"/>
          <w:u w:val="single"/>
          <w14:textFill>
            <w14:solidFill>
              <w14:schemeClr w14:val="tx1"/>
            </w14:solidFill>
          </w14:textFill>
        </w:rPr>
        <w:t xml:space="preserve">       </w:t>
      </w:r>
    </w:p>
    <w:p>
      <w:pPr>
        <w:jc w:val="left"/>
        <w:rPr>
          <w:rFonts w:eastAsia="黑体"/>
          <w:color w:val="000000" w:themeColor="text1"/>
          <w:sz w:val="28"/>
          <w:u w:val="single"/>
          <w14:textFill>
            <w14:solidFill>
              <w14:schemeClr w14:val="tx1"/>
            </w14:solidFill>
          </w14:textFill>
        </w:rPr>
      </w:pPr>
      <w:r>
        <w:rPr>
          <w:rFonts w:eastAsia="黑体"/>
          <w:color w:val="000000" w:themeColor="text1"/>
          <w:sz w:val="28"/>
          <w:szCs w:val="28"/>
          <w14:textFill>
            <w14:solidFill>
              <w14:schemeClr w14:val="tx1"/>
            </w14:solidFill>
          </w14:textFill>
        </w:rPr>
        <w:t>建设单位(盖章):</w:t>
      </w:r>
      <w:r>
        <w:rPr>
          <w:rFonts w:eastAsia="黑体"/>
          <w:color w:val="000000" w:themeColor="text1"/>
          <w:sz w:val="28"/>
          <w:szCs w:val="28"/>
          <w:u w:val="single"/>
          <w14:textFill>
            <w14:solidFill>
              <w14:schemeClr w14:val="tx1"/>
            </w14:solidFill>
          </w14:textFill>
        </w:rPr>
        <w:t xml:space="preserve">          </w:t>
      </w:r>
      <w:r>
        <w:rPr>
          <w:rFonts w:hint="eastAsia" w:eastAsia="黑体"/>
          <w:color w:val="000000" w:themeColor="text1"/>
          <w:sz w:val="28"/>
          <w:u w:val="single"/>
          <w14:textFill>
            <w14:solidFill>
              <w14:schemeClr w14:val="tx1"/>
            </w14:solidFill>
          </w14:textFill>
        </w:rPr>
        <w:t xml:space="preserve">陕西广兴华创材料科技有限公司 </w:t>
      </w:r>
      <w:r>
        <w:rPr>
          <w:rFonts w:eastAsia="黑体"/>
          <w:color w:val="000000" w:themeColor="text1"/>
          <w:sz w:val="28"/>
          <w:u w:val="single"/>
          <w14:textFill>
            <w14:solidFill>
              <w14:schemeClr w14:val="tx1"/>
            </w14:solidFill>
          </w14:textFill>
        </w:rPr>
        <w:t xml:space="preserve">       </w:t>
      </w:r>
    </w:p>
    <w:p>
      <w:pPr>
        <w:ind w:firstLine="1120" w:firstLineChars="400"/>
        <w:rPr>
          <w:rFonts w:eastAsia="黑体"/>
          <w:color w:val="000000" w:themeColor="text1"/>
          <w:sz w:val="28"/>
          <w:u w:val="single"/>
          <w14:textFill>
            <w14:solidFill>
              <w14:schemeClr w14:val="tx1"/>
            </w14:solidFill>
          </w14:textFill>
        </w:rPr>
      </w:pPr>
    </w:p>
    <w:p>
      <w:pPr>
        <w:ind w:firstLine="1120" w:firstLineChars="400"/>
        <w:rPr>
          <w:rFonts w:eastAsia="黑体"/>
          <w:color w:val="000000" w:themeColor="text1"/>
          <w:sz w:val="28"/>
          <w:u w:val="single"/>
          <w14:textFill>
            <w14:solidFill>
              <w14:schemeClr w14:val="tx1"/>
            </w14:solidFill>
          </w14:textFill>
        </w:rPr>
      </w:pPr>
    </w:p>
    <w:p>
      <w:pPr>
        <w:ind w:firstLine="1120" w:firstLineChars="400"/>
        <w:rPr>
          <w:rFonts w:eastAsia="黑体"/>
          <w:color w:val="000000" w:themeColor="text1"/>
          <w:sz w:val="28"/>
          <w:u w:val="single"/>
          <w14:textFill>
            <w14:solidFill>
              <w14:schemeClr w14:val="tx1"/>
            </w14:solidFill>
          </w14:textFill>
        </w:rPr>
      </w:pPr>
    </w:p>
    <w:p>
      <w:pPr>
        <w:ind w:firstLine="1120" w:firstLineChars="400"/>
        <w:rPr>
          <w:rFonts w:eastAsia="黑体"/>
          <w:color w:val="000000" w:themeColor="text1"/>
          <w:sz w:val="28"/>
          <w:u w:val="single"/>
          <w14:textFill>
            <w14:solidFill>
              <w14:schemeClr w14:val="tx1"/>
            </w14:solidFill>
          </w14:textFill>
        </w:rPr>
      </w:pPr>
    </w:p>
    <w:p>
      <w:pPr>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编制日期: 二O二O年</w:t>
      </w:r>
      <w:r>
        <w:rPr>
          <w:rFonts w:hint="eastAsia"/>
          <w:color w:val="000000" w:themeColor="text1"/>
          <w:sz w:val="30"/>
          <w:szCs w:val="30"/>
          <w14:textFill>
            <w14:solidFill>
              <w14:schemeClr w14:val="tx1"/>
            </w14:solidFill>
          </w14:textFill>
        </w:rPr>
        <w:t>十一</w:t>
      </w:r>
      <w:r>
        <w:rPr>
          <w:color w:val="000000" w:themeColor="text1"/>
          <w:sz w:val="30"/>
          <w:szCs w:val="30"/>
          <w14:textFill>
            <w14:solidFill>
              <w14:schemeClr w14:val="tx1"/>
            </w14:solidFill>
          </w14:textFill>
        </w:rPr>
        <w:t>月</w:t>
      </w:r>
    </w:p>
    <w:p>
      <w:pPr>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国家环境保护总局制</w:t>
      </w:r>
      <w:r>
        <w:rPr>
          <w:color w:val="000000" w:themeColor="text1"/>
          <w:sz w:val="30"/>
          <w:szCs w:val="30"/>
          <w14:textFill>
            <w14:solidFill>
              <w14:schemeClr w14:val="tx1"/>
            </w14:solidFill>
          </w14:textFill>
        </w:rPr>
        <w:br w:type="page"/>
      </w:r>
    </w:p>
    <w:p>
      <w:pPr>
        <w:jc w:val="center"/>
        <w:rPr>
          <w:b/>
          <w:color w:val="000000" w:themeColor="text1"/>
          <w:sz w:val="32"/>
          <w14:textFill>
            <w14:solidFill>
              <w14:schemeClr w14:val="tx1"/>
            </w14:solidFill>
          </w14:textFill>
        </w:rPr>
      </w:pPr>
      <w:r>
        <w:rPr>
          <w:b/>
          <w:color w:val="000000" w:themeColor="text1"/>
          <w:sz w:val="32"/>
          <w14:textFill>
            <w14:solidFill>
              <w14:schemeClr w14:val="tx1"/>
            </w14:solidFill>
          </w14:textFill>
        </w:rPr>
        <w:t>《建设项目环境影响报告表》编制说明</w:t>
      </w:r>
    </w:p>
    <w:p>
      <w:pPr>
        <w:spacing w:line="6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《建设项目环境影响报告表》由具有从事环境影响评价工作资质的单位编制。</w:t>
      </w:r>
    </w:p>
    <w:p>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1、项目名称──指项目立项批复时的名称，应不超过30个字（两个英文字段作一个汉字）。</w:t>
      </w:r>
    </w:p>
    <w:p>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2、建设地点──指项目所在地详细地址，公路、铁路应填写起止地点。</w:t>
      </w:r>
    </w:p>
    <w:p>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3、行业类别──按国标填写。</w:t>
      </w:r>
    </w:p>
    <w:p>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4、总投资──指项目投资总额。</w:t>
      </w:r>
    </w:p>
    <w:p>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5、主要环境保护目标──指项目区周围一定范围内集中居民住宅区、学校、医院、保护文物、风景名胜区、水源地和生态敏感点等，应尽可能给出保护目标、性质、规模和距厂界距离等。</w:t>
      </w:r>
    </w:p>
    <w:p>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7、预审意见──由行业主管部门填写答复意见，无主管部门项目，可不填。</w:t>
      </w:r>
    </w:p>
    <w:p>
      <w:pPr>
        <w:spacing w:line="660" w:lineRule="exact"/>
        <w:ind w:firstLine="480" w:firstLineChars="200"/>
        <w:rPr>
          <w:color w:val="000000" w:themeColor="text1"/>
          <w:sz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color w:val="000000" w:themeColor="text1"/>
          <w:sz w:val="24"/>
          <w14:textFill>
            <w14:solidFill>
              <w14:schemeClr w14:val="tx1"/>
            </w14:solidFill>
          </w14:textFill>
        </w:rPr>
        <w:t>8、审批意见──由负责审批该项目的环境保护行政主管部门批复。</w:t>
      </w:r>
    </w:p>
    <w:p>
      <w:pPr>
        <w:pStyle w:val="2"/>
        <w:ind w:firstLine="419" w:firstLineChars="138"/>
        <w:rPr>
          <w:color w:val="000000" w:themeColor="text1"/>
          <w:w w:val="95"/>
          <w14:textFill>
            <w14:solidFill>
              <w14:schemeClr w14:val="tx1"/>
            </w14:solidFill>
          </w14:textFill>
        </w:rPr>
      </w:pPr>
      <w:r>
        <w:rPr>
          <w:color w:val="000000" w:themeColor="text1"/>
          <w:w w:val="95"/>
          <w14:textFill>
            <w14:solidFill>
              <w14:schemeClr w14:val="tx1"/>
            </w14:solidFill>
          </w14:textFill>
        </w:rPr>
        <w:t>.建设项目基本情况</w:t>
      </w: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94"/>
        <w:gridCol w:w="2111"/>
        <w:gridCol w:w="464"/>
        <w:gridCol w:w="919"/>
        <w:gridCol w:w="1148"/>
        <w:gridCol w:w="1715"/>
        <w:gridCol w:w="64"/>
        <w:gridCol w:w="17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269" w:type="dxa"/>
            <w:tcMar>
              <w:top w:w="0" w:type="dxa"/>
              <w:left w:w="108" w:type="dxa"/>
              <w:bottom w:w="0" w:type="dxa"/>
              <w:right w:w="108" w:type="dxa"/>
            </w:tcMar>
            <w:vAlign w:val="center"/>
          </w:tcPr>
          <w:p>
            <w:pPr>
              <w:widowControl/>
              <w:spacing w:line="260" w:lineRule="exact"/>
              <w:jc w:val="center"/>
              <w:rPr>
                <w:kern w:val="0"/>
                <w:sz w:val="24"/>
              </w:rPr>
            </w:pPr>
            <w:r>
              <w:rPr>
                <w:kern w:val="0"/>
                <w:sz w:val="24"/>
              </w:rPr>
              <w:t>项目名称</w:t>
            </w:r>
          </w:p>
        </w:tc>
        <w:tc>
          <w:tcPr>
            <w:tcW w:w="7373" w:type="dxa"/>
            <w:gridSpan w:val="7"/>
            <w:tcMar>
              <w:top w:w="0" w:type="dxa"/>
              <w:left w:w="108" w:type="dxa"/>
              <w:bottom w:w="0" w:type="dxa"/>
              <w:right w:w="108" w:type="dxa"/>
            </w:tcMar>
            <w:vAlign w:val="center"/>
          </w:tcPr>
          <w:p>
            <w:pPr>
              <w:widowControl/>
              <w:spacing w:line="260" w:lineRule="exact"/>
              <w:jc w:val="center"/>
              <w:rPr>
                <w:kern w:val="0"/>
                <w:sz w:val="24"/>
              </w:rPr>
            </w:pPr>
            <w:r>
              <w:rPr>
                <w:rFonts w:hint="eastAsia"/>
                <w:sz w:val="24"/>
              </w:rPr>
              <w:t>年产20万立方聚苯板建设项目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269" w:type="dxa"/>
            <w:tcMar>
              <w:top w:w="0" w:type="dxa"/>
              <w:left w:w="108" w:type="dxa"/>
              <w:bottom w:w="0" w:type="dxa"/>
              <w:right w:w="108" w:type="dxa"/>
            </w:tcMar>
            <w:vAlign w:val="center"/>
          </w:tcPr>
          <w:p>
            <w:pPr>
              <w:widowControl/>
              <w:spacing w:line="260" w:lineRule="exact"/>
              <w:jc w:val="center"/>
              <w:rPr>
                <w:kern w:val="0"/>
                <w:sz w:val="24"/>
              </w:rPr>
            </w:pPr>
            <w:r>
              <w:rPr>
                <w:kern w:val="0"/>
                <w:sz w:val="24"/>
              </w:rPr>
              <w:t>建设单位</w:t>
            </w:r>
          </w:p>
        </w:tc>
        <w:tc>
          <w:tcPr>
            <w:tcW w:w="7373" w:type="dxa"/>
            <w:gridSpan w:val="7"/>
            <w:tcMar>
              <w:top w:w="0" w:type="dxa"/>
              <w:left w:w="108" w:type="dxa"/>
              <w:bottom w:w="0" w:type="dxa"/>
              <w:right w:w="108" w:type="dxa"/>
            </w:tcMar>
            <w:vAlign w:val="center"/>
          </w:tcPr>
          <w:p>
            <w:pPr>
              <w:widowControl/>
              <w:spacing w:line="260" w:lineRule="exact"/>
              <w:jc w:val="center"/>
              <w:rPr>
                <w:kern w:val="0"/>
                <w:sz w:val="24"/>
              </w:rPr>
            </w:pPr>
            <w:r>
              <w:rPr>
                <w:rFonts w:hint="eastAsia"/>
                <w:sz w:val="24"/>
              </w:rPr>
              <w:t>陕西广兴华创材料科技有限公司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1269" w:type="dxa"/>
            <w:tcMar>
              <w:top w:w="0" w:type="dxa"/>
              <w:left w:w="108" w:type="dxa"/>
              <w:bottom w:w="0" w:type="dxa"/>
              <w:right w:w="108" w:type="dxa"/>
            </w:tcMar>
            <w:vAlign w:val="center"/>
          </w:tcPr>
          <w:p>
            <w:pPr>
              <w:widowControl/>
              <w:spacing w:line="260" w:lineRule="exact"/>
              <w:jc w:val="center"/>
              <w:rPr>
                <w:kern w:val="0"/>
                <w:sz w:val="24"/>
              </w:rPr>
            </w:pPr>
            <w:r>
              <w:rPr>
                <w:kern w:val="0"/>
                <w:sz w:val="24"/>
              </w:rPr>
              <w:t>法人代表</w:t>
            </w:r>
          </w:p>
        </w:tc>
        <w:tc>
          <w:tcPr>
            <w:tcW w:w="3650" w:type="dxa"/>
            <w:gridSpan w:val="3"/>
            <w:tcMar>
              <w:top w:w="0" w:type="dxa"/>
              <w:left w:w="108" w:type="dxa"/>
              <w:bottom w:w="0" w:type="dxa"/>
              <w:right w:w="108" w:type="dxa"/>
            </w:tcMar>
            <w:vAlign w:val="center"/>
          </w:tcPr>
          <w:p>
            <w:pPr>
              <w:widowControl/>
              <w:spacing w:line="260" w:lineRule="exact"/>
              <w:jc w:val="center"/>
              <w:rPr>
                <w:kern w:val="0"/>
                <w:sz w:val="24"/>
              </w:rPr>
            </w:pPr>
            <w:r>
              <w:rPr>
                <w:rFonts w:hint="eastAsia"/>
                <w:kern w:val="0"/>
                <w:sz w:val="24"/>
              </w:rPr>
              <w:t>刘帅</w:t>
            </w:r>
          </w:p>
        </w:tc>
        <w:tc>
          <w:tcPr>
            <w:tcW w:w="1259" w:type="dxa"/>
            <w:tcMar>
              <w:top w:w="0" w:type="dxa"/>
              <w:left w:w="108" w:type="dxa"/>
              <w:bottom w:w="0" w:type="dxa"/>
              <w:right w:w="108" w:type="dxa"/>
            </w:tcMar>
            <w:vAlign w:val="center"/>
          </w:tcPr>
          <w:p>
            <w:pPr>
              <w:widowControl/>
              <w:spacing w:line="260" w:lineRule="exact"/>
              <w:jc w:val="center"/>
              <w:rPr>
                <w:kern w:val="0"/>
                <w:sz w:val="24"/>
              </w:rPr>
            </w:pPr>
            <w:r>
              <w:rPr>
                <w:kern w:val="0"/>
                <w:sz w:val="24"/>
              </w:rPr>
              <w:t>联系人</w:t>
            </w:r>
          </w:p>
        </w:tc>
        <w:tc>
          <w:tcPr>
            <w:tcW w:w="2464" w:type="dxa"/>
            <w:gridSpan w:val="3"/>
            <w:tcMar>
              <w:top w:w="0" w:type="dxa"/>
              <w:left w:w="108" w:type="dxa"/>
              <w:bottom w:w="0" w:type="dxa"/>
              <w:right w:w="108" w:type="dxa"/>
            </w:tcMar>
            <w:vAlign w:val="center"/>
          </w:tcPr>
          <w:p>
            <w:pPr>
              <w:widowControl/>
              <w:spacing w:line="260" w:lineRule="exact"/>
              <w:jc w:val="center"/>
              <w:rPr>
                <w:kern w:val="0"/>
                <w:sz w:val="24"/>
              </w:rPr>
            </w:pPr>
            <w:r>
              <w:rPr>
                <w:rFonts w:hint="eastAsia"/>
                <w:kern w:val="0"/>
                <w:sz w:val="24"/>
              </w:rPr>
              <w:t>刘帅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1269" w:type="dxa"/>
            <w:tcMar>
              <w:top w:w="0" w:type="dxa"/>
              <w:left w:w="108" w:type="dxa"/>
              <w:bottom w:w="0" w:type="dxa"/>
              <w:right w:w="108" w:type="dxa"/>
            </w:tcMar>
            <w:vAlign w:val="center"/>
          </w:tcPr>
          <w:p>
            <w:pPr>
              <w:widowControl/>
              <w:spacing w:line="260" w:lineRule="exact"/>
              <w:jc w:val="center"/>
              <w:rPr>
                <w:kern w:val="0"/>
                <w:sz w:val="24"/>
              </w:rPr>
            </w:pPr>
            <w:r>
              <w:rPr>
                <w:kern w:val="0"/>
                <w:sz w:val="24"/>
              </w:rPr>
              <w:t>通讯地址</w:t>
            </w:r>
          </w:p>
        </w:tc>
        <w:tc>
          <w:tcPr>
            <w:tcW w:w="7373" w:type="dxa"/>
            <w:gridSpan w:val="7"/>
            <w:tcMar>
              <w:top w:w="0" w:type="dxa"/>
              <w:left w:w="108" w:type="dxa"/>
              <w:bottom w:w="0" w:type="dxa"/>
              <w:right w:w="108" w:type="dxa"/>
            </w:tcMar>
            <w:vAlign w:val="center"/>
          </w:tcPr>
          <w:p>
            <w:pPr>
              <w:widowControl/>
              <w:spacing w:line="260" w:lineRule="exact"/>
              <w:rPr>
                <w:kern w:val="0"/>
                <w:sz w:val="24"/>
              </w:rPr>
            </w:pPr>
            <w:r>
              <w:rPr>
                <w:rFonts w:hint="eastAsia"/>
                <w:sz w:val="24"/>
              </w:rPr>
              <w:t>陕西省西咸新区秦汉新城双照街办咸平路大王村十字北500米伟杰公司院内101室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269" w:type="dxa"/>
            <w:tcMar>
              <w:top w:w="0" w:type="dxa"/>
              <w:left w:w="108" w:type="dxa"/>
              <w:bottom w:w="0" w:type="dxa"/>
              <w:right w:w="108" w:type="dxa"/>
            </w:tcMar>
            <w:vAlign w:val="center"/>
          </w:tcPr>
          <w:p>
            <w:pPr>
              <w:widowControl/>
              <w:spacing w:line="260" w:lineRule="exact"/>
              <w:jc w:val="center"/>
              <w:rPr>
                <w:kern w:val="0"/>
                <w:sz w:val="24"/>
              </w:rPr>
            </w:pPr>
            <w:r>
              <w:rPr>
                <w:kern w:val="0"/>
                <w:sz w:val="24"/>
              </w:rPr>
              <w:t>联系电话</w:t>
            </w:r>
          </w:p>
        </w:tc>
        <w:tc>
          <w:tcPr>
            <w:tcW w:w="2658" w:type="dxa"/>
            <w:gridSpan w:val="2"/>
            <w:tcMar>
              <w:top w:w="0" w:type="dxa"/>
              <w:left w:w="108" w:type="dxa"/>
              <w:bottom w:w="0" w:type="dxa"/>
              <w:right w:w="108" w:type="dxa"/>
            </w:tcMar>
            <w:vAlign w:val="center"/>
          </w:tcPr>
          <w:p>
            <w:pPr>
              <w:widowControl/>
              <w:spacing w:line="260" w:lineRule="exact"/>
              <w:jc w:val="center"/>
              <w:rPr>
                <w:kern w:val="0"/>
                <w:sz w:val="24"/>
              </w:rPr>
            </w:pPr>
            <w:r>
              <w:rPr>
                <w:rFonts w:hint="eastAsia"/>
                <w:kern w:val="0"/>
                <w:sz w:val="24"/>
              </w:rPr>
              <w:t>18701010664</w:t>
            </w:r>
          </w:p>
        </w:tc>
        <w:tc>
          <w:tcPr>
            <w:tcW w:w="992" w:type="dxa"/>
            <w:tcMar>
              <w:top w:w="0" w:type="dxa"/>
              <w:left w:w="108" w:type="dxa"/>
              <w:bottom w:w="0" w:type="dxa"/>
              <w:right w:w="108" w:type="dxa"/>
            </w:tcMar>
            <w:vAlign w:val="center"/>
          </w:tcPr>
          <w:p>
            <w:pPr>
              <w:widowControl/>
              <w:spacing w:line="260" w:lineRule="exact"/>
              <w:jc w:val="center"/>
              <w:rPr>
                <w:kern w:val="0"/>
                <w:sz w:val="24"/>
              </w:rPr>
            </w:pPr>
            <w:r>
              <w:rPr>
                <w:kern w:val="0"/>
                <w:sz w:val="24"/>
              </w:rPr>
              <w:t>传 真</w:t>
            </w:r>
          </w:p>
        </w:tc>
        <w:tc>
          <w:tcPr>
            <w:tcW w:w="1259" w:type="dxa"/>
            <w:tcMar>
              <w:top w:w="0" w:type="dxa"/>
              <w:left w:w="108" w:type="dxa"/>
              <w:bottom w:w="0" w:type="dxa"/>
              <w:right w:w="108" w:type="dxa"/>
            </w:tcMar>
            <w:vAlign w:val="center"/>
          </w:tcPr>
          <w:p>
            <w:pPr>
              <w:widowControl/>
              <w:spacing w:line="260" w:lineRule="exact"/>
              <w:jc w:val="center"/>
              <w:rPr>
                <w:kern w:val="0"/>
                <w:sz w:val="24"/>
              </w:rPr>
            </w:pPr>
            <w:r>
              <w:rPr>
                <w:kern w:val="0"/>
                <w:sz w:val="24"/>
              </w:rPr>
              <w:t>/</w:t>
            </w:r>
          </w:p>
        </w:tc>
        <w:tc>
          <w:tcPr>
            <w:tcW w:w="1464" w:type="dxa"/>
            <w:gridSpan w:val="2"/>
            <w:tcMar>
              <w:top w:w="0" w:type="dxa"/>
              <w:left w:w="108" w:type="dxa"/>
              <w:bottom w:w="0" w:type="dxa"/>
              <w:right w:w="108" w:type="dxa"/>
            </w:tcMar>
            <w:vAlign w:val="center"/>
          </w:tcPr>
          <w:p>
            <w:pPr>
              <w:widowControl/>
              <w:spacing w:line="260" w:lineRule="exact"/>
              <w:jc w:val="center"/>
              <w:rPr>
                <w:kern w:val="0"/>
                <w:sz w:val="24"/>
              </w:rPr>
            </w:pPr>
            <w:r>
              <w:rPr>
                <w:kern w:val="0"/>
                <w:sz w:val="24"/>
              </w:rPr>
              <w:t>邮政编码</w:t>
            </w:r>
          </w:p>
        </w:tc>
        <w:tc>
          <w:tcPr>
            <w:tcW w:w="1000" w:type="dxa"/>
            <w:tcMar>
              <w:top w:w="0" w:type="dxa"/>
              <w:left w:w="108" w:type="dxa"/>
              <w:bottom w:w="0" w:type="dxa"/>
              <w:right w:w="108" w:type="dxa"/>
            </w:tcMar>
            <w:vAlign w:val="center"/>
          </w:tcPr>
          <w:p>
            <w:pPr>
              <w:widowControl/>
              <w:spacing w:line="260" w:lineRule="exact"/>
              <w:jc w:val="center"/>
              <w:rPr>
                <w:kern w:val="0"/>
                <w:sz w:val="24"/>
              </w:rPr>
            </w:pPr>
            <w:r>
              <w:rPr>
                <w:rFonts w:hint="eastAsia"/>
                <w:kern w:val="0"/>
                <w:sz w:val="24"/>
              </w:rPr>
              <w:t>712000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1269" w:type="dxa"/>
            <w:tcMar>
              <w:top w:w="0" w:type="dxa"/>
              <w:left w:w="108" w:type="dxa"/>
              <w:bottom w:w="0" w:type="dxa"/>
              <w:right w:w="108" w:type="dxa"/>
            </w:tcMar>
            <w:vAlign w:val="center"/>
          </w:tcPr>
          <w:p>
            <w:pPr>
              <w:widowControl/>
              <w:spacing w:line="260" w:lineRule="exact"/>
              <w:jc w:val="center"/>
              <w:rPr>
                <w:kern w:val="0"/>
                <w:sz w:val="24"/>
              </w:rPr>
            </w:pPr>
            <w:r>
              <w:rPr>
                <w:kern w:val="0"/>
                <w:sz w:val="24"/>
              </w:rPr>
              <w:t>建设地点</w:t>
            </w:r>
          </w:p>
        </w:tc>
        <w:tc>
          <w:tcPr>
            <w:tcW w:w="7373" w:type="dxa"/>
            <w:gridSpan w:val="7"/>
            <w:tcMar>
              <w:top w:w="0" w:type="dxa"/>
              <w:left w:w="108" w:type="dxa"/>
              <w:bottom w:w="0" w:type="dxa"/>
              <w:right w:w="108" w:type="dxa"/>
            </w:tcMar>
            <w:vAlign w:val="center"/>
          </w:tcPr>
          <w:p>
            <w:pPr>
              <w:widowControl/>
              <w:spacing w:line="260" w:lineRule="exact"/>
              <w:rPr>
                <w:kern w:val="0"/>
                <w:sz w:val="24"/>
              </w:rPr>
            </w:pPr>
            <w:r>
              <w:rPr>
                <w:rFonts w:hint="eastAsia"/>
                <w:kern w:val="0"/>
                <w:sz w:val="24"/>
              </w:rPr>
              <w:t>陕西省西咸新区秦汉新城双照街办咸平路大王村十字北500米伟杰公司院内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269" w:type="dxa"/>
            <w:tcMar>
              <w:top w:w="0" w:type="dxa"/>
              <w:left w:w="108" w:type="dxa"/>
              <w:bottom w:w="0" w:type="dxa"/>
              <w:right w:w="108" w:type="dxa"/>
            </w:tcMar>
            <w:vAlign w:val="center"/>
          </w:tcPr>
          <w:p>
            <w:pPr>
              <w:widowControl/>
              <w:spacing w:line="260" w:lineRule="exact"/>
              <w:jc w:val="center"/>
              <w:rPr>
                <w:kern w:val="0"/>
                <w:sz w:val="24"/>
              </w:rPr>
            </w:pPr>
            <w:r>
              <w:rPr>
                <w:kern w:val="0"/>
                <w:sz w:val="24"/>
              </w:rPr>
              <w:t>立项审批部门</w:t>
            </w:r>
          </w:p>
        </w:tc>
        <w:tc>
          <w:tcPr>
            <w:tcW w:w="3650" w:type="dxa"/>
            <w:gridSpan w:val="3"/>
            <w:tcMar>
              <w:top w:w="0" w:type="dxa"/>
              <w:left w:w="108" w:type="dxa"/>
              <w:bottom w:w="0" w:type="dxa"/>
              <w:right w:w="108" w:type="dxa"/>
            </w:tcMar>
            <w:vAlign w:val="center"/>
          </w:tcPr>
          <w:p>
            <w:pPr>
              <w:widowControl/>
              <w:spacing w:line="260" w:lineRule="exact"/>
              <w:jc w:val="center"/>
              <w:rPr>
                <w:rFonts w:eastAsiaTheme="majorEastAsia"/>
                <w:kern w:val="0"/>
                <w:sz w:val="24"/>
              </w:rPr>
            </w:pPr>
            <w:r>
              <w:rPr>
                <w:rFonts w:hint="eastAsia"/>
                <w:kern w:val="0"/>
                <w:sz w:val="24"/>
              </w:rPr>
              <w:t>陕西省西咸新区秦汉新城行政审批与政务服务局</w:t>
            </w:r>
          </w:p>
        </w:tc>
        <w:tc>
          <w:tcPr>
            <w:tcW w:w="1259" w:type="dxa"/>
            <w:tcMar>
              <w:top w:w="0" w:type="dxa"/>
              <w:left w:w="108" w:type="dxa"/>
              <w:bottom w:w="0" w:type="dxa"/>
              <w:right w:w="108" w:type="dxa"/>
            </w:tcMar>
            <w:vAlign w:val="center"/>
          </w:tcPr>
          <w:p>
            <w:pPr>
              <w:spacing w:line="260" w:lineRule="exact"/>
              <w:jc w:val="center"/>
              <w:rPr>
                <w:kern w:val="0"/>
                <w:sz w:val="24"/>
              </w:rPr>
            </w:pPr>
            <w:r>
              <w:rPr>
                <w:kern w:val="0"/>
                <w:sz w:val="24"/>
              </w:rPr>
              <w:t>批准文号</w:t>
            </w:r>
          </w:p>
        </w:tc>
        <w:tc>
          <w:tcPr>
            <w:tcW w:w="2464" w:type="dxa"/>
            <w:gridSpan w:val="3"/>
            <w:tcMar>
              <w:top w:w="0" w:type="dxa"/>
              <w:left w:w="108" w:type="dxa"/>
              <w:bottom w:w="0" w:type="dxa"/>
              <w:right w:w="108" w:type="dxa"/>
            </w:tcMar>
            <w:vAlign w:val="center"/>
          </w:tcPr>
          <w:p>
            <w:pPr>
              <w:widowControl/>
              <w:spacing w:line="260" w:lineRule="exact"/>
              <w:jc w:val="center"/>
              <w:rPr>
                <w:kern w:val="0"/>
                <w:sz w:val="24"/>
              </w:rPr>
            </w:pPr>
            <w:r>
              <w:rPr>
                <w:kern w:val="0"/>
                <w:sz w:val="24"/>
              </w:rPr>
              <w:t>2020</w:t>
            </w:r>
            <w:r>
              <w:rPr>
                <w:rFonts w:hint="eastAsia"/>
                <w:kern w:val="0"/>
                <w:sz w:val="24"/>
              </w:rPr>
              <w:t>-</w:t>
            </w:r>
            <w:r>
              <w:rPr>
                <w:kern w:val="0"/>
                <w:sz w:val="24"/>
              </w:rPr>
              <w:t>611204</w:t>
            </w:r>
            <w:r>
              <w:rPr>
                <w:rFonts w:hint="eastAsia"/>
                <w:kern w:val="0"/>
                <w:sz w:val="24"/>
              </w:rPr>
              <w:t>-</w:t>
            </w:r>
            <w:r>
              <w:rPr>
                <w:kern w:val="0"/>
                <w:sz w:val="24"/>
              </w:rPr>
              <w:t>29</w:t>
            </w:r>
            <w:r>
              <w:rPr>
                <w:rFonts w:hint="eastAsia"/>
                <w:kern w:val="0"/>
                <w:sz w:val="24"/>
              </w:rPr>
              <w:t>-</w:t>
            </w:r>
            <w:r>
              <w:rPr>
                <w:kern w:val="0"/>
                <w:sz w:val="24"/>
              </w:rPr>
              <w:t>03</w:t>
            </w:r>
            <w:r>
              <w:rPr>
                <w:rFonts w:hint="eastAsia"/>
                <w:kern w:val="0"/>
                <w:sz w:val="24"/>
              </w:rPr>
              <w:t>-</w:t>
            </w:r>
            <w:r>
              <w:rPr>
                <w:kern w:val="0"/>
                <w:sz w:val="24"/>
              </w:rPr>
              <w:t>059594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1269" w:type="dxa"/>
            <w:tcMar>
              <w:top w:w="0" w:type="dxa"/>
              <w:left w:w="108" w:type="dxa"/>
              <w:bottom w:w="0" w:type="dxa"/>
              <w:right w:w="108" w:type="dxa"/>
            </w:tcMar>
            <w:vAlign w:val="center"/>
          </w:tcPr>
          <w:p>
            <w:pPr>
              <w:widowControl/>
              <w:spacing w:line="260" w:lineRule="exact"/>
              <w:jc w:val="center"/>
              <w:rPr>
                <w:kern w:val="0"/>
                <w:sz w:val="24"/>
              </w:rPr>
            </w:pPr>
            <w:r>
              <w:rPr>
                <w:kern w:val="0"/>
                <w:sz w:val="24"/>
              </w:rPr>
              <w:t>建设性质</w:t>
            </w:r>
          </w:p>
        </w:tc>
        <w:tc>
          <w:tcPr>
            <w:tcW w:w="3650" w:type="dxa"/>
            <w:gridSpan w:val="3"/>
            <w:tcMar>
              <w:top w:w="0" w:type="dxa"/>
              <w:left w:w="108" w:type="dxa"/>
              <w:bottom w:w="0" w:type="dxa"/>
              <w:right w:w="108" w:type="dxa"/>
            </w:tcMar>
            <w:vAlign w:val="center"/>
          </w:tcPr>
          <w:p>
            <w:pPr>
              <w:widowControl/>
              <w:spacing w:line="260" w:lineRule="exact"/>
              <w:jc w:val="center"/>
              <w:rPr>
                <w:kern w:val="0"/>
                <w:sz w:val="24"/>
              </w:rPr>
            </w:pPr>
            <w:r>
              <w:rPr>
                <w:rFonts w:hint="eastAsia"/>
                <w:kern w:val="0"/>
                <w:sz w:val="24"/>
              </w:rPr>
              <w:t>新建</w:t>
            </w:r>
          </w:p>
        </w:tc>
        <w:tc>
          <w:tcPr>
            <w:tcW w:w="1259" w:type="dxa"/>
            <w:tcMar>
              <w:top w:w="0" w:type="dxa"/>
              <w:left w:w="108" w:type="dxa"/>
              <w:bottom w:w="0" w:type="dxa"/>
              <w:right w:w="108" w:type="dxa"/>
            </w:tcMar>
            <w:vAlign w:val="center"/>
          </w:tcPr>
          <w:p>
            <w:pPr>
              <w:widowControl/>
              <w:spacing w:line="260" w:lineRule="exact"/>
              <w:jc w:val="center"/>
              <w:rPr>
                <w:kern w:val="0"/>
                <w:sz w:val="24"/>
              </w:rPr>
            </w:pPr>
            <w:r>
              <w:rPr>
                <w:kern w:val="0"/>
                <w:sz w:val="24"/>
              </w:rPr>
              <w:t>行业类别</w:t>
            </w:r>
          </w:p>
          <w:p>
            <w:pPr>
              <w:widowControl/>
              <w:spacing w:line="260" w:lineRule="exact"/>
              <w:jc w:val="center"/>
              <w:rPr>
                <w:kern w:val="0"/>
                <w:sz w:val="24"/>
              </w:rPr>
            </w:pPr>
            <w:r>
              <w:rPr>
                <w:kern w:val="0"/>
                <w:sz w:val="24"/>
              </w:rPr>
              <w:t>及代码</w:t>
            </w:r>
          </w:p>
        </w:tc>
        <w:tc>
          <w:tcPr>
            <w:tcW w:w="2464" w:type="dxa"/>
            <w:gridSpan w:val="3"/>
            <w:tcMar>
              <w:top w:w="0" w:type="dxa"/>
              <w:left w:w="108" w:type="dxa"/>
              <w:bottom w:w="0" w:type="dxa"/>
              <w:right w:w="108" w:type="dxa"/>
            </w:tcMar>
            <w:vAlign w:val="center"/>
          </w:tcPr>
          <w:p>
            <w:pPr>
              <w:widowControl/>
              <w:spacing w:line="260" w:lineRule="exact"/>
              <w:jc w:val="center"/>
              <w:rPr>
                <w:sz w:val="24"/>
              </w:rPr>
            </w:pPr>
            <w:r>
              <w:rPr>
                <w:rFonts w:hint="eastAsia"/>
                <w:color w:val="00B0F0"/>
                <w:spacing w:val="-1"/>
                <w:sz w:val="24"/>
              </w:rPr>
              <w:t>C2924泡沫塑料制造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269" w:type="dxa"/>
            <w:tcMar>
              <w:top w:w="0" w:type="dxa"/>
              <w:left w:w="108" w:type="dxa"/>
              <w:bottom w:w="0" w:type="dxa"/>
              <w:right w:w="108" w:type="dxa"/>
            </w:tcMar>
            <w:vAlign w:val="center"/>
          </w:tcPr>
          <w:p>
            <w:pPr>
              <w:widowControl/>
              <w:spacing w:line="260" w:lineRule="exact"/>
              <w:jc w:val="center"/>
              <w:rPr>
                <w:kern w:val="0"/>
                <w:sz w:val="24"/>
              </w:rPr>
            </w:pPr>
            <w:r>
              <w:rPr>
                <w:kern w:val="0"/>
                <w:sz w:val="24"/>
              </w:rPr>
              <w:t>占地面积</w:t>
            </w:r>
          </w:p>
        </w:tc>
        <w:tc>
          <w:tcPr>
            <w:tcW w:w="3650" w:type="dxa"/>
            <w:gridSpan w:val="3"/>
            <w:tcMar>
              <w:top w:w="0" w:type="dxa"/>
              <w:left w:w="108" w:type="dxa"/>
              <w:bottom w:w="0" w:type="dxa"/>
              <w:right w:w="108" w:type="dxa"/>
            </w:tcMar>
            <w:vAlign w:val="center"/>
          </w:tcPr>
          <w:p>
            <w:pPr>
              <w:widowControl/>
              <w:spacing w:line="240" w:lineRule="exact"/>
              <w:jc w:val="center"/>
              <w:rPr>
                <w:kern w:val="0"/>
                <w:sz w:val="24"/>
              </w:rPr>
            </w:pPr>
            <w:r>
              <w:rPr>
                <w:rFonts w:hint="eastAsia"/>
                <w:kern w:val="0"/>
                <w:sz w:val="24"/>
              </w:rPr>
              <w:t>9065m</w:t>
            </w:r>
            <w:r>
              <w:rPr>
                <w:rFonts w:hint="eastAsia"/>
                <w:kern w:val="0"/>
                <w:sz w:val="24"/>
                <w:vertAlign w:val="superscript"/>
              </w:rPr>
              <w:t>2</w:t>
            </w:r>
          </w:p>
        </w:tc>
        <w:tc>
          <w:tcPr>
            <w:tcW w:w="1259" w:type="dxa"/>
            <w:tcMar>
              <w:top w:w="0" w:type="dxa"/>
              <w:left w:w="108" w:type="dxa"/>
              <w:bottom w:w="0" w:type="dxa"/>
              <w:right w:w="108" w:type="dxa"/>
            </w:tcMar>
            <w:vAlign w:val="center"/>
          </w:tcPr>
          <w:p>
            <w:pPr>
              <w:widowControl/>
              <w:spacing w:line="260" w:lineRule="exact"/>
              <w:jc w:val="center"/>
              <w:rPr>
                <w:kern w:val="0"/>
                <w:sz w:val="24"/>
              </w:rPr>
            </w:pPr>
            <w:r>
              <w:rPr>
                <w:kern w:val="0"/>
                <w:sz w:val="24"/>
              </w:rPr>
              <w:t>绿化面积</w:t>
            </w:r>
          </w:p>
          <w:p>
            <w:pPr>
              <w:widowControl/>
              <w:spacing w:line="260" w:lineRule="exact"/>
              <w:jc w:val="center"/>
              <w:rPr>
                <w:kern w:val="0"/>
                <w:sz w:val="24"/>
              </w:rPr>
            </w:pPr>
            <w:r>
              <w:rPr>
                <w:kern w:val="0"/>
                <w:sz w:val="24"/>
              </w:rPr>
              <w:t>(平方米)</w:t>
            </w:r>
          </w:p>
        </w:tc>
        <w:tc>
          <w:tcPr>
            <w:tcW w:w="2464" w:type="dxa"/>
            <w:gridSpan w:val="3"/>
            <w:tcMar>
              <w:top w:w="0" w:type="dxa"/>
              <w:left w:w="108" w:type="dxa"/>
              <w:bottom w:w="0" w:type="dxa"/>
              <w:right w:w="108" w:type="dxa"/>
            </w:tcMar>
            <w:vAlign w:val="center"/>
          </w:tcPr>
          <w:p>
            <w:pPr>
              <w:widowControl/>
              <w:spacing w:line="240" w:lineRule="exact"/>
              <w:jc w:val="center"/>
              <w:rPr>
                <w:kern w:val="0"/>
                <w:sz w:val="24"/>
              </w:rPr>
            </w:pPr>
            <w:r>
              <w:rPr>
                <w:kern w:val="0"/>
                <w:sz w:val="24"/>
              </w:rPr>
              <w:t>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269" w:type="dxa"/>
            <w:tcMar>
              <w:top w:w="0" w:type="dxa"/>
              <w:left w:w="108" w:type="dxa"/>
              <w:bottom w:w="0" w:type="dxa"/>
              <w:right w:w="108" w:type="dxa"/>
            </w:tcMar>
            <w:vAlign w:val="center"/>
          </w:tcPr>
          <w:p>
            <w:pPr>
              <w:widowControl/>
              <w:spacing w:line="260" w:lineRule="exact"/>
              <w:jc w:val="center"/>
              <w:rPr>
                <w:kern w:val="0"/>
                <w:sz w:val="24"/>
              </w:rPr>
            </w:pPr>
            <w:r>
              <w:rPr>
                <w:kern w:val="0"/>
                <w:sz w:val="24"/>
              </w:rPr>
              <w:t>总投资</w:t>
            </w:r>
          </w:p>
          <w:p>
            <w:pPr>
              <w:widowControl/>
              <w:spacing w:line="260" w:lineRule="exact"/>
              <w:jc w:val="center"/>
              <w:rPr>
                <w:kern w:val="0"/>
                <w:sz w:val="24"/>
              </w:rPr>
            </w:pPr>
            <w:r>
              <w:rPr>
                <w:kern w:val="0"/>
                <w:sz w:val="24"/>
              </w:rPr>
              <w:t>(万元)</w:t>
            </w:r>
          </w:p>
        </w:tc>
        <w:tc>
          <w:tcPr>
            <w:tcW w:w="2064" w:type="dxa"/>
            <w:tcMar>
              <w:top w:w="0" w:type="dxa"/>
              <w:left w:w="108" w:type="dxa"/>
              <w:bottom w:w="0" w:type="dxa"/>
              <w:right w:w="108" w:type="dxa"/>
            </w:tcMar>
            <w:vAlign w:val="center"/>
          </w:tcPr>
          <w:p>
            <w:pPr>
              <w:widowControl/>
              <w:spacing w:line="260" w:lineRule="exact"/>
              <w:jc w:val="center"/>
              <w:rPr>
                <w:kern w:val="0"/>
                <w:sz w:val="24"/>
              </w:rPr>
            </w:pPr>
            <w:r>
              <w:rPr>
                <w:rFonts w:hint="eastAsia"/>
                <w:kern w:val="0"/>
                <w:sz w:val="24"/>
              </w:rPr>
              <w:t>500</w:t>
            </w:r>
          </w:p>
        </w:tc>
        <w:tc>
          <w:tcPr>
            <w:tcW w:w="1586" w:type="dxa"/>
            <w:gridSpan w:val="2"/>
            <w:tcMar>
              <w:top w:w="0" w:type="dxa"/>
              <w:left w:w="108" w:type="dxa"/>
              <w:bottom w:w="0" w:type="dxa"/>
              <w:right w:w="108" w:type="dxa"/>
            </w:tcMar>
            <w:vAlign w:val="center"/>
          </w:tcPr>
          <w:p>
            <w:pPr>
              <w:widowControl/>
              <w:spacing w:line="260" w:lineRule="exact"/>
              <w:jc w:val="center"/>
              <w:rPr>
                <w:kern w:val="0"/>
                <w:sz w:val="24"/>
              </w:rPr>
            </w:pPr>
            <w:r>
              <w:rPr>
                <w:kern w:val="0"/>
                <w:sz w:val="24"/>
              </w:rPr>
              <w:t>其中：环保投资(万元)</w:t>
            </w:r>
          </w:p>
        </w:tc>
        <w:tc>
          <w:tcPr>
            <w:tcW w:w="1259" w:type="dxa"/>
            <w:tcMar>
              <w:top w:w="0" w:type="dxa"/>
              <w:left w:w="108" w:type="dxa"/>
              <w:bottom w:w="0" w:type="dxa"/>
              <w:right w:w="108" w:type="dxa"/>
            </w:tcMar>
            <w:vAlign w:val="center"/>
          </w:tcPr>
          <w:p>
            <w:pPr>
              <w:widowControl/>
              <w:spacing w:line="260" w:lineRule="exact"/>
              <w:jc w:val="center"/>
              <w:rPr>
                <w:kern w:val="0"/>
                <w:sz w:val="24"/>
              </w:rPr>
            </w:pPr>
            <w:r>
              <w:rPr>
                <w:kern w:val="0"/>
                <w:sz w:val="24"/>
              </w:rPr>
              <w:t>27.0</w:t>
            </w:r>
          </w:p>
        </w:tc>
        <w:tc>
          <w:tcPr>
            <w:tcW w:w="1404" w:type="dxa"/>
            <w:tcMar>
              <w:top w:w="0" w:type="dxa"/>
              <w:left w:w="108" w:type="dxa"/>
              <w:bottom w:w="0" w:type="dxa"/>
              <w:right w:w="108" w:type="dxa"/>
            </w:tcMar>
            <w:vAlign w:val="center"/>
          </w:tcPr>
          <w:p>
            <w:pPr>
              <w:widowControl/>
              <w:spacing w:line="260" w:lineRule="exact"/>
              <w:jc w:val="center"/>
              <w:rPr>
                <w:kern w:val="0"/>
                <w:sz w:val="24"/>
              </w:rPr>
            </w:pPr>
            <w:r>
              <w:rPr>
                <w:kern w:val="0"/>
                <w:sz w:val="24"/>
              </w:rPr>
              <w:t>环保投资占总投资比例</w:t>
            </w:r>
          </w:p>
        </w:tc>
        <w:tc>
          <w:tcPr>
            <w:tcW w:w="1060" w:type="dxa"/>
            <w:gridSpan w:val="2"/>
            <w:tcMar>
              <w:top w:w="0" w:type="dxa"/>
              <w:left w:w="108" w:type="dxa"/>
              <w:bottom w:w="0" w:type="dxa"/>
              <w:right w:w="108" w:type="dxa"/>
            </w:tcMar>
            <w:vAlign w:val="center"/>
          </w:tcPr>
          <w:p>
            <w:pPr>
              <w:widowControl/>
              <w:spacing w:line="260" w:lineRule="exact"/>
              <w:jc w:val="center"/>
              <w:rPr>
                <w:kern w:val="0"/>
                <w:sz w:val="24"/>
              </w:rPr>
            </w:pPr>
            <w:r>
              <w:rPr>
                <w:kern w:val="0"/>
                <w:sz w:val="24"/>
              </w:rPr>
              <w:t>5.4</w:t>
            </w:r>
            <w:r>
              <w:rPr>
                <w:rFonts w:hint="eastAsia"/>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269" w:type="dxa"/>
            <w:tcMar>
              <w:top w:w="0" w:type="dxa"/>
              <w:left w:w="108" w:type="dxa"/>
              <w:bottom w:w="0" w:type="dxa"/>
              <w:right w:w="108" w:type="dxa"/>
            </w:tcMar>
            <w:vAlign w:val="center"/>
          </w:tcPr>
          <w:p>
            <w:pPr>
              <w:widowControl/>
              <w:spacing w:line="260" w:lineRule="exact"/>
              <w:jc w:val="center"/>
              <w:rPr>
                <w:kern w:val="0"/>
                <w:sz w:val="24"/>
              </w:rPr>
            </w:pPr>
            <w:r>
              <w:rPr>
                <w:kern w:val="0"/>
                <w:sz w:val="24"/>
              </w:rPr>
              <w:t>评价经费</w:t>
            </w:r>
          </w:p>
          <w:p>
            <w:pPr>
              <w:widowControl/>
              <w:spacing w:line="260" w:lineRule="exact"/>
              <w:jc w:val="center"/>
              <w:rPr>
                <w:kern w:val="0"/>
                <w:sz w:val="24"/>
              </w:rPr>
            </w:pPr>
            <w:r>
              <w:rPr>
                <w:kern w:val="0"/>
                <w:sz w:val="24"/>
              </w:rPr>
              <w:t>(万元)</w:t>
            </w:r>
          </w:p>
        </w:tc>
        <w:tc>
          <w:tcPr>
            <w:tcW w:w="2064" w:type="dxa"/>
            <w:tcMar>
              <w:top w:w="0" w:type="dxa"/>
              <w:left w:w="108" w:type="dxa"/>
              <w:bottom w:w="0" w:type="dxa"/>
              <w:right w:w="108" w:type="dxa"/>
            </w:tcMar>
            <w:vAlign w:val="center"/>
          </w:tcPr>
          <w:p>
            <w:pPr>
              <w:widowControl/>
              <w:spacing w:line="260" w:lineRule="exact"/>
              <w:jc w:val="center"/>
              <w:rPr>
                <w:kern w:val="0"/>
                <w:sz w:val="24"/>
              </w:rPr>
            </w:pPr>
            <w:r>
              <w:rPr>
                <w:kern w:val="0"/>
                <w:sz w:val="24"/>
              </w:rPr>
              <w:t>-</w:t>
            </w:r>
          </w:p>
        </w:tc>
        <w:tc>
          <w:tcPr>
            <w:tcW w:w="1586" w:type="dxa"/>
            <w:gridSpan w:val="2"/>
            <w:tcMar>
              <w:top w:w="0" w:type="dxa"/>
              <w:left w:w="108" w:type="dxa"/>
              <w:bottom w:w="0" w:type="dxa"/>
              <w:right w:w="108" w:type="dxa"/>
            </w:tcMar>
            <w:vAlign w:val="center"/>
          </w:tcPr>
          <w:p>
            <w:pPr>
              <w:widowControl/>
              <w:spacing w:line="260" w:lineRule="exact"/>
              <w:jc w:val="center"/>
              <w:rPr>
                <w:kern w:val="0"/>
                <w:sz w:val="24"/>
              </w:rPr>
            </w:pPr>
            <w:r>
              <w:rPr>
                <w:kern w:val="0"/>
                <w:sz w:val="24"/>
              </w:rPr>
              <w:t>预期投产日期</w:t>
            </w:r>
          </w:p>
        </w:tc>
        <w:tc>
          <w:tcPr>
            <w:tcW w:w="3723" w:type="dxa"/>
            <w:gridSpan w:val="4"/>
            <w:vAlign w:val="center"/>
          </w:tcPr>
          <w:p>
            <w:pPr>
              <w:widowControl/>
              <w:spacing w:line="260" w:lineRule="exact"/>
              <w:jc w:val="center"/>
              <w:rPr>
                <w:kern w:val="0"/>
                <w:sz w:val="24"/>
              </w:rPr>
            </w:pPr>
            <w:r>
              <w:rPr>
                <w:rFonts w:hint="eastAsia"/>
                <w:kern w:val="0"/>
                <w:sz w:val="24"/>
              </w:rPr>
              <w:t>202</w:t>
            </w:r>
            <w:r>
              <w:rPr>
                <w:kern w:val="0"/>
                <w:sz w:val="24"/>
              </w:rPr>
              <w:t>1</w:t>
            </w:r>
            <w:r>
              <w:rPr>
                <w:rFonts w:hint="eastAsia"/>
                <w:kern w:val="0"/>
                <w:sz w:val="24"/>
              </w:rPr>
              <w:t>年</w:t>
            </w:r>
            <w:r>
              <w:rPr>
                <w:kern w:val="0"/>
                <w:sz w:val="24"/>
              </w:rPr>
              <w:t>6</w:t>
            </w:r>
            <w:r>
              <w:rPr>
                <w:rFonts w:hint="eastAsia"/>
                <w:kern w:val="0"/>
                <w:sz w:val="24"/>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7" w:hRule="atLeast"/>
          <w:jc w:val="center"/>
        </w:trPr>
        <w:tc>
          <w:tcPr>
            <w:tcW w:w="8642" w:type="dxa"/>
            <w:gridSpan w:val="8"/>
            <w:tcMar>
              <w:top w:w="0" w:type="dxa"/>
              <w:left w:w="108" w:type="dxa"/>
              <w:bottom w:w="0" w:type="dxa"/>
              <w:right w:w="108" w:type="dxa"/>
            </w:tcMar>
            <w:vAlign w:val="center"/>
          </w:tcPr>
          <w:p>
            <w:pPr>
              <w:adjustRightInd w:val="0"/>
              <w:snapToGrid w:val="0"/>
              <w:spacing w:line="360" w:lineRule="auto"/>
              <w:rPr>
                <w:b/>
                <w:kern w:val="0"/>
                <w:sz w:val="28"/>
                <w:szCs w:val="28"/>
              </w:rPr>
            </w:pPr>
            <w:r>
              <w:rPr>
                <w:b/>
                <w:kern w:val="0"/>
                <w:sz w:val="28"/>
                <w:szCs w:val="28"/>
              </w:rPr>
              <w:t>工程内容及规模：</w:t>
            </w:r>
          </w:p>
          <w:p>
            <w:pPr>
              <w:pStyle w:val="36"/>
              <w:numPr>
                <w:ilvl w:val="0"/>
                <w:numId w:val="1"/>
              </w:numPr>
              <w:spacing w:line="360" w:lineRule="auto"/>
              <w:ind w:firstLineChars="0"/>
              <w:rPr>
                <w:rFonts w:eastAsia="黑体"/>
                <w:bCs/>
                <w:sz w:val="24"/>
              </w:rPr>
            </w:pPr>
            <w:r>
              <w:rPr>
                <w:rFonts w:eastAsia="黑体"/>
                <w:bCs/>
                <w:sz w:val="24"/>
              </w:rPr>
              <w:t>项目</w:t>
            </w:r>
            <w:r>
              <w:rPr>
                <w:rFonts w:hint="eastAsia" w:eastAsia="黑体"/>
                <w:bCs/>
                <w:sz w:val="24"/>
              </w:rPr>
              <w:t>背景</w:t>
            </w:r>
          </w:p>
          <w:p>
            <w:pPr>
              <w:adjustRightInd w:val="0"/>
              <w:snapToGrid w:val="0"/>
              <w:spacing w:line="360" w:lineRule="auto"/>
              <w:ind w:firstLine="482"/>
              <w:rPr>
                <w:sz w:val="24"/>
              </w:rPr>
            </w:pPr>
            <w:r>
              <w:rPr>
                <w:rFonts w:hint="eastAsia"/>
                <w:sz w:val="24"/>
              </w:rPr>
              <w:t>陕西广兴华创材料科技有限公司成立于2020年7月16日并取得营业执照，主要经营业务包括玻璃纤维及制品销售，高性能纤维及复合材料制造，塑料制品制造等。企业租赁咸阳伟杰商贸有限公司闲置厂房进行项目建设，位于西咸新区秦汉新城双照街办咸平路大王村十字北500米。</w:t>
            </w:r>
          </w:p>
          <w:p>
            <w:pPr>
              <w:adjustRightInd w:val="0"/>
              <w:snapToGrid w:val="0"/>
              <w:spacing w:line="360" w:lineRule="auto"/>
              <w:ind w:firstLine="482"/>
              <w:rPr>
                <w:sz w:val="24"/>
              </w:rPr>
            </w:pPr>
            <w:r>
              <w:rPr>
                <w:rFonts w:hint="eastAsia"/>
                <w:sz w:val="24"/>
              </w:rPr>
              <w:t>EPS板、XPS板产品广泛用于建筑业的保温隔热、楼外饰及家庭装修等领域，是目前市场公认的最佳保温、装饰材料。近年来，随着我国的保温装饰材料的发展趋于产业化，新建住宅将从规划、设计、相关材料及设备的应用等方面采取节能措施，提高住宅质量，提倡使用新材料、新技术、新工艺代工建筑材料工业的升级换代。所以，具有高水平绝热技术的装饰材料EPS、XPS发泡板材，将面对一个巨大的市场，根据陕西市场需求，陕西广兴华创材料科技有限公司租用咸阳</w:t>
            </w:r>
            <w:r>
              <w:rPr>
                <w:rFonts w:hint="eastAsia"/>
                <w:kern w:val="0"/>
                <w:sz w:val="24"/>
              </w:rPr>
              <w:t>伟杰商贸有限公司闲置厂房</w:t>
            </w:r>
            <w:r>
              <w:rPr>
                <w:rFonts w:hint="eastAsia"/>
                <w:sz w:val="24"/>
              </w:rPr>
              <w:t>建设年产20万立方聚苯板建设项目</w:t>
            </w:r>
            <w:r>
              <w:rPr>
                <w:sz w:val="24"/>
              </w:rPr>
              <w:t>。</w:t>
            </w:r>
          </w:p>
          <w:p>
            <w:pPr>
              <w:adjustRightInd w:val="0"/>
              <w:snapToGrid w:val="0"/>
              <w:spacing w:line="360" w:lineRule="auto"/>
              <w:ind w:firstLine="475" w:firstLineChars="198"/>
              <w:rPr>
                <w:sz w:val="24"/>
              </w:rPr>
            </w:pPr>
            <w:r>
              <w:rPr>
                <w:rFonts w:hint="eastAsia"/>
                <w:sz w:val="24"/>
              </w:rPr>
              <w:t>本项目建设内容包括：租赁咸阳伟杰商贸有限公司车一座3500m</w:t>
            </w:r>
            <w:r>
              <w:rPr>
                <w:rFonts w:hint="eastAsia"/>
                <w:sz w:val="24"/>
                <w:vertAlign w:val="superscript"/>
              </w:rPr>
              <w:t>2</w:t>
            </w:r>
            <w:r>
              <w:rPr>
                <w:rFonts w:hint="eastAsia"/>
                <w:sz w:val="24"/>
              </w:rPr>
              <w:t>，办公楼半座1565m</w:t>
            </w:r>
            <w:r>
              <w:rPr>
                <w:rFonts w:hint="eastAsia"/>
                <w:sz w:val="24"/>
                <w:vertAlign w:val="superscript"/>
              </w:rPr>
              <w:t>2</w:t>
            </w:r>
            <w:r>
              <w:rPr>
                <w:rFonts w:hint="eastAsia"/>
                <w:sz w:val="24"/>
              </w:rPr>
              <w:t>，空地4000m</w:t>
            </w:r>
            <w:r>
              <w:rPr>
                <w:rFonts w:hint="eastAsia"/>
                <w:sz w:val="24"/>
                <w:vertAlign w:val="superscript"/>
              </w:rPr>
              <w:t>2</w:t>
            </w:r>
            <w:r>
              <w:rPr>
                <w:rFonts w:hint="eastAsia"/>
                <w:sz w:val="24"/>
              </w:rPr>
              <w:t>。其中，车间内设原料库房30m</w:t>
            </w:r>
            <w:r>
              <w:rPr>
                <w:rFonts w:hint="eastAsia"/>
                <w:sz w:val="24"/>
                <w:vertAlign w:val="superscript"/>
              </w:rPr>
              <w:t>2</w:t>
            </w:r>
            <w:r>
              <w:rPr>
                <w:rFonts w:hint="eastAsia"/>
                <w:sz w:val="24"/>
              </w:rPr>
              <w:t>，锅炉房180m</w:t>
            </w:r>
            <w:r>
              <w:rPr>
                <w:rFonts w:hint="eastAsia"/>
                <w:sz w:val="24"/>
                <w:vertAlign w:val="superscript"/>
              </w:rPr>
              <w:t>2</w:t>
            </w:r>
            <w:r>
              <w:rPr>
                <w:rFonts w:hint="eastAsia"/>
                <w:sz w:val="24"/>
              </w:rPr>
              <w:t>，生产区域2645m</w:t>
            </w:r>
            <w:r>
              <w:rPr>
                <w:rFonts w:hint="eastAsia"/>
                <w:sz w:val="24"/>
                <w:vertAlign w:val="superscript"/>
              </w:rPr>
              <w:t>2</w:t>
            </w:r>
            <w:r>
              <w:rPr>
                <w:rFonts w:hint="eastAsia"/>
                <w:sz w:val="24"/>
              </w:rPr>
              <w:t>，熟化区180m</w:t>
            </w:r>
            <w:r>
              <w:rPr>
                <w:rFonts w:hint="eastAsia"/>
                <w:sz w:val="24"/>
                <w:vertAlign w:val="superscript"/>
              </w:rPr>
              <w:t>2</w:t>
            </w:r>
            <w:r>
              <w:rPr>
                <w:rFonts w:hint="eastAsia"/>
                <w:sz w:val="24"/>
              </w:rPr>
              <w:t>，陈放室465m</w:t>
            </w:r>
            <w:r>
              <w:rPr>
                <w:rFonts w:hint="eastAsia"/>
                <w:sz w:val="24"/>
                <w:vertAlign w:val="superscript"/>
              </w:rPr>
              <w:t>2</w:t>
            </w:r>
            <w:r>
              <w:rPr>
                <w:rFonts w:hint="eastAsia"/>
                <w:sz w:val="24"/>
              </w:rPr>
              <w:t>，建设2条E</w:t>
            </w:r>
            <w:r>
              <w:rPr>
                <w:sz w:val="24"/>
              </w:rPr>
              <w:t>PS</w:t>
            </w:r>
            <w:r>
              <w:rPr>
                <w:rFonts w:hint="eastAsia"/>
                <w:sz w:val="24"/>
              </w:rPr>
              <w:t>板生产线、1条X</w:t>
            </w:r>
            <w:r>
              <w:rPr>
                <w:sz w:val="24"/>
              </w:rPr>
              <w:t>PS</w:t>
            </w:r>
            <w:r>
              <w:rPr>
                <w:rFonts w:hint="eastAsia"/>
                <w:sz w:val="24"/>
              </w:rPr>
              <w:t>板生产线。年产1</w:t>
            </w:r>
            <w:r>
              <w:rPr>
                <w:sz w:val="24"/>
              </w:rPr>
              <w:t>0</w:t>
            </w:r>
            <w:r>
              <w:rPr>
                <w:rFonts w:hint="eastAsia"/>
                <w:sz w:val="24"/>
              </w:rPr>
              <w:t>万m</w:t>
            </w:r>
            <w:r>
              <w:rPr>
                <w:sz w:val="24"/>
                <w:vertAlign w:val="superscript"/>
              </w:rPr>
              <w:t>3</w:t>
            </w:r>
            <w:r>
              <w:rPr>
                <w:rFonts w:hint="eastAsia"/>
                <w:sz w:val="24"/>
              </w:rPr>
              <w:t>E</w:t>
            </w:r>
            <w:r>
              <w:rPr>
                <w:sz w:val="24"/>
              </w:rPr>
              <w:t>PS</w:t>
            </w:r>
            <w:r>
              <w:rPr>
                <w:rFonts w:hint="eastAsia"/>
                <w:sz w:val="24"/>
              </w:rPr>
              <w:t>板、1</w:t>
            </w:r>
            <w:r>
              <w:rPr>
                <w:sz w:val="24"/>
              </w:rPr>
              <w:t>0</w:t>
            </w:r>
            <w:r>
              <w:rPr>
                <w:rFonts w:hint="eastAsia"/>
                <w:sz w:val="24"/>
              </w:rPr>
              <w:t>万m</w:t>
            </w:r>
            <w:r>
              <w:rPr>
                <w:sz w:val="24"/>
                <w:vertAlign w:val="superscript"/>
              </w:rPr>
              <w:t>3</w:t>
            </w:r>
            <w:r>
              <w:rPr>
                <w:sz w:val="24"/>
              </w:rPr>
              <w:t>XPS</w:t>
            </w:r>
            <w:r>
              <w:rPr>
                <w:rFonts w:hint="eastAsia"/>
                <w:sz w:val="24"/>
              </w:rPr>
              <w:t>板。</w:t>
            </w:r>
          </w:p>
          <w:p>
            <w:pPr>
              <w:adjustRightInd w:val="0"/>
              <w:snapToGrid w:val="0"/>
              <w:spacing w:line="360" w:lineRule="auto"/>
              <w:ind w:firstLine="475" w:firstLineChars="198"/>
              <w:rPr>
                <w:sz w:val="24"/>
              </w:rPr>
            </w:pPr>
            <w:r>
              <w:rPr>
                <w:color w:val="000000"/>
                <w:sz w:val="24"/>
                <w:lang w:val="en-GB"/>
              </w:rPr>
              <w:t>根据国务院《建设项目环境保护管理条例》和</w:t>
            </w:r>
            <w:r>
              <w:rPr>
                <w:bCs/>
                <w:color w:val="000000"/>
                <w:sz w:val="24"/>
                <w:lang w:val="en-GB"/>
              </w:rPr>
              <w:t>环境保护部</w:t>
            </w:r>
            <w:r>
              <w:rPr>
                <w:color w:val="000000"/>
                <w:sz w:val="24"/>
              </w:rPr>
              <w:t>《建设项目环境影响评价分类管理名录》</w:t>
            </w:r>
            <w:r>
              <w:rPr>
                <w:bCs/>
                <w:color w:val="000000"/>
                <w:sz w:val="24"/>
                <w:lang w:val="en-GB"/>
              </w:rPr>
              <w:t>要求</w:t>
            </w:r>
            <w:r>
              <w:rPr>
                <w:color w:val="000000"/>
                <w:sz w:val="24"/>
                <w:lang w:val="en-GB"/>
              </w:rPr>
              <w:t>的有关规定及当地环保部门的管理要求，</w:t>
            </w:r>
            <w:r>
              <w:rPr>
                <w:color w:val="00B0F0"/>
                <w:sz w:val="24"/>
                <w:lang w:val="en-GB"/>
              </w:rPr>
              <w:t>该项目应进行</w:t>
            </w:r>
            <w:r>
              <w:rPr>
                <w:bCs/>
                <w:color w:val="00B0F0"/>
                <w:sz w:val="24"/>
                <w:lang w:val="en-GB"/>
              </w:rPr>
              <w:t>环境影响评价</w:t>
            </w:r>
            <w:r>
              <w:rPr>
                <w:rFonts w:hint="eastAsia"/>
                <w:bCs/>
                <w:color w:val="00B0F0"/>
                <w:sz w:val="24"/>
                <w:lang w:val="en-GB"/>
              </w:rPr>
              <w:t>。</w:t>
            </w:r>
            <w:r>
              <w:rPr>
                <w:rFonts w:hint="eastAsia"/>
                <w:color w:val="00B0F0"/>
                <w:sz w:val="24"/>
              </w:rPr>
              <w:t>本</w:t>
            </w:r>
            <w:r>
              <w:rPr>
                <w:color w:val="00B0F0"/>
                <w:sz w:val="24"/>
              </w:rPr>
              <w:t>项目</w:t>
            </w:r>
            <w:r>
              <w:rPr>
                <w:rFonts w:hint="eastAsia"/>
                <w:color w:val="00B0F0"/>
                <w:sz w:val="24"/>
              </w:rPr>
              <w:t>分类属于“十八、橡胶和塑料制品业 47、塑料制品制造—其他”，</w:t>
            </w:r>
            <w:r>
              <w:rPr>
                <w:rFonts w:hint="eastAsia"/>
                <w:bCs/>
                <w:color w:val="000000"/>
                <w:sz w:val="24"/>
                <w:lang w:val="en-GB"/>
              </w:rPr>
              <w:t>根据分类管理名录</w:t>
            </w:r>
            <w:r>
              <w:rPr>
                <w:bCs/>
                <w:color w:val="000000"/>
                <w:sz w:val="24"/>
                <w:lang w:val="en-GB"/>
              </w:rPr>
              <w:t>编制环境影响报告表。</w:t>
            </w:r>
            <w:r>
              <w:rPr>
                <w:rFonts w:hint="eastAsia"/>
                <w:color w:val="000000"/>
                <w:sz w:val="24"/>
                <w:lang w:val="en-GB"/>
              </w:rPr>
              <w:t>陕西广兴华创材料科技有限公司</w:t>
            </w:r>
            <w:r>
              <w:rPr>
                <w:bCs/>
                <w:color w:val="000000"/>
                <w:sz w:val="24"/>
                <w:lang w:val="en-GB"/>
              </w:rPr>
              <w:t>于2020年</w:t>
            </w:r>
            <w:r>
              <w:rPr>
                <w:bCs/>
                <w:color w:val="000000"/>
                <w:sz w:val="24"/>
              </w:rPr>
              <w:t>9</w:t>
            </w:r>
            <w:r>
              <w:rPr>
                <w:bCs/>
                <w:color w:val="000000"/>
                <w:sz w:val="24"/>
                <w:lang w:val="en-GB"/>
              </w:rPr>
              <w:t>月</w:t>
            </w:r>
            <w:r>
              <w:rPr>
                <w:rFonts w:hint="eastAsia"/>
                <w:bCs/>
                <w:color w:val="000000"/>
                <w:sz w:val="24"/>
                <w:lang w:val="en-GB"/>
              </w:rPr>
              <w:t>2</w:t>
            </w:r>
            <w:r>
              <w:rPr>
                <w:bCs/>
                <w:color w:val="000000"/>
                <w:sz w:val="24"/>
                <w:lang w:val="en-GB"/>
              </w:rPr>
              <w:t>9日委托核工业二</w:t>
            </w:r>
            <w:r>
              <w:rPr>
                <w:rFonts w:hint="eastAsia"/>
                <w:bCs/>
                <w:color w:val="000000"/>
                <w:sz w:val="24"/>
                <w:lang w:val="en-GB"/>
              </w:rPr>
              <w:t>0</w:t>
            </w:r>
            <w:r>
              <w:rPr>
                <w:bCs/>
                <w:color w:val="000000"/>
                <w:sz w:val="24"/>
                <w:lang w:val="en-GB"/>
              </w:rPr>
              <w:t>三研究所编制《</w:t>
            </w:r>
            <w:r>
              <w:rPr>
                <w:rFonts w:hint="eastAsia"/>
                <w:color w:val="000000"/>
                <w:sz w:val="24"/>
                <w:lang w:val="en-GB"/>
              </w:rPr>
              <w:t>年产20万立方聚苯板建设项目</w:t>
            </w:r>
            <w:r>
              <w:rPr>
                <w:color w:val="000000"/>
                <w:sz w:val="24"/>
                <w:lang w:val="en-GB"/>
              </w:rPr>
              <w:t>环境影响报告表</w:t>
            </w:r>
            <w:r>
              <w:rPr>
                <w:bCs/>
                <w:color w:val="000000"/>
                <w:sz w:val="24"/>
                <w:lang w:val="en-GB"/>
              </w:rPr>
              <w:t>》</w:t>
            </w:r>
            <w:r>
              <w:rPr>
                <w:color w:val="000000"/>
                <w:sz w:val="24"/>
                <w:lang w:val="en-GB"/>
              </w:rPr>
              <w:t>，接受委托后，我所立即组织相关技术人员对项目建设地进行了踏勘与调查</w:t>
            </w:r>
            <w:r>
              <w:rPr>
                <w:rFonts w:hint="eastAsia"/>
                <w:color w:val="000000"/>
                <w:sz w:val="24"/>
                <w:lang w:val="en-GB"/>
              </w:rPr>
              <w:t>。</w:t>
            </w:r>
            <w:r>
              <w:rPr>
                <w:rFonts w:hint="eastAsia"/>
                <w:sz w:val="24"/>
              </w:rPr>
              <w:t>根据现场踏勘，生产车间和办公楼均由咸阳伟杰商贸有限公司承建，建设已完成，目前尚未有设备入场。</w:t>
            </w:r>
            <w:r>
              <w:rPr>
                <w:rFonts w:hint="eastAsia"/>
                <w:color w:val="000000"/>
                <w:sz w:val="24"/>
                <w:lang w:val="en-GB"/>
              </w:rPr>
              <w:t>目前，</w:t>
            </w:r>
            <w:r>
              <w:rPr>
                <w:color w:val="000000"/>
                <w:sz w:val="24"/>
                <w:lang w:val="en-GB"/>
              </w:rPr>
              <w:t>按照国家法律法规及环评技术导则的要求，</w:t>
            </w:r>
            <w:r>
              <w:rPr>
                <w:color w:val="000000"/>
                <w:sz w:val="24"/>
              </w:rPr>
              <w:t>编制</w:t>
            </w:r>
            <w:r>
              <w:rPr>
                <w:color w:val="000000"/>
                <w:sz w:val="24"/>
                <w:lang w:val="en-GB"/>
              </w:rPr>
              <w:t>完成了《</w:t>
            </w:r>
            <w:r>
              <w:rPr>
                <w:rFonts w:hint="eastAsia"/>
                <w:color w:val="000000"/>
                <w:sz w:val="24"/>
                <w:lang w:val="en-GB"/>
              </w:rPr>
              <w:t>年产20万立方聚苯板建设项目</w:t>
            </w:r>
            <w:r>
              <w:rPr>
                <w:color w:val="000000"/>
                <w:sz w:val="24"/>
                <w:lang w:val="en-GB"/>
              </w:rPr>
              <w:t>环境影响报告表》</w:t>
            </w:r>
            <w:r>
              <w:rPr>
                <w:color w:val="000000"/>
                <w:sz w:val="24"/>
              </w:rPr>
              <w:t>。</w:t>
            </w:r>
          </w:p>
          <w:p>
            <w:pPr>
              <w:pStyle w:val="36"/>
              <w:numPr>
                <w:ilvl w:val="0"/>
                <w:numId w:val="1"/>
              </w:numPr>
              <w:spacing w:line="360" w:lineRule="auto"/>
              <w:ind w:firstLineChars="0"/>
              <w:rPr>
                <w:rFonts w:eastAsia="黑体"/>
                <w:sz w:val="24"/>
              </w:rPr>
            </w:pPr>
            <w:r>
              <w:rPr>
                <w:rFonts w:hint="eastAsia" w:eastAsia="黑体"/>
                <w:sz w:val="24"/>
              </w:rPr>
              <w:t>相关分析判定结论</w:t>
            </w:r>
          </w:p>
          <w:p>
            <w:pPr>
              <w:spacing w:line="360" w:lineRule="auto"/>
              <w:ind w:firstLine="480" w:firstLineChars="200"/>
              <w:rPr>
                <w:rFonts w:eastAsia="黑体"/>
                <w:sz w:val="24"/>
              </w:rPr>
            </w:pPr>
            <w:r>
              <w:rPr>
                <w:rFonts w:hint="eastAsia" w:eastAsia="黑体"/>
                <w:sz w:val="24"/>
              </w:rPr>
              <w:t>1、</w:t>
            </w:r>
            <w:r>
              <w:rPr>
                <w:rFonts w:hint="eastAsia"/>
                <w:b/>
                <w:bCs/>
                <w:sz w:val="24"/>
                <w:lang w:val="sq-AL"/>
              </w:rPr>
              <w:t>产业性政策符合性</w:t>
            </w:r>
          </w:p>
          <w:p>
            <w:pPr>
              <w:spacing w:line="360" w:lineRule="auto"/>
              <w:ind w:firstLine="480" w:firstLineChars="200"/>
              <w:rPr>
                <w:color w:val="000000"/>
                <w:kern w:val="0"/>
                <w:sz w:val="24"/>
              </w:rPr>
            </w:pPr>
            <w:r>
              <w:rPr>
                <w:rFonts w:hint="eastAsia"/>
                <w:color w:val="000000"/>
                <w:kern w:val="0"/>
                <w:sz w:val="24"/>
              </w:rPr>
              <w:t>（1）产业政策符合性</w:t>
            </w:r>
          </w:p>
          <w:p>
            <w:pPr>
              <w:adjustRightInd w:val="0"/>
              <w:snapToGrid w:val="0"/>
              <w:spacing w:line="360" w:lineRule="auto"/>
              <w:ind w:firstLine="480" w:firstLineChars="200"/>
              <w:rPr>
                <w:sz w:val="24"/>
              </w:rPr>
            </w:pPr>
            <w:r>
              <w:rPr>
                <w:rFonts w:hint="eastAsia"/>
                <w:color w:val="00B0F0"/>
                <w:sz w:val="24"/>
              </w:rPr>
              <w:t>本项目X</w:t>
            </w:r>
            <w:r>
              <w:rPr>
                <w:color w:val="00B0F0"/>
                <w:sz w:val="24"/>
              </w:rPr>
              <w:t>PS</w:t>
            </w:r>
            <w:r>
              <w:rPr>
                <w:rFonts w:hint="eastAsia"/>
                <w:color w:val="00B0F0"/>
                <w:sz w:val="24"/>
              </w:rPr>
              <w:t>板生产线中的发泡剂为C</w:t>
            </w:r>
            <w:r>
              <w:rPr>
                <w:color w:val="00B0F0"/>
                <w:sz w:val="24"/>
              </w:rPr>
              <w:t>O2</w:t>
            </w:r>
            <w:r>
              <w:rPr>
                <w:rFonts w:hint="eastAsia"/>
                <w:color w:val="00B0F0"/>
                <w:sz w:val="24"/>
              </w:rPr>
              <w:t>发泡剂，</w:t>
            </w:r>
            <w:r>
              <w:rPr>
                <w:color w:val="00B0F0"/>
                <w:sz w:val="24"/>
              </w:rPr>
              <w:t>根据《产业结构调整指导目录</w:t>
            </w:r>
            <w:r>
              <w:rPr>
                <w:rFonts w:hint="eastAsia"/>
                <w:color w:val="00B0F0"/>
                <w:sz w:val="24"/>
              </w:rPr>
              <w:t>2019年本</w:t>
            </w:r>
            <w:r>
              <w:rPr>
                <w:color w:val="00B0F0"/>
                <w:sz w:val="24"/>
              </w:rPr>
              <w:t>》，本项目不属于限制类</w:t>
            </w:r>
            <w:r>
              <w:rPr>
                <w:rFonts w:hint="eastAsia"/>
                <w:color w:val="00B0F0"/>
                <w:sz w:val="24"/>
              </w:rPr>
              <w:t xml:space="preserve">中十二、轻工 </w:t>
            </w:r>
            <w:r>
              <w:rPr>
                <w:color w:val="00B0F0"/>
                <w:sz w:val="24"/>
              </w:rPr>
              <w:t>3</w:t>
            </w:r>
            <w:r>
              <w:rPr>
                <w:rFonts w:hint="eastAsia"/>
                <w:color w:val="00B0F0"/>
                <w:sz w:val="24"/>
              </w:rPr>
              <w:t>、以含氢氯氟烃（H</w:t>
            </w:r>
            <w:r>
              <w:rPr>
                <w:color w:val="00B0F0"/>
                <w:sz w:val="24"/>
              </w:rPr>
              <w:t>CFCs</w:t>
            </w:r>
            <w:r>
              <w:rPr>
                <w:rFonts w:hint="eastAsia"/>
                <w:color w:val="00B0F0"/>
                <w:sz w:val="24"/>
              </w:rPr>
              <w:t>）为发泡剂的连续挤出聚苯乙烯泡沫塑料（X</w:t>
            </w:r>
            <w:r>
              <w:rPr>
                <w:color w:val="00B0F0"/>
                <w:sz w:val="24"/>
              </w:rPr>
              <w:t>PS</w:t>
            </w:r>
            <w:r>
              <w:rPr>
                <w:rFonts w:hint="eastAsia"/>
                <w:color w:val="00B0F0"/>
                <w:sz w:val="24"/>
              </w:rPr>
              <w:t>）生产线，</w:t>
            </w:r>
            <w:r>
              <w:rPr>
                <w:color w:val="00B0F0"/>
                <w:sz w:val="24"/>
              </w:rPr>
              <w:t>本项目</w:t>
            </w:r>
            <w:r>
              <w:rPr>
                <w:rFonts w:hint="eastAsia"/>
                <w:color w:val="00B0F0"/>
                <w:sz w:val="24"/>
              </w:rPr>
              <w:t>也</w:t>
            </w:r>
            <w:r>
              <w:rPr>
                <w:color w:val="00B0F0"/>
                <w:sz w:val="24"/>
              </w:rPr>
              <w:t>不属于淘汰类，因此项目为允许类；</w:t>
            </w:r>
            <w:r>
              <w:rPr>
                <w:sz w:val="24"/>
              </w:rPr>
              <w:t>同时项目也不属于《陕西省限制投资类产业指导目录》（陕发改产业［2007］97号文）中的限制类项目，因此，项目符合国家及地方产业政策要求。</w:t>
            </w:r>
          </w:p>
          <w:p>
            <w:pPr>
              <w:adjustRightInd w:val="0"/>
              <w:snapToGrid w:val="0"/>
              <w:spacing w:line="360" w:lineRule="auto"/>
              <w:ind w:firstLine="480" w:firstLineChars="200"/>
              <w:rPr>
                <w:sz w:val="24"/>
              </w:rPr>
            </w:pPr>
            <w:r>
              <w:rPr>
                <w:rFonts w:hint="eastAsia"/>
                <w:sz w:val="24"/>
              </w:rPr>
              <w:t>2020年</w:t>
            </w:r>
            <w:r>
              <w:rPr>
                <w:sz w:val="24"/>
              </w:rPr>
              <w:t>9</w:t>
            </w:r>
            <w:r>
              <w:rPr>
                <w:rFonts w:hint="eastAsia"/>
                <w:sz w:val="24"/>
              </w:rPr>
              <w:t>月1</w:t>
            </w:r>
            <w:r>
              <w:rPr>
                <w:sz w:val="24"/>
              </w:rPr>
              <w:t>8</w:t>
            </w:r>
            <w:r>
              <w:rPr>
                <w:rFonts w:hint="eastAsia"/>
                <w:sz w:val="24"/>
              </w:rPr>
              <w:t>日，陕西广兴华创材料科技有限公司取得了陕西省西咸新区秦汉新城行政审批与政务服务局关于《年产20万立方聚苯板建设项目》备案确认书（</w:t>
            </w:r>
            <w:r>
              <w:rPr>
                <w:sz w:val="24"/>
              </w:rPr>
              <w:t>2020-611204-29-03-059594</w:t>
            </w:r>
            <w:r>
              <w:rPr>
                <w:rFonts w:hint="eastAsia"/>
                <w:sz w:val="24"/>
              </w:rPr>
              <w:t>），符合国家产业政策。</w:t>
            </w:r>
          </w:p>
          <w:p>
            <w:pPr>
              <w:spacing w:line="360" w:lineRule="auto"/>
              <w:ind w:firstLine="360"/>
              <w:rPr>
                <w:color w:val="000000"/>
                <w:kern w:val="0"/>
                <w:sz w:val="24"/>
              </w:rPr>
            </w:pPr>
            <w:r>
              <w:rPr>
                <w:color w:val="000000"/>
                <w:kern w:val="0"/>
                <w:sz w:val="24"/>
              </w:rPr>
              <w:t>（2）</w:t>
            </w:r>
            <w:r>
              <w:rPr>
                <w:rFonts w:hint="eastAsia"/>
                <w:color w:val="000000"/>
                <w:kern w:val="0"/>
                <w:sz w:val="24"/>
              </w:rPr>
              <w:t>其他</w:t>
            </w:r>
            <w:r>
              <w:rPr>
                <w:color w:val="000000"/>
                <w:kern w:val="0"/>
                <w:sz w:val="24"/>
              </w:rPr>
              <w:t>相符性</w:t>
            </w:r>
          </w:p>
          <w:p>
            <w:pPr>
              <w:adjustRightInd w:val="0"/>
              <w:snapToGrid w:val="0"/>
              <w:jc w:val="center"/>
              <w:rPr>
                <w:b/>
                <w:kern w:val="0"/>
                <w:szCs w:val="21"/>
                <w:lang w:bidi="ar"/>
              </w:rPr>
            </w:pPr>
            <w:bookmarkStart w:id="0" w:name="_Hlk55894183"/>
            <w:r>
              <w:rPr>
                <w:b/>
                <w:kern w:val="0"/>
                <w:szCs w:val="21"/>
                <w:lang w:bidi="ar"/>
              </w:rPr>
              <w:t>表</w:t>
            </w:r>
            <w:r>
              <w:rPr>
                <w:rFonts w:hint="eastAsia"/>
                <w:b/>
                <w:kern w:val="0"/>
                <w:szCs w:val="21"/>
                <w:lang w:bidi="ar"/>
              </w:rPr>
              <w:t>1-1</w:t>
            </w:r>
            <w:r>
              <w:rPr>
                <w:b/>
                <w:kern w:val="0"/>
                <w:szCs w:val="21"/>
                <w:lang w:bidi="ar"/>
              </w:rPr>
              <w:t xml:space="preserve">   符合性分析</w:t>
            </w:r>
          </w:p>
          <w:bookmarkEnd w:id="0"/>
          <w:tbl>
            <w:tblPr>
              <w:tblStyle w:val="21"/>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4076"/>
              <w:gridCol w:w="2284"/>
              <w:gridCol w:w="8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4" w:type="pct"/>
                  <w:tcBorders>
                    <w:tl2br w:val="nil"/>
                    <w:tr2bl w:val="nil"/>
                  </w:tcBorders>
                  <w:vAlign w:val="center"/>
                </w:tcPr>
                <w:p>
                  <w:pPr>
                    <w:adjustRightInd w:val="0"/>
                    <w:snapToGrid w:val="0"/>
                    <w:spacing w:line="300" w:lineRule="exact"/>
                    <w:ind w:left="398" w:hanging="398"/>
                    <w:jc w:val="center"/>
                    <w:rPr>
                      <w:b/>
                      <w:spacing w:val="-6"/>
                      <w:kern w:val="0"/>
                      <w:szCs w:val="21"/>
                    </w:rPr>
                  </w:pPr>
                  <w:bookmarkStart w:id="1" w:name="_Hlk55894169"/>
                  <w:r>
                    <w:rPr>
                      <w:b/>
                      <w:spacing w:val="-6"/>
                      <w:kern w:val="0"/>
                      <w:szCs w:val="21"/>
                    </w:rPr>
                    <w:t>内容</w:t>
                  </w:r>
                </w:p>
              </w:tc>
              <w:tc>
                <w:tcPr>
                  <w:tcW w:w="2252" w:type="pct"/>
                  <w:tcBorders>
                    <w:tl2br w:val="nil"/>
                    <w:tr2bl w:val="nil"/>
                  </w:tcBorders>
                  <w:vAlign w:val="center"/>
                </w:tcPr>
                <w:p>
                  <w:pPr>
                    <w:adjustRightInd w:val="0"/>
                    <w:snapToGrid w:val="0"/>
                    <w:spacing w:line="300" w:lineRule="exact"/>
                    <w:ind w:left="398" w:hanging="398"/>
                    <w:jc w:val="center"/>
                    <w:rPr>
                      <w:b/>
                      <w:spacing w:val="-6"/>
                      <w:kern w:val="0"/>
                      <w:szCs w:val="21"/>
                    </w:rPr>
                  </w:pPr>
                  <w:r>
                    <w:rPr>
                      <w:b/>
                      <w:spacing w:val="-6"/>
                      <w:kern w:val="0"/>
                      <w:szCs w:val="21"/>
                    </w:rPr>
                    <w:t>要求</w:t>
                  </w:r>
                </w:p>
              </w:tc>
              <w:tc>
                <w:tcPr>
                  <w:tcW w:w="1262" w:type="pct"/>
                  <w:tcBorders>
                    <w:tl2br w:val="nil"/>
                    <w:tr2bl w:val="nil"/>
                  </w:tcBorders>
                  <w:vAlign w:val="center"/>
                </w:tcPr>
                <w:p>
                  <w:pPr>
                    <w:adjustRightInd w:val="0"/>
                    <w:snapToGrid w:val="0"/>
                    <w:spacing w:line="300" w:lineRule="exact"/>
                    <w:ind w:left="398" w:hanging="398"/>
                    <w:jc w:val="center"/>
                    <w:rPr>
                      <w:b/>
                      <w:spacing w:val="-6"/>
                      <w:kern w:val="0"/>
                      <w:szCs w:val="21"/>
                    </w:rPr>
                  </w:pPr>
                  <w:r>
                    <w:rPr>
                      <w:b/>
                      <w:spacing w:val="-6"/>
                      <w:kern w:val="0"/>
                      <w:szCs w:val="21"/>
                    </w:rPr>
                    <w:t>本项目情况</w:t>
                  </w:r>
                </w:p>
              </w:tc>
              <w:tc>
                <w:tcPr>
                  <w:tcW w:w="482" w:type="pct"/>
                  <w:tcBorders>
                    <w:tl2br w:val="nil"/>
                    <w:tr2bl w:val="nil"/>
                  </w:tcBorders>
                  <w:vAlign w:val="center"/>
                </w:tcPr>
                <w:p>
                  <w:pPr>
                    <w:adjustRightInd w:val="0"/>
                    <w:snapToGrid w:val="0"/>
                    <w:spacing w:line="300" w:lineRule="exact"/>
                    <w:ind w:left="398" w:hanging="398"/>
                    <w:jc w:val="center"/>
                    <w:rPr>
                      <w:b/>
                      <w:spacing w:val="-6"/>
                      <w:kern w:val="0"/>
                      <w:szCs w:val="21"/>
                    </w:rPr>
                  </w:pPr>
                  <w:r>
                    <w:rPr>
                      <w:b/>
                      <w:spacing w:val="-6"/>
                      <w:kern w:val="0"/>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4" w:type="pct"/>
                  <w:tcBorders>
                    <w:tl2br w:val="nil"/>
                    <w:tr2bl w:val="nil"/>
                  </w:tcBorders>
                  <w:vAlign w:val="center"/>
                </w:tcPr>
                <w:p>
                  <w:pPr>
                    <w:adjustRightInd w:val="0"/>
                    <w:snapToGrid w:val="0"/>
                    <w:spacing w:line="300" w:lineRule="exact"/>
                    <w:rPr>
                      <w:b/>
                      <w:spacing w:val="-6"/>
                      <w:kern w:val="0"/>
                      <w:szCs w:val="21"/>
                    </w:rPr>
                  </w:pPr>
                  <w:r>
                    <w:rPr>
                      <w:rFonts w:hint="eastAsia"/>
                      <w:szCs w:val="21"/>
                    </w:rPr>
                    <w:t>陕西省西咸新区秦汉新城分区规划（2016-2035）</w:t>
                  </w:r>
                </w:p>
              </w:tc>
              <w:tc>
                <w:tcPr>
                  <w:tcW w:w="2252" w:type="pct"/>
                  <w:tcBorders>
                    <w:tl2br w:val="nil"/>
                    <w:tr2bl w:val="nil"/>
                  </w:tcBorders>
                  <w:vAlign w:val="center"/>
                </w:tcPr>
                <w:p>
                  <w:pPr>
                    <w:adjustRightInd w:val="0"/>
                    <w:snapToGrid w:val="0"/>
                    <w:spacing w:line="300" w:lineRule="exact"/>
                    <w:rPr>
                      <w:b/>
                      <w:spacing w:val="-6"/>
                      <w:kern w:val="0"/>
                      <w:szCs w:val="21"/>
                    </w:rPr>
                  </w:pPr>
                  <w:r>
                    <w:rPr>
                      <w:rFonts w:hint="eastAsia"/>
                      <w:szCs w:val="21"/>
                    </w:rPr>
                    <w:t>产业定位为重点发展三大主导产业：都市农业及绿色食品加工业、文化旅游休闲康体产业、现代制造业与高端商贸商务服务业。</w:t>
                  </w:r>
                </w:p>
              </w:tc>
              <w:tc>
                <w:tcPr>
                  <w:tcW w:w="1262" w:type="pct"/>
                  <w:tcBorders>
                    <w:tl2br w:val="nil"/>
                    <w:tr2bl w:val="nil"/>
                  </w:tcBorders>
                  <w:vAlign w:val="center"/>
                </w:tcPr>
                <w:p>
                  <w:pPr>
                    <w:adjustRightInd w:val="0"/>
                    <w:snapToGrid w:val="0"/>
                    <w:spacing w:line="300" w:lineRule="exact"/>
                    <w:rPr>
                      <w:b/>
                      <w:spacing w:val="-6"/>
                      <w:kern w:val="0"/>
                      <w:szCs w:val="21"/>
                    </w:rPr>
                  </w:pPr>
                  <w:r>
                    <w:rPr>
                      <w:rFonts w:hint="eastAsia"/>
                      <w:szCs w:val="21"/>
                    </w:rPr>
                    <w:t>本项目属于制造业，符合新城主导产业要求。本项目用地属于工业用地。</w:t>
                  </w:r>
                </w:p>
              </w:tc>
              <w:tc>
                <w:tcPr>
                  <w:tcW w:w="482" w:type="pct"/>
                  <w:tcBorders>
                    <w:tl2br w:val="nil"/>
                    <w:tr2bl w:val="nil"/>
                  </w:tcBorders>
                  <w:vAlign w:val="center"/>
                </w:tcPr>
                <w:p>
                  <w:pPr>
                    <w:adjustRightInd w:val="0"/>
                    <w:snapToGrid w:val="0"/>
                    <w:spacing w:line="300" w:lineRule="exact"/>
                    <w:ind w:left="398" w:hanging="398"/>
                    <w:jc w:val="center"/>
                    <w:rPr>
                      <w:b/>
                      <w:spacing w:val="-6"/>
                      <w:kern w:val="0"/>
                      <w:szCs w:val="21"/>
                    </w:rPr>
                  </w:pPr>
                  <w:r>
                    <w:rPr>
                      <w:rFonts w:hint="eastAsia"/>
                      <w:bCs/>
                      <w:spacing w:val="-6"/>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4" w:type="pct"/>
                  <w:vMerge w:val="restart"/>
                  <w:tcBorders>
                    <w:tl2br w:val="nil"/>
                    <w:tr2bl w:val="nil"/>
                  </w:tcBorders>
                  <w:vAlign w:val="center"/>
                </w:tcPr>
                <w:p>
                  <w:pPr>
                    <w:widowControl/>
                    <w:adjustRightInd w:val="0"/>
                    <w:snapToGrid w:val="0"/>
                    <w:ind w:left="10" w:leftChars="5" w:right="-63" w:rightChars="-30"/>
                    <w:rPr>
                      <w:kern w:val="0"/>
                      <w:szCs w:val="21"/>
                      <w:shd w:val="clear" w:color="auto" w:fill="FFFFFF"/>
                    </w:rPr>
                  </w:pPr>
                  <w:r>
                    <w:rPr>
                      <w:kern w:val="0"/>
                      <w:szCs w:val="21"/>
                    </w:rPr>
                    <w:t>《西咸新区铁腕治霾打赢蓝天保卫战三年行动实施方案（2018-2020年）（修订版）》</w:t>
                  </w:r>
                </w:p>
              </w:tc>
              <w:tc>
                <w:tcPr>
                  <w:tcW w:w="2252" w:type="pct"/>
                  <w:tcBorders>
                    <w:tl2br w:val="nil"/>
                    <w:tr2bl w:val="nil"/>
                  </w:tcBorders>
                  <w:vAlign w:val="center"/>
                </w:tcPr>
                <w:p>
                  <w:pPr>
                    <w:widowControl/>
                    <w:adjustRightInd w:val="0"/>
                    <w:snapToGrid w:val="0"/>
                    <w:ind w:left="-63" w:leftChars="-30" w:right="-63" w:rightChars="-30" w:firstLine="420" w:firstLineChars="200"/>
                    <w:rPr>
                      <w:kern w:val="0"/>
                      <w:szCs w:val="21"/>
                      <w:shd w:val="clear" w:color="auto" w:fill="FFFFFF"/>
                    </w:rPr>
                  </w:pPr>
                  <w:r>
                    <w:rPr>
                      <w:kern w:val="0"/>
                      <w:szCs w:val="21"/>
                      <w:shd w:val="clear" w:color="auto" w:fill="FFFFFF"/>
                    </w:rPr>
                    <w:t>推进重点行业污染治理升级改造。二氧化硫、氮氧化物、颗粒物、挥发性有机物（VOCs）全面执行大气污染物特别排放限值。暂未出台大气污染物特别排放限制标准涉及挥发性有机物排放的行业执行陕西省DB61/T1061-2017《挥发性有机物排放控制标准》。推动重点行业实施超低排放改造；强化工业企业无组织排放管控，2018年10月底前，建立建材、有色、火电、铸造、玻璃等重点行业及燃煤锅炉无组织排放改造全口径清单，制定无组织排放改造方案，对物料（含废渣）运输、装卸、储存、转移和工艺过程等无组织排放实施深度治理，2019年底前完成。</w:t>
                  </w:r>
                </w:p>
                <w:p>
                  <w:pPr>
                    <w:widowControl/>
                    <w:adjustRightInd w:val="0"/>
                    <w:snapToGrid w:val="0"/>
                    <w:ind w:left="-63" w:leftChars="-30" w:right="-63" w:rightChars="-30" w:firstLine="420" w:firstLineChars="200"/>
                    <w:rPr>
                      <w:kern w:val="0"/>
                      <w:szCs w:val="21"/>
                      <w:shd w:val="clear" w:color="auto" w:fill="FFFFFF"/>
                    </w:rPr>
                  </w:pPr>
                  <w:r>
                    <w:rPr>
                      <w:kern w:val="0"/>
                      <w:szCs w:val="21"/>
                      <w:shd w:val="clear" w:color="auto" w:fill="FFFFFF"/>
                    </w:rPr>
                    <w:t>实施VOCs专项整治方案。2018年底前，制定石化、化工、工业涂装、包装印刷、家具、电子制造、工程机械制造等VOCs排放重点行业挥发性有机物整治方案。在煤化工行业开展泄漏检测与修复。禁止建设生产和使用高VOCs含量的溶剂型涂料、油墨、胶粘剂等项目，开展VOCs整治专项执法行动，严厉打击违法排污行为，对治理效果差、技术服务能力弱、运营管理水平低的治理单位，公布名单，实行联合惩戒，扶持培育VOCs治理和服务专业化规模化龙头企业。2020年，VOCs排放总量达到省级要求。</w:t>
                  </w:r>
                </w:p>
              </w:tc>
              <w:tc>
                <w:tcPr>
                  <w:tcW w:w="1262" w:type="pct"/>
                  <w:tcBorders>
                    <w:tl2br w:val="nil"/>
                    <w:tr2bl w:val="nil"/>
                  </w:tcBorders>
                  <w:vAlign w:val="center"/>
                </w:tcPr>
                <w:p>
                  <w:pPr>
                    <w:snapToGrid w:val="0"/>
                    <w:spacing w:line="300" w:lineRule="exact"/>
                    <w:ind w:firstLine="396" w:firstLineChars="200"/>
                    <w:rPr>
                      <w:bCs/>
                      <w:spacing w:val="-6"/>
                      <w:kern w:val="0"/>
                      <w:szCs w:val="21"/>
                    </w:rPr>
                  </w:pPr>
                  <w:r>
                    <w:rPr>
                      <w:bCs/>
                      <w:spacing w:val="-6"/>
                      <w:kern w:val="0"/>
                      <w:szCs w:val="21"/>
                    </w:rPr>
                    <w:t>项目使用的EPS颗粒</w:t>
                  </w:r>
                  <w:r>
                    <w:rPr>
                      <w:rFonts w:hint="eastAsia"/>
                      <w:bCs/>
                      <w:spacing w:val="-6"/>
                      <w:kern w:val="0"/>
                      <w:szCs w:val="21"/>
                    </w:rPr>
                    <w:t>（聚苯乙烯），</w:t>
                  </w:r>
                  <w:r>
                    <w:rPr>
                      <w:bCs/>
                      <w:spacing w:val="-6"/>
                      <w:kern w:val="0"/>
                      <w:szCs w:val="21"/>
                    </w:rPr>
                    <w:t>聚苯乙烯在75℃开始软化收缩，164℃开始熔融成液体，316℃开始氧化，高分子解聚为低分子聚合物，576℃开始裂解燃烧。而本项目EPS板生产所用最高温度为150℃，XPS板生产所用最高温度为210℃，原材料不会发生分解，不会产生大量有机废气，仅原材料中残存的未聚合的反应单体或原料生产过程中加入的少量加工助剂。</w:t>
                  </w:r>
                </w:p>
              </w:tc>
              <w:tc>
                <w:tcPr>
                  <w:tcW w:w="482" w:type="pct"/>
                  <w:tcBorders>
                    <w:tl2br w:val="nil"/>
                    <w:tr2bl w:val="nil"/>
                  </w:tcBorders>
                  <w:vAlign w:val="center"/>
                </w:tcPr>
                <w:p>
                  <w:pPr>
                    <w:snapToGrid w:val="0"/>
                    <w:spacing w:line="300" w:lineRule="exact"/>
                    <w:ind w:left="396" w:hanging="396"/>
                    <w:jc w:val="center"/>
                    <w:rPr>
                      <w:bCs/>
                      <w:spacing w:val="-6"/>
                      <w:kern w:val="0"/>
                      <w:szCs w:val="21"/>
                    </w:rPr>
                  </w:pPr>
                  <w:r>
                    <w:rPr>
                      <w:bCs/>
                      <w:spacing w:val="-6"/>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0" w:hRule="atLeast"/>
                <w:jc w:val="center"/>
              </w:trPr>
              <w:tc>
                <w:tcPr>
                  <w:tcW w:w="1004" w:type="pct"/>
                  <w:vMerge w:val="continue"/>
                  <w:tcBorders>
                    <w:tl2br w:val="nil"/>
                    <w:tr2bl w:val="nil"/>
                  </w:tcBorders>
                  <w:vAlign w:val="center"/>
                </w:tcPr>
                <w:p>
                  <w:pPr>
                    <w:widowControl/>
                    <w:adjustRightInd w:val="0"/>
                    <w:snapToGrid w:val="0"/>
                    <w:ind w:left="357" w:leftChars="-30" w:right="-63" w:rightChars="-30" w:hanging="420"/>
                    <w:jc w:val="center"/>
                    <w:rPr>
                      <w:kern w:val="0"/>
                      <w:szCs w:val="21"/>
                    </w:rPr>
                  </w:pPr>
                </w:p>
              </w:tc>
              <w:tc>
                <w:tcPr>
                  <w:tcW w:w="2252" w:type="pct"/>
                  <w:tcBorders>
                    <w:tl2br w:val="nil"/>
                    <w:tr2bl w:val="nil"/>
                  </w:tcBorders>
                  <w:vAlign w:val="center"/>
                </w:tcPr>
                <w:p>
                  <w:pPr>
                    <w:widowControl/>
                    <w:adjustRightInd w:val="0"/>
                    <w:snapToGrid w:val="0"/>
                    <w:ind w:left="-63" w:leftChars="-30" w:right="-63" w:rightChars="-30" w:firstLine="420" w:firstLineChars="200"/>
                    <w:rPr>
                      <w:kern w:val="0"/>
                      <w:szCs w:val="21"/>
                      <w:shd w:val="clear" w:color="auto" w:fill="FFFFFF"/>
                    </w:rPr>
                  </w:pPr>
                  <w:r>
                    <w:rPr>
                      <w:kern w:val="0"/>
                      <w:szCs w:val="21"/>
                      <w:shd w:val="clear" w:color="auto" w:fill="FFFFFF"/>
                    </w:rPr>
                    <w:t>开展燃煤锅炉综合整治。新区不再新建燃煤锅炉，现有每小时65蒸吨及以上燃煤锅炉全部完成节能和超低排放改造。2019年底前，完成35蒸吨以下燃煤锅炉（每小时20蒸吨及以上已完成超低改造的除外）及茶水炉、经营性炉灶、储粮烘干设备、煤气发生炉、热风炉、导热油炉等燃煤设施淘汰或清洁能源改造，其中2018年完成地方性燃煤锅炉拆除，持续推进驻军单位锅炉“煤改洁”。</w:t>
                  </w:r>
                </w:p>
                <w:p>
                  <w:pPr>
                    <w:widowControl/>
                    <w:wordWrap w:val="0"/>
                    <w:adjustRightInd w:val="0"/>
                    <w:snapToGrid w:val="0"/>
                    <w:ind w:left="-63" w:leftChars="-30" w:right="-63" w:rightChars="-30" w:firstLine="420" w:firstLineChars="200"/>
                    <w:rPr>
                      <w:kern w:val="0"/>
                      <w:szCs w:val="21"/>
                      <w:shd w:val="clear" w:color="auto" w:fill="FFFFFF"/>
                    </w:rPr>
                  </w:pPr>
                  <w:r>
                    <w:rPr>
                      <w:kern w:val="0"/>
                      <w:szCs w:val="21"/>
                      <w:shd w:val="clear" w:color="auto" w:fill="FFFFFF"/>
                    </w:rPr>
                    <w:t>开展燃气锅炉低氮燃烧改造。2019年底前，完成现有燃气锅炉低氮燃烧改造，其中，生产经营类天然气锅炉2018年全部完成。改造后的氮氧化物排放不高于80毫克/立方米；鼓励企业积极按照更加严格的排放标准（即30毫克/立方米）进行改造。生物质锅炉实施超低排放改造。</w:t>
                  </w:r>
                </w:p>
              </w:tc>
              <w:tc>
                <w:tcPr>
                  <w:tcW w:w="1262" w:type="pct"/>
                  <w:tcBorders>
                    <w:tl2br w:val="nil"/>
                    <w:tr2bl w:val="nil"/>
                  </w:tcBorders>
                  <w:vAlign w:val="center"/>
                </w:tcPr>
                <w:p>
                  <w:pPr>
                    <w:snapToGrid w:val="0"/>
                    <w:spacing w:line="300" w:lineRule="exact"/>
                    <w:ind w:firstLine="396" w:firstLineChars="200"/>
                    <w:rPr>
                      <w:bCs/>
                      <w:spacing w:val="-6"/>
                      <w:kern w:val="0"/>
                      <w:szCs w:val="21"/>
                    </w:rPr>
                  </w:pPr>
                  <w:r>
                    <w:rPr>
                      <w:bCs/>
                      <w:spacing w:val="-6"/>
                      <w:kern w:val="0"/>
                      <w:szCs w:val="21"/>
                    </w:rPr>
                    <w:t>项目热源由两台2t/h天然气锅炉供给，并采取低氮燃烧技术，符合政策要求。</w:t>
                  </w:r>
                </w:p>
              </w:tc>
              <w:tc>
                <w:tcPr>
                  <w:tcW w:w="482" w:type="pct"/>
                  <w:tcBorders>
                    <w:tl2br w:val="nil"/>
                    <w:tr2bl w:val="nil"/>
                  </w:tcBorders>
                  <w:vAlign w:val="center"/>
                </w:tcPr>
                <w:p>
                  <w:pPr>
                    <w:snapToGrid w:val="0"/>
                    <w:spacing w:line="300" w:lineRule="exact"/>
                    <w:ind w:left="396" w:hanging="396"/>
                    <w:jc w:val="center"/>
                    <w:rPr>
                      <w:bCs/>
                      <w:spacing w:val="-6"/>
                      <w:kern w:val="0"/>
                      <w:szCs w:val="21"/>
                    </w:rPr>
                  </w:pPr>
                  <w:r>
                    <w:rPr>
                      <w:bCs/>
                      <w:spacing w:val="-6"/>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4" w:type="pct"/>
                  <w:tcBorders>
                    <w:tl2br w:val="nil"/>
                    <w:tr2bl w:val="nil"/>
                  </w:tcBorders>
                  <w:vAlign w:val="center"/>
                </w:tcPr>
                <w:p>
                  <w:pPr>
                    <w:widowControl/>
                    <w:adjustRightInd w:val="0"/>
                    <w:snapToGrid w:val="0"/>
                    <w:ind w:left="10" w:leftChars="5" w:right="-63" w:rightChars="-30"/>
                    <w:rPr>
                      <w:kern w:val="0"/>
                      <w:szCs w:val="21"/>
                      <w:shd w:val="clear" w:color="auto" w:fill="FFFFFF"/>
                    </w:rPr>
                  </w:pPr>
                  <w:r>
                    <w:rPr>
                      <w:kern w:val="0"/>
                      <w:szCs w:val="21"/>
                    </w:rPr>
                    <w:t>《陕西省铁腕治霾打赢蓝天保卫战三年行动方案(2018-2020年)（修订版）》（陕政发〔2018〕29号）</w:t>
                  </w:r>
                </w:p>
              </w:tc>
              <w:tc>
                <w:tcPr>
                  <w:tcW w:w="2252" w:type="pct"/>
                  <w:tcBorders>
                    <w:tl2br w:val="nil"/>
                    <w:tr2bl w:val="nil"/>
                  </w:tcBorders>
                  <w:vAlign w:val="center"/>
                </w:tcPr>
                <w:p>
                  <w:pPr>
                    <w:widowControl/>
                    <w:adjustRightInd w:val="0"/>
                    <w:snapToGrid w:val="0"/>
                    <w:ind w:left="-63" w:leftChars="-30" w:right="-63" w:rightChars="-30" w:firstLine="420" w:firstLineChars="200"/>
                    <w:rPr>
                      <w:kern w:val="0"/>
                      <w:szCs w:val="21"/>
                      <w:shd w:val="clear" w:color="auto" w:fill="FFFFFF"/>
                    </w:rPr>
                  </w:pPr>
                  <w:r>
                    <w:rPr>
                      <w:bCs/>
                      <w:kern w:val="0"/>
                      <w:szCs w:val="21"/>
                    </w:rPr>
                    <w:t>实施VOCs专项整治方案。各市制订石化、化工、工业涂装、包装印刷、家具、电子制造、工程机械制造等VOCs排放重点行业挥发性有机物整治方案。在煤化工行业开展泄漏检测与修复。关中地区禁止建设生产和使用高VOCs含量的溶剂型涂料、油墨、胶粘剂等项目，开展VOCs整治专项执法行动，严厉打击违法排污行为，对治理效果差、技术服务能力弱、运营管理水平低的治理单位，公布名单，实行联合惩戒，扶持培育VOCs治理和服务专业化规模化龙头企业。2020年，VOCs排放总量达到国家污染物总量减排任务要求。</w:t>
                  </w:r>
                </w:p>
              </w:tc>
              <w:tc>
                <w:tcPr>
                  <w:tcW w:w="1262" w:type="pct"/>
                  <w:vMerge w:val="restart"/>
                  <w:tcBorders>
                    <w:tl2br w:val="nil"/>
                    <w:tr2bl w:val="nil"/>
                  </w:tcBorders>
                  <w:vAlign w:val="center"/>
                </w:tcPr>
                <w:p>
                  <w:pPr>
                    <w:snapToGrid w:val="0"/>
                    <w:spacing w:line="300" w:lineRule="exact"/>
                    <w:ind w:firstLine="396" w:firstLineChars="200"/>
                    <w:rPr>
                      <w:bCs/>
                      <w:spacing w:val="-6"/>
                      <w:kern w:val="0"/>
                      <w:szCs w:val="21"/>
                    </w:rPr>
                  </w:pPr>
                  <w:r>
                    <w:rPr>
                      <w:bCs/>
                      <w:spacing w:val="-6"/>
                      <w:kern w:val="0"/>
                      <w:szCs w:val="21"/>
                    </w:rPr>
                    <w:t>项目使用EPS颗粒</w:t>
                  </w:r>
                  <w:r>
                    <w:rPr>
                      <w:rFonts w:hint="eastAsia"/>
                      <w:bCs/>
                      <w:spacing w:val="-6"/>
                      <w:kern w:val="0"/>
                      <w:szCs w:val="21"/>
                    </w:rPr>
                    <w:t>（聚苯乙烯），</w:t>
                  </w:r>
                  <w:r>
                    <w:rPr>
                      <w:bCs/>
                      <w:spacing w:val="-6"/>
                      <w:kern w:val="0"/>
                      <w:szCs w:val="21"/>
                    </w:rPr>
                    <w:t>聚苯乙烯在75℃开始软化收缩，164℃开始熔融成液体，316℃开始氧化，高分子解聚为低分子聚合物，576℃开始裂解燃烧。而本项目EPS板生产所用最高温度为150℃，XPS板生产所用最高温度为210℃，原材料不会发生分解，不会产生大量有机废气，仅原材料中残存的未聚合的反应单体或原料生产过程中加入的少量加工助剂；本项目不属于高耗能，高排放行业。</w:t>
                  </w:r>
                </w:p>
              </w:tc>
              <w:tc>
                <w:tcPr>
                  <w:tcW w:w="482" w:type="pct"/>
                  <w:tcBorders>
                    <w:tl2br w:val="nil"/>
                    <w:tr2bl w:val="nil"/>
                  </w:tcBorders>
                  <w:vAlign w:val="center"/>
                </w:tcPr>
                <w:p>
                  <w:pPr>
                    <w:snapToGrid w:val="0"/>
                    <w:spacing w:line="300" w:lineRule="exact"/>
                    <w:ind w:left="396" w:hanging="396"/>
                    <w:jc w:val="center"/>
                    <w:rPr>
                      <w:bCs/>
                      <w:spacing w:val="-6"/>
                      <w:kern w:val="0"/>
                      <w:szCs w:val="21"/>
                    </w:rPr>
                  </w:pPr>
                  <w:r>
                    <w:rPr>
                      <w:bCs/>
                      <w:spacing w:val="-6"/>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4" w:type="pct"/>
                  <w:tcBorders>
                    <w:tl2br w:val="nil"/>
                    <w:tr2bl w:val="nil"/>
                  </w:tcBorders>
                  <w:vAlign w:val="center"/>
                </w:tcPr>
                <w:p>
                  <w:pPr>
                    <w:snapToGrid w:val="0"/>
                    <w:spacing w:line="300" w:lineRule="exact"/>
                    <w:rPr>
                      <w:kern w:val="0"/>
                      <w:szCs w:val="21"/>
                    </w:rPr>
                  </w:pPr>
                  <w:r>
                    <w:rPr>
                      <w:bCs/>
                      <w:kern w:val="0"/>
                      <w:szCs w:val="21"/>
                    </w:rPr>
                    <w:t>《“十三五”挥发性有机物污染防治工作方案》</w:t>
                  </w:r>
                </w:p>
              </w:tc>
              <w:tc>
                <w:tcPr>
                  <w:tcW w:w="2252" w:type="pct"/>
                  <w:tcBorders>
                    <w:tl2br w:val="nil"/>
                    <w:tr2bl w:val="nil"/>
                  </w:tcBorders>
                  <w:vAlign w:val="center"/>
                </w:tcPr>
                <w:p>
                  <w:pPr>
                    <w:snapToGrid w:val="0"/>
                    <w:spacing w:line="300" w:lineRule="exact"/>
                    <w:ind w:firstLine="420" w:firstLineChars="200"/>
                    <w:rPr>
                      <w:bCs/>
                      <w:kern w:val="0"/>
                      <w:szCs w:val="21"/>
                    </w:rPr>
                  </w:pPr>
                  <w:r>
                    <w:rPr>
                      <w:bCs/>
                      <w:kern w:val="0"/>
                      <w:szCs w:val="21"/>
                    </w:rPr>
                    <w:t>严格建设项目环境准入。提高VOCs排放重点行业环保准入门槛，严格控制新增污染物排放量。重点地区要严格限制石化、化工、包装印刷、工业涂装等高VOCs排放建设项目。加强源头控制。加强废气收集与处理。对油墨、胶粘剂等有机原辅材料调配和使用等，要采取车间环境负压改造、安装高效集气装置等措施，有机废气收集率达到70%以上。对转运、储存等，要采取密闭措施，减少无组织排放。对烘干过程，要采取循环风烘干技术，减少废气排放。对收集的废气，要建设吸附回收、吸附燃烧等高效治理设施，确保达标排放。</w:t>
                  </w:r>
                </w:p>
              </w:tc>
              <w:tc>
                <w:tcPr>
                  <w:tcW w:w="1262" w:type="pct"/>
                  <w:vMerge w:val="continue"/>
                  <w:tcBorders>
                    <w:tl2br w:val="nil"/>
                    <w:tr2bl w:val="nil"/>
                  </w:tcBorders>
                  <w:vAlign w:val="center"/>
                </w:tcPr>
                <w:p>
                  <w:pPr>
                    <w:snapToGrid w:val="0"/>
                    <w:spacing w:line="300" w:lineRule="exact"/>
                    <w:ind w:firstLine="396" w:firstLineChars="200"/>
                    <w:jc w:val="left"/>
                    <w:rPr>
                      <w:bCs/>
                      <w:spacing w:val="-6"/>
                      <w:kern w:val="0"/>
                      <w:szCs w:val="21"/>
                    </w:rPr>
                  </w:pPr>
                </w:p>
              </w:tc>
              <w:tc>
                <w:tcPr>
                  <w:tcW w:w="482" w:type="pct"/>
                  <w:tcBorders>
                    <w:tl2br w:val="nil"/>
                    <w:tr2bl w:val="nil"/>
                  </w:tcBorders>
                  <w:vAlign w:val="center"/>
                </w:tcPr>
                <w:p>
                  <w:pPr>
                    <w:snapToGrid w:val="0"/>
                    <w:spacing w:line="300" w:lineRule="exact"/>
                    <w:ind w:left="396" w:hanging="396"/>
                    <w:jc w:val="center"/>
                    <w:rPr>
                      <w:bCs/>
                      <w:spacing w:val="-6"/>
                      <w:kern w:val="0"/>
                      <w:szCs w:val="21"/>
                    </w:rPr>
                  </w:pPr>
                  <w:r>
                    <w:rPr>
                      <w:bCs/>
                      <w:spacing w:val="-6"/>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4" w:type="pct"/>
                  <w:tcBorders>
                    <w:tl2br w:val="nil"/>
                    <w:tr2bl w:val="nil"/>
                  </w:tcBorders>
                </w:tcPr>
                <w:p>
                  <w:pPr>
                    <w:pStyle w:val="34"/>
                    <w:spacing w:line="240" w:lineRule="auto"/>
                    <w:ind w:firstLine="0" w:firstLineChars="0"/>
                    <w:rPr>
                      <w:rFonts w:ascii="Times New Roman" w:hAnsi="Times New Roman" w:eastAsia="宋体" w:cs="Times New Roman"/>
                      <w:bCs/>
                      <w:kern w:val="0"/>
                      <w:sz w:val="21"/>
                      <w:szCs w:val="21"/>
                    </w:rPr>
                  </w:pPr>
                  <w:r>
                    <w:rPr>
                      <w:rFonts w:ascii="Times New Roman" w:hAnsi="Times New Roman" w:eastAsia="宋体" w:cs="Times New Roman"/>
                      <w:kern w:val="0"/>
                      <w:sz w:val="21"/>
                      <w:szCs w:val="21"/>
                    </w:rPr>
                    <w:t>《陕西省2020年蓝天保卫战工作方案》</w:t>
                  </w:r>
                </w:p>
              </w:tc>
              <w:tc>
                <w:tcPr>
                  <w:tcW w:w="2252" w:type="pct"/>
                  <w:tcBorders>
                    <w:tl2br w:val="nil"/>
                    <w:tr2bl w:val="nil"/>
                  </w:tcBorders>
                </w:tcPr>
                <w:p>
                  <w:pPr>
                    <w:pStyle w:val="35"/>
                    <w:widowControl w:val="0"/>
                    <w:ind w:firstLine="420" w:firstLineChars="200"/>
                    <w:jc w:val="left"/>
                    <w:rPr>
                      <w:bCs/>
                      <w:kern w:val="0"/>
                    </w:rPr>
                  </w:pPr>
                  <w:r>
                    <w:rPr>
                      <w:kern w:val="0"/>
                    </w:rPr>
                    <w:t>严控“两高”行业产能，加快城市建成区重污染企业搬迁改造或关闭退出 ，逾期不退城的予以停产</w:t>
                  </w:r>
                </w:p>
              </w:tc>
              <w:tc>
                <w:tcPr>
                  <w:tcW w:w="1262" w:type="pct"/>
                  <w:vMerge w:val="continue"/>
                  <w:tcBorders>
                    <w:tl2br w:val="nil"/>
                    <w:tr2bl w:val="nil"/>
                  </w:tcBorders>
                  <w:vAlign w:val="center"/>
                </w:tcPr>
                <w:p>
                  <w:pPr>
                    <w:snapToGrid w:val="0"/>
                    <w:spacing w:line="300" w:lineRule="exact"/>
                    <w:ind w:firstLine="396" w:firstLineChars="200"/>
                    <w:jc w:val="left"/>
                    <w:rPr>
                      <w:bCs/>
                      <w:spacing w:val="-6"/>
                      <w:kern w:val="0"/>
                      <w:szCs w:val="21"/>
                    </w:rPr>
                  </w:pPr>
                </w:p>
              </w:tc>
              <w:tc>
                <w:tcPr>
                  <w:tcW w:w="482" w:type="pct"/>
                  <w:tcBorders>
                    <w:tl2br w:val="nil"/>
                    <w:tr2bl w:val="nil"/>
                  </w:tcBorders>
                  <w:vAlign w:val="center"/>
                </w:tcPr>
                <w:p>
                  <w:pPr>
                    <w:snapToGrid w:val="0"/>
                    <w:spacing w:line="300" w:lineRule="exact"/>
                    <w:ind w:left="396" w:hanging="396"/>
                    <w:jc w:val="center"/>
                    <w:rPr>
                      <w:bCs/>
                      <w:spacing w:val="-6"/>
                      <w:kern w:val="0"/>
                      <w:szCs w:val="21"/>
                    </w:rPr>
                  </w:pPr>
                  <w:r>
                    <w:rPr>
                      <w:bCs/>
                      <w:spacing w:val="-6"/>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4" w:type="pct"/>
                  <w:vMerge w:val="restart"/>
                  <w:tcBorders>
                    <w:tl2br w:val="nil"/>
                    <w:tr2bl w:val="nil"/>
                  </w:tcBorders>
                  <w:vAlign w:val="center"/>
                </w:tcPr>
                <w:p>
                  <w:pPr>
                    <w:rPr>
                      <w:kern w:val="0"/>
                      <w:szCs w:val="21"/>
                    </w:rPr>
                  </w:pPr>
                  <w:r>
                    <w:rPr>
                      <w:kern w:val="0"/>
                      <w:szCs w:val="21"/>
                    </w:rPr>
                    <w:t>《重点行业挥发性有机物综合治理方案》（环大气[2019]53号）</w:t>
                  </w:r>
                </w:p>
              </w:tc>
              <w:tc>
                <w:tcPr>
                  <w:tcW w:w="2252" w:type="pct"/>
                  <w:tcBorders>
                    <w:tl2br w:val="nil"/>
                    <w:tr2bl w:val="nil"/>
                  </w:tcBorders>
                  <w:vAlign w:val="center"/>
                </w:tcPr>
                <w:p>
                  <w:pPr>
                    <w:tabs>
                      <w:tab w:val="left" w:pos="312"/>
                    </w:tabs>
                    <w:adjustRightInd w:val="0"/>
                    <w:snapToGrid w:val="0"/>
                    <w:spacing w:line="300" w:lineRule="exact"/>
                    <w:ind w:firstLine="420" w:firstLineChars="200"/>
                    <w:rPr>
                      <w:bCs/>
                      <w:kern w:val="0"/>
                      <w:szCs w:val="21"/>
                    </w:rPr>
                  </w:pPr>
                  <w:r>
                    <w:rPr>
                      <w:color w:val="000000" w:themeColor="text1"/>
                      <w:kern w:val="0"/>
                      <w:szCs w:val="21"/>
                      <w:shd w:val="clear" w:color="auto" w:fill="FFFFFF"/>
                      <w14:textFill>
                        <w14:solidFill>
                          <w14:schemeClr w14:val="tx1"/>
                        </w14:solidFill>
                      </w14:textFill>
                    </w:rPr>
                    <w:t>（一）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p>
              </w:tc>
              <w:tc>
                <w:tcPr>
                  <w:tcW w:w="1262" w:type="pct"/>
                  <w:vMerge w:val="restart"/>
                  <w:tcBorders>
                    <w:tl2br w:val="nil"/>
                    <w:tr2bl w:val="nil"/>
                  </w:tcBorders>
                  <w:vAlign w:val="center"/>
                </w:tcPr>
                <w:p>
                  <w:pPr>
                    <w:snapToGrid w:val="0"/>
                    <w:spacing w:line="300" w:lineRule="exact"/>
                    <w:ind w:firstLine="396" w:firstLineChars="200"/>
                    <w:rPr>
                      <w:bCs/>
                      <w:spacing w:val="-6"/>
                      <w:kern w:val="0"/>
                      <w:szCs w:val="21"/>
                    </w:rPr>
                  </w:pPr>
                  <w:r>
                    <w:rPr>
                      <w:rFonts w:hint="eastAsia"/>
                      <w:bCs/>
                      <w:spacing w:val="-6"/>
                      <w:kern w:val="0"/>
                      <w:szCs w:val="21"/>
                    </w:rPr>
                    <w:t>本项目为塑料制品业，属于重点行业中的化工工业；</w:t>
                  </w:r>
                  <w:r>
                    <w:rPr>
                      <w:bCs/>
                      <w:spacing w:val="-6"/>
                      <w:kern w:val="0"/>
                      <w:szCs w:val="21"/>
                    </w:rPr>
                    <w:t>本项目使用的原辅料均为EPS颗粒（可发性聚苯乙烯颗粒），常温下，不挥发，无无组织排放。工艺过程产生的少量有机废气采用集气罩进行收集，减少无组织排放。</w:t>
                  </w:r>
                </w:p>
              </w:tc>
              <w:tc>
                <w:tcPr>
                  <w:tcW w:w="482" w:type="pct"/>
                  <w:vMerge w:val="restart"/>
                  <w:tcBorders>
                    <w:tl2br w:val="nil"/>
                    <w:tr2bl w:val="nil"/>
                  </w:tcBorders>
                  <w:vAlign w:val="center"/>
                </w:tcPr>
                <w:p>
                  <w:pPr>
                    <w:snapToGrid w:val="0"/>
                    <w:spacing w:line="300" w:lineRule="exact"/>
                    <w:ind w:left="396" w:hanging="396"/>
                    <w:jc w:val="center"/>
                    <w:rPr>
                      <w:bCs/>
                      <w:spacing w:val="-6"/>
                      <w:kern w:val="0"/>
                      <w:szCs w:val="21"/>
                    </w:rPr>
                  </w:pPr>
                  <w:r>
                    <w:rPr>
                      <w:bCs/>
                      <w:spacing w:val="-6"/>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4" w:type="pct"/>
                  <w:vMerge w:val="continue"/>
                  <w:tcBorders>
                    <w:tl2br w:val="nil"/>
                    <w:tr2bl w:val="nil"/>
                  </w:tcBorders>
                  <w:vAlign w:val="center"/>
                </w:tcPr>
                <w:p>
                  <w:pPr>
                    <w:rPr>
                      <w:kern w:val="0"/>
                      <w:szCs w:val="21"/>
                    </w:rPr>
                  </w:pPr>
                </w:p>
              </w:tc>
              <w:tc>
                <w:tcPr>
                  <w:tcW w:w="2252" w:type="pct"/>
                  <w:tcBorders>
                    <w:tl2br w:val="nil"/>
                    <w:tr2bl w:val="nil"/>
                  </w:tcBorders>
                  <w:vAlign w:val="center"/>
                </w:tcPr>
                <w:p>
                  <w:pPr>
                    <w:tabs>
                      <w:tab w:val="left" w:pos="312"/>
                    </w:tabs>
                    <w:adjustRightInd w:val="0"/>
                    <w:snapToGrid w:val="0"/>
                    <w:spacing w:line="300" w:lineRule="exact"/>
                    <w:ind w:firstLine="420" w:firstLineChars="200"/>
                    <w:rPr>
                      <w:bCs/>
                      <w:kern w:val="0"/>
                      <w:szCs w:val="21"/>
                    </w:rPr>
                  </w:pPr>
                  <w:r>
                    <w:rPr>
                      <w:color w:val="000000" w:themeColor="text1"/>
                      <w:kern w:val="0"/>
                      <w:szCs w:val="21"/>
                      <w:shd w:val="clear" w:color="auto" w:fill="FFFFFF"/>
                      <w14:textFill>
                        <w14:solidFill>
                          <w14:schemeClr w14:val="tx1"/>
                        </w14:solidFill>
                      </w14:textFill>
                    </w:rPr>
                    <w:t>（二）全面加强无组织排放控制。重点对含VOCs物料（包括含VOCs原辅材料、含VOCs产品、含VOCs废料以及有机聚合物材料等）储存、转移和输送、设备与管线组件泄漏、敞开液面逸散以及工艺过程等五类排放源实施管控，</w:t>
                  </w:r>
                  <w:r>
                    <w:rPr>
                      <w:bCs/>
                      <w:color w:val="000000" w:themeColor="text1"/>
                      <w:kern w:val="0"/>
                      <w:szCs w:val="21"/>
                      <w:shd w:val="clear" w:color="auto" w:fill="FFFFFF"/>
                      <w14:textFill>
                        <w14:solidFill>
                          <w14:schemeClr w14:val="tx1"/>
                        </w14:solidFill>
                      </w14:textFill>
                    </w:rPr>
                    <w:t>通过采取设备与场所密闭、工艺改进、废气有效收集等措施，削减VOCs无组织排放</w:t>
                  </w:r>
                  <w:r>
                    <w:rPr>
                      <w:color w:val="000000" w:themeColor="text1"/>
                      <w:kern w:val="0"/>
                      <w:szCs w:val="21"/>
                      <w:shd w:val="clear" w:color="auto" w:fill="FFFFFF"/>
                      <w14:textFill>
                        <w14:solidFill>
                          <w14:schemeClr w14:val="tx1"/>
                        </w14:solidFill>
                      </w14:textFill>
                    </w:rPr>
                    <w:t>。</w:t>
                  </w:r>
                </w:p>
              </w:tc>
              <w:tc>
                <w:tcPr>
                  <w:tcW w:w="1262" w:type="pct"/>
                  <w:vMerge w:val="continue"/>
                  <w:tcBorders>
                    <w:tl2br w:val="nil"/>
                    <w:tr2bl w:val="nil"/>
                  </w:tcBorders>
                  <w:vAlign w:val="center"/>
                </w:tcPr>
                <w:p>
                  <w:pPr>
                    <w:snapToGrid w:val="0"/>
                    <w:spacing w:line="300" w:lineRule="exact"/>
                    <w:ind w:firstLine="396" w:firstLineChars="200"/>
                    <w:jc w:val="left"/>
                    <w:rPr>
                      <w:bCs/>
                      <w:spacing w:val="-6"/>
                      <w:kern w:val="0"/>
                      <w:szCs w:val="21"/>
                    </w:rPr>
                  </w:pPr>
                </w:p>
              </w:tc>
              <w:tc>
                <w:tcPr>
                  <w:tcW w:w="482" w:type="pct"/>
                  <w:vMerge w:val="continue"/>
                  <w:tcBorders>
                    <w:tl2br w:val="nil"/>
                    <w:tr2bl w:val="nil"/>
                  </w:tcBorders>
                  <w:vAlign w:val="center"/>
                </w:tcPr>
                <w:p>
                  <w:pPr>
                    <w:snapToGrid w:val="0"/>
                    <w:spacing w:line="300" w:lineRule="exact"/>
                    <w:ind w:left="396" w:hanging="396"/>
                    <w:jc w:val="center"/>
                    <w:rPr>
                      <w:bCs/>
                      <w:spacing w:val="-6"/>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4" w:type="pct"/>
                  <w:vMerge w:val="continue"/>
                  <w:tcBorders>
                    <w:tl2br w:val="nil"/>
                    <w:tr2bl w:val="nil"/>
                  </w:tcBorders>
                  <w:vAlign w:val="center"/>
                </w:tcPr>
                <w:p>
                  <w:pPr>
                    <w:rPr>
                      <w:kern w:val="0"/>
                      <w:szCs w:val="21"/>
                    </w:rPr>
                  </w:pPr>
                </w:p>
              </w:tc>
              <w:tc>
                <w:tcPr>
                  <w:tcW w:w="2252" w:type="pct"/>
                  <w:tcBorders>
                    <w:tl2br w:val="nil"/>
                    <w:tr2bl w:val="nil"/>
                  </w:tcBorders>
                  <w:vAlign w:val="center"/>
                </w:tcPr>
                <w:p>
                  <w:pPr>
                    <w:tabs>
                      <w:tab w:val="left" w:pos="312"/>
                    </w:tabs>
                    <w:adjustRightInd w:val="0"/>
                    <w:snapToGrid w:val="0"/>
                    <w:spacing w:line="300" w:lineRule="exact"/>
                    <w:ind w:firstLine="420" w:firstLineChars="200"/>
                    <w:rPr>
                      <w:bCs/>
                      <w:kern w:val="0"/>
                      <w:szCs w:val="21"/>
                    </w:rPr>
                  </w:pPr>
                  <w:r>
                    <w:rPr>
                      <w:color w:val="000000" w:themeColor="text1"/>
                      <w:kern w:val="0"/>
                      <w:szCs w:val="21"/>
                      <w:shd w:val="clear" w:color="auto" w:fill="FFFFFF"/>
                      <w14:textFill>
                        <w14:solidFill>
                          <w14:schemeClr w14:val="tx1"/>
                        </w14:solidFill>
                      </w14:textFill>
                    </w:rPr>
                    <w:t>（三）推进建设适宜高效的治污设施。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w:t>
                  </w:r>
                </w:p>
              </w:tc>
              <w:tc>
                <w:tcPr>
                  <w:tcW w:w="1262" w:type="pct"/>
                  <w:vMerge w:val="continue"/>
                  <w:tcBorders>
                    <w:tl2br w:val="nil"/>
                    <w:tr2bl w:val="nil"/>
                  </w:tcBorders>
                  <w:vAlign w:val="center"/>
                </w:tcPr>
                <w:p>
                  <w:pPr>
                    <w:snapToGrid w:val="0"/>
                    <w:spacing w:line="300" w:lineRule="exact"/>
                    <w:ind w:firstLine="396" w:firstLineChars="200"/>
                    <w:jc w:val="left"/>
                    <w:rPr>
                      <w:bCs/>
                      <w:spacing w:val="-6"/>
                      <w:kern w:val="0"/>
                      <w:szCs w:val="21"/>
                    </w:rPr>
                  </w:pPr>
                </w:p>
              </w:tc>
              <w:tc>
                <w:tcPr>
                  <w:tcW w:w="482" w:type="pct"/>
                  <w:vMerge w:val="continue"/>
                  <w:tcBorders>
                    <w:tl2br w:val="nil"/>
                    <w:tr2bl w:val="nil"/>
                  </w:tcBorders>
                  <w:vAlign w:val="center"/>
                </w:tcPr>
                <w:p>
                  <w:pPr>
                    <w:snapToGrid w:val="0"/>
                    <w:spacing w:line="300" w:lineRule="exact"/>
                    <w:ind w:left="396" w:hanging="396"/>
                    <w:jc w:val="center"/>
                    <w:rPr>
                      <w:bCs/>
                      <w:spacing w:val="-6"/>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4" w:type="pct"/>
                  <w:tcBorders>
                    <w:tl2br w:val="nil"/>
                    <w:tr2bl w:val="nil"/>
                  </w:tcBorders>
                  <w:vAlign w:val="center"/>
                </w:tcPr>
                <w:p>
                  <w:pPr>
                    <w:rPr>
                      <w:kern w:val="0"/>
                      <w:szCs w:val="21"/>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020</w:t>
                  </w:r>
                  <w:r>
                    <w:rPr>
                      <w:rFonts w:hint="eastAsia"/>
                      <w:color w:val="000000" w:themeColor="text1"/>
                      <w:szCs w:val="21"/>
                      <w14:textFill>
                        <w14:solidFill>
                          <w14:schemeClr w14:val="tx1"/>
                        </w14:solidFill>
                      </w14:textFill>
                    </w:rPr>
                    <w:t>年挥发性有机物治理攻坚方案》</w:t>
                  </w:r>
                </w:p>
              </w:tc>
              <w:tc>
                <w:tcPr>
                  <w:tcW w:w="2252" w:type="pct"/>
                  <w:tcBorders>
                    <w:tl2br w:val="nil"/>
                    <w:tr2bl w:val="nil"/>
                  </w:tcBorders>
                  <w:vAlign w:val="center"/>
                </w:tcPr>
                <w:p>
                  <w:pPr>
                    <w:tabs>
                      <w:tab w:val="left" w:pos="312"/>
                    </w:tabs>
                    <w:adjustRightInd w:val="0"/>
                    <w:snapToGrid w:val="0"/>
                    <w:spacing w:line="300" w:lineRule="exact"/>
                    <w:ind w:firstLine="420" w:firstLineChars="200"/>
                    <w:rPr>
                      <w:color w:val="000000" w:themeColor="text1"/>
                      <w:kern w:val="0"/>
                      <w:szCs w:val="21"/>
                      <w:shd w:val="clear" w:color="auto" w:fill="FFFFFF"/>
                      <w14:textFill>
                        <w14:solidFill>
                          <w14:schemeClr w14:val="tx1"/>
                        </w14:solidFill>
                      </w14:textFill>
                    </w:rPr>
                  </w:pPr>
                  <w:r>
                    <w:rPr>
                      <w:rFonts w:hint="eastAsia"/>
                      <w:color w:val="000000" w:themeColor="text1"/>
                      <w:szCs w:val="21"/>
                      <w14:textFill>
                        <w14:solidFill>
                          <w14:schemeClr w14:val="tx1"/>
                        </w14:solidFill>
                      </w14:textFill>
                    </w:rPr>
                    <w:t>三、聚焦治污设施“三率”，提升综合治理效率：除恶臭异味治理外，一般不采用低温等离子、光催化、光氧化等技术。</w:t>
                  </w:r>
                </w:p>
              </w:tc>
              <w:tc>
                <w:tcPr>
                  <w:tcW w:w="1262" w:type="pct"/>
                  <w:tcBorders>
                    <w:tl2br w:val="nil"/>
                    <w:tr2bl w:val="nil"/>
                  </w:tcBorders>
                  <w:vAlign w:val="center"/>
                </w:tcPr>
                <w:p>
                  <w:pPr>
                    <w:snapToGrid w:val="0"/>
                    <w:spacing w:line="300" w:lineRule="exact"/>
                    <w:ind w:firstLine="396" w:firstLineChars="200"/>
                    <w:jc w:val="left"/>
                    <w:rPr>
                      <w:bCs/>
                      <w:spacing w:val="-6"/>
                      <w:kern w:val="0"/>
                      <w:szCs w:val="21"/>
                    </w:rPr>
                  </w:pPr>
                  <w:r>
                    <w:rPr>
                      <w:rFonts w:hint="eastAsia"/>
                      <w:bCs/>
                      <w:spacing w:val="-6"/>
                      <w:szCs w:val="21"/>
                    </w:rPr>
                    <w:t>本项目使产生的有机废气通过集气罩收集，采用二级活性炭吸附（90%）处理后能够达标排放。</w:t>
                  </w:r>
                </w:p>
              </w:tc>
              <w:tc>
                <w:tcPr>
                  <w:tcW w:w="482" w:type="pct"/>
                  <w:tcBorders>
                    <w:tl2br w:val="nil"/>
                    <w:tr2bl w:val="nil"/>
                  </w:tcBorders>
                  <w:vAlign w:val="center"/>
                </w:tcPr>
                <w:p>
                  <w:pPr>
                    <w:snapToGrid w:val="0"/>
                    <w:spacing w:line="300" w:lineRule="exact"/>
                    <w:ind w:left="396" w:hanging="396"/>
                    <w:jc w:val="center"/>
                    <w:rPr>
                      <w:bCs/>
                      <w:spacing w:val="-6"/>
                      <w:kern w:val="0"/>
                      <w:szCs w:val="21"/>
                    </w:rPr>
                  </w:pPr>
                  <w:r>
                    <w:rPr>
                      <w:rFonts w:hint="eastAsia"/>
                      <w:bCs/>
                      <w:spacing w:val="-6"/>
                      <w:kern w:val="0"/>
                      <w:szCs w:val="21"/>
                    </w:rPr>
                    <w:t>符合</w:t>
                  </w:r>
                </w:p>
              </w:tc>
            </w:tr>
            <w:bookmarkEnd w:id="1"/>
          </w:tbl>
          <w:p>
            <w:pPr>
              <w:widowControl/>
              <w:adjustRightInd w:val="0"/>
              <w:snapToGrid w:val="0"/>
              <w:spacing w:line="360" w:lineRule="auto"/>
              <w:ind w:firstLine="482" w:firstLineChars="200"/>
              <w:rPr>
                <w:b/>
                <w:kern w:val="0"/>
                <w:sz w:val="24"/>
              </w:rPr>
            </w:pPr>
            <w:r>
              <w:rPr>
                <w:b/>
                <w:kern w:val="0"/>
                <w:sz w:val="24"/>
              </w:rPr>
              <w:t>2</w:t>
            </w:r>
            <w:r>
              <w:rPr>
                <w:rFonts w:hint="eastAsia"/>
                <w:b/>
                <w:kern w:val="0"/>
                <w:sz w:val="24"/>
              </w:rPr>
              <w:t>、选址合理性分析</w:t>
            </w:r>
          </w:p>
          <w:p>
            <w:pPr>
              <w:widowControl/>
              <w:adjustRightInd w:val="0"/>
              <w:snapToGrid w:val="0"/>
              <w:spacing w:line="360" w:lineRule="auto"/>
              <w:ind w:firstLine="480" w:firstLineChars="200"/>
              <w:rPr>
                <w:bCs/>
                <w:color w:val="00B0F0"/>
                <w:sz w:val="24"/>
              </w:rPr>
            </w:pPr>
            <w:r>
              <w:rPr>
                <w:rFonts w:hint="eastAsia"/>
                <w:bCs/>
                <w:color w:val="00B0F0"/>
                <w:sz w:val="24"/>
              </w:rPr>
              <w:t>本项目属于制造业，符合《陕西省西咸新区秦汉新城分区规划（2016-2035）》产业要求；</w:t>
            </w:r>
            <w:r>
              <w:rPr>
                <w:bCs/>
                <w:color w:val="00B0F0"/>
                <w:sz w:val="24"/>
              </w:rPr>
              <w:t>本</w:t>
            </w:r>
            <w:r>
              <w:rPr>
                <w:rFonts w:hint="eastAsia"/>
                <w:bCs/>
                <w:color w:val="00B0F0"/>
                <w:sz w:val="24"/>
              </w:rPr>
              <w:t>项目</w:t>
            </w:r>
            <w:r>
              <w:rPr>
                <w:bCs/>
                <w:color w:val="00B0F0"/>
                <w:sz w:val="24"/>
              </w:rPr>
              <w:t>位于</w:t>
            </w:r>
            <w:r>
              <w:rPr>
                <w:rFonts w:hint="eastAsia"/>
                <w:color w:val="00B0F0"/>
                <w:kern w:val="0"/>
                <w:sz w:val="24"/>
              </w:rPr>
              <w:t>陕西省西咸新区秦汉新城双照街办咸平路大王村十字北500米伟杰公司院内101室，租赁合同见附件；咸阳伟杰商贸有限公司于2</w:t>
            </w:r>
            <w:r>
              <w:rPr>
                <w:color w:val="00B0F0"/>
                <w:kern w:val="0"/>
                <w:sz w:val="24"/>
              </w:rPr>
              <w:t>016</w:t>
            </w:r>
            <w:r>
              <w:rPr>
                <w:rFonts w:hint="eastAsia"/>
                <w:color w:val="00B0F0"/>
                <w:kern w:val="0"/>
                <w:sz w:val="24"/>
              </w:rPr>
              <w:t>年1</w:t>
            </w:r>
            <w:r>
              <w:rPr>
                <w:color w:val="00B0F0"/>
                <w:kern w:val="0"/>
                <w:sz w:val="24"/>
              </w:rPr>
              <w:t>0</w:t>
            </w:r>
            <w:r>
              <w:rPr>
                <w:rFonts w:hint="eastAsia"/>
                <w:color w:val="00B0F0"/>
                <w:kern w:val="0"/>
                <w:sz w:val="24"/>
              </w:rPr>
              <w:t>月</w:t>
            </w:r>
            <w:r>
              <w:rPr>
                <w:color w:val="00B0F0"/>
                <w:kern w:val="0"/>
                <w:sz w:val="24"/>
              </w:rPr>
              <w:t>25</w:t>
            </w:r>
            <w:r>
              <w:rPr>
                <w:rFonts w:hint="eastAsia"/>
                <w:color w:val="00B0F0"/>
                <w:kern w:val="0"/>
                <w:sz w:val="24"/>
              </w:rPr>
              <w:t>日取得了</w:t>
            </w:r>
            <w:r>
              <w:rPr>
                <w:rFonts w:hint="eastAsia"/>
                <w:bCs/>
                <w:color w:val="00B0F0"/>
                <w:sz w:val="24"/>
              </w:rPr>
              <w:t>咸阳市不动产登记局</w:t>
            </w:r>
            <w:r>
              <w:rPr>
                <w:rFonts w:hint="eastAsia"/>
                <w:color w:val="00B0F0"/>
                <w:kern w:val="0"/>
                <w:sz w:val="24"/>
              </w:rPr>
              <w:t>土地证（编号N</w:t>
            </w:r>
            <w:r>
              <w:rPr>
                <w:color w:val="00B0F0"/>
                <w:kern w:val="0"/>
                <w:sz w:val="24"/>
              </w:rPr>
              <w:t>O D 610001156415</w:t>
            </w:r>
            <w:r>
              <w:rPr>
                <w:rFonts w:hint="eastAsia"/>
                <w:color w:val="00B0F0"/>
                <w:kern w:val="0"/>
                <w:sz w:val="24"/>
              </w:rPr>
              <w:t>，见附件），用地性质为建设用地，</w:t>
            </w:r>
            <w:r>
              <w:rPr>
                <w:rFonts w:hint="eastAsia"/>
                <w:color w:val="00B0F0"/>
                <w:sz w:val="24"/>
              </w:rPr>
              <w:t>2017年9月8日取得西咸新区秦汉新城环境保护局关于《煤炭机械配件加工生产线建设项目环境影响评价报告表的批复》（秦汉环批〔[2017]9号，见附件），该公司取得环评批复后建设了厂区内的生产车间及办公楼，目前紧邻项目地的北侧厂房作为库房使用，无原有污染情况，无生产情况故没有进行环保验收</w:t>
            </w:r>
            <w:r>
              <w:rPr>
                <w:rFonts w:hint="eastAsia"/>
                <w:bCs/>
                <w:color w:val="00B0F0"/>
                <w:sz w:val="24"/>
              </w:rPr>
              <w:t>。目前项目周边有加油站、小型工业企业等，但根据《陕西省西咸新区秦汉新城分区规划（2016-2035）》，项目所在位置拟规划为农林用地，目前项目用地性质为建设用地，若今后秦汉新城土地或规划部门，对项目用地性质进行调整，建设单位应积极配合相关规划工作。</w:t>
            </w:r>
          </w:p>
          <w:p>
            <w:pPr>
              <w:widowControl/>
              <w:adjustRightInd w:val="0"/>
              <w:snapToGrid w:val="0"/>
              <w:spacing w:line="360" w:lineRule="auto"/>
              <w:ind w:firstLine="480" w:firstLineChars="200"/>
              <w:rPr>
                <w:sz w:val="24"/>
              </w:rPr>
            </w:pPr>
            <w:r>
              <w:rPr>
                <w:bCs/>
                <w:sz w:val="24"/>
              </w:rPr>
              <w:t>本项目</w:t>
            </w:r>
            <w:r>
              <w:rPr>
                <w:rFonts w:hint="eastAsia"/>
                <w:bCs/>
                <w:sz w:val="24"/>
              </w:rPr>
              <w:t>所在厂区东侧紧邻秦都大王加油站，其次为咸平路，隔路为建设厂房，北侧为咸阳华星泵业有限公司，西侧为建设空地，距农田约78米，南侧为闲置空地，距离本项目最近的敏感点为南230m左右的大王村。项目建设地</w:t>
            </w:r>
            <w:r>
              <w:rPr>
                <w:bCs/>
                <w:sz w:val="24"/>
              </w:rPr>
              <w:t>不在居民集中区</w:t>
            </w:r>
            <w:r>
              <w:rPr>
                <w:rFonts w:hint="eastAsia"/>
                <w:bCs/>
                <w:sz w:val="24"/>
              </w:rPr>
              <w:t>，未涉及《全国主体功能区划》与《陕西省主体功能区划》中的禁止开发区域、自然保护区、森林公园、风景名胜区、地质公园、文化自然遗产、水产种植自然保护区、重要湿地（含湿地公园）、重要水源地等</w:t>
            </w:r>
            <w:r>
              <w:rPr>
                <w:bCs/>
                <w:sz w:val="24"/>
              </w:rPr>
              <w:t>。</w:t>
            </w:r>
            <w:r>
              <w:rPr>
                <w:rFonts w:hint="eastAsia"/>
                <w:bCs/>
                <w:sz w:val="24"/>
              </w:rPr>
              <w:t>项目运营期产生的污染物主要为颗粒物、有机废气、锅炉废气以及设备噪声。本项目在采取有效的污染防治措施后，各类污染物均可做到达标排放，各环境要素基本能够满足相应的功能区划要求，对周边环境影响较小。</w:t>
            </w:r>
          </w:p>
          <w:p>
            <w:pPr>
              <w:autoSpaceDE w:val="0"/>
              <w:autoSpaceDN w:val="0"/>
              <w:adjustRightInd w:val="0"/>
              <w:spacing w:line="360" w:lineRule="auto"/>
              <w:ind w:firstLine="480" w:firstLineChars="200"/>
              <w:rPr>
                <w:sz w:val="24"/>
              </w:rPr>
            </w:pPr>
            <w:r>
              <w:rPr>
                <w:rFonts w:hint="eastAsia"/>
                <w:sz w:val="24"/>
              </w:rPr>
              <w:t>综上，项目选址合理，建设可行。</w:t>
            </w:r>
          </w:p>
          <w:p>
            <w:pPr>
              <w:widowControl/>
              <w:adjustRightInd w:val="0"/>
              <w:snapToGrid w:val="0"/>
              <w:spacing w:line="360" w:lineRule="auto"/>
              <w:rPr>
                <w:rFonts w:ascii="黑体" w:hAnsi="黑体" w:eastAsia="黑体"/>
                <w:bCs/>
                <w:kern w:val="0"/>
                <w:sz w:val="24"/>
              </w:rPr>
            </w:pPr>
            <w:r>
              <w:rPr>
                <w:rFonts w:hint="eastAsia" w:ascii="黑体" w:hAnsi="黑体" w:eastAsia="黑体"/>
                <w:bCs/>
                <w:kern w:val="0"/>
                <w:sz w:val="24"/>
              </w:rPr>
              <w:t>三</w:t>
            </w:r>
            <w:r>
              <w:rPr>
                <w:rFonts w:ascii="黑体" w:hAnsi="黑体" w:eastAsia="黑体"/>
                <w:bCs/>
                <w:kern w:val="0"/>
                <w:sz w:val="24"/>
              </w:rPr>
              <w:t>、本项目概况</w:t>
            </w:r>
          </w:p>
          <w:p>
            <w:pPr>
              <w:spacing w:line="360" w:lineRule="auto"/>
              <w:ind w:firstLine="482" w:firstLineChars="200"/>
              <w:rPr>
                <w:b/>
                <w:bCs/>
                <w:sz w:val="24"/>
                <w:lang w:val="sq-AL"/>
              </w:rPr>
            </w:pPr>
            <w:r>
              <w:rPr>
                <w:rFonts w:hint="eastAsia"/>
                <w:b/>
                <w:bCs/>
                <w:sz w:val="24"/>
                <w:lang w:val="sq-AL"/>
              </w:rPr>
              <w:t>1、项目名称、地点、建设单位及性质</w:t>
            </w:r>
          </w:p>
          <w:p>
            <w:pPr>
              <w:widowControl/>
              <w:adjustRightInd w:val="0"/>
              <w:snapToGrid w:val="0"/>
              <w:spacing w:line="360" w:lineRule="auto"/>
              <w:ind w:firstLine="480" w:firstLineChars="200"/>
              <w:rPr>
                <w:bCs/>
                <w:kern w:val="0"/>
                <w:sz w:val="24"/>
              </w:rPr>
            </w:pPr>
            <w:r>
              <w:rPr>
                <w:bCs/>
                <w:kern w:val="0"/>
                <w:sz w:val="24"/>
              </w:rPr>
              <w:t>项目名称：</w:t>
            </w:r>
            <w:r>
              <w:rPr>
                <w:rFonts w:hint="eastAsia"/>
                <w:bCs/>
                <w:sz w:val="24"/>
              </w:rPr>
              <w:t>年产20万立方聚苯板建设项目</w:t>
            </w:r>
          </w:p>
          <w:p>
            <w:pPr>
              <w:widowControl/>
              <w:adjustRightInd w:val="0"/>
              <w:snapToGrid w:val="0"/>
              <w:spacing w:line="360" w:lineRule="auto"/>
              <w:ind w:firstLine="480" w:firstLineChars="200"/>
              <w:rPr>
                <w:bCs/>
                <w:kern w:val="0"/>
                <w:sz w:val="24"/>
              </w:rPr>
            </w:pPr>
            <w:r>
              <w:rPr>
                <w:bCs/>
                <w:kern w:val="0"/>
                <w:sz w:val="24"/>
              </w:rPr>
              <w:t>建设性质：新建</w:t>
            </w:r>
          </w:p>
          <w:p>
            <w:pPr>
              <w:widowControl/>
              <w:adjustRightInd w:val="0"/>
              <w:snapToGrid w:val="0"/>
              <w:spacing w:line="360" w:lineRule="auto"/>
              <w:ind w:firstLine="480" w:firstLineChars="200"/>
              <w:rPr>
                <w:bCs/>
                <w:kern w:val="0"/>
                <w:sz w:val="24"/>
              </w:rPr>
            </w:pPr>
            <w:r>
              <w:rPr>
                <w:bCs/>
                <w:kern w:val="0"/>
                <w:sz w:val="24"/>
              </w:rPr>
              <w:t>建设单位：</w:t>
            </w:r>
            <w:r>
              <w:rPr>
                <w:rFonts w:hint="eastAsia"/>
                <w:bCs/>
                <w:sz w:val="24"/>
              </w:rPr>
              <w:t>陕西广兴华创材料科技有限公司</w:t>
            </w:r>
          </w:p>
          <w:p>
            <w:pPr>
              <w:widowControl/>
              <w:adjustRightInd w:val="0"/>
              <w:snapToGrid w:val="0"/>
              <w:spacing w:line="360" w:lineRule="auto"/>
              <w:ind w:firstLine="480" w:firstLineChars="200"/>
              <w:rPr>
                <w:bCs/>
                <w:kern w:val="0"/>
                <w:sz w:val="24"/>
              </w:rPr>
            </w:pPr>
            <w:r>
              <w:rPr>
                <w:bCs/>
                <w:kern w:val="0"/>
                <w:sz w:val="24"/>
              </w:rPr>
              <w:t>建设地点：</w:t>
            </w:r>
            <w:r>
              <w:rPr>
                <w:rFonts w:hint="eastAsia"/>
                <w:bCs/>
                <w:sz w:val="24"/>
              </w:rPr>
              <w:t>陕西省西咸新区秦汉新城双照街办咸平路大王村十字北500米伟杰公司院内</w:t>
            </w:r>
          </w:p>
          <w:p>
            <w:pPr>
              <w:widowControl/>
              <w:adjustRightInd w:val="0"/>
              <w:snapToGrid w:val="0"/>
              <w:spacing w:line="360" w:lineRule="auto"/>
              <w:ind w:firstLine="480" w:firstLineChars="200"/>
              <w:rPr>
                <w:bCs/>
                <w:kern w:val="0"/>
                <w:sz w:val="24"/>
              </w:rPr>
            </w:pPr>
            <w:r>
              <w:rPr>
                <w:bCs/>
                <w:kern w:val="0"/>
                <w:sz w:val="24"/>
              </w:rPr>
              <w:t>总投资：项目总投资</w:t>
            </w:r>
            <w:r>
              <w:rPr>
                <w:rFonts w:hint="eastAsia"/>
                <w:bCs/>
                <w:kern w:val="0"/>
                <w:sz w:val="24"/>
              </w:rPr>
              <w:t>500万</w:t>
            </w:r>
            <w:r>
              <w:rPr>
                <w:bCs/>
                <w:kern w:val="0"/>
                <w:sz w:val="24"/>
              </w:rPr>
              <w:t>元。</w:t>
            </w:r>
          </w:p>
          <w:p>
            <w:pPr>
              <w:spacing w:line="360" w:lineRule="auto"/>
              <w:ind w:firstLine="482" w:firstLineChars="200"/>
              <w:rPr>
                <w:b/>
                <w:bCs/>
                <w:sz w:val="24"/>
                <w:lang w:val="sq-AL"/>
              </w:rPr>
            </w:pPr>
            <w:r>
              <w:rPr>
                <w:b/>
                <w:bCs/>
                <w:sz w:val="24"/>
                <w:lang w:val="sq-AL"/>
              </w:rPr>
              <w:t>2</w:t>
            </w:r>
            <w:r>
              <w:rPr>
                <w:rFonts w:hint="eastAsia"/>
                <w:b/>
                <w:bCs/>
                <w:sz w:val="24"/>
                <w:lang w:val="sq-AL"/>
              </w:rPr>
              <w:t>、</w:t>
            </w:r>
            <w:r>
              <w:rPr>
                <w:b/>
                <w:bCs/>
                <w:sz w:val="24"/>
                <w:lang w:val="sq-AL"/>
              </w:rPr>
              <w:t>地理位置、交通</w:t>
            </w:r>
          </w:p>
          <w:p>
            <w:pPr>
              <w:spacing w:line="360" w:lineRule="auto"/>
              <w:ind w:firstLine="480" w:firstLineChars="200"/>
              <w:rPr>
                <w:bCs/>
                <w:color w:val="000000"/>
                <w:sz w:val="24"/>
              </w:rPr>
            </w:pPr>
            <w:r>
              <w:rPr>
                <w:bCs/>
                <w:color w:val="000000"/>
                <w:sz w:val="24"/>
              </w:rPr>
              <w:t>本项目选址位于</w:t>
            </w:r>
            <w:r>
              <w:rPr>
                <w:rFonts w:hint="eastAsia"/>
                <w:color w:val="000000"/>
                <w:sz w:val="24"/>
              </w:rPr>
              <w:t>陕西省西咸新区秦汉新城双照街办咸平路大王村十字北500米伟杰公司院内，</w:t>
            </w:r>
            <w:r>
              <w:rPr>
                <w:rFonts w:hint="eastAsia"/>
                <w:bCs/>
                <w:color w:val="000000"/>
                <w:sz w:val="24"/>
              </w:rPr>
              <w:t>中心地理坐标为E</w:t>
            </w:r>
            <w:r>
              <w:t xml:space="preserve"> </w:t>
            </w:r>
            <w:r>
              <w:rPr>
                <w:bCs/>
                <w:color w:val="000000"/>
                <w:sz w:val="24"/>
              </w:rPr>
              <w:t>108°38'23.29"</w:t>
            </w:r>
            <w:r>
              <w:rPr>
                <w:rFonts w:hint="eastAsia"/>
                <w:bCs/>
                <w:color w:val="000000"/>
                <w:sz w:val="24"/>
              </w:rPr>
              <w:t>；N</w:t>
            </w:r>
            <w:r>
              <w:rPr>
                <w:bCs/>
                <w:color w:val="000000"/>
                <w:sz w:val="24"/>
              </w:rPr>
              <w:t xml:space="preserve"> 34°22'26.36"。项目地理位置见</w:t>
            </w:r>
            <w:r>
              <w:rPr>
                <w:rFonts w:hint="eastAsia"/>
                <w:bCs/>
                <w:color w:val="000000"/>
                <w:sz w:val="24"/>
              </w:rPr>
              <w:t>附</w:t>
            </w:r>
            <w:r>
              <w:rPr>
                <w:bCs/>
                <w:color w:val="000000"/>
                <w:sz w:val="24"/>
              </w:rPr>
              <w:t>图1，</w:t>
            </w:r>
            <w:r>
              <w:rPr>
                <w:color w:val="000000"/>
                <w:sz w:val="24"/>
              </w:rPr>
              <w:t>项目四邻关系见</w:t>
            </w:r>
            <w:r>
              <w:rPr>
                <w:rFonts w:hint="eastAsia"/>
                <w:color w:val="000000"/>
                <w:sz w:val="24"/>
              </w:rPr>
              <w:t>附</w:t>
            </w:r>
            <w:r>
              <w:rPr>
                <w:color w:val="000000"/>
                <w:sz w:val="24"/>
              </w:rPr>
              <w:t>图2。</w:t>
            </w:r>
          </w:p>
          <w:p>
            <w:pPr>
              <w:spacing w:line="360" w:lineRule="auto"/>
              <w:ind w:firstLine="482" w:firstLineChars="200"/>
              <w:rPr>
                <w:b/>
                <w:bCs/>
                <w:sz w:val="24"/>
                <w:lang w:val="sq-AL"/>
              </w:rPr>
            </w:pPr>
            <w:r>
              <w:rPr>
                <w:b/>
                <w:bCs/>
                <w:sz w:val="24"/>
                <w:lang w:val="sq-AL"/>
              </w:rPr>
              <w:t>3、建设内容及规模</w:t>
            </w:r>
          </w:p>
          <w:p>
            <w:pPr>
              <w:pStyle w:val="7"/>
              <w:spacing w:after="0" w:line="360" w:lineRule="auto"/>
              <w:ind w:firstLine="480" w:firstLineChars="200"/>
              <w:rPr>
                <w:kern w:val="0"/>
                <w:sz w:val="24"/>
              </w:rPr>
            </w:pPr>
            <w:r>
              <w:rPr>
                <w:rFonts w:hint="eastAsia"/>
                <w:kern w:val="0"/>
                <w:sz w:val="24"/>
              </w:rPr>
              <w:t>（1）主要工程建设内容</w:t>
            </w:r>
          </w:p>
          <w:p>
            <w:pPr>
              <w:adjustRightInd w:val="0"/>
              <w:snapToGrid w:val="0"/>
              <w:spacing w:line="360" w:lineRule="auto"/>
              <w:ind w:firstLine="480" w:firstLineChars="200"/>
              <w:rPr>
                <w:sz w:val="24"/>
              </w:rPr>
            </w:pPr>
            <w:r>
              <w:rPr>
                <w:rFonts w:hint="eastAsia"/>
                <w:bCs/>
                <w:kern w:val="0"/>
                <w:sz w:val="24"/>
              </w:rPr>
              <w:t>本项目</w:t>
            </w:r>
            <w:r>
              <w:rPr>
                <w:rFonts w:hint="eastAsia"/>
                <w:sz w:val="24"/>
              </w:rPr>
              <w:t>租赁咸阳伟杰商贸有限公司车间3500m</w:t>
            </w:r>
            <w:r>
              <w:rPr>
                <w:rFonts w:hint="eastAsia"/>
                <w:sz w:val="24"/>
                <w:vertAlign w:val="superscript"/>
              </w:rPr>
              <w:t>2</w:t>
            </w:r>
            <w:r>
              <w:rPr>
                <w:rFonts w:hint="eastAsia"/>
                <w:sz w:val="24"/>
              </w:rPr>
              <w:t>，办公楼1565m</w:t>
            </w:r>
            <w:r>
              <w:rPr>
                <w:rFonts w:hint="eastAsia"/>
                <w:sz w:val="24"/>
                <w:vertAlign w:val="superscript"/>
              </w:rPr>
              <w:t>2</w:t>
            </w:r>
            <w:r>
              <w:rPr>
                <w:rFonts w:hint="eastAsia"/>
                <w:sz w:val="24"/>
              </w:rPr>
              <w:t>，闲置空地4000m</w:t>
            </w:r>
            <w:r>
              <w:rPr>
                <w:rFonts w:hint="eastAsia"/>
                <w:sz w:val="24"/>
                <w:vertAlign w:val="superscript"/>
              </w:rPr>
              <w:t>2</w:t>
            </w:r>
            <w:r>
              <w:rPr>
                <w:rFonts w:hint="eastAsia"/>
                <w:sz w:val="24"/>
              </w:rPr>
              <w:t>，车间内设原料库房30m</w:t>
            </w:r>
            <w:r>
              <w:rPr>
                <w:rFonts w:hint="eastAsia"/>
                <w:sz w:val="24"/>
                <w:vertAlign w:val="superscript"/>
              </w:rPr>
              <w:t>2</w:t>
            </w:r>
            <w:r>
              <w:rPr>
                <w:rFonts w:hint="eastAsia"/>
                <w:sz w:val="24"/>
              </w:rPr>
              <w:t>，锅炉房180m</w:t>
            </w:r>
            <w:r>
              <w:rPr>
                <w:rFonts w:hint="eastAsia"/>
                <w:sz w:val="24"/>
                <w:vertAlign w:val="superscript"/>
              </w:rPr>
              <w:t>2</w:t>
            </w:r>
            <w:r>
              <w:rPr>
                <w:rFonts w:hint="eastAsia"/>
                <w:sz w:val="24"/>
              </w:rPr>
              <w:t>，生产区域2645m</w:t>
            </w:r>
            <w:r>
              <w:rPr>
                <w:rFonts w:hint="eastAsia"/>
                <w:sz w:val="24"/>
                <w:vertAlign w:val="superscript"/>
              </w:rPr>
              <w:t>2</w:t>
            </w:r>
            <w:r>
              <w:rPr>
                <w:rFonts w:hint="eastAsia"/>
                <w:sz w:val="24"/>
              </w:rPr>
              <w:t>，熟化区180m</w:t>
            </w:r>
            <w:r>
              <w:rPr>
                <w:rFonts w:hint="eastAsia"/>
                <w:sz w:val="24"/>
                <w:vertAlign w:val="superscript"/>
              </w:rPr>
              <w:t>2</w:t>
            </w:r>
            <w:r>
              <w:rPr>
                <w:rFonts w:hint="eastAsia"/>
                <w:sz w:val="24"/>
              </w:rPr>
              <w:t>，陈放室465m</w:t>
            </w:r>
            <w:r>
              <w:rPr>
                <w:rFonts w:hint="eastAsia"/>
                <w:sz w:val="24"/>
                <w:vertAlign w:val="superscript"/>
              </w:rPr>
              <w:t>2</w:t>
            </w:r>
            <w:r>
              <w:rPr>
                <w:rFonts w:hint="eastAsia"/>
                <w:sz w:val="24"/>
              </w:rPr>
              <w:t>，建设2条EPS板生产线、1条XPS板生产线。年产10万m</w:t>
            </w:r>
            <w:r>
              <w:rPr>
                <w:rFonts w:hint="eastAsia"/>
                <w:sz w:val="24"/>
                <w:vertAlign w:val="superscript"/>
              </w:rPr>
              <w:t>3</w:t>
            </w:r>
            <w:r>
              <w:rPr>
                <w:rFonts w:hint="eastAsia"/>
                <w:sz w:val="24"/>
              </w:rPr>
              <w:t>EPS板、10万m</w:t>
            </w:r>
            <w:r>
              <w:rPr>
                <w:rFonts w:hint="eastAsia"/>
                <w:sz w:val="24"/>
                <w:vertAlign w:val="superscript"/>
              </w:rPr>
              <w:t>3</w:t>
            </w:r>
            <w:r>
              <w:rPr>
                <w:rFonts w:hint="eastAsia"/>
                <w:sz w:val="24"/>
              </w:rPr>
              <w:t>XPS板。</w:t>
            </w:r>
          </w:p>
          <w:p>
            <w:pPr>
              <w:pStyle w:val="7"/>
              <w:spacing w:after="0" w:line="360" w:lineRule="auto"/>
              <w:ind w:firstLine="480" w:firstLineChars="200"/>
              <w:rPr>
                <w:kern w:val="0"/>
                <w:sz w:val="24"/>
              </w:rPr>
            </w:pPr>
            <w:r>
              <w:rPr>
                <w:rFonts w:hint="eastAsia"/>
                <w:kern w:val="0"/>
                <w:sz w:val="24"/>
              </w:rPr>
              <w:t>主要建设内容见表1-2。</w:t>
            </w:r>
          </w:p>
          <w:p>
            <w:pPr>
              <w:adjustRightInd w:val="0"/>
              <w:snapToGrid w:val="0"/>
              <w:jc w:val="center"/>
              <w:rPr>
                <w:b/>
                <w:sz w:val="24"/>
              </w:rPr>
            </w:pPr>
            <w:r>
              <w:rPr>
                <w:b/>
                <w:sz w:val="24"/>
              </w:rPr>
              <w:t>表</w:t>
            </w:r>
            <w:r>
              <w:rPr>
                <w:rFonts w:hint="eastAsia"/>
                <w:b/>
                <w:sz w:val="24"/>
              </w:rPr>
              <w:t>1-2</w:t>
            </w:r>
            <w:r>
              <w:rPr>
                <w:b/>
                <w:sz w:val="24"/>
              </w:rPr>
              <w:t xml:space="preserve">  项目主要建设内容</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40"/>
              <w:gridCol w:w="654"/>
              <w:gridCol w:w="1313"/>
              <w:gridCol w:w="5591"/>
              <w:gridCol w:w="11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4" w:type="pct"/>
                  <w:gridSpan w:val="3"/>
                  <w:vAlign w:val="center"/>
                </w:tcPr>
                <w:p>
                  <w:pPr>
                    <w:adjustRightInd w:val="0"/>
                    <w:snapToGrid w:val="0"/>
                    <w:jc w:val="center"/>
                    <w:rPr>
                      <w:b/>
                      <w:szCs w:val="21"/>
                    </w:rPr>
                  </w:pPr>
                  <w:r>
                    <w:rPr>
                      <w:b/>
                      <w:szCs w:val="21"/>
                    </w:rPr>
                    <w:t>工程名称</w:t>
                  </w:r>
                </w:p>
              </w:tc>
              <w:tc>
                <w:tcPr>
                  <w:tcW w:w="3087" w:type="pct"/>
                  <w:vAlign w:val="center"/>
                </w:tcPr>
                <w:p>
                  <w:pPr>
                    <w:adjustRightInd w:val="0"/>
                    <w:snapToGrid w:val="0"/>
                    <w:jc w:val="center"/>
                    <w:rPr>
                      <w:b/>
                      <w:szCs w:val="21"/>
                    </w:rPr>
                  </w:pPr>
                  <w:r>
                    <w:rPr>
                      <w:b/>
                      <w:szCs w:val="21"/>
                    </w:rPr>
                    <w:t>建设内容</w:t>
                  </w:r>
                </w:p>
              </w:tc>
              <w:tc>
                <w:tcPr>
                  <w:tcW w:w="639" w:type="pct"/>
                  <w:vAlign w:val="center"/>
                </w:tcPr>
                <w:p>
                  <w:pPr>
                    <w:adjustRightInd w:val="0"/>
                    <w:snapToGrid w:val="0"/>
                    <w:jc w:val="center"/>
                    <w:rPr>
                      <w:b/>
                      <w:szCs w:val="21"/>
                    </w:rPr>
                  </w:pPr>
                  <w:r>
                    <w:rPr>
                      <w:rFonts w:hint="eastAsia"/>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2" w:hRule="atLeast"/>
                <w:jc w:val="center"/>
              </w:trPr>
              <w:tc>
                <w:tcPr>
                  <w:tcW w:w="188" w:type="pct"/>
                  <w:vAlign w:val="center"/>
                </w:tcPr>
                <w:p>
                  <w:pPr>
                    <w:adjustRightInd w:val="0"/>
                    <w:snapToGrid w:val="0"/>
                    <w:jc w:val="center"/>
                    <w:rPr>
                      <w:szCs w:val="21"/>
                    </w:rPr>
                  </w:pPr>
                  <w:r>
                    <w:rPr>
                      <w:rFonts w:hint="eastAsia"/>
                      <w:szCs w:val="21"/>
                    </w:rPr>
                    <w:t>主体工程</w:t>
                  </w:r>
                </w:p>
              </w:tc>
              <w:tc>
                <w:tcPr>
                  <w:tcW w:w="1086" w:type="pct"/>
                  <w:gridSpan w:val="2"/>
                  <w:vAlign w:val="center"/>
                </w:tcPr>
                <w:p>
                  <w:pPr>
                    <w:adjustRightInd w:val="0"/>
                    <w:snapToGrid w:val="0"/>
                    <w:jc w:val="center"/>
                    <w:rPr>
                      <w:szCs w:val="21"/>
                    </w:rPr>
                  </w:pPr>
                  <w:r>
                    <w:rPr>
                      <w:rFonts w:hint="eastAsia"/>
                      <w:szCs w:val="21"/>
                    </w:rPr>
                    <w:t>生产车间（</w:t>
                  </w:r>
                  <w:r>
                    <w:rPr>
                      <w:szCs w:val="21"/>
                    </w:rPr>
                    <w:t>3500</w:t>
                  </w:r>
                  <w:r>
                    <w:rPr>
                      <w:rFonts w:hint="eastAsia"/>
                      <w:szCs w:val="21"/>
                    </w:rPr>
                    <w:t>m</w:t>
                  </w:r>
                  <w:r>
                    <w:rPr>
                      <w:rFonts w:hint="eastAsia"/>
                      <w:szCs w:val="21"/>
                      <w:vertAlign w:val="superscript"/>
                    </w:rPr>
                    <w:t>2</w:t>
                  </w:r>
                  <w:r>
                    <w:rPr>
                      <w:rFonts w:hint="eastAsia"/>
                      <w:szCs w:val="21"/>
                    </w:rPr>
                    <w:t>）</w:t>
                  </w:r>
                </w:p>
              </w:tc>
              <w:tc>
                <w:tcPr>
                  <w:tcW w:w="3087" w:type="pct"/>
                  <w:tcMar>
                    <w:top w:w="0" w:type="dxa"/>
                    <w:left w:w="57" w:type="dxa"/>
                    <w:bottom w:w="0" w:type="dxa"/>
                    <w:right w:w="57" w:type="dxa"/>
                  </w:tcMar>
                  <w:vAlign w:val="center"/>
                </w:tcPr>
                <w:p>
                  <w:pPr>
                    <w:adjustRightInd w:val="0"/>
                    <w:snapToGrid w:val="0"/>
                    <w:rPr>
                      <w:szCs w:val="21"/>
                    </w:rPr>
                  </w:pPr>
                  <w:r>
                    <w:rPr>
                      <w:rFonts w:hint="eastAsia"/>
                      <w:szCs w:val="21"/>
                    </w:rPr>
                    <w:t>1间生产厂房，1F，2条EPS板生产线、1条XPS板生产线。EPS板生产线工序包括：投料、发泡、冷却熟化、挤出成型、陈放、切割及包装入库；</w:t>
                  </w:r>
                </w:p>
                <w:p>
                  <w:pPr>
                    <w:adjustRightInd w:val="0"/>
                    <w:snapToGrid w:val="0"/>
                    <w:rPr>
                      <w:szCs w:val="21"/>
                    </w:rPr>
                  </w:pPr>
                  <w:r>
                    <w:rPr>
                      <w:szCs w:val="21"/>
                    </w:rPr>
                    <w:t>X</w:t>
                  </w:r>
                  <w:r>
                    <w:rPr>
                      <w:rFonts w:hint="eastAsia"/>
                      <w:szCs w:val="21"/>
                    </w:rPr>
                    <w:t>PS板生产线工序包括：投料、发泡挤出（注入C</w:t>
                  </w:r>
                  <w:r>
                    <w:rPr>
                      <w:szCs w:val="21"/>
                    </w:rPr>
                    <w:t>O2</w:t>
                  </w:r>
                  <w:r>
                    <w:rPr>
                      <w:rFonts w:hint="eastAsia"/>
                      <w:szCs w:val="21"/>
                    </w:rPr>
                    <w:t>）、冷却熟化、修整、开凿、压花、切割及包装入库；</w:t>
                  </w:r>
                </w:p>
                <w:p>
                  <w:pPr>
                    <w:adjustRightInd w:val="0"/>
                    <w:snapToGrid w:val="0"/>
                    <w:rPr>
                      <w:szCs w:val="21"/>
                    </w:rPr>
                  </w:pPr>
                  <w:r>
                    <w:rPr>
                      <w:rFonts w:hint="eastAsia"/>
                      <w:szCs w:val="21"/>
                    </w:rPr>
                    <w:t>EPS板和</w:t>
                  </w:r>
                  <w:r>
                    <w:rPr>
                      <w:szCs w:val="21"/>
                    </w:rPr>
                    <w:t>X</w:t>
                  </w:r>
                  <w:r>
                    <w:rPr>
                      <w:rFonts w:hint="eastAsia"/>
                      <w:szCs w:val="21"/>
                    </w:rPr>
                    <w:t>PS板生产线产生的边角料：粉碎、熔融、外售。其中，生产区域2645m</w:t>
                  </w:r>
                  <w:r>
                    <w:rPr>
                      <w:rFonts w:hint="eastAsia"/>
                      <w:szCs w:val="21"/>
                      <w:vertAlign w:val="superscript"/>
                    </w:rPr>
                    <w:t>2</w:t>
                  </w:r>
                  <w:r>
                    <w:rPr>
                      <w:rFonts w:hint="eastAsia"/>
                      <w:szCs w:val="21"/>
                    </w:rPr>
                    <w:t>，原料库房30m</w:t>
                  </w:r>
                  <w:r>
                    <w:rPr>
                      <w:rFonts w:hint="eastAsia"/>
                      <w:szCs w:val="21"/>
                      <w:vertAlign w:val="superscript"/>
                    </w:rPr>
                    <w:t>2</w:t>
                  </w:r>
                  <w:r>
                    <w:rPr>
                      <w:rFonts w:hint="eastAsia"/>
                      <w:szCs w:val="21"/>
                    </w:rPr>
                    <w:t>，熟化区180m</w:t>
                  </w:r>
                  <w:r>
                    <w:rPr>
                      <w:rFonts w:hint="eastAsia"/>
                      <w:szCs w:val="21"/>
                      <w:vertAlign w:val="superscript"/>
                    </w:rPr>
                    <w:t>2</w:t>
                  </w:r>
                  <w:r>
                    <w:rPr>
                      <w:rFonts w:hint="eastAsia"/>
                      <w:szCs w:val="21"/>
                    </w:rPr>
                    <w:t>，陈放室465m</w:t>
                  </w:r>
                  <w:r>
                    <w:rPr>
                      <w:rFonts w:hint="eastAsia"/>
                      <w:szCs w:val="21"/>
                      <w:vertAlign w:val="superscript"/>
                    </w:rPr>
                    <w:t>2</w:t>
                  </w:r>
                </w:p>
              </w:tc>
              <w:tc>
                <w:tcPr>
                  <w:tcW w:w="639" w:type="pct"/>
                  <w:tcMar>
                    <w:top w:w="0" w:type="dxa"/>
                    <w:left w:w="57" w:type="dxa"/>
                    <w:bottom w:w="0" w:type="dxa"/>
                    <w:right w:w="57" w:type="dxa"/>
                  </w:tcMar>
                  <w:vAlign w:val="center"/>
                </w:tcPr>
                <w:p>
                  <w:pPr>
                    <w:adjustRightInd w:val="0"/>
                    <w:snapToGrid w:val="0"/>
                    <w:jc w:val="center"/>
                    <w:rPr>
                      <w:szCs w:val="21"/>
                    </w:rPr>
                  </w:pPr>
                  <w:r>
                    <w:rPr>
                      <w:rFonts w:hint="eastAsia"/>
                      <w:szCs w:val="21"/>
                    </w:rPr>
                    <w:t>车间由咸阳伟杰商贸有限公司2017年承建，目前为闲置厂房，未有任何设备入厂或生产活动。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 w:type="pct"/>
                  <w:vMerge w:val="restart"/>
                  <w:vAlign w:val="center"/>
                </w:tcPr>
                <w:p>
                  <w:pPr>
                    <w:adjustRightInd w:val="0"/>
                    <w:snapToGrid w:val="0"/>
                    <w:jc w:val="center"/>
                    <w:rPr>
                      <w:szCs w:val="21"/>
                    </w:rPr>
                  </w:pPr>
                  <w:r>
                    <w:rPr>
                      <w:rFonts w:hint="eastAsia"/>
                      <w:szCs w:val="21"/>
                    </w:rPr>
                    <w:t>辅助</w:t>
                  </w:r>
                </w:p>
                <w:p>
                  <w:pPr>
                    <w:adjustRightInd w:val="0"/>
                    <w:snapToGrid w:val="0"/>
                    <w:jc w:val="center"/>
                    <w:rPr>
                      <w:szCs w:val="21"/>
                    </w:rPr>
                  </w:pPr>
                  <w:r>
                    <w:rPr>
                      <w:rFonts w:hint="eastAsia"/>
                      <w:szCs w:val="21"/>
                    </w:rPr>
                    <w:t>工程</w:t>
                  </w:r>
                </w:p>
              </w:tc>
              <w:tc>
                <w:tcPr>
                  <w:tcW w:w="1086" w:type="pct"/>
                  <w:gridSpan w:val="2"/>
                  <w:vAlign w:val="center"/>
                </w:tcPr>
                <w:p>
                  <w:pPr>
                    <w:adjustRightInd w:val="0"/>
                    <w:snapToGrid w:val="0"/>
                    <w:jc w:val="center"/>
                    <w:rPr>
                      <w:szCs w:val="21"/>
                    </w:rPr>
                  </w:pPr>
                  <w:r>
                    <w:rPr>
                      <w:rFonts w:hint="eastAsia"/>
                      <w:szCs w:val="21"/>
                    </w:rPr>
                    <w:t>办公室</w:t>
                  </w:r>
                </w:p>
              </w:tc>
              <w:tc>
                <w:tcPr>
                  <w:tcW w:w="3087" w:type="pct"/>
                  <w:tcMar>
                    <w:top w:w="0" w:type="dxa"/>
                    <w:left w:w="57" w:type="dxa"/>
                    <w:bottom w:w="0" w:type="dxa"/>
                    <w:right w:w="57" w:type="dxa"/>
                  </w:tcMar>
                  <w:vAlign w:val="center"/>
                </w:tcPr>
                <w:p>
                  <w:pPr>
                    <w:adjustRightInd w:val="0"/>
                    <w:snapToGrid w:val="0"/>
                    <w:rPr>
                      <w:szCs w:val="21"/>
                    </w:rPr>
                  </w:pPr>
                  <w:r>
                    <w:rPr>
                      <w:rFonts w:hint="eastAsia"/>
                      <w:szCs w:val="21"/>
                    </w:rPr>
                    <w:t>租用咸阳伟杰商贸有限公司已建办公楼，</w:t>
                  </w:r>
                  <w:r>
                    <w:rPr>
                      <w:szCs w:val="21"/>
                    </w:rPr>
                    <w:t>4</w:t>
                  </w:r>
                  <w:r>
                    <w:rPr>
                      <w:rFonts w:hint="eastAsia"/>
                      <w:szCs w:val="21"/>
                    </w:rPr>
                    <w:t>F（北侧），建筑面积1565m</w:t>
                  </w:r>
                  <w:r>
                    <w:rPr>
                      <w:rFonts w:hint="eastAsia"/>
                      <w:szCs w:val="21"/>
                      <w:vertAlign w:val="superscript"/>
                    </w:rPr>
                    <w:t>2</w:t>
                  </w:r>
                  <w:r>
                    <w:rPr>
                      <w:rFonts w:hint="eastAsia"/>
                      <w:szCs w:val="21"/>
                    </w:rPr>
                    <w:t>，位于厂区北侧。</w:t>
                  </w:r>
                </w:p>
              </w:tc>
              <w:tc>
                <w:tcPr>
                  <w:tcW w:w="639" w:type="pct"/>
                  <w:tcMar>
                    <w:top w:w="0" w:type="dxa"/>
                    <w:left w:w="57" w:type="dxa"/>
                    <w:bottom w:w="0" w:type="dxa"/>
                    <w:right w:w="57" w:type="dxa"/>
                  </w:tcMar>
                  <w:vAlign w:val="center"/>
                </w:tcPr>
                <w:p>
                  <w:pPr>
                    <w:adjustRightInd w:val="0"/>
                    <w:snapToGrid w:val="0"/>
                    <w:jc w:val="center"/>
                    <w:rPr>
                      <w:szCs w:val="21"/>
                    </w:rPr>
                  </w:pPr>
                  <w:r>
                    <w:rPr>
                      <w:rFonts w:hint="eastAsia"/>
                      <w:szCs w:val="21"/>
                    </w:rPr>
                    <w:t>咸阳伟杰商贸有限公司2017年承建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 w:type="pct"/>
                  <w:vMerge w:val="continue"/>
                  <w:vAlign w:val="center"/>
                </w:tcPr>
                <w:p>
                  <w:pPr>
                    <w:adjustRightInd w:val="0"/>
                    <w:snapToGrid w:val="0"/>
                    <w:jc w:val="center"/>
                    <w:rPr>
                      <w:szCs w:val="21"/>
                    </w:rPr>
                  </w:pPr>
                </w:p>
              </w:tc>
              <w:tc>
                <w:tcPr>
                  <w:tcW w:w="1086" w:type="pct"/>
                  <w:gridSpan w:val="2"/>
                  <w:vAlign w:val="center"/>
                </w:tcPr>
                <w:p>
                  <w:pPr>
                    <w:adjustRightInd w:val="0"/>
                    <w:snapToGrid w:val="0"/>
                    <w:jc w:val="center"/>
                    <w:rPr>
                      <w:szCs w:val="21"/>
                    </w:rPr>
                  </w:pPr>
                  <w:r>
                    <w:rPr>
                      <w:rFonts w:hint="eastAsia"/>
                      <w:szCs w:val="21"/>
                    </w:rPr>
                    <w:t>锅炉房</w:t>
                  </w:r>
                </w:p>
              </w:tc>
              <w:tc>
                <w:tcPr>
                  <w:tcW w:w="3087" w:type="pct"/>
                  <w:tcMar>
                    <w:top w:w="0" w:type="dxa"/>
                    <w:left w:w="57" w:type="dxa"/>
                    <w:bottom w:w="0" w:type="dxa"/>
                    <w:right w:w="57" w:type="dxa"/>
                  </w:tcMar>
                  <w:vAlign w:val="center"/>
                </w:tcPr>
                <w:p>
                  <w:pPr>
                    <w:adjustRightInd w:val="0"/>
                    <w:snapToGrid w:val="0"/>
                    <w:rPr>
                      <w:szCs w:val="21"/>
                    </w:rPr>
                  </w:pPr>
                  <w:r>
                    <w:rPr>
                      <w:rFonts w:hint="eastAsia"/>
                      <w:szCs w:val="21"/>
                    </w:rPr>
                    <w:t>一处，位于生产车间西侧，建筑面积约180m</w:t>
                  </w:r>
                  <w:r>
                    <w:rPr>
                      <w:rFonts w:hint="eastAsia"/>
                      <w:szCs w:val="21"/>
                      <w:vertAlign w:val="superscript"/>
                    </w:rPr>
                    <w:t>2</w:t>
                  </w:r>
                  <w:r>
                    <w:rPr>
                      <w:rFonts w:hint="eastAsia"/>
                      <w:szCs w:val="21"/>
                    </w:rPr>
                    <w:t>，内设2t/h燃气锅炉2台，用于EPS板生产提供蒸汽热源。</w:t>
                  </w:r>
                </w:p>
              </w:tc>
              <w:tc>
                <w:tcPr>
                  <w:tcW w:w="639" w:type="pct"/>
                  <w:tcMar>
                    <w:top w:w="0" w:type="dxa"/>
                    <w:left w:w="57" w:type="dxa"/>
                    <w:bottom w:w="0" w:type="dxa"/>
                    <w:right w:w="57" w:type="dxa"/>
                  </w:tcMar>
                  <w:vAlign w:val="center"/>
                </w:tcPr>
                <w:p>
                  <w:pPr>
                    <w:adjustRightInd w:val="0"/>
                    <w:snapToGrid w:val="0"/>
                    <w:jc w:val="center"/>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 w:type="pct"/>
                  <w:vMerge w:val="restart"/>
                  <w:vAlign w:val="center"/>
                </w:tcPr>
                <w:p>
                  <w:pPr>
                    <w:adjustRightInd w:val="0"/>
                    <w:snapToGrid w:val="0"/>
                    <w:jc w:val="center"/>
                    <w:rPr>
                      <w:szCs w:val="21"/>
                    </w:rPr>
                  </w:pPr>
                  <w:r>
                    <w:rPr>
                      <w:szCs w:val="21"/>
                    </w:rPr>
                    <w:t>公用</w:t>
                  </w:r>
                </w:p>
                <w:p>
                  <w:pPr>
                    <w:adjustRightInd w:val="0"/>
                    <w:snapToGrid w:val="0"/>
                    <w:jc w:val="center"/>
                    <w:rPr>
                      <w:szCs w:val="21"/>
                    </w:rPr>
                  </w:pPr>
                  <w:r>
                    <w:rPr>
                      <w:szCs w:val="21"/>
                    </w:rPr>
                    <w:t>工程</w:t>
                  </w:r>
                </w:p>
              </w:tc>
              <w:tc>
                <w:tcPr>
                  <w:tcW w:w="1086" w:type="pct"/>
                  <w:gridSpan w:val="2"/>
                  <w:vAlign w:val="center"/>
                </w:tcPr>
                <w:p>
                  <w:pPr>
                    <w:adjustRightInd w:val="0"/>
                    <w:snapToGrid w:val="0"/>
                    <w:jc w:val="center"/>
                    <w:rPr>
                      <w:szCs w:val="21"/>
                    </w:rPr>
                  </w:pPr>
                  <w:r>
                    <w:rPr>
                      <w:szCs w:val="21"/>
                    </w:rPr>
                    <w:t>给水</w:t>
                  </w:r>
                </w:p>
              </w:tc>
              <w:tc>
                <w:tcPr>
                  <w:tcW w:w="3087" w:type="pct"/>
                  <w:tcMar>
                    <w:top w:w="0" w:type="dxa"/>
                    <w:left w:w="57" w:type="dxa"/>
                    <w:bottom w:w="0" w:type="dxa"/>
                    <w:right w:w="57" w:type="dxa"/>
                  </w:tcMar>
                  <w:vAlign w:val="center"/>
                </w:tcPr>
                <w:p>
                  <w:pPr>
                    <w:adjustRightInd w:val="0"/>
                    <w:snapToGrid w:val="0"/>
                    <w:rPr>
                      <w:szCs w:val="21"/>
                    </w:rPr>
                  </w:pPr>
                  <w:r>
                    <w:rPr>
                      <w:rFonts w:hint="eastAsia"/>
                      <w:szCs w:val="21"/>
                    </w:rPr>
                    <w:t>由市政自来水管网提供。</w:t>
                  </w:r>
                </w:p>
              </w:tc>
              <w:tc>
                <w:tcPr>
                  <w:tcW w:w="639" w:type="pct"/>
                  <w:tcMar>
                    <w:top w:w="0" w:type="dxa"/>
                    <w:left w:w="57" w:type="dxa"/>
                    <w:bottom w:w="0" w:type="dxa"/>
                    <w:right w:w="57" w:type="dxa"/>
                  </w:tcMar>
                  <w:vAlign w:val="center"/>
                </w:tcPr>
                <w:p>
                  <w:pPr>
                    <w:adjustRightInd w:val="0"/>
                    <w:snapToGrid w:val="0"/>
                    <w:jc w:val="center"/>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 w:type="pct"/>
                  <w:vMerge w:val="continue"/>
                  <w:vAlign w:val="center"/>
                </w:tcPr>
                <w:p>
                  <w:pPr>
                    <w:adjustRightInd w:val="0"/>
                    <w:snapToGrid w:val="0"/>
                    <w:jc w:val="center"/>
                    <w:rPr>
                      <w:szCs w:val="21"/>
                    </w:rPr>
                  </w:pPr>
                </w:p>
              </w:tc>
              <w:tc>
                <w:tcPr>
                  <w:tcW w:w="1086" w:type="pct"/>
                  <w:gridSpan w:val="2"/>
                  <w:vAlign w:val="center"/>
                </w:tcPr>
                <w:p>
                  <w:pPr>
                    <w:adjustRightInd w:val="0"/>
                    <w:snapToGrid w:val="0"/>
                    <w:jc w:val="center"/>
                    <w:rPr>
                      <w:color w:val="00B0F0"/>
                      <w:szCs w:val="21"/>
                    </w:rPr>
                  </w:pPr>
                  <w:r>
                    <w:rPr>
                      <w:color w:val="00B0F0"/>
                      <w:szCs w:val="21"/>
                    </w:rPr>
                    <w:t>排水</w:t>
                  </w:r>
                </w:p>
              </w:tc>
              <w:tc>
                <w:tcPr>
                  <w:tcW w:w="3087" w:type="pct"/>
                  <w:tcMar>
                    <w:top w:w="0" w:type="dxa"/>
                    <w:left w:w="57" w:type="dxa"/>
                    <w:bottom w:w="0" w:type="dxa"/>
                    <w:right w:w="57" w:type="dxa"/>
                  </w:tcMar>
                  <w:vAlign w:val="center"/>
                </w:tcPr>
                <w:p>
                  <w:pPr>
                    <w:adjustRightInd w:val="0"/>
                    <w:snapToGrid w:val="0"/>
                    <w:textAlignment w:val="center"/>
                    <w:rPr>
                      <w:color w:val="00B0F0"/>
                      <w:szCs w:val="21"/>
                    </w:rPr>
                  </w:pPr>
                  <w:r>
                    <w:rPr>
                      <w:rFonts w:hint="eastAsia"/>
                      <w:color w:val="00B0F0"/>
                      <w:szCs w:val="21"/>
                    </w:rPr>
                    <w:t>采取雨污分流；生活污水与生产废水（锅炉废水）均排入化粪池（依托咸阳伟杰商贸有限公司，容积3</w:t>
                  </w:r>
                  <w:r>
                    <w:rPr>
                      <w:color w:val="00B0F0"/>
                      <w:szCs w:val="21"/>
                    </w:rPr>
                    <w:t>0m</w:t>
                  </w:r>
                  <w:r>
                    <w:rPr>
                      <w:color w:val="00B0F0"/>
                      <w:szCs w:val="21"/>
                      <w:vertAlign w:val="superscript"/>
                    </w:rPr>
                    <w:t>3</w:t>
                  </w:r>
                  <w:r>
                    <w:rPr>
                      <w:rFonts w:hint="eastAsia"/>
                      <w:color w:val="00B0F0"/>
                      <w:szCs w:val="21"/>
                    </w:rPr>
                    <w:t>），定期对化粪池进行清掏</w:t>
                  </w:r>
                  <w:r>
                    <w:rPr>
                      <w:rFonts w:hint="eastAsia"/>
                      <w:color w:val="00B0F0"/>
                      <w:kern w:val="0"/>
                      <w:szCs w:val="21"/>
                    </w:rPr>
                    <w:t>。</w:t>
                  </w:r>
                </w:p>
              </w:tc>
              <w:tc>
                <w:tcPr>
                  <w:tcW w:w="639" w:type="pct"/>
                  <w:tcMar>
                    <w:top w:w="0" w:type="dxa"/>
                    <w:left w:w="57" w:type="dxa"/>
                    <w:bottom w:w="0" w:type="dxa"/>
                    <w:right w:w="57" w:type="dxa"/>
                  </w:tcMar>
                  <w:vAlign w:val="center"/>
                </w:tcPr>
                <w:p>
                  <w:pPr>
                    <w:adjustRightInd w:val="0"/>
                    <w:snapToGrid w:val="0"/>
                    <w:jc w:val="center"/>
                    <w:textAlignment w:val="center"/>
                    <w:rPr>
                      <w:szCs w:val="21"/>
                    </w:rPr>
                  </w:pPr>
                  <w:r>
                    <w:rPr>
                      <w:rFonts w:hint="eastAsia"/>
                      <w:color w:val="00B0F0"/>
                      <w:szCs w:val="21"/>
                    </w:rPr>
                    <w:t>化粪池依托，隔油池新建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 w:type="pct"/>
                  <w:vMerge w:val="continue"/>
                  <w:vAlign w:val="center"/>
                </w:tcPr>
                <w:p>
                  <w:pPr>
                    <w:adjustRightInd w:val="0"/>
                    <w:snapToGrid w:val="0"/>
                    <w:jc w:val="center"/>
                    <w:rPr>
                      <w:szCs w:val="21"/>
                    </w:rPr>
                  </w:pPr>
                </w:p>
              </w:tc>
              <w:tc>
                <w:tcPr>
                  <w:tcW w:w="1086" w:type="pct"/>
                  <w:gridSpan w:val="2"/>
                  <w:vAlign w:val="center"/>
                </w:tcPr>
                <w:p>
                  <w:pPr>
                    <w:adjustRightInd w:val="0"/>
                    <w:snapToGrid w:val="0"/>
                    <w:jc w:val="center"/>
                    <w:rPr>
                      <w:szCs w:val="21"/>
                    </w:rPr>
                  </w:pPr>
                  <w:r>
                    <w:rPr>
                      <w:bCs/>
                      <w:szCs w:val="21"/>
                    </w:rPr>
                    <w:t>供电</w:t>
                  </w:r>
                </w:p>
              </w:tc>
              <w:tc>
                <w:tcPr>
                  <w:tcW w:w="3087" w:type="pct"/>
                  <w:tcMar>
                    <w:top w:w="0" w:type="dxa"/>
                    <w:left w:w="57" w:type="dxa"/>
                    <w:bottom w:w="0" w:type="dxa"/>
                    <w:right w:w="57" w:type="dxa"/>
                  </w:tcMar>
                  <w:vAlign w:val="center"/>
                </w:tcPr>
                <w:p>
                  <w:pPr>
                    <w:adjustRightInd w:val="0"/>
                    <w:snapToGrid w:val="0"/>
                    <w:rPr>
                      <w:szCs w:val="21"/>
                    </w:rPr>
                  </w:pPr>
                  <w:r>
                    <w:rPr>
                      <w:szCs w:val="21"/>
                    </w:rPr>
                    <w:t>由</w:t>
                  </w:r>
                  <w:r>
                    <w:rPr>
                      <w:rFonts w:hint="eastAsia"/>
                      <w:szCs w:val="21"/>
                    </w:rPr>
                    <w:t>当地电网</w:t>
                  </w:r>
                  <w:r>
                    <w:rPr>
                      <w:szCs w:val="21"/>
                    </w:rPr>
                    <w:t>提供</w:t>
                  </w:r>
                  <w:r>
                    <w:rPr>
                      <w:rFonts w:hint="eastAsia"/>
                      <w:szCs w:val="21"/>
                    </w:rPr>
                    <w:t>。</w:t>
                  </w:r>
                </w:p>
              </w:tc>
              <w:tc>
                <w:tcPr>
                  <w:tcW w:w="639" w:type="pct"/>
                  <w:tcMar>
                    <w:top w:w="0" w:type="dxa"/>
                    <w:left w:w="57" w:type="dxa"/>
                    <w:bottom w:w="0" w:type="dxa"/>
                    <w:right w:w="57" w:type="dxa"/>
                  </w:tcMar>
                  <w:vAlign w:val="center"/>
                </w:tcPr>
                <w:p>
                  <w:pPr>
                    <w:adjustRightInd w:val="0"/>
                    <w:snapToGrid w:val="0"/>
                    <w:jc w:val="center"/>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 w:type="pct"/>
                  <w:vMerge w:val="restart"/>
                  <w:vAlign w:val="center"/>
                </w:tcPr>
                <w:p>
                  <w:pPr>
                    <w:adjustRightInd w:val="0"/>
                    <w:snapToGrid w:val="0"/>
                    <w:jc w:val="center"/>
                    <w:rPr>
                      <w:szCs w:val="21"/>
                    </w:rPr>
                  </w:pPr>
                  <w:r>
                    <w:rPr>
                      <w:szCs w:val="21"/>
                    </w:rPr>
                    <w:t>环保</w:t>
                  </w:r>
                </w:p>
                <w:p>
                  <w:pPr>
                    <w:adjustRightInd w:val="0"/>
                    <w:snapToGrid w:val="0"/>
                    <w:jc w:val="center"/>
                    <w:rPr>
                      <w:szCs w:val="21"/>
                    </w:rPr>
                  </w:pPr>
                  <w:r>
                    <w:rPr>
                      <w:szCs w:val="21"/>
                    </w:rPr>
                    <w:t>工程</w:t>
                  </w:r>
                </w:p>
              </w:tc>
              <w:tc>
                <w:tcPr>
                  <w:tcW w:w="361" w:type="pct"/>
                  <w:vMerge w:val="restart"/>
                  <w:vAlign w:val="center"/>
                </w:tcPr>
                <w:p>
                  <w:pPr>
                    <w:adjustRightInd w:val="0"/>
                    <w:snapToGrid w:val="0"/>
                    <w:jc w:val="center"/>
                    <w:rPr>
                      <w:color w:val="00B0F0"/>
                      <w:szCs w:val="21"/>
                    </w:rPr>
                  </w:pPr>
                  <w:r>
                    <w:rPr>
                      <w:color w:val="00B0F0"/>
                      <w:szCs w:val="21"/>
                    </w:rPr>
                    <w:t>废水</w:t>
                  </w:r>
                </w:p>
              </w:tc>
              <w:tc>
                <w:tcPr>
                  <w:tcW w:w="725" w:type="pct"/>
                  <w:vAlign w:val="center"/>
                </w:tcPr>
                <w:p>
                  <w:pPr>
                    <w:adjustRightInd w:val="0"/>
                    <w:snapToGrid w:val="0"/>
                    <w:jc w:val="center"/>
                    <w:rPr>
                      <w:color w:val="00B0F0"/>
                      <w:szCs w:val="21"/>
                    </w:rPr>
                  </w:pPr>
                  <w:r>
                    <w:rPr>
                      <w:rFonts w:hint="eastAsia"/>
                      <w:color w:val="00B0F0"/>
                      <w:szCs w:val="21"/>
                    </w:rPr>
                    <w:t>生活废水</w:t>
                  </w:r>
                </w:p>
              </w:tc>
              <w:tc>
                <w:tcPr>
                  <w:tcW w:w="3087" w:type="pct"/>
                  <w:tcMar>
                    <w:top w:w="0" w:type="dxa"/>
                    <w:left w:w="57" w:type="dxa"/>
                    <w:bottom w:w="0" w:type="dxa"/>
                    <w:right w:w="57" w:type="dxa"/>
                  </w:tcMar>
                  <w:vAlign w:val="center"/>
                </w:tcPr>
                <w:p>
                  <w:pPr>
                    <w:adjustRightInd w:val="0"/>
                    <w:snapToGrid w:val="0"/>
                    <w:jc w:val="left"/>
                    <w:rPr>
                      <w:color w:val="00B0F0"/>
                      <w:szCs w:val="21"/>
                    </w:rPr>
                  </w:pPr>
                  <w:r>
                    <w:rPr>
                      <w:rFonts w:hint="eastAsia"/>
                      <w:color w:val="00B0F0"/>
                      <w:szCs w:val="21"/>
                    </w:rPr>
                    <w:t>职工生活污水产生量较少，依托咸阳伟杰商贸有限公司化粪池，食堂废水经隔油池后与生活污水流入化粪池，定期清掏化粪池</w:t>
                  </w:r>
                </w:p>
              </w:tc>
              <w:tc>
                <w:tcPr>
                  <w:tcW w:w="639" w:type="pct"/>
                  <w:vMerge w:val="restart"/>
                  <w:tcMar>
                    <w:top w:w="0" w:type="dxa"/>
                    <w:left w:w="57" w:type="dxa"/>
                    <w:bottom w:w="0" w:type="dxa"/>
                    <w:right w:w="57" w:type="dxa"/>
                  </w:tcMar>
                  <w:vAlign w:val="center"/>
                </w:tcPr>
                <w:p>
                  <w:pPr>
                    <w:adjustRightInd w:val="0"/>
                    <w:snapToGrid w:val="0"/>
                    <w:rPr>
                      <w:color w:val="00B0F0"/>
                      <w:szCs w:val="21"/>
                    </w:rPr>
                  </w:pPr>
                  <w:r>
                    <w:rPr>
                      <w:rFonts w:hint="eastAsia"/>
                      <w:color w:val="00B0F0"/>
                      <w:szCs w:val="21"/>
                    </w:rPr>
                    <w:t>化粪池依托，隔油池新建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 w:type="pct"/>
                  <w:vMerge w:val="continue"/>
                  <w:vAlign w:val="center"/>
                </w:tcPr>
                <w:p>
                  <w:pPr>
                    <w:pStyle w:val="3"/>
                    <w:rPr>
                      <w:szCs w:val="21"/>
                    </w:rPr>
                  </w:pPr>
                </w:p>
              </w:tc>
              <w:tc>
                <w:tcPr>
                  <w:tcW w:w="361" w:type="pct"/>
                  <w:vMerge w:val="continue"/>
                  <w:vAlign w:val="center"/>
                </w:tcPr>
                <w:p>
                  <w:pPr>
                    <w:adjustRightInd w:val="0"/>
                    <w:snapToGrid w:val="0"/>
                    <w:jc w:val="center"/>
                    <w:rPr>
                      <w:color w:val="00B0F0"/>
                      <w:szCs w:val="21"/>
                    </w:rPr>
                  </w:pPr>
                </w:p>
              </w:tc>
              <w:tc>
                <w:tcPr>
                  <w:tcW w:w="725" w:type="pct"/>
                  <w:vAlign w:val="center"/>
                </w:tcPr>
                <w:p>
                  <w:pPr>
                    <w:adjustRightInd w:val="0"/>
                    <w:snapToGrid w:val="0"/>
                    <w:jc w:val="center"/>
                    <w:rPr>
                      <w:color w:val="00B0F0"/>
                      <w:szCs w:val="21"/>
                    </w:rPr>
                  </w:pPr>
                  <w:r>
                    <w:rPr>
                      <w:rFonts w:hint="eastAsia"/>
                      <w:color w:val="00B0F0"/>
                      <w:szCs w:val="21"/>
                    </w:rPr>
                    <w:t>生产废水</w:t>
                  </w:r>
                </w:p>
              </w:tc>
              <w:tc>
                <w:tcPr>
                  <w:tcW w:w="3087" w:type="pct"/>
                  <w:tcMar>
                    <w:top w:w="0" w:type="dxa"/>
                    <w:left w:w="57" w:type="dxa"/>
                    <w:bottom w:w="0" w:type="dxa"/>
                    <w:right w:w="57" w:type="dxa"/>
                  </w:tcMar>
                  <w:vAlign w:val="center"/>
                </w:tcPr>
                <w:p>
                  <w:pPr>
                    <w:adjustRightInd w:val="0"/>
                    <w:snapToGrid w:val="0"/>
                    <w:jc w:val="left"/>
                    <w:rPr>
                      <w:color w:val="00B0F0"/>
                      <w:szCs w:val="21"/>
                    </w:rPr>
                  </w:pPr>
                  <w:r>
                    <w:rPr>
                      <w:rFonts w:hint="eastAsia"/>
                      <w:color w:val="00B0F0"/>
                      <w:szCs w:val="21"/>
                    </w:rPr>
                    <w:t>本项目生产废水为锅炉用水，主要是软水制备过程中产生的废水，包括锅炉运行时定期排水及软水制备设备排水，排入化粪池，定期清掏化粪池</w:t>
                  </w:r>
                </w:p>
              </w:tc>
              <w:tc>
                <w:tcPr>
                  <w:tcW w:w="639" w:type="pct"/>
                  <w:vMerge w:val="continue"/>
                  <w:tcMar>
                    <w:top w:w="0" w:type="dxa"/>
                    <w:left w:w="57" w:type="dxa"/>
                    <w:bottom w:w="0" w:type="dxa"/>
                    <w:right w:w="57" w:type="dxa"/>
                  </w:tcMar>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88" w:type="pct"/>
                  <w:vMerge w:val="continue"/>
                  <w:vAlign w:val="center"/>
                </w:tcPr>
                <w:p>
                  <w:pPr>
                    <w:pStyle w:val="3"/>
                    <w:rPr>
                      <w:szCs w:val="21"/>
                    </w:rPr>
                  </w:pPr>
                </w:p>
              </w:tc>
              <w:tc>
                <w:tcPr>
                  <w:tcW w:w="361" w:type="pct"/>
                  <w:vMerge w:val="restart"/>
                  <w:vAlign w:val="center"/>
                </w:tcPr>
                <w:p>
                  <w:pPr>
                    <w:adjustRightInd w:val="0"/>
                    <w:snapToGrid w:val="0"/>
                    <w:jc w:val="center"/>
                    <w:rPr>
                      <w:szCs w:val="21"/>
                    </w:rPr>
                  </w:pPr>
                  <w:r>
                    <w:rPr>
                      <w:szCs w:val="21"/>
                    </w:rPr>
                    <w:t>废气</w:t>
                  </w:r>
                </w:p>
              </w:tc>
              <w:tc>
                <w:tcPr>
                  <w:tcW w:w="725" w:type="pct"/>
                  <w:vAlign w:val="center"/>
                </w:tcPr>
                <w:p>
                  <w:pPr>
                    <w:adjustRightInd w:val="0"/>
                    <w:snapToGrid w:val="0"/>
                    <w:jc w:val="center"/>
                    <w:rPr>
                      <w:szCs w:val="21"/>
                    </w:rPr>
                  </w:pPr>
                  <w:r>
                    <w:rPr>
                      <w:rFonts w:hint="eastAsia"/>
                      <w:szCs w:val="21"/>
                    </w:rPr>
                    <w:t>有机废气</w:t>
                  </w:r>
                </w:p>
              </w:tc>
              <w:tc>
                <w:tcPr>
                  <w:tcW w:w="3087" w:type="pct"/>
                  <w:tcMar>
                    <w:top w:w="0" w:type="dxa"/>
                    <w:left w:w="57" w:type="dxa"/>
                    <w:bottom w:w="0" w:type="dxa"/>
                    <w:right w:w="57" w:type="dxa"/>
                  </w:tcMar>
                  <w:vAlign w:val="center"/>
                </w:tcPr>
                <w:p>
                  <w:pPr>
                    <w:snapToGrid w:val="0"/>
                    <w:spacing w:line="300" w:lineRule="exact"/>
                    <w:rPr>
                      <w:bCs/>
                      <w:spacing w:val="-6"/>
                      <w:szCs w:val="21"/>
                    </w:rPr>
                  </w:pPr>
                  <w:r>
                    <w:rPr>
                      <w:rFonts w:hint="eastAsia"/>
                      <w:bCs/>
                      <w:spacing w:val="-6"/>
                      <w:szCs w:val="21"/>
                    </w:rPr>
                    <w:t>EPS板生产线发泡、挤出成型和切割过程，XPS板生产线发泡挤出过程，EPS板和XPS板生产线边角料的熔融过程产生的有机废气均由集气装置收集，经二级活性炭箱处理后，经1根15m高的排气筒P1排放</w:t>
                  </w:r>
                </w:p>
              </w:tc>
              <w:tc>
                <w:tcPr>
                  <w:tcW w:w="639" w:type="pct"/>
                  <w:vMerge w:val="restart"/>
                  <w:tcMar>
                    <w:top w:w="0" w:type="dxa"/>
                    <w:left w:w="57" w:type="dxa"/>
                    <w:bottom w:w="0" w:type="dxa"/>
                    <w:right w:w="57" w:type="dxa"/>
                  </w:tcMar>
                  <w:vAlign w:val="center"/>
                </w:tcPr>
                <w:p>
                  <w:pPr>
                    <w:adjustRightInd w:val="0"/>
                    <w:snapToGrid w:val="0"/>
                    <w:jc w:val="center"/>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88" w:type="pct"/>
                  <w:vMerge w:val="continue"/>
                  <w:vAlign w:val="center"/>
                </w:tcPr>
                <w:p>
                  <w:pPr>
                    <w:pStyle w:val="3"/>
                    <w:rPr>
                      <w:szCs w:val="21"/>
                    </w:rPr>
                  </w:pPr>
                </w:p>
              </w:tc>
              <w:tc>
                <w:tcPr>
                  <w:tcW w:w="361" w:type="pct"/>
                  <w:vMerge w:val="continue"/>
                  <w:vAlign w:val="center"/>
                </w:tcPr>
                <w:p>
                  <w:pPr>
                    <w:adjustRightInd w:val="0"/>
                    <w:snapToGrid w:val="0"/>
                    <w:jc w:val="center"/>
                    <w:rPr>
                      <w:szCs w:val="21"/>
                    </w:rPr>
                  </w:pPr>
                </w:p>
              </w:tc>
              <w:tc>
                <w:tcPr>
                  <w:tcW w:w="725" w:type="pct"/>
                  <w:vAlign w:val="center"/>
                </w:tcPr>
                <w:p>
                  <w:pPr>
                    <w:adjustRightInd w:val="0"/>
                    <w:snapToGrid w:val="0"/>
                    <w:jc w:val="center"/>
                    <w:rPr>
                      <w:szCs w:val="21"/>
                    </w:rPr>
                  </w:pPr>
                  <w:r>
                    <w:rPr>
                      <w:rFonts w:hint="eastAsia"/>
                      <w:szCs w:val="21"/>
                    </w:rPr>
                    <w:t>粉尘</w:t>
                  </w:r>
                </w:p>
              </w:tc>
              <w:tc>
                <w:tcPr>
                  <w:tcW w:w="3087" w:type="pct"/>
                  <w:tcMar>
                    <w:top w:w="0" w:type="dxa"/>
                    <w:left w:w="57" w:type="dxa"/>
                    <w:bottom w:w="0" w:type="dxa"/>
                    <w:right w:w="57" w:type="dxa"/>
                  </w:tcMar>
                  <w:vAlign w:val="center"/>
                </w:tcPr>
                <w:p>
                  <w:pPr>
                    <w:snapToGrid w:val="0"/>
                    <w:spacing w:line="300" w:lineRule="exact"/>
                    <w:rPr>
                      <w:bCs/>
                      <w:spacing w:val="-6"/>
                      <w:szCs w:val="21"/>
                    </w:rPr>
                  </w:pPr>
                  <w:r>
                    <w:rPr>
                      <w:rFonts w:hint="eastAsia"/>
                      <w:bCs/>
                      <w:spacing w:val="-6"/>
                      <w:szCs w:val="21"/>
                    </w:rPr>
                    <w:t>XPS板生产线修整、开凿、切割工序，EPS板和XPS板生产线边角料破碎时产生的粉尘均由集气装置收集，经布袋除尘器处理后，经1根15m高的排气筒P2排放。</w:t>
                  </w:r>
                </w:p>
              </w:tc>
              <w:tc>
                <w:tcPr>
                  <w:tcW w:w="639" w:type="pct"/>
                  <w:vMerge w:val="continue"/>
                  <w:tcMar>
                    <w:top w:w="0" w:type="dxa"/>
                    <w:left w:w="57" w:type="dxa"/>
                    <w:bottom w:w="0" w:type="dxa"/>
                    <w:right w:w="57" w:type="dxa"/>
                  </w:tcMar>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88" w:type="pct"/>
                  <w:vMerge w:val="continue"/>
                  <w:vAlign w:val="center"/>
                </w:tcPr>
                <w:p>
                  <w:pPr>
                    <w:pStyle w:val="3"/>
                  </w:pPr>
                </w:p>
              </w:tc>
              <w:tc>
                <w:tcPr>
                  <w:tcW w:w="361" w:type="pct"/>
                  <w:vMerge w:val="continue"/>
                  <w:vAlign w:val="center"/>
                </w:tcPr>
                <w:p>
                  <w:pPr>
                    <w:adjustRightInd w:val="0"/>
                    <w:snapToGrid w:val="0"/>
                    <w:jc w:val="center"/>
                    <w:rPr>
                      <w:szCs w:val="21"/>
                    </w:rPr>
                  </w:pPr>
                </w:p>
              </w:tc>
              <w:tc>
                <w:tcPr>
                  <w:tcW w:w="725" w:type="pct"/>
                  <w:vAlign w:val="center"/>
                </w:tcPr>
                <w:p>
                  <w:pPr>
                    <w:adjustRightInd w:val="0"/>
                    <w:snapToGrid w:val="0"/>
                    <w:jc w:val="center"/>
                    <w:rPr>
                      <w:szCs w:val="21"/>
                    </w:rPr>
                  </w:pPr>
                  <w:r>
                    <w:rPr>
                      <w:rFonts w:hint="eastAsia"/>
                      <w:szCs w:val="21"/>
                    </w:rPr>
                    <w:t>锅炉废气</w:t>
                  </w:r>
                </w:p>
              </w:tc>
              <w:tc>
                <w:tcPr>
                  <w:tcW w:w="3087" w:type="pct"/>
                  <w:tcMar>
                    <w:top w:w="0" w:type="dxa"/>
                    <w:left w:w="57" w:type="dxa"/>
                    <w:bottom w:w="0" w:type="dxa"/>
                    <w:right w:w="57" w:type="dxa"/>
                  </w:tcMar>
                  <w:vAlign w:val="center"/>
                </w:tcPr>
                <w:p>
                  <w:pPr>
                    <w:adjustRightInd w:val="0"/>
                    <w:snapToGrid w:val="0"/>
                    <w:jc w:val="left"/>
                    <w:rPr>
                      <w:szCs w:val="21"/>
                    </w:rPr>
                  </w:pPr>
                  <w:r>
                    <w:rPr>
                      <w:rFonts w:hint="eastAsia"/>
                      <w:bCs/>
                      <w:spacing w:val="-6"/>
                      <w:szCs w:val="21"/>
                    </w:rPr>
                    <w:t>2台天然气锅炉均设置低氮燃烧器，废气经共同</w:t>
                  </w:r>
                  <w:r>
                    <w:rPr>
                      <w:bCs/>
                      <w:spacing w:val="-6"/>
                      <w:szCs w:val="21"/>
                    </w:rPr>
                    <w:t>15</w:t>
                  </w:r>
                  <w:r>
                    <w:rPr>
                      <w:rFonts w:hint="eastAsia"/>
                      <w:bCs/>
                      <w:spacing w:val="-6"/>
                      <w:szCs w:val="21"/>
                    </w:rPr>
                    <w:t>m排气筒P3外排</w:t>
                  </w:r>
                </w:p>
              </w:tc>
              <w:tc>
                <w:tcPr>
                  <w:tcW w:w="639" w:type="pct"/>
                  <w:vMerge w:val="continue"/>
                  <w:tcMar>
                    <w:top w:w="0" w:type="dxa"/>
                    <w:left w:w="57" w:type="dxa"/>
                    <w:bottom w:w="0" w:type="dxa"/>
                    <w:right w:w="57" w:type="dxa"/>
                  </w:tcMar>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88" w:type="pct"/>
                  <w:vMerge w:val="continue"/>
                  <w:vAlign w:val="center"/>
                </w:tcPr>
                <w:p>
                  <w:pPr>
                    <w:adjustRightInd w:val="0"/>
                    <w:snapToGrid w:val="0"/>
                    <w:jc w:val="center"/>
                  </w:pPr>
                </w:p>
              </w:tc>
              <w:tc>
                <w:tcPr>
                  <w:tcW w:w="361" w:type="pct"/>
                  <w:vMerge w:val="continue"/>
                  <w:vAlign w:val="center"/>
                </w:tcPr>
                <w:p>
                  <w:pPr>
                    <w:adjustRightInd w:val="0"/>
                    <w:snapToGrid w:val="0"/>
                    <w:jc w:val="center"/>
                    <w:rPr>
                      <w:szCs w:val="21"/>
                    </w:rPr>
                  </w:pPr>
                </w:p>
              </w:tc>
              <w:tc>
                <w:tcPr>
                  <w:tcW w:w="725" w:type="pct"/>
                  <w:vAlign w:val="center"/>
                </w:tcPr>
                <w:p>
                  <w:pPr>
                    <w:adjustRightInd w:val="0"/>
                    <w:snapToGrid w:val="0"/>
                    <w:jc w:val="center"/>
                    <w:rPr>
                      <w:szCs w:val="21"/>
                    </w:rPr>
                  </w:pPr>
                  <w:r>
                    <w:rPr>
                      <w:rFonts w:hint="eastAsia"/>
                      <w:szCs w:val="21"/>
                    </w:rPr>
                    <w:t>食堂油烟</w:t>
                  </w:r>
                </w:p>
              </w:tc>
              <w:tc>
                <w:tcPr>
                  <w:tcW w:w="3087" w:type="pct"/>
                  <w:tcMar>
                    <w:top w:w="0" w:type="dxa"/>
                    <w:left w:w="57" w:type="dxa"/>
                    <w:bottom w:w="0" w:type="dxa"/>
                    <w:right w:w="57" w:type="dxa"/>
                  </w:tcMar>
                  <w:vAlign w:val="center"/>
                </w:tcPr>
                <w:p>
                  <w:pPr>
                    <w:adjustRightInd w:val="0"/>
                    <w:snapToGrid w:val="0"/>
                    <w:jc w:val="left"/>
                    <w:rPr>
                      <w:bCs/>
                      <w:spacing w:val="-6"/>
                      <w:szCs w:val="21"/>
                    </w:rPr>
                  </w:pPr>
                  <w:r>
                    <w:rPr>
                      <w:rFonts w:hint="eastAsia"/>
                      <w:szCs w:val="21"/>
                    </w:rPr>
                    <w:t>食堂油烟经油烟净化器处理</w:t>
                  </w:r>
                </w:p>
              </w:tc>
              <w:tc>
                <w:tcPr>
                  <w:tcW w:w="639" w:type="pct"/>
                  <w:vMerge w:val="continue"/>
                  <w:tcMar>
                    <w:top w:w="0" w:type="dxa"/>
                    <w:left w:w="57" w:type="dxa"/>
                    <w:bottom w:w="0" w:type="dxa"/>
                    <w:right w:w="57" w:type="dxa"/>
                  </w:tcMar>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4" w:hRule="atLeast"/>
                <w:jc w:val="center"/>
              </w:trPr>
              <w:tc>
                <w:tcPr>
                  <w:tcW w:w="188" w:type="pct"/>
                  <w:vMerge w:val="continue"/>
                  <w:vAlign w:val="center"/>
                </w:tcPr>
                <w:p>
                  <w:pPr>
                    <w:adjustRightInd w:val="0"/>
                    <w:snapToGrid w:val="0"/>
                    <w:jc w:val="center"/>
                    <w:rPr>
                      <w:szCs w:val="21"/>
                    </w:rPr>
                  </w:pPr>
                </w:p>
              </w:tc>
              <w:tc>
                <w:tcPr>
                  <w:tcW w:w="1086" w:type="pct"/>
                  <w:gridSpan w:val="2"/>
                  <w:vAlign w:val="center"/>
                </w:tcPr>
                <w:p>
                  <w:pPr>
                    <w:adjustRightInd w:val="0"/>
                    <w:snapToGrid w:val="0"/>
                    <w:jc w:val="center"/>
                    <w:rPr>
                      <w:szCs w:val="21"/>
                    </w:rPr>
                  </w:pPr>
                  <w:r>
                    <w:rPr>
                      <w:szCs w:val="21"/>
                    </w:rPr>
                    <w:t>噪声</w:t>
                  </w:r>
                </w:p>
              </w:tc>
              <w:tc>
                <w:tcPr>
                  <w:tcW w:w="3087" w:type="pct"/>
                  <w:tcMar>
                    <w:top w:w="0" w:type="dxa"/>
                    <w:left w:w="57" w:type="dxa"/>
                    <w:bottom w:w="0" w:type="dxa"/>
                    <w:right w:w="57" w:type="dxa"/>
                  </w:tcMar>
                  <w:vAlign w:val="center"/>
                </w:tcPr>
                <w:p>
                  <w:pPr>
                    <w:adjustRightInd w:val="0"/>
                    <w:snapToGrid w:val="0"/>
                    <w:jc w:val="left"/>
                    <w:rPr>
                      <w:szCs w:val="21"/>
                    </w:rPr>
                  </w:pPr>
                  <w:r>
                    <w:rPr>
                      <w:snapToGrid w:val="0"/>
                      <w:spacing w:val="-6"/>
                      <w:kern w:val="0"/>
                      <w:szCs w:val="21"/>
                    </w:rPr>
                    <w:t>选用低噪声设备，厂房内设置，</w:t>
                  </w:r>
                  <w:r>
                    <w:rPr>
                      <w:rFonts w:hint="eastAsia"/>
                      <w:snapToGrid w:val="0"/>
                      <w:spacing w:val="-6"/>
                      <w:kern w:val="0"/>
                      <w:szCs w:val="21"/>
                    </w:rPr>
                    <w:t>加装减震基垫</w:t>
                  </w:r>
                  <w:r>
                    <w:rPr>
                      <w:snapToGrid w:val="0"/>
                      <w:spacing w:val="-6"/>
                      <w:kern w:val="0"/>
                      <w:szCs w:val="21"/>
                    </w:rPr>
                    <w:t>、</w:t>
                  </w:r>
                  <w:r>
                    <w:rPr>
                      <w:rFonts w:hint="eastAsia"/>
                      <w:snapToGrid w:val="0"/>
                      <w:spacing w:val="-6"/>
                      <w:kern w:val="0"/>
                      <w:szCs w:val="21"/>
                    </w:rPr>
                    <w:t>厂房隔声</w:t>
                  </w:r>
                  <w:r>
                    <w:rPr>
                      <w:snapToGrid w:val="0"/>
                      <w:spacing w:val="-6"/>
                      <w:kern w:val="0"/>
                      <w:szCs w:val="21"/>
                    </w:rPr>
                    <w:t>等降噪措施</w:t>
                  </w:r>
                  <w:r>
                    <w:rPr>
                      <w:rFonts w:hint="eastAsia"/>
                      <w:snapToGrid w:val="0"/>
                      <w:spacing w:val="-6"/>
                      <w:kern w:val="0"/>
                      <w:szCs w:val="21"/>
                    </w:rPr>
                    <w:t>，</w:t>
                  </w:r>
                  <w:r>
                    <w:rPr>
                      <w:rFonts w:hint="eastAsia"/>
                      <w:spacing w:val="-2"/>
                      <w:szCs w:val="21"/>
                    </w:rPr>
                    <w:t>高噪风机必要时采取消声或风机房隔声</w:t>
                  </w:r>
                  <w:r>
                    <w:rPr>
                      <w:rFonts w:hint="eastAsia"/>
                      <w:snapToGrid w:val="0"/>
                      <w:spacing w:val="-6"/>
                      <w:kern w:val="0"/>
                      <w:szCs w:val="21"/>
                    </w:rPr>
                    <w:t>。</w:t>
                  </w:r>
                </w:p>
              </w:tc>
              <w:tc>
                <w:tcPr>
                  <w:tcW w:w="639" w:type="pct"/>
                  <w:tcMar>
                    <w:top w:w="0" w:type="dxa"/>
                    <w:left w:w="57" w:type="dxa"/>
                    <w:bottom w:w="0" w:type="dxa"/>
                    <w:right w:w="57" w:type="dxa"/>
                  </w:tcMar>
                  <w:vAlign w:val="center"/>
                </w:tcPr>
                <w:p>
                  <w:pPr>
                    <w:adjustRightInd w:val="0"/>
                    <w:snapToGrid w:val="0"/>
                    <w:jc w:val="center"/>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 w:type="pct"/>
                  <w:vMerge w:val="continue"/>
                  <w:vAlign w:val="center"/>
                </w:tcPr>
                <w:p>
                  <w:pPr>
                    <w:adjustRightInd w:val="0"/>
                    <w:snapToGrid w:val="0"/>
                    <w:jc w:val="center"/>
                    <w:rPr>
                      <w:szCs w:val="21"/>
                    </w:rPr>
                  </w:pPr>
                </w:p>
              </w:tc>
              <w:tc>
                <w:tcPr>
                  <w:tcW w:w="361" w:type="pct"/>
                  <w:vMerge w:val="restart"/>
                  <w:vAlign w:val="center"/>
                </w:tcPr>
                <w:p>
                  <w:pPr>
                    <w:adjustRightInd w:val="0"/>
                    <w:snapToGrid w:val="0"/>
                    <w:jc w:val="center"/>
                    <w:rPr>
                      <w:szCs w:val="21"/>
                    </w:rPr>
                  </w:pPr>
                  <w:r>
                    <w:rPr>
                      <w:szCs w:val="21"/>
                    </w:rPr>
                    <w:t>固废</w:t>
                  </w:r>
                </w:p>
              </w:tc>
              <w:tc>
                <w:tcPr>
                  <w:tcW w:w="725" w:type="pct"/>
                  <w:vAlign w:val="center"/>
                </w:tcPr>
                <w:p>
                  <w:pPr>
                    <w:adjustRightInd w:val="0"/>
                    <w:snapToGrid w:val="0"/>
                    <w:jc w:val="center"/>
                    <w:rPr>
                      <w:szCs w:val="21"/>
                    </w:rPr>
                  </w:pPr>
                  <w:r>
                    <w:rPr>
                      <w:rFonts w:hint="eastAsia"/>
                      <w:szCs w:val="21"/>
                    </w:rPr>
                    <w:t>生活垃圾</w:t>
                  </w:r>
                </w:p>
              </w:tc>
              <w:tc>
                <w:tcPr>
                  <w:tcW w:w="3087" w:type="pct"/>
                  <w:tcMar>
                    <w:top w:w="0" w:type="dxa"/>
                    <w:left w:w="57" w:type="dxa"/>
                    <w:bottom w:w="0" w:type="dxa"/>
                    <w:right w:w="57" w:type="dxa"/>
                  </w:tcMar>
                  <w:vAlign w:val="center"/>
                </w:tcPr>
                <w:p>
                  <w:pPr>
                    <w:adjustRightInd w:val="0"/>
                    <w:snapToGrid w:val="0"/>
                    <w:jc w:val="left"/>
                    <w:rPr>
                      <w:snapToGrid w:val="0"/>
                      <w:spacing w:val="-6"/>
                      <w:kern w:val="0"/>
                      <w:szCs w:val="21"/>
                    </w:rPr>
                  </w:pPr>
                  <w:r>
                    <w:rPr>
                      <w:szCs w:val="21"/>
                    </w:rPr>
                    <w:t>生活垃圾定点收集，环卫清运</w:t>
                  </w:r>
                </w:p>
              </w:tc>
              <w:tc>
                <w:tcPr>
                  <w:tcW w:w="639" w:type="pct"/>
                  <w:vMerge w:val="restart"/>
                  <w:tcMar>
                    <w:top w:w="0" w:type="dxa"/>
                    <w:left w:w="57" w:type="dxa"/>
                    <w:bottom w:w="0" w:type="dxa"/>
                    <w:right w:w="57" w:type="dxa"/>
                  </w:tcMar>
                  <w:vAlign w:val="center"/>
                </w:tcPr>
                <w:p>
                  <w:pPr>
                    <w:adjustRightInd w:val="0"/>
                    <w:snapToGrid w:val="0"/>
                    <w:jc w:val="center"/>
                    <w:rPr>
                      <w:szCs w:val="21"/>
                    </w:rPr>
                  </w:pPr>
                  <w:r>
                    <w:rPr>
                      <w:rFonts w:hint="eastAsia"/>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 w:type="pct"/>
                  <w:vMerge w:val="continue"/>
                  <w:vAlign w:val="center"/>
                </w:tcPr>
                <w:p>
                  <w:pPr>
                    <w:adjustRightInd w:val="0"/>
                    <w:snapToGrid w:val="0"/>
                    <w:jc w:val="center"/>
                    <w:rPr>
                      <w:szCs w:val="21"/>
                    </w:rPr>
                  </w:pPr>
                </w:p>
              </w:tc>
              <w:tc>
                <w:tcPr>
                  <w:tcW w:w="361" w:type="pct"/>
                  <w:vMerge w:val="continue"/>
                  <w:vAlign w:val="center"/>
                </w:tcPr>
                <w:p>
                  <w:pPr>
                    <w:adjustRightInd w:val="0"/>
                    <w:snapToGrid w:val="0"/>
                    <w:jc w:val="center"/>
                    <w:rPr>
                      <w:szCs w:val="21"/>
                    </w:rPr>
                  </w:pPr>
                </w:p>
              </w:tc>
              <w:tc>
                <w:tcPr>
                  <w:tcW w:w="725" w:type="pct"/>
                  <w:vMerge w:val="restart"/>
                  <w:vAlign w:val="center"/>
                </w:tcPr>
                <w:p>
                  <w:pPr>
                    <w:adjustRightInd w:val="0"/>
                    <w:snapToGrid w:val="0"/>
                    <w:jc w:val="center"/>
                    <w:rPr>
                      <w:szCs w:val="21"/>
                    </w:rPr>
                  </w:pPr>
                  <w:r>
                    <w:rPr>
                      <w:rFonts w:hint="eastAsia"/>
                      <w:szCs w:val="21"/>
                    </w:rPr>
                    <w:t>一般固废</w:t>
                  </w:r>
                </w:p>
              </w:tc>
              <w:tc>
                <w:tcPr>
                  <w:tcW w:w="3087" w:type="pct"/>
                  <w:tcMar>
                    <w:top w:w="0" w:type="dxa"/>
                    <w:left w:w="57" w:type="dxa"/>
                    <w:bottom w:w="0" w:type="dxa"/>
                    <w:right w:w="57" w:type="dxa"/>
                  </w:tcMar>
                </w:tcPr>
                <w:p>
                  <w:pPr>
                    <w:adjustRightInd w:val="0"/>
                    <w:snapToGrid w:val="0"/>
                    <w:jc w:val="left"/>
                    <w:rPr>
                      <w:szCs w:val="21"/>
                    </w:rPr>
                  </w:pPr>
                  <w:r>
                    <w:rPr>
                      <w:rFonts w:hint="eastAsia"/>
                    </w:rPr>
                    <w:t>边角料，回收熔融后外售</w:t>
                  </w:r>
                </w:p>
              </w:tc>
              <w:tc>
                <w:tcPr>
                  <w:tcW w:w="639" w:type="pct"/>
                  <w:vMerge w:val="continue"/>
                  <w:tcMar>
                    <w:top w:w="0" w:type="dxa"/>
                    <w:left w:w="57" w:type="dxa"/>
                    <w:bottom w:w="0" w:type="dxa"/>
                    <w:right w:w="57" w:type="dxa"/>
                  </w:tcMar>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 w:type="pct"/>
                  <w:vMerge w:val="continue"/>
                  <w:vAlign w:val="center"/>
                </w:tcPr>
                <w:p>
                  <w:pPr>
                    <w:adjustRightInd w:val="0"/>
                    <w:snapToGrid w:val="0"/>
                    <w:jc w:val="center"/>
                    <w:rPr>
                      <w:szCs w:val="21"/>
                    </w:rPr>
                  </w:pPr>
                </w:p>
              </w:tc>
              <w:tc>
                <w:tcPr>
                  <w:tcW w:w="361" w:type="pct"/>
                  <w:vMerge w:val="continue"/>
                  <w:vAlign w:val="center"/>
                </w:tcPr>
                <w:p>
                  <w:pPr>
                    <w:adjustRightInd w:val="0"/>
                    <w:snapToGrid w:val="0"/>
                    <w:jc w:val="center"/>
                    <w:rPr>
                      <w:szCs w:val="21"/>
                    </w:rPr>
                  </w:pPr>
                </w:p>
              </w:tc>
              <w:tc>
                <w:tcPr>
                  <w:tcW w:w="725" w:type="pct"/>
                  <w:vMerge w:val="continue"/>
                  <w:vAlign w:val="center"/>
                </w:tcPr>
                <w:p>
                  <w:pPr>
                    <w:adjustRightInd w:val="0"/>
                    <w:snapToGrid w:val="0"/>
                    <w:jc w:val="center"/>
                    <w:rPr>
                      <w:szCs w:val="21"/>
                    </w:rPr>
                  </w:pPr>
                </w:p>
              </w:tc>
              <w:tc>
                <w:tcPr>
                  <w:tcW w:w="3087" w:type="pct"/>
                  <w:tcMar>
                    <w:top w:w="0" w:type="dxa"/>
                    <w:left w:w="57" w:type="dxa"/>
                    <w:bottom w:w="0" w:type="dxa"/>
                    <w:right w:w="57" w:type="dxa"/>
                  </w:tcMar>
                </w:tcPr>
                <w:p>
                  <w:pPr>
                    <w:adjustRightInd w:val="0"/>
                    <w:snapToGrid w:val="0"/>
                    <w:jc w:val="left"/>
                    <w:rPr>
                      <w:szCs w:val="21"/>
                    </w:rPr>
                  </w:pPr>
                  <w:r>
                    <w:rPr>
                      <w:rFonts w:hint="eastAsia"/>
                    </w:rPr>
                    <w:t>粉尘，收集后外售</w:t>
                  </w:r>
                </w:p>
              </w:tc>
              <w:tc>
                <w:tcPr>
                  <w:tcW w:w="639" w:type="pct"/>
                  <w:vMerge w:val="continue"/>
                  <w:tcMar>
                    <w:top w:w="0" w:type="dxa"/>
                    <w:left w:w="57" w:type="dxa"/>
                    <w:bottom w:w="0" w:type="dxa"/>
                    <w:right w:w="57" w:type="dxa"/>
                  </w:tcMar>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 w:type="pct"/>
                  <w:vMerge w:val="continue"/>
                  <w:vAlign w:val="center"/>
                </w:tcPr>
                <w:p>
                  <w:pPr>
                    <w:adjustRightInd w:val="0"/>
                    <w:snapToGrid w:val="0"/>
                    <w:jc w:val="center"/>
                    <w:rPr>
                      <w:szCs w:val="21"/>
                    </w:rPr>
                  </w:pPr>
                </w:p>
              </w:tc>
              <w:tc>
                <w:tcPr>
                  <w:tcW w:w="361" w:type="pct"/>
                  <w:vMerge w:val="continue"/>
                  <w:vAlign w:val="center"/>
                </w:tcPr>
                <w:p>
                  <w:pPr>
                    <w:adjustRightInd w:val="0"/>
                    <w:snapToGrid w:val="0"/>
                    <w:jc w:val="center"/>
                    <w:rPr>
                      <w:szCs w:val="21"/>
                    </w:rPr>
                  </w:pPr>
                </w:p>
              </w:tc>
              <w:tc>
                <w:tcPr>
                  <w:tcW w:w="725" w:type="pct"/>
                  <w:vMerge w:val="continue"/>
                  <w:vAlign w:val="center"/>
                </w:tcPr>
                <w:p>
                  <w:pPr>
                    <w:adjustRightInd w:val="0"/>
                    <w:snapToGrid w:val="0"/>
                    <w:jc w:val="center"/>
                    <w:rPr>
                      <w:szCs w:val="21"/>
                    </w:rPr>
                  </w:pPr>
                </w:p>
              </w:tc>
              <w:tc>
                <w:tcPr>
                  <w:tcW w:w="3087" w:type="pct"/>
                  <w:tcMar>
                    <w:top w:w="0" w:type="dxa"/>
                    <w:left w:w="57" w:type="dxa"/>
                    <w:bottom w:w="0" w:type="dxa"/>
                    <w:right w:w="57" w:type="dxa"/>
                  </w:tcMar>
                </w:tcPr>
                <w:p>
                  <w:pPr>
                    <w:adjustRightInd w:val="0"/>
                    <w:snapToGrid w:val="0"/>
                    <w:jc w:val="left"/>
                    <w:rPr>
                      <w:szCs w:val="21"/>
                    </w:rPr>
                  </w:pPr>
                  <w:r>
                    <w:rPr>
                      <w:rFonts w:hint="eastAsia"/>
                    </w:rPr>
                    <w:t>废包材，定点收集，环卫清运</w:t>
                  </w:r>
                </w:p>
              </w:tc>
              <w:tc>
                <w:tcPr>
                  <w:tcW w:w="639" w:type="pct"/>
                  <w:vMerge w:val="continue"/>
                  <w:tcMar>
                    <w:top w:w="0" w:type="dxa"/>
                    <w:left w:w="57" w:type="dxa"/>
                    <w:bottom w:w="0" w:type="dxa"/>
                    <w:right w:w="57" w:type="dxa"/>
                  </w:tcMar>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 w:type="pct"/>
                  <w:vMerge w:val="continue"/>
                  <w:vAlign w:val="center"/>
                </w:tcPr>
                <w:p>
                  <w:pPr>
                    <w:adjustRightInd w:val="0"/>
                    <w:snapToGrid w:val="0"/>
                    <w:jc w:val="center"/>
                    <w:rPr>
                      <w:szCs w:val="21"/>
                    </w:rPr>
                  </w:pPr>
                </w:p>
              </w:tc>
              <w:tc>
                <w:tcPr>
                  <w:tcW w:w="361" w:type="pct"/>
                  <w:vMerge w:val="continue"/>
                  <w:vAlign w:val="center"/>
                </w:tcPr>
                <w:p>
                  <w:pPr>
                    <w:adjustRightInd w:val="0"/>
                    <w:snapToGrid w:val="0"/>
                    <w:jc w:val="center"/>
                    <w:rPr>
                      <w:szCs w:val="21"/>
                    </w:rPr>
                  </w:pPr>
                </w:p>
              </w:tc>
              <w:tc>
                <w:tcPr>
                  <w:tcW w:w="725" w:type="pct"/>
                  <w:vMerge w:val="continue"/>
                  <w:vAlign w:val="center"/>
                </w:tcPr>
                <w:p>
                  <w:pPr>
                    <w:adjustRightInd w:val="0"/>
                    <w:snapToGrid w:val="0"/>
                    <w:jc w:val="center"/>
                    <w:rPr>
                      <w:szCs w:val="21"/>
                    </w:rPr>
                  </w:pPr>
                </w:p>
              </w:tc>
              <w:tc>
                <w:tcPr>
                  <w:tcW w:w="3087" w:type="pct"/>
                  <w:tcMar>
                    <w:top w:w="0" w:type="dxa"/>
                    <w:left w:w="57" w:type="dxa"/>
                    <w:bottom w:w="0" w:type="dxa"/>
                    <w:right w:w="57" w:type="dxa"/>
                  </w:tcMar>
                </w:tcPr>
                <w:p>
                  <w:pPr>
                    <w:adjustRightInd w:val="0"/>
                    <w:snapToGrid w:val="0"/>
                    <w:jc w:val="left"/>
                    <w:rPr>
                      <w:szCs w:val="21"/>
                    </w:rPr>
                  </w:pPr>
                  <w:r>
                    <w:rPr>
                      <w:rFonts w:hint="eastAsia"/>
                    </w:rPr>
                    <w:t>废滤芯，交厂家回收</w:t>
                  </w:r>
                </w:p>
              </w:tc>
              <w:tc>
                <w:tcPr>
                  <w:tcW w:w="639" w:type="pct"/>
                  <w:vMerge w:val="continue"/>
                  <w:tcMar>
                    <w:top w:w="0" w:type="dxa"/>
                    <w:left w:w="57" w:type="dxa"/>
                    <w:bottom w:w="0" w:type="dxa"/>
                    <w:right w:w="57" w:type="dxa"/>
                  </w:tcMar>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 w:type="pct"/>
                  <w:vMerge w:val="continue"/>
                  <w:vAlign w:val="center"/>
                </w:tcPr>
                <w:p>
                  <w:pPr>
                    <w:adjustRightInd w:val="0"/>
                    <w:snapToGrid w:val="0"/>
                    <w:jc w:val="center"/>
                    <w:rPr>
                      <w:szCs w:val="21"/>
                    </w:rPr>
                  </w:pPr>
                </w:p>
              </w:tc>
              <w:tc>
                <w:tcPr>
                  <w:tcW w:w="361" w:type="pct"/>
                  <w:vMerge w:val="continue"/>
                  <w:vAlign w:val="center"/>
                </w:tcPr>
                <w:p>
                  <w:pPr>
                    <w:adjustRightInd w:val="0"/>
                    <w:snapToGrid w:val="0"/>
                    <w:jc w:val="center"/>
                    <w:rPr>
                      <w:szCs w:val="21"/>
                    </w:rPr>
                  </w:pPr>
                </w:p>
              </w:tc>
              <w:tc>
                <w:tcPr>
                  <w:tcW w:w="725" w:type="pct"/>
                  <w:vMerge w:val="continue"/>
                  <w:vAlign w:val="center"/>
                </w:tcPr>
                <w:p>
                  <w:pPr>
                    <w:adjustRightInd w:val="0"/>
                    <w:snapToGrid w:val="0"/>
                    <w:jc w:val="center"/>
                    <w:rPr>
                      <w:szCs w:val="21"/>
                    </w:rPr>
                  </w:pPr>
                </w:p>
              </w:tc>
              <w:tc>
                <w:tcPr>
                  <w:tcW w:w="3087" w:type="pct"/>
                  <w:tcMar>
                    <w:top w:w="0" w:type="dxa"/>
                    <w:left w:w="57" w:type="dxa"/>
                    <w:bottom w:w="0" w:type="dxa"/>
                    <w:right w:w="57" w:type="dxa"/>
                  </w:tcMar>
                </w:tcPr>
                <w:p>
                  <w:pPr>
                    <w:adjustRightInd w:val="0"/>
                    <w:snapToGrid w:val="0"/>
                    <w:jc w:val="left"/>
                    <w:rPr>
                      <w:szCs w:val="21"/>
                    </w:rPr>
                  </w:pPr>
                  <w:r>
                    <w:rPr>
                      <w:rFonts w:hint="eastAsia"/>
                    </w:rPr>
                    <w:t>废反渗透膜，交厂家回收</w:t>
                  </w:r>
                </w:p>
              </w:tc>
              <w:tc>
                <w:tcPr>
                  <w:tcW w:w="639" w:type="pct"/>
                  <w:vMerge w:val="continue"/>
                  <w:tcMar>
                    <w:top w:w="0" w:type="dxa"/>
                    <w:left w:w="57" w:type="dxa"/>
                    <w:bottom w:w="0" w:type="dxa"/>
                    <w:right w:w="57" w:type="dxa"/>
                  </w:tcMar>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8" w:type="pct"/>
                  <w:vMerge w:val="continue"/>
                  <w:vAlign w:val="center"/>
                </w:tcPr>
                <w:p>
                  <w:pPr>
                    <w:adjustRightInd w:val="0"/>
                    <w:snapToGrid w:val="0"/>
                    <w:jc w:val="center"/>
                    <w:rPr>
                      <w:szCs w:val="21"/>
                    </w:rPr>
                  </w:pPr>
                </w:p>
              </w:tc>
              <w:tc>
                <w:tcPr>
                  <w:tcW w:w="361" w:type="pct"/>
                  <w:vMerge w:val="continue"/>
                  <w:vAlign w:val="center"/>
                </w:tcPr>
                <w:p>
                  <w:pPr>
                    <w:adjustRightInd w:val="0"/>
                    <w:snapToGrid w:val="0"/>
                    <w:jc w:val="center"/>
                    <w:rPr>
                      <w:szCs w:val="21"/>
                    </w:rPr>
                  </w:pPr>
                </w:p>
              </w:tc>
              <w:tc>
                <w:tcPr>
                  <w:tcW w:w="725" w:type="pct"/>
                  <w:vAlign w:val="center"/>
                </w:tcPr>
                <w:p>
                  <w:pPr>
                    <w:adjustRightInd w:val="0"/>
                    <w:snapToGrid w:val="0"/>
                    <w:jc w:val="center"/>
                    <w:rPr>
                      <w:szCs w:val="21"/>
                    </w:rPr>
                  </w:pPr>
                  <w:r>
                    <w:rPr>
                      <w:rFonts w:hint="eastAsia"/>
                      <w:szCs w:val="21"/>
                    </w:rPr>
                    <w:t>危险废物</w:t>
                  </w:r>
                </w:p>
              </w:tc>
              <w:tc>
                <w:tcPr>
                  <w:tcW w:w="3087" w:type="pct"/>
                  <w:tcMar>
                    <w:top w:w="0" w:type="dxa"/>
                    <w:left w:w="57" w:type="dxa"/>
                    <w:bottom w:w="0" w:type="dxa"/>
                    <w:right w:w="57" w:type="dxa"/>
                  </w:tcMar>
                  <w:vAlign w:val="center"/>
                </w:tcPr>
                <w:p>
                  <w:pPr>
                    <w:adjustRightInd w:val="0"/>
                    <w:snapToGrid w:val="0"/>
                    <w:jc w:val="left"/>
                    <w:rPr>
                      <w:szCs w:val="21"/>
                    </w:rPr>
                  </w:pPr>
                  <w:r>
                    <w:rPr>
                      <w:rFonts w:hint="eastAsia"/>
                      <w:szCs w:val="21"/>
                    </w:rPr>
                    <w:t>在生产车间东北侧拟设置危废暂存间（15m</w:t>
                  </w:r>
                  <w:r>
                    <w:rPr>
                      <w:rFonts w:hint="eastAsia"/>
                      <w:szCs w:val="21"/>
                      <w:vertAlign w:val="superscript"/>
                    </w:rPr>
                    <w:t>2</w:t>
                  </w:r>
                  <w:r>
                    <w:rPr>
                      <w:rFonts w:hint="eastAsia"/>
                      <w:szCs w:val="21"/>
                    </w:rPr>
                    <w:t>），收集后定期交由有资质单位处置</w:t>
                  </w:r>
                </w:p>
              </w:tc>
              <w:tc>
                <w:tcPr>
                  <w:tcW w:w="639" w:type="pct"/>
                  <w:vMerge w:val="continue"/>
                  <w:tcMar>
                    <w:top w:w="0" w:type="dxa"/>
                    <w:left w:w="57" w:type="dxa"/>
                    <w:bottom w:w="0" w:type="dxa"/>
                    <w:right w:w="57" w:type="dxa"/>
                  </w:tcMar>
                  <w:vAlign w:val="center"/>
                </w:tcPr>
                <w:p>
                  <w:pPr>
                    <w:adjustRightInd w:val="0"/>
                    <w:snapToGrid w:val="0"/>
                    <w:jc w:val="center"/>
                    <w:rPr>
                      <w:szCs w:val="21"/>
                    </w:rPr>
                  </w:pPr>
                </w:p>
              </w:tc>
            </w:tr>
          </w:tbl>
          <w:p>
            <w:pPr>
              <w:pStyle w:val="7"/>
              <w:spacing w:after="0" w:line="360" w:lineRule="auto"/>
              <w:ind w:firstLine="480" w:firstLineChars="200"/>
              <w:rPr>
                <w:kern w:val="0"/>
                <w:sz w:val="24"/>
              </w:rPr>
            </w:pPr>
            <w:r>
              <w:rPr>
                <w:rFonts w:hint="eastAsia"/>
                <w:kern w:val="0"/>
                <w:sz w:val="24"/>
              </w:rPr>
              <w:t>（2）主要设备及原辅材料消耗</w:t>
            </w:r>
          </w:p>
          <w:p>
            <w:pPr>
              <w:adjustRightInd w:val="0"/>
              <w:snapToGrid w:val="0"/>
              <w:jc w:val="center"/>
              <w:rPr>
                <w:b/>
                <w:sz w:val="24"/>
              </w:rPr>
            </w:pPr>
            <w:r>
              <w:rPr>
                <w:rFonts w:hint="eastAsia"/>
                <w:b/>
                <w:sz w:val="24"/>
              </w:rPr>
              <w:t>表1-3  项目主要设备一览表</w:t>
            </w:r>
          </w:p>
          <w:tbl>
            <w:tblPr>
              <w:tblStyle w:val="20"/>
              <w:tblW w:w="90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3833"/>
              <w:gridCol w:w="2771"/>
              <w:gridCol w:w="818"/>
              <w:gridCol w:w="8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jc w:val="center"/>
              </w:trPr>
              <w:tc>
                <w:tcPr>
                  <w:tcW w:w="815" w:type="dxa"/>
                  <w:vAlign w:val="center"/>
                </w:tcPr>
                <w:p>
                  <w:pPr>
                    <w:pStyle w:val="10"/>
                    <w:adjustRightInd w:val="0"/>
                    <w:snapToGrid w:val="0"/>
                    <w:jc w:val="center"/>
                    <w:rPr>
                      <w:rFonts w:ascii="Times New Roman" w:hAnsi="Times New Roman"/>
                      <w:b/>
                      <w:snapToGrid w:val="0"/>
                      <w:kern w:val="0"/>
                      <w:sz w:val="22"/>
                      <w:szCs w:val="22"/>
                    </w:rPr>
                  </w:pPr>
                  <w:r>
                    <w:rPr>
                      <w:rFonts w:ascii="Times New Roman" w:hAnsi="Times New Roman"/>
                      <w:b/>
                      <w:snapToGrid w:val="0"/>
                      <w:kern w:val="0"/>
                      <w:sz w:val="22"/>
                      <w:szCs w:val="22"/>
                    </w:rPr>
                    <w:t>序号</w:t>
                  </w:r>
                </w:p>
              </w:tc>
              <w:tc>
                <w:tcPr>
                  <w:tcW w:w="3833" w:type="dxa"/>
                  <w:vAlign w:val="center"/>
                </w:tcPr>
                <w:p>
                  <w:pPr>
                    <w:pStyle w:val="10"/>
                    <w:adjustRightInd w:val="0"/>
                    <w:snapToGrid w:val="0"/>
                    <w:jc w:val="center"/>
                    <w:rPr>
                      <w:rFonts w:ascii="Times New Roman" w:hAnsi="Times New Roman"/>
                      <w:b/>
                      <w:snapToGrid w:val="0"/>
                      <w:kern w:val="0"/>
                      <w:sz w:val="22"/>
                      <w:szCs w:val="22"/>
                    </w:rPr>
                  </w:pPr>
                  <w:r>
                    <w:rPr>
                      <w:rFonts w:hint="eastAsia" w:ascii="Times New Roman" w:hAnsi="Times New Roman"/>
                      <w:b/>
                      <w:snapToGrid w:val="0"/>
                      <w:kern w:val="0"/>
                      <w:sz w:val="22"/>
                      <w:szCs w:val="22"/>
                    </w:rPr>
                    <w:t>设备</w:t>
                  </w:r>
                  <w:r>
                    <w:rPr>
                      <w:rFonts w:ascii="Times New Roman" w:hAnsi="Times New Roman"/>
                      <w:b/>
                      <w:snapToGrid w:val="0"/>
                      <w:kern w:val="0"/>
                      <w:sz w:val="22"/>
                      <w:szCs w:val="22"/>
                    </w:rPr>
                    <w:t>名称</w:t>
                  </w:r>
                </w:p>
              </w:tc>
              <w:tc>
                <w:tcPr>
                  <w:tcW w:w="2771" w:type="dxa"/>
                  <w:vAlign w:val="center"/>
                </w:tcPr>
                <w:p>
                  <w:pPr>
                    <w:pStyle w:val="10"/>
                    <w:adjustRightInd w:val="0"/>
                    <w:snapToGrid w:val="0"/>
                    <w:jc w:val="center"/>
                    <w:rPr>
                      <w:rFonts w:ascii="Times New Roman" w:hAnsi="Times New Roman"/>
                      <w:b/>
                      <w:snapToGrid w:val="0"/>
                      <w:kern w:val="0"/>
                      <w:sz w:val="22"/>
                      <w:szCs w:val="22"/>
                    </w:rPr>
                  </w:pPr>
                  <w:r>
                    <w:rPr>
                      <w:rFonts w:ascii="Times New Roman" w:hAnsi="Times New Roman"/>
                      <w:b/>
                      <w:snapToGrid w:val="0"/>
                      <w:kern w:val="0"/>
                      <w:sz w:val="22"/>
                      <w:szCs w:val="22"/>
                    </w:rPr>
                    <w:t>数量</w:t>
                  </w:r>
                </w:p>
              </w:tc>
              <w:tc>
                <w:tcPr>
                  <w:tcW w:w="818" w:type="dxa"/>
                  <w:vAlign w:val="center"/>
                </w:tcPr>
                <w:p>
                  <w:pPr>
                    <w:pStyle w:val="10"/>
                    <w:adjustRightInd w:val="0"/>
                    <w:snapToGrid w:val="0"/>
                    <w:jc w:val="center"/>
                    <w:rPr>
                      <w:rFonts w:ascii="Times New Roman" w:hAnsi="Times New Roman"/>
                      <w:b/>
                      <w:snapToGrid w:val="0"/>
                      <w:kern w:val="0"/>
                      <w:sz w:val="22"/>
                      <w:szCs w:val="22"/>
                    </w:rPr>
                  </w:pPr>
                  <w:r>
                    <w:rPr>
                      <w:rFonts w:hint="eastAsia" w:ascii="Times New Roman" w:hAnsi="Times New Roman"/>
                      <w:b/>
                      <w:snapToGrid w:val="0"/>
                      <w:kern w:val="0"/>
                      <w:sz w:val="22"/>
                      <w:szCs w:val="22"/>
                    </w:rPr>
                    <w:t>单位</w:t>
                  </w:r>
                </w:p>
              </w:tc>
              <w:tc>
                <w:tcPr>
                  <w:tcW w:w="818" w:type="dxa"/>
                  <w:vAlign w:val="center"/>
                </w:tcPr>
                <w:p>
                  <w:pPr>
                    <w:pStyle w:val="10"/>
                    <w:adjustRightInd w:val="0"/>
                    <w:snapToGrid w:val="0"/>
                    <w:jc w:val="center"/>
                    <w:rPr>
                      <w:rFonts w:ascii="Times New Roman" w:hAnsi="Times New Roman"/>
                      <w:b/>
                      <w:snapToGrid w:val="0"/>
                      <w:kern w:val="0"/>
                      <w:sz w:val="22"/>
                      <w:szCs w:val="22"/>
                    </w:rPr>
                  </w:pPr>
                  <w:r>
                    <w:rPr>
                      <w:rFonts w:hint="eastAsia" w:ascii="Times New Roman" w:hAnsi="Times New Roman"/>
                      <w:b/>
                      <w:snapToGrid w:val="0"/>
                      <w:kern w:val="0"/>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dxa"/>
                  <w:vAlign w:val="center"/>
                </w:tcPr>
                <w:p>
                  <w:pPr>
                    <w:pStyle w:val="10"/>
                    <w:adjustRightInd w:val="0"/>
                    <w:snapToGrid w:val="0"/>
                    <w:jc w:val="center"/>
                    <w:rPr>
                      <w:rFonts w:ascii="Times New Roman" w:hAnsi="Times New Roman"/>
                      <w:snapToGrid w:val="0"/>
                      <w:kern w:val="0"/>
                      <w:sz w:val="22"/>
                      <w:szCs w:val="22"/>
                    </w:rPr>
                  </w:pPr>
                  <w:r>
                    <w:rPr>
                      <w:rFonts w:hint="eastAsia" w:ascii="Times New Roman" w:hAnsi="Times New Roman"/>
                      <w:snapToGrid w:val="0"/>
                      <w:kern w:val="0"/>
                      <w:sz w:val="22"/>
                      <w:szCs w:val="22"/>
                    </w:rPr>
                    <w:t>1</w:t>
                  </w:r>
                </w:p>
              </w:tc>
              <w:tc>
                <w:tcPr>
                  <w:tcW w:w="3833" w:type="dxa"/>
                  <w:vAlign w:val="center"/>
                </w:tcPr>
                <w:p>
                  <w:pPr>
                    <w:widowControl/>
                    <w:jc w:val="center"/>
                    <w:textAlignment w:val="center"/>
                    <w:rPr>
                      <w:kern w:val="0"/>
                      <w:szCs w:val="21"/>
                      <w:lang w:bidi="ar"/>
                    </w:rPr>
                  </w:pPr>
                  <w:r>
                    <w:rPr>
                      <w:rFonts w:hint="eastAsia"/>
                      <w:szCs w:val="21"/>
                    </w:rPr>
                    <w:t>EPS聚苯板成型机</w:t>
                  </w:r>
                </w:p>
              </w:tc>
              <w:tc>
                <w:tcPr>
                  <w:tcW w:w="2771" w:type="dxa"/>
                  <w:vAlign w:val="center"/>
                </w:tcPr>
                <w:p>
                  <w:pPr>
                    <w:widowControl/>
                    <w:jc w:val="center"/>
                    <w:textAlignment w:val="center"/>
                    <w:rPr>
                      <w:snapToGrid w:val="0"/>
                      <w:kern w:val="0"/>
                      <w:szCs w:val="21"/>
                    </w:rPr>
                  </w:pPr>
                  <w:r>
                    <w:rPr>
                      <w:rFonts w:hint="eastAsia"/>
                      <w:szCs w:val="21"/>
                    </w:rPr>
                    <w:t>2</w:t>
                  </w:r>
                </w:p>
              </w:tc>
              <w:tc>
                <w:tcPr>
                  <w:tcW w:w="818" w:type="dxa"/>
                  <w:vAlign w:val="center"/>
                </w:tcPr>
                <w:p>
                  <w:pPr>
                    <w:widowControl/>
                    <w:jc w:val="center"/>
                    <w:textAlignment w:val="center"/>
                    <w:rPr>
                      <w:kern w:val="0"/>
                      <w:szCs w:val="21"/>
                      <w:lang w:bidi="ar"/>
                    </w:rPr>
                  </w:pPr>
                  <w:r>
                    <w:rPr>
                      <w:rFonts w:hint="eastAsia"/>
                      <w:szCs w:val="21"/>
                    </w:rPr>
                    <w:t>台</w:t>
                  </w:r>
                </w:p>
              </w:tc>
              <w:tc>
                <w:tcPr>
                  <w:tcW w:w="818" w:type="dxa"/>
                  <w:vMerge w:val="restart"/>
                  <w:vAlign w:val="center"/>
                </w:tcPr>
                <w:p>
                  <w:pPr>
                    <w:widowControl/>
                    <w:jc w:val="center"/>
                    <w:textAlignment w:val="center"/>
                    <w:rPr>
                      <w:kern w:val="0"/>
                      <w:szCs w:val="21"/>
                      <w:lang w:bidi="ar"/>
                    </w:rPr>
                  </w:pPr>
                  <w:r>
                    <w:rPr>
                      <w:rFonts w:hint="eastAsia"/>
                      <w:kern w:val="0"/>
                      <w:szCs w:val="21"/>
                      <w:lang w:bidi="ar"/>
                    </w:rPr>
                    <w:t>EPS板生产线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dxa"/>
                  <w:vAlign w:val="center"/>
                </w:tcPr>
                <w:p>
                  <w:pPr>
                    <w:pStyle w:val="10"/>
                    <w:adjustRightInd w:val="0"/>
                    <w:snapToGrid w:val="0"/>
                    <w:jc w:val="center"/>
                    <w:rPr>
                      <w:rFonts w:ascii="Times New Roman" w:hAnsi="Times New Roman"/>
                      <w:snapToGrid w:val="0"/>
                      <w:kern w:val="0"/>
                      <w:sz w:val="22"/>
                      <w:szCs w:val="22"/>
                    </w:rPr>
                  </w:pPr>
                  <w:r>
                    <w:rPr>
                      <w:rFonts w:hint="eastAsia" w:ascii="Times New Roman" w:hAnsi="Times New Roman"/>
                      <w:snapToGrid w:val="0"/>
                      <w:kern w:val="0"/>
                      <w:sz w:val="22"/>
                      <w:szCs w:val="22"/>
                    </w:rPr>
                    <w:t>2</w:t>
                  </w:r>
                </w:p>
              </w:tc>
              <w:tc>
                <w:tcPr>
                  <w:tcW w:w="3833" w:type="dxa"/>
                  <w:vAlign w:val="center"/>
                </w:tcPr>
                <w:p>
                  <w:pPr>
                    <w:widowControl/>
                    <w:jc w:val="center"/>
                    <w:textAlignment w:val="center"/>
                    <w:rPr>
                      <w:kern w:val="0"/>
                      <w:szCs w:val="21"/>
                      <w:lang w:bidi="ar"/>
                    </w:rPr>
                  </w:pPr>
                  <w:r>
                    <w:rPr>
                      <w:rFonts w:hint="eastAsia"/>
                      <w:szCs w:val="21"/>
                    </w:rPr>
                    <w:t>EPS预发泡机</w:t>
                  </w:r>
                </w:p>
              </w:tc>
              <w:tc>
                <w:tcPr>
                  <w:tcW w:w="2771" w:type="dxa"/>
                  <w:vAlign w:val="center"/>
                </w:tcPr>
                <w:p>
                  <w:pPr>
                    <w:widowControl/>
                    <w:jc w:val="center"/>
                    <w:textAlignment w:val="center"/>
                    <w:rPr>
                      <w:snapToGrid w:val="0"/>
                      <w:kern w:val="0"/>
                      <w:szCs w:val="21"/>
                    </w:rPr>
                  </w:pPr>
                  <w:r>
                    <w:rPr>
                      <w:rFonts w:hint="eastAsia"/>
                      <w:snapToGrid w:val="0"/>
                      <w:kern w:val="0"/>
                      <w:szCs w:val="21"/>
                    </w:rPr>
                    <w:t>2</w:t>
                  </w:r>
                </w:p>
              </w:tc>
              <w:tc>
                <w:tcPr>
                  <w:tcW w:w="818" w:type="dxa"/>
                  <w:vAlign w:val="center"/>
                </w:tcPr>
                <w:p>
                  <w:pPr>
                    <w:widowControl/>
                    <w:jc w:val="center"/>
                    <w:textAlignment w:val="center"/>
                    <w:rPr>
                      <w:szCs w:val="21"/>
                    </w:rPr>
                  </w:pPr>
                  <w:r>
                    <w:rPr>
                      <w:rFonts w:hint="eastAsia"/>
                      <w:szCs w:val="21"/>
                    </w:rPr>
                    <w:t>台</w:t>
                  </w:r>
                </w:p>
              </w:tc>
              <w:tc>
                <w:tcPr>
                  <w:tcW w:w="818"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dxa"/>
                  <w:vAlign w:val="center"/>
                </w:tcPr>
                <w:p>
                  <w:pPr>
                    <w:pStyle w:val="10"/>
                    <w:adjustRightInd w:val="0"/>
                    <w:snapToGrid w:val="0"/>
                    <w:jc w:val="center"/>
                    <w:rPr>
                      <w:rFonts w:ascii="Times New Roman" w:hAnsi="Times New Roman"/>
                      <w:snapToGrid w:val="0"/>
                      <w:kern w:val="0"/>
                      <w:sz w:val="22"/>
                      <w:szCs w:val="22"/>
                    </w:rPr>
                  </w:pPr>
                  <w:r>
                    <w:rPr>
                      <w:rFonts w:hint="eastAsia" w:ascii="Times New Roman" w:hAnsi="Times New Roman"/>
                      <w:snapToGrid w:val="0"/>
                      <w:kern w:val="0"/>
                      <w:sz w:val="22"/>
                      <w:szCs w:val="22"/>
                    </w:rPr>
                    <w:t>3</w:t>
                  </w:r>
                </w:p>
              </w:tc>
              <w:tc>
                <w:tcPr>
                  <w:tcW w:w="3833" w:type="dxa"/>
                  <w:vAlign w:val="center"/>
                </w:tcPr>
                <w:p>
                  <w:pPr>
                    <w:widowControl/>
                    <w:jc w:val="center"/>
                    <w:textAlignment w:val="center"/>
                    <w:rPr>
                      <w:kern w:val="0"/>
                      <w:szCs w:val="21"/>
                      <w:lang w:bidi="ar"/>
                    </w:rPr>
                  </w:pPr>
                  <w:r>
                    <w:rPr>
                      <w:rFonts w:hint="eastAsia"/>
                      <w:szCs w:val="21"/>
                    </w:rPr>
                    <w:t>EPS切割（线）机</w:t>
                  </w:r>
                </w:p>
              </w:tc>
              <w:tc>
                <w:tcPr>
                  <w:tcW w:w="2771" w:type="dxa"/>
                  <w:vAlign w:val="center"/>
                </w:tcPr>
                <w:p>
                  <w:pPr>
                    <w:widowControl/>
                    <w:jc w:val="center"/>
                    <w:textAlignment w:val="center"/>
                    <w:rPr>
                      <w:kern w:val="0"/>
                      <w:szCs w:val="21"/>
                      <w:lang w:bidi="ar"/>
                    </w:rPr>
                  </w:pPr>
                  <w:r>
                    <w:rPr>
                      <w:rFonts w:hint="eastAsia"/>
                      <w:kern w:val="0"/>
                      <w:szCs w:val="21"/>
                      <w:lang w:bidi="ar"/>
                    </w:rPr>
                    <w:t>4</w:t>
                  </w:r>
                </w:p>
              </w:tc>
              <w:tc>
                <w:tcPr>
                  <w:tcW w:w="818" w:type="dxa"/>
                  <w:vAlign w:val="center"/>
                </w:tcPr>
                <w:p>
                  <w:pPr>
                    <w:widowControl/>
                    <w:jc w:val="center"/>
                    <w:textAlignment w:val="center"/>
                    <w:rPr>
                      <w:kern w:val="0"/>
                      <w:szCs w:val="21"/>
                      <w:lang w:bidi="ar"/>
                    </w:rPr>
                  </w:pPr>
                  <w:r>
                    <w:rPr>
                      <w:rFonts w:hint="eastAsia"/>
                      <w:kern w:val="0"/>
                      <w:szCs w:val="21"/>
                      <w:lang w:bidi="ar"/>
                    </w:rPr>
                    <w:t>台</w:t>
                  </w:r>
                </w:p>
              </w:tc>
              <w:tc>
                <w:tcPr>
                  <w:tcW w:w="818" w:type="dxa"/>
                  <w:vMerge w:val="continue"/>
                  <w:vAlign w:val="center"/>
                </w:tcPr>
                <w:p>
                  <w:pPr>
                    <w:widowControl/>
                    <w:jc w:val="center"/>
                    <w:textAlignment w:val="center"/>
                    <w:rPr>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dxa"/>
                  <w:vAlign w:val="center"/>
                </w:tcPr>
                <w:p>
                  <w:pPr>
                    <w:pStyle w:val="10"/>
                    <w:adjustRightInd w:val="0"/>
                    <w:snapToGrid w:val="0"/>
                    <w:jc w:val="center"/>
                    <w:rPr>
                      <w:rFonts w:ascii="Times New Roman" w:hAnsi="Times New Roman"/>
                      <w:snapToGrid w:val="0"/>
                      <w:kern w:val="0"/>
                      <w:sz w:val="22"/>
                      <w:szCs w:val="22"/>
                    </w:rPr>
                  </w:pPr>
                  <w:r>
                    <w:rPr>
                      <w:rFonts w:hint="eastAsia" w:ascii="Times New Roman" w:hAnsi="Times New Roman"/>
                      <w:snapToGrid w:val="0"/>
                      <w:kern w:val="0"/>
                      <w:sz w:val="22"/>
                      <w:szCs w:val="22"/>
                    </w:rPr>
                    <w:t>4</w:t>
                  </w:r>
                </w:p>
              </w:tc>
              <w:tc>
                <w:tcPr>
                  <w:tcW w:w="3833" w:type="dxa"/>
                  <w:vAlign w:val="center"/>
                </w:tcPr>
                <w:p>
                  <w:pPr>
                    <w:widowControl/>
                    <w:jc w:val="center"/>
                    <w:textAlignment w:val="center"/>
                    <w:rPr>
                      <w:kern w:val="0"/>
                      <w:szCs w:val="21"/>
                      <w:lang w:bidi="ar"/>
                    </w:rPr>
                  </w:pPr>
                  <w:r>
                    <w:rPr>
                      <w:rFonts w:hint="eastAsia"/>
                      <w:szCs w:val="21"/>
                    </w:rPr>
                    <w:t>混料机</w:t>
                  </w:r>
                </w:p>
              </w:tc>
              <w:tc>
                <w:tcPr>
                  <w:tcW w:w="2771" w:type="dxa"/>
                  <w:vAlign w:val="center"/>
                </w:tcPr>
                <w:p>
                  <w:pPr>
                    <w:widowControl/>
                    <w:jc w:val="center"/>
                    <w:textAlignment w:val="center"/>
                    <w:rPr>
                      <w:snapToGrid w:val="0"/>
                      <w:kern w:val="0"/>
                      <w:szCs w:val="21"/>
                    </w:rPr>
                  </w:pPr>
                  <w:r>
                    <w:rPr>
                      <w:rFonts w:hint="eastAsia" w:ascii="宋体" w:hAnsi="宋体" w:cs="宋体"/>
                      <w:kern w:val="0"/>
                      <w:szCs w:val="21"/>
                      <w:lang w:bidi="ar"/>
                    </w:rPr>
                    <w:t>2</w:t>
                  </w:r>
                </w:p>
              </w:tc>
              <w:tc>
                <w:tcPr>
                  <w:tcW w:w="818" w:type="dxa"/>
                  <w:vAlign w:val="center"/>
                </w:tcPr>
                <w:p>
                  <w:pPr>
                    <w:widowControl/>
                    <w:jc w:val="center"/>
                    <w:textAlignment w:val="center"/>
                    <w:rPr>
                      <w:kern w:val="0"/>
                      <w:szCs w:val="21"/>
                      <w:lang w:bidi="ar"/>
                    </w:rPr>
                  </w:pPr>
                  <w:r>
                    <w:rPr>
                      <w:rFonts w:hint="eastAsia"/>
                      <w:kern w:val="0"/>
                      <w:szCs w:val="21"/>
                      <w:lang w:bidi="ar"/>
                    </w:rPr>
                    <w:t>台</w:t>
                  </w:r>
                </w:p>
              </w:tc>
              <w:tc>
                <w:tcPr>
                  <w:tcW w:w="818" w:type="dxa"/>
                  <w:vMerge w:val="restart"/>
                  <w:vAlign w:val="center"/>
                </w:tcPr>
                <w:p>
                  <w:pPr>
                    <w:jc w:val="center"/>
                    <w:textAlignment w:val="center"/>
                    <w:rPr>
                      <w:kern w:val="0"/>
                      <w:szCs w:val="21"/>
                      <w:lang w:bidi="ar"/>
                    </w:rPr>
                  </w:pPr>
                  <w:r>
                    <w:rPr>
                      <w:rFonts w:hint="eastAsia"/>
                      <w:kern w:val="0"/>
                      <w:szCs w:val="21"/>
                      <w:lang w:bidi="ar"/>
                    </w:rPr>
                    <w:t>XPS板生产线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dxa"/>
                  <w:vAlign w:val="center"/>
                </w:tcPr>
                <w:p>
                  <w:pPr>
                    <w:pStyle w:val="10"/>
                    <w:adjustRightInd w:val="0"/>
                    <w:snapToGrid w:val="0"/>
                    <w:jc w:val="center"/>
                    <w:rPr>
                      <w:rFonts w:ascii="Times New Roman" w:hAnsi="Times New Roman"/>
                      <w:snapToGrid w:val="0"/>
                      <w:kern w:val="0"/>
                      <w:sz w:val="22"/>
                      <w:szCs w:val="22"/>
                    </w:rPr>
                  </w:pPr>
                  <w:r>
                    <w:rPr>
                      <w:rFonts w:hint="eastAsia" w:ascii="Times New Roman" w:hAnsi="Times New Roman"/>
                      <w:snapToGrid w:val="0"/>
                      <w:kern w:val="0"/>
                      <w:sz w:val="22"/>
                      <w:szCs w:val="22"/>
                    </w:rPr>
                    <w:t>5</w:t>
                  </w:r>
                </w:p>
              </w:tc>
              <w:tc>
                <w:tcPr>
                  <w:tcW w:w="3833" w:type="dxa"/>
                  <w:vAlign w:val="center"/>
                </w:tcPr>
                <w:p>
                  <w:pPr>
                    <w:widowControl/>
                    <w:jc w:val="center"/>
                    <w:textAlignment w:val="center"/>
                    <w:rPr>
                      <w:rFonts w:ascii="宋体" w:hAnsi="宋体" w:cs="宋体"/>
                      <w:kern w:val="0"/>
                      <w:szCs w:val="21"/>
                      <w:lang w:bidi="ar"/>
                    </w:rPr>
                  </w:pPr>
                  <w:r>
                    <w:rPr>
                      <w:rFonts w:hint="eastAsia"/>
                      <w:szCs w:val="21"/>
                    </w:rPr>
                    <w:t>挤出螺杆机</w:t>
                  </w:r>
                </w:p>
              </w:tc>
              <w:tc>
                <w:tcPr>
                  <w:tcW w:w="2771"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818" w:type="dxa"/>
                  <w:vAlign w:val="center"/>
                </w:tcPr>
                <w:p>
                  <w:pPr>
                    <w:widowControl/>
                    <w:jc w:val="center"/>
                    <w:textAlignment w:val="center"/>
                    <w:rPr>
                      <w:kern w:val="0"/>
                      <w:szCs w:val="21"/>
                      <w:lang w:bidi="ar"/>
                    </w:rPr>
                  </w:pPr>
                  <w:r>
                    <w:rPr>
                      <w:rFonts w:hint="eastAsia"/>
                      <w:kern w:val="0"/>
                      <w:szCs w:val="21"/>
                      <w:lang w:bidi="ar"/>
                    </w:rPr>
                    <w:t>台</w:t>
                  </w:r>
                </w:p>
              </w:tc>
              <w:tc>
                <w:tcPr>
                  <w:tcW w:w="818" w:type="dxa"/>
                  <w:vMerge w:val="continue"/>
                  <w:vAlign w:val="center"/>
                </w:tcPr>
                <w:p>
                  <w:pPr>
                    <w:widowControl/>
                    <w:jc w:val="center"/>
                    <w:textAlignment w:val="center"/>
                    <w:rPr>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dxa"/>
                  <w:vAlign w:val="center"/>
                </w:tcPr>
                <w:p>
                  <w:pPr>
                    <w:pStyle w:val="10"/>
                    <w:adjustRightInd w:val="0"/>
                    <w:snapToGrid w:val="0"/>
                    <w:jc w:val="center"/>
                    <w:rPr>
                      <w:rFonts w:ascii="Times New Roman" w:hAnsi="Times New Roman"/>
                      <w:snapToGrid w:val="0"/>
                      <w:kern w:val="0"/>
                      <w:sz w:val="22"/>
                      <w:szCs w:val="22"/>
                    </w:rPr>
                  </w:pPr>
                  <w:r>
                    <w:rPr>
                      <w:rFonts w:hint="eastAsia" w:ascii="Times New Roman" w:hAnsi="Times New Roman"/>
                      <w:snapToGrid w:val="0"/>
                      <w:kern w:val="0"/>
                      <w:sz w:val="22"/>
                      <w:szCs w:val="22"/>
                    </w:rPr>
                    <w:t>6</w:t>
                  </w:r>
                </w:p>
              </w:tc>
              <w:tc>
                <w:tcPr>
                  <w:tcW w:w="3833" w:type="dxa"/>
                  <w:vAlign w:val="center"/>
                </w:tcPr>
                <w:p>
                  <w:pPr>
                    <w:widowControl/>
                    <w:jc w:val="center"/>
                    <w:textAlignment w:val="center"/>
                    <w:rPr>
                      <w:rFonts w:ascii="宋体" w:hAnsi="宋体" w:cs="宋体"/>
                      <w:kern w:val="0"/>
                      <w:szCs w:val="21"/>
                      <w:lang w:bidi="ar"/>
                    </w:rPr>
                  </w:pPr>
                  <w:r>
                    <w:rPr>
                      <w:rFonts w:hint="eastAsia"/>
                      <w:szCs w:val="21"/>
                    </w:rPr>
                    <w:t>开槽机</w:t>
                  </w:r>
                </w:p>
              </w:tc>
              <w:tc>
                <w:tcPr>
                  <w:tcW w:w="2771"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818" w:type="dxa"/>
                  <w:vAlign w:val="center"/>
                </w:tcPr>
                <w:p>
                  <w:pPr>
                    <w:widowControl/>
                    <w:jc w:val="center"/>
                    <w:textAlignment w:val="center"/>
                    <w:rPr>
                      <w:kern w:val="0"/>
                      <w:szCs w:val="21"/>
                      <w:lang w:bidi="ar"/>
                    </w:rPr>
                  </w:pPr>
                  <w:r>
                    <w:rPr>
                      <w:rFonts w:hint="eastAsia"/>
                      <w:kern w:val="0"/>
                      <w:szCs w:val="21"/>
                      <w:lang w:bidi="ar"/>
                    </w:rPr>
                    <w:t>台</w:t>
                  </w:r>
                </w:p>
              </w:tc>
              <w:tc>
                <w:tcPr>
                  <w:tcW w:w="818" w:type="dxa"/>
                  <w:vMerge w:val="continue"/>
                  <w:vAlign w:val="center"/>
                </w:tcPr>
                <w:p>
                  <w:pPr>
                    <w:widowControl/>
                    <w:jc w:val="center"/>
                    <w:textAlignment w:val="center"/>
                    <w:rPr>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dxa"/>
                  <w:vAlign w:val="center"/>
                </w:tcPr>
                <w:p>
                  <w:pPr>
                    <w:pStyle w:val="10"/>
                    <w:adjustRightInd w:val="0"/>
                    <w:snapToGrid w:val="0"/>
                    <w:jc w:val="center"/>
                    <w:rPr>
                      <w:rFonts w:ascii="Times New Roman" w:hAnsi="Times New Roman"/>
                      <w:snapToGrid w:val="0"/>
                      <w:kern w:val="0"/>
                      <w:sz w:val="22"/>
                      <w:szCs w:val="22"/>
                    </w:rPr>
                  </w:pPr>
                  <w:r>
                    <w:rPr>
                      <w:rFonts w:hint="eastAsia" w:ascii="Times New Roman" w:hAnsi="Times New Roman"/>
                      <w:snapToGrid w:val="0"/>
                      <w:kern w:val="0"/>
                      <w:sz w:val="22"/>
                      <w:szCs w:val="22"/>
                    </w:rPr>
                    <w:t>7</w:t>
                  </w:r>
                </w:p>
              </w:tc>
              <w:tc>
                <w:tcPr>
                  <w:tcW w:w="3833" w:type="dxa"/>
                  <w:vAlign w:val="center"/>
                </w:tcPr>
                <w:p>
                  <w:pPr>
                    <w:widowControl/>
                    <w:jc w:val="center"/>
                    <w:textAlignment w:val="center"/>
                    <w:rPr>
                      <w:szCs w:val="21"/>
                    </w:rPr>
                  </w:pPr>
                  <w:r>
                    <w:rPr>
                      <w:rFonts w:hint="eastAsia"/>
                      <w:szCs w:val="21"/>
                    </w:rPr>
                    <w:t>压花牵引机</w:t>
                  </w:r>
                </w:p>
              </w:tc>
              <w:tc>
                <w:tcPr>
                  <w:tcW w:w="2771"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818" w:type="dxa"/>
                  <w:vAlign w:val="center"/>
                </w:tcPr>
                <w:p>
                  <w:pPr>
                    <w:widowControl/>
                    <w:jc w:val="center"/>
                    <w:textAlignment w:val="center"/>
                    <w:rPr>
                      <w:kern w:val="0"/>
                      <w:szCs w:val="21"/>
                      <w:lang w:bidi="ar"/>
                    </w:rPr>
                  </w:pPr>
                  <w:r>
                    <w:rPr>
                      <w:rFonts w:hint="eastAsia"/>
                      <w:kern w:val="0"/>
                      <w:szCs w:val="21"/>
                      <w:lang w:bidi="ar"/>
                    </w:rPr>
                    <w:t>台</w:t>
                  </w:r>
                </w:p>
              </w:tc>
              <w:tc>
                <w:tcPr>
                  <w:tcW w:w="818" w:type="dxa"/>
                  <w:vMerge w:val="continue"/>
                  <w:vAlign w:val="center"/>
                </w:tcPr>
                <w:p>
                  <w:pPr>
                    <w:widowControl/>
                    <w:jc w:val="center"/>
                    <w:textAlignment w:val="center"/>
                    <w:rPr>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dxa"/>
                  <w:vAlign w:val="center"/>
                </w:tcPr>
                <w:p>
                  <w:pPr>
                    <w:pStyle w:val="10"/>
                    <w:adjustRightInd w:val="0"/>
                    <w:snapToGrid w:val="0"/>
                    <w:jc w:val="center"/>
                    <w:rPr>
                      <w:rFonts w:ascii="Times New Roman" w:hAnsi="Times New Roman"/>
                      <w:snapToGrid w:val="0"/>
                      <w:kern w:val="0"/>
                      <w:sz w:val="22"/>
                      <w:szCs w:val="22"/>
                    </w:rPr>
                  </w:pPr>
                  <w:r>
                    <w:rPr>
                      <w:rFonts w:hint="eastAsia" w:ascii="Times New Roman" w:hAnsi="Times New Roman"/>
                      <w:snapToGrid w:val="0"/>
                      <w:kern w:val="0"/>
                      <w:sz w:val="22"/>
                      <w:szCs w:val="22"/>
                    </w:rPr>
                    <w:t>8</w:t>
                  </w:r>
                </w:p>
              </w:tc>
              <w:tc>
                <w:tcPr>
                  <w:tcW w:w="3833" w:type="dxa"/>
                  <w:vAlign w:val="center"/>
                </w:tcPr>
                <w:p>
                  <w:pPr>
                    <w:widowControl/>
                    <w:jc w:val="center"/>
                    <w:textAlignment w:val="center"/>
                    <w:rPr>
                      <w:szCs w:val="21"/>
                    </w:rPr>
                  </w:pPr>
                  <w:r>
                    <w:rPr>
                      <w:rFonts w:hint="eastAsia"/>
                      <w:szCs w:val="21"/>
                    </w:rPr>
                    <w:t>双向三切机</w:t>
                  </w:r>
                </w:p>
              </w:tc>
              <w:tc>
                <w:tcPr>
                  <w:tcW w:w="2771"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818" w:type="dxa"/>
                  <w:vAlign w:val="center"/>
                </w:tcPr>
                <w:p>
                  <w:pPr>
                    <w:widowControl/>
                    <w:jc w:val="center"/>
                    <w:textAlignment w:val="center"/>
                    <w:rPr>
                      <w:kern w:val="0"/>
                      <w:szCs w:val="21"/>
                      <w:lang w:bidi="ar"/>
                    </w:rPr>
                  </w:pPr>
                  <w:r>
                    <w:rPr>
                      <w:rFonts w:hint="eastAsia"/>
                      <w:kern w:val="0"/>
                      <w:szCs w:val="21"/>
                      <w:lang w:bidi="ar"/>
                    </w:rPr>
                    <w:t>台</w:t>
                  </w:r>
                </w:p>
              </w:tc>
              <w:tc>
                <w:tcPr>
                  <w:tcW w:w="818" w:type="dxa"/>
                  <w:vMerge w:val="continue"/>
                  <w:vAlign w:val="center"/>
                </w:tcPr>
                <w:p>
                  <w:pPr>
                    <w:widowControl/>
                    <w:jc w:val="center"/>
                    <w:textAlignment w:val="center"/>
                    <w:rPr>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dxa"/>
                  <w:vAlign w:val="center"/>
                </w:tcPr>
                <w:p>
                  <w:pPr>
                    <w:pStyle w:val="10"/>
                    <w:adjustRightInd w:val="0"/>
                    <w:snapToGrid w:val="0"/>
                    <w:jc w:val="center"/>
                    <w:rPr>
                      <w:rFonts w:ascii="Times New Roman" w:hAnsi="Times New Roman"/>
                      <w:snapToGrid w:val="0"/>
                      <w:kern w:val="0"/>
                      <w:sz w:val="22"/>
                      <w:szCs w:val="22"/>
                    </w:rPr>
                  </w:pPr>
                  <w:r>
                    <w:rPr>
                      <w:rFonts w:hint="eastAsia" w:ascii="Times New Roman" w:hAnsi="Times New Roman"/>
                      <w:snapToGrid w:val="0"/>
                      <w:kern w:val="0"/>
                      <w:sz w:val="22"/>
                      <w:szCs w:val="22"/>
                    </w:rPr>
                    <w:t>9</w:t>
                  </w:r>
                </w:p>
              </w:tc>
              <w:tc>
                <w:tcPr>
                  <w:tcW w:w="3833" w:type="dxa"/>
                  <w:vAlign w:val="center"/>
                </w:tcPr>
                <w:p>
                  <w:pPr>
                    <w:widowControl/>
                    <w:jc w:val="center"/>
                    <w:textAlignment w:val="center"/>
                    <w:rPr>
                      <w:szCs w:val="21"/>
                    </w:rPr>
                  </w:pPr>
                  <w:r>
                    <w:rPr>
                      <w:rFonts w:hint="eastAsia"/>
                      <w:szCs w:val="21"/>
                    </w:rPr>
                    <w:t>破碎机</w:t>
                  </w:r>
                </w:p>
              </w:tc>
              <w:tc>
                <w:tcPr>
                  <w:tcW w:w="2771" w:type="dxa"/>
                  <w:vAlign w:val="center"/>
                </w:tcPr>
                <w:p>
                  <w:pPr>
                    <w:widowControl/>
                    <w:jc w:val="center"/>
                    <w:textAlignment w:val="center"/>
                    <w:rPr>
                      <w:rFonts w:ascii="宋体" w:hAnsi="宋体" w:cs="宋体"/>
                      <w:kern w:val="0"/>
                      <w:szCs w:val="21"/>
                      <w:lang w:bidi="ar"/>
                    </w:rPr>
                  </w:pPr>
                  <w:r>
                    <w:rPr>
                      <w:rFonts w:hint="eastAsia"/>
                      <w:snapToGrid w:val="0"/>
                      <w:kern w:val="0"/>
                      <w:szCs w:val="21"/>
                    </w:rPr>
                    <w:t>1</w:t>
                  </w:r>
                </w:p>
              </w:tc>
              <w:tc>
                <w:tcPr>
                  <w:tcW w:w="818" w:type="dxa"/>
                  <w:vAlign w:val="center"/>
                </w:tcPr>
                <w:p>
                  <w:pPr>
                    <w:widowControl/>
                    <w:jc w:val="center"/>
                    <w:textAlignment w:val="center"/>
                    <w:rPr>
                      <w:kern w:val="0"/>
                      <w:szCs w:val="21"/>
                      <w:lang w:bidi="ar"/>
                    </w:rPr>
                  </w:pPr>
                  <w:r>
                    <w:rPr>
                      <w:rFonts w:hint="eastAsia"/>
                      <w:kern w:val="0"/>
                      <w:szCs w:val="21"/>
                      <w:lang w:bidi="ar"/>
                    </w:rPr>
                    <w:t>台</w:t>
                  </w:r>
                </w:p>
              </w:tc>
              <w:tc>
                <w:tcPr>
                  <w:tcW w:w="818" w:type="dxa"/>
                  <w:vAlign w:val="center"/>
                </w:tcPr>
                <w:p>
                  <w:pPr>
                    <w:jc w:val="center"/>
                    <w:textAlignment w:val="center"/>
                    <w:rPr>
                      <w:kern w:val="0"/>
                      <w:szCs w:val="21"/>
                      <w:lang w:bidi="ar"/>
                    </w:rPr>
                  </w:pPr>
                  <w:r>
                    <w:rPr>
                      <w:rFonts w:hint="eastAsia"/>
                      <w:kern w:val="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dxa"/>
                  <w:vAlign w:val="center"/>
                </w:tcPr>
                <w:p>
                  <w:pPr>
                    <w:pStyle w:val="10"/>
                    <w:adjustRightInd w:val="0"/>
                    <w:snapToGrid w:val="0"/>
                    <w:jc w:val="center"/>
                    <w:rPr>
                      <w:rFonts w:ascii="Times New Roman" w:hAnsi="Times New Roman"/>
                      <w:snapToGrid w:val="0"/>
                      <w:kern w:val="0"/>
                      <w:sz w:val="22"/>
                      <w:szCs w:val="22"/>
                    </w:rPr>
                  </w:pPr>
                  <w:r>
                    <w:rPr>
                      <w:rFonts w:hint="eastAsia" w:ascii="Times New Roman" w:hAnsi="Times New Roman"/>
                      <w:snapToGrid w:val="0"/>
                      <w:kern w:val="0"/>
                      <w:sz w:val="22"/>
                      <w:szCs w:val="22"/>
                    </w:rPr>
                    <w:t>10</w:t>
                  </w:r>
                </w:p>
              </w:tc>
              <w:tc>
                <w:tcPr>
                  <w:tcW w:w="3833" w:type="dxa"/>
                  <w:vAlign w:val="center"/>
                </w:tcPr>
                <w:p>
                  <w:pPr>
                    <w:widowControl/>
                    <w:jc w:val="center"/>
                    <w:textAlignment w:val="center"/>
                    <w:rPr>
                      <w:szCs w:val="21"/>
                    </w:rPr>
                  </w:pPr>
                  <w:r>
                    <w:rPr>
                      <w:rFonts w:hint="eastAsia"/>
                      <w:szCs w:val="21"/>
                    </w:rPr>
                    <w:t>熔化机</w:t>
                  </w:r>
                </w:p>
              </w:tc>
              <w:tc>
                <w:tcPr>
                  <w:tcW w:w="2771" w:type="dxa"/>
                  <w:vAlign w:val="center"/>
                </w:tcPr>
                <w:p>
                  <w:pPr>
                    <w:widowControl/>
                    <w:jc w:val="center"/>
                    <w:textAlignment w:val="center"/>
                    <w:rPr>
                      <w:rFonts w:ascii="宋体" w:hAnsi="宋体" w:cs="宋体"/>
                      <w:kern w:val="0"/>
                      <w:szCs w:val="21"/>
                      <w:lang w:bidi="ar"/>
                    </w:rPr>
                  </w:pPr>
                  <w:r>
                    <w:rPr>
                      <w:rFonts w:hint="eastAsia"/>
                      <w:snapToGrid w:val="0"/>
                      <w:kern w:val="0"/>
                      <w:szCs w:val="21"/>
                    </w:rPr>
                    <w:t>2</w:t>
                  </w:r>
                </w:p>
              </w:tc>
              <w:tc>
                <w:tcPr>
                  <w:tcW w:w="818" w:type="dxa"/>
                  <w:vAlign w:val="center"/>
                </w:tcPr>
                <w:p>
                  <w:pPr>
                    <w:widowControl/>
                    <w:jc w:val="center"/>
                    <w:textAlignment w:val="center"/>
                    <w:rPr>
                      <w:kern w:val="0"/>
                      <w:szCs w:val="21"/>
                      <w:lang w:bidi="ar"/>
                    </w:rPr>
                  </w:pPr>
                  <w:r>
                    <w:rPr>
                      <w:rFonts w:hint="eastAsia"/>
                      <w:kern w:val="0"/>
                      <w:szCs w:val="21"/>
                      <w:lang w:bidi="ar"/>
                    </w:rPr>
                    <w:t>台</w:t>
                  </w:r>
                </w:p>
              </w:tc>
              <w:tc>
                <w:tcPr>
                  <w:tcW w:w="818" w:type="dxa"/>
                  <w:vAlign w:val="center"/>
                </w:tcPr>
                <w:p>
                  <w:pPr>
                    <w:widowControl/>
                    <w:jc w:val="center"/>
                    <w:textAlignment w:val="center"/>
                    <w:rPr>
                      <w:kern w:val="0"/>
                      <w:szCs w:val="21"/>
                      <w:lang w:bidi="ar"/>
                    </w:rPr>
                  </w:pPr>
                  <w:r>
                    <w:rPr>
                      <w:rFonts w:hint="eastAsia"/>
                      <w:kern w:val="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dxa"/>
                  <w:vAlign w:val="center"/>
                </w:tcPr>
                <w:p>
                  <w:pPr>
                    <w:pStyle w:val="10"/>
                    <w:adjustRightInd w:val="0"/>
                    <w:snapToGrid w:val="0"/>
                    <w:jc w:val="center"/>
                    <w:rPr>
                      <w:rFonts w:ascii="Times New Roman" w:hAnsi="Times New Roman"/>
                      <w:snapToGrid w:val="0"/>
                      <w:kern w:val="0"/>
                      <w:sz w:val="22"/>
                      <w:szCs w:val="22"/>
                    </w:rPr>
                  </w:pPr>
                  <w:r>
                    <w:rPr>
                      <w:rFonts w:hint="eastAsia" w:ascii="Times New Roman" w:hAnsi="Times New Roman"/>
                      <w:snapToGrid w:val="0"/>
                      <w:kern w:val="0"/>
                      <w:sz w:val="22"/>
                      <w:szCs w:val="22"/>
                    </w:rPr>
                    <w:t>11</w:t>
                  </w:r>
                </w:p>
              </w:tc>
              <w:tc>
                <w:tcPr>
                  <w:tcW w:w="3833" w:type="dxa"/>
                  <w:vAlign w:val="center"/>
                </w:tcPr>
                <w:p>
                  <w:pPr>
                    <w:widowControl/>
                    <w:jc w:val="center"/>
                    <w:textAlignment w:val="center"/>
                    <w:rPr>
                      <w:kern w:val="0"/>
                      <w:szCs w:val="21"/>
                      <w:lang w:bidi="ar"/>
                    </w:rPr>
                  </w:pPr>
                  <w:r>
                    <w:rPr>
                      <w:rFonts w:hint="eastAsia"/>
                      <w:szCs w:val="21"/>
                    </w:rPr>
                    <w:t>2t/h天然气锅炉（LSS2.0-1.0-Q）</w:t>
                  </w:r>
                </w:p>
              </w:tc>
              <w:tc>
                <w:tcPr>
                  <w:tcW w:w="2771" w:type="dxa"/>
                  <w:vAlign w:val="center"/>
                </w:tcPr>
                <w:p>
                  <w:pPr>
                    <w:widowControl/>
                    <w:jc w:val="center"/>
                    <w:textAlignment w:val="center"/>
                    <w:rPr>
                      <w:snapToGrid w:val="0"/>
                      <w:kern w:val="0"/>
                      <w:szCs w:val="21"/>
                    </w:rPr>
                  </w:pPr>
                  <w:r>
                    <w:rPr>
                      <w:rFonts w:hint="eastAsia" w:ascii="宋体" w:hAnsi="宋体" w:cs="宋体"/>
                      <w:kern w:val="0"/>
                      <w:szCs w:val="21"/>
                      <w:lang w:bidi="ar"/>
                    </w:rPr>
                    <w:t>2</w:t>
                  </w:r>
                </w:p>
              </w:tc>
              <w:tc>
                <w:tcPr>
                  <w:tcW w:w="818" w:type="dxa"/>
                  <w:vAlign w:val="center"/>
                </w:tcPr>
                <w:p>
                  <w:pPr>
                    <w:widowControl/>
                    <w:jc w:val="center"/>
                    <w:textAlignment w:val="center"/>
                    <w:rPr>
                      <w:kern w:val="0"/>
                      <w:szCs w:val="21"/>
                      <w:lang w:bidi="ar"/>
                    </w:rPr>
                  </w:pPr>
                  <w:r>
                    <w:rPr>
                      <w:rFonts w:hint="eastAsia"/>
                      <w:kern w:val="0"/>
                      <w:szCs w:val="21"/>
                      <w:lang w:bidi="ar"/>
                    </w:rPr>
                    <w:t>台</w:t>
                  </w:r>
                </w:p>
              </w:tc>
              <w:tc>
                <w:tcPr>
                  <w:tcW w:w="818" w:type="dxa"/>
                  <w:vAlign w:val="center"/>
                </w:tcPr>
                <w:p>
                  <w:pPr>
                    <w:widowControl/>
                    <w:jc w:val="center"/>
                    <w:textAlignment w:val="center"/>
                    <w:rPr>
                      <w:kern w:val="0"/>
                      <w:szCs w:val="21"/>
                      <w:lang w:bidi="ar"/>
                    </w:rPr>
                  </w:pPr>
                  <w:r>
                    <w:rPr>
                      <w:rFonts w:hint="eastAsia"/>
                      <w:kern w:val="0"/>
                      <w:szCs w:val="21"/>
                      <w:lang w:bidi="ar"/>
                    </w:rPr>
                    <w:t>/</w:t>
                  </w:r>
                </w:p>
              </w:tc>
            </w:tr>
          </w:tbl>
          <w:p>
            <w:pPr>
              <w:adjustRightInd w:val="0"/>
              <w:snapToGrid w:val="0"/>
              <w:spacing w:line="360" w:lineRule="auto"/>
              <w:jc w:val="center"/>
              <w:rPr>
                <w:b/>
                <w:sz w:val="24"/>
              </w:rPr>
            </w:pPr>
            <w:r>
              <w:rPr>
                <w:rFonts w:hint="eastAsia"/>
                <w:b/>
                <w:sz w:val="24"/>
              </w:rPr>
              <w:t>表1-4  项目原、辅材料及能源消耗一览表</w:t>
            </w:r>
          </w:p>
          <w:tbl>
            <w:tblPr>
              <w:tblStyle w:val="21"/>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2627"/>
              <w:gridCol w:w="1830"/>
              <w:gridCol w:w="1738"/>
              <w:gridCol w:w="17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15" w:type="pct"/>
                  <w:tcBorders>
                    <w:tl2br w:val="nil"/>
                    <w:tr2bl w:val="nil"/>
                  </w:tcBorders>
                  <w:vAlign w:val="center"/>
                </w:tcPr>
                <w:p>
                  <w:pPr>
                    <w:pStyle w:val="10"/>
                    <w:ind w:left="422" w:hanging="422"/>
                    <w:jc w:val="center"/>
                    <w:rPr>
                      <w:kern w:val="0"/>
                      <w:sz w:val="21"/>
                      <w:szCs w:val="21"/>
                    </w:rPr>
                  </w:pPr>
                  <w:r>
                    <w:rPr>
                      <w:rFonts w:ascii="Times New Roman" w:hAnsi="Times New Roman"/>
                      <w:b/>
                      <w:snapToGrid w:val="0"/>
                      <w:kern w:val="0"/>
                      <w:sz w:val="21"/>
                      <w:szCs w:val="21"/>
                    </w:rPr>
                    <w:t>序号</w:t>
                  </w:r>
                </w:p>
              </w:tc>
              <w:tc>
                <w:tcPr>
                  <w:tcW w:w="1451" w:type="pct"/>
                  <w:tcBorders>
                    <w:tl2br w:val="nil"/>
                    <w:tr2bl w:val="nil"/>
                  </w:tcBorders>
                  <w:vAlign w:val="center"/>
                </w:tcPr>
                <w:p>
                  <w:pPr>
                    <w:pStyle w:val="10"/>
                    <w:ind w:left="422" w:hanging="422"/>
                    <w:jc w:val="center"/>
                    <w:rPr>
                      <w:kern w:val="0"/>
                      <w:sz w:val="21"/>
                      <w:szCs w:val="21"/>
                    </w:rPr>
                  </w:pPr>
                  <w:r>
                    <w:rPr>
                      <w:rFonts w:ascii="Times New Roman" w:hAnsi="Times New Roman"/>
                      <w:b/>
                      <w:snapToGrid w:val="0"/>
                      <w:kern w:val="0"/>
                      <w:sz w:val="21"/>
                      <w:szCs w:val="21"/>
                    </w:rPr>
                    <w:t>名称</w:t>
                  </w:r>
                </w:p>
              </w:tc>
              <w:tc>
                <w:tcPr>
                  <w:tcW w:w="1011" w:type="pct"/>
                  <w:tcBorders>
                    <w:tl2br w:val="nil"/>
                    <w:tr2bl w:val="nil"/>
                  </w:tcBorders>
                  <w:vAlign w:val="center"/>
                </w:tcPr>
                <w:p>
                  <w:pPr>
                    <w:pStyle w:val="10"/>
                    <w:ind w:left="422" w:hanging="422"/>
                    <w:jc w:val="center"/>
                    <w:rPr>
                      <w:kern w:val="0"/>
                      <w:sz w:val="21"/>
                      <w:szCs w:val="21"/>
                    </w:rPr>
                  </w:pPr>
                  <w:r>
                    <w:rPr>
                      <w:rFonts w:hint="eastAsia" w:ascii="Times New Roman" w:hAnsi="Times New Roman"/>
                      <w:b/>
                      <w:snapToGrid w:val="0"/>
                      <w:kern w:val="0"/>
                      <w:sz w:val="21"/>
                      <w:szCs w:val="21"/>
                    </w:rPr>
                    <w:t>用量</w:t>
                  </w:r>
                </w:p>
              </w:tc>
              <w:tc>
                <w:tcPr>
                  <w:tcW w:w="960" w:type="pct"/>
                  <w:tcBorders>
                    <w:tl2br w:val="nil"/>
                    <w:tr2bl w:val="nil"/>
                  </w:tcBorders>
                  <w:vAlign w:val="center"/>
                </w:tcPr>
                <w:p>
                  <w:pPr>
                    <w:pStyle w:val="10"/>
                    <w:ind w:left="422" w:hanging="422"/>
                    <w:jc w:val="center"/>
                    <w:rPr>
                      <w:kern w:val="0"/>
                      <w:sz w:val="21"/>
                      <w:szCs w:val="21"/>
                    </w:rPr>
                  </w:pPr>
                  <w:r>
                    <w:rPr>
                      <w:rFonts w:ascii="Times New Roman" w:hAnsi="Times New Roman"/>
                      <w:b/>
                      <w:snapToGrid w:val="0"/>
                      <w:kern w:val="0"/>
                      <w:sz w:val="21"/>
                      <w:szCs w:val="21"/>
                    </w:rPr>
                    <w:t>来源</w:t>
                  </w:r>
                </w:p>
              </w:tc>
              <w:tc>
                <w:tcPr>
                  <w:tcW w:w="962" w:type="pct"/>
                  <w:tcBorders>
                    <w:tl2br w:val="nil"/>
                    <w:tr2bl w:val="nil"/>
                  </w:tcBorders>
                  <w:vAlign w:val="center"/>
                </w:tcPr>
                <w:p>
                  <w:pPr>
                    <w:pStyle w:val="10"/>
                    <w:ind w:left="422" w:hanging="422"/>
                    <w:jc w:val="center"/>
                    <w:rPr>
                      <w:rFonts w:ascii="Times New Roman" w:hAnsi="Times New Roman"/>
                      <w:b/>
                      <w:snapToGrid w:val="0"/>
                      <w:kern w:val="0"/>
                      <w:sz w:val="21"/>
                      <w:szCs w:val="21"/>
                    </w:rPr>
                  </w:pPr>
                  <w:r>
                    <w:rPr>
                      <w:rFonts w:hint="eastAsia" w:ascii="Times New Roman" w:hAnsi="Times New Roman"/>
                      <w:b/>
                      <w:snapToGrid w:val="0"/>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15" w:type="pct"/>
                  <w:vMerge w:val="restart"/>
                  <w:tcBorders>
                    <w:tl2br w:val="nil"/>
                    <w:tr2bl w:val="nil"/>
                  </w:tcBorders>
                  <w:vAlign w:val="center"/>
                </w:tcPr>
                <w:p>
                  <w:pPr>
                    <w:pStyle w:val="10"/>
                    <w:ind w:left="422" w:hanging="422"/>
                    <w:jc w:val="center"/>
                    <w:rPr>
                      <w:rFonts w:ascii="Times New Roman" w:hAnsi="Times New Roman"/>
                      <w:b/>
                      <w:snapToGrid w:val="0"/>
                      <w:kern w:val="0"/>
                      <w:sz w:val="21"/>
                      <w:szCs w:val="21"/>
                    </w:rPr>
                  </w:pPr>
                  <w:r>
                    <w:rPr>
                      <w:rFonts w:hint="eastAsia" w:ascii="Times New Roman" w:hAnsi="Times New Roman"/>
                      <w:b/>
                      <w:snapToGrid w:val="0"/>
                      <w:kern w:val="0"/>
                      <w:sz w:val="21"/>
                      <w:szCs w:val="21"/>
                    </w:rPr>
                    <w:t>原辅材料消耗</w:t>
                  </w:r>
                </w:p>
              </w:tc>
              <w:tc>
                <w:tcPr>
                  <w:tcW w:w="4384" w:type="pct"/>
                  <w:gridSpan w:val="4"/>
                  <w:tcBorders>
                    <w:tl2br w:val="nil"/>
                    <w:tr2bl w:val="nil"/>
                  </w:tcBorders>
                  <w:vAlign w:val="center"/>
                </w:tcPr>
                <w:p>
                  <w:pPr>
                    <w:pStyle w:val="10"/>
                    <w:ind w:left="422" w:hanging="422"/>
                    <w:jc w:val="center"/>
                    <w:rPr>
                      <w:rFonts w:ascii="Times New Roman" w:hAnsi="Times New Roman"/>
                      <w:b/>
                      <w:snapToGrid w:val="0"/>
                      <w:kern w:val="0"/>
                      <w:sz w:val="21"/>
                      <w:szCs w:val="21"/>
                    </w:rPr>
                  </w:pPr>
                  <w:r>
                    <w:rPr>
                      <w:rFonts w:hint="eastAsia" w:ascii="Times New Roman" w:hAnsi="Times New Roman"/>
                      <w:b/>
                      <w:snapToGrid w:val="0"/>
                      <w:kern w:val="0"/>
                      <w:sz w:val="21"/>
                      <w:szCs w:val="21"/>
                    </w:rPr>
                    <w:t>XPS板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15" w:type="pct"/>
                  <w:vMerge w:val="continue"/>
                  <w:tcBorders>
                    <w:tl2br w:val="nil"/>
                    <w:tr2bl w:val="nil"/>
                  </w:tcBorders>
                  <w:vAlign w:val="center"/>
                </w:tcPr>
                <w:p>
                  <w:pPr>
                    <w:pStyle w:val="10"/>
                    <w:ind w:left="420" w:hanging="420"/>
                    <w:jc w:val="center"/>
                    <w:rPr>
                      <w:bCs/>
                      <w:kern w:val="0"/>
                      <w:sz w:val="21"/>
                      <w:szCs w:val="21"/>
                    </w:rPr>
                  </w:pPr>
                </w:p>
              </w:tc>
              <w:tc>
                <w:tcPr>
                  <w:tcW w:w="1451" w:type="pct"/>
                  <w:tcBorders>
                    <w:tl2br w:val="nil"/>
                    <w:tr2bl w:val="nil"/>
                  </w:tcBorders>
                  <w:vAlign w:val="center"/>
                </w:tcPr>
                <w:p>
                  <w:pPr>
                    <w:widowControl/>
                    <w:ind w:left="420" w:hanging="420"/>
                    <w:jc w:val="center"/>
                    <w:textAlignment w:val="center"/>
                    <w:rPr>
                      <w:bCs/>
                      <w:kern w:val="0"/>
                      <w:sz w:val="20"/>
                      <w:szCs w:val="21"/>
                    </w:rPr>
                  </w:pPr>
                  <w:r>
                    <w:rPr>
                      <w:rFonts w:hint="eastAsia"/>
                      <w:bCs/>
                      <w:kern w:val="0"/>
                      <w:szCs w:val="21"/>
                    </w:rPr>
                    <w:t>EPS颗粒</w:t>
                  </w:r>
                </w:p>
              </w:tc>
              <w:tc>
                <w:tcPr>
                  <w:tcW w:w="1011" w:type="pct"/>
                  <w:tcBorders>
                    <w:tl2br w:val="nil"/>
                    <w:tr2bl w:val="nil"/>
                  </w:tcBorders>
                  <w:vAlign w:val="center"/>
                </w:tcPr>
                <w:p>
                  <w:pPr>
                    <w:widowControl/>
                    <w:ind w:left="420" w:hanging="420"/>
                    <w:jc w:val="center"/>
                    <w:textAlignment w:val="center"/>
                    <w:rPr>
                      <w:bCs/>
                      <w:kern w:val="0"/>
                      <w:sz w:val="20"/>
                      <w:szCs w:val="21"/>
                    </w:rPr>
                  </w:pPr>
                  <w:r>
                    <w:rPr>
                      <w:bCs/>
                      <w:kern w:val="0"/>
                      <w:szCs w:val="21"/>
                    </w:rPr>
                    <w:t>2000</w:t>
                  </w:r>
                  <w:r>
                    <w:rPr>
                      <w:rFonts w:hint="eastAsia"/>
                      <w:bCs/>
                      <w:kern w:val="0"/>
                      <w:szCs w:val="21"/>
                    </w:rPr>
                    <w:t>t/a</w:t>
                  </w:r>
                </w:p>
              </w:tc>
              <w:tc>
                <w:tcPr>
                  <w:tcW w:w="960" w:type="pct"/>
                  <w:vMerge w:val="restart"/>
                  <w:tcBorders>
                    <w:tl2br w:val="nil"/>
                    <w:tr2bl w:val="nil"/>
                  </w:tcBorders>
                  <w:vAlign w:val="center"/>
                </w:tcPr>
                <w:p>
                  <w:pPr>
                    <w:pStyle w:val="10"/>
                    <w:ind w:left="420" w:hanging="420"/>
                    <w:jc w:val="center"/>
                    <w:rPr>
                      <w:bCs/>
                      <w:kern w:val="0"/>
                      <w:sz w:val="21"/>
                      <w:szCs w:val="21"/>
                    </w:rPr>
                  </w:pPr>
                  <w:r>
                    <w:rPr>
                      <w:rFonts w:hint="eastAsia"/>
                      <w:bCs/>
                      <w:kern w:val="0"/>
                      <w:sz w:val="21"/>
                      <w:szCs w:val="21"/>
                    </w:rPr>
                    <w:t>外购</w:t>
                  </w:r>
                </w:p>
              </w:tc>
              <w:tc>
                <w:tcPr>
                  <w:tcW w:w="962" w:type="pct"/>
                  <w:tcBorders>
                    <w:tl2br w:val="nil"/>
                    <w:tr2bl w:val="nil"/>
                  </w:tcBorders>
                  <w:vAlign w:val="center"/>
                </w:tcPr>
                <w:p>
                  <w:pPr>
                    <w:pStyle w:val="10"/>
                    <w:ind w:left="560" w:hanging="560"/>
                    <w:jc w:val="center"/>
                    <w:rPr>
                      <w:bCs/>
                      <w:kern w:val="0"/>
                      <w:sz w:val="21"/>
                      <w:szCs w:val="21"/>
                    </w:rPr>
                  </w:pPr>
                  <w:r>
                    <w:rPr>
                      <w:rFonts w:hint="eastAsia"/>
                      <w:kern w:val="0"/>
                      <w:szCs w:val="21"/>
                    </w:rPr>
                    <w:t>袋装，粒状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15" w:type="pct"/>
                  <w:vMerge w:val="continue"/>
                  <w:tcBorders>
                    <w:tl2br w:val="nil"/>
                    <w:tr2bl w:val="nil"/>
                  </w:tcBorders>
                  <w:vAlign w:val="center"/>
                </w:tcPr>
                <w:p>
                  <w:pPr>
                    <w:pStyle w:val="10"/>
                    <w:ind w:left="420" w:hanging="420"/>
                    <w:jc w:val="center"/>
                    <w:rPr>
                      <w:rFonts w:ascii="Times New Roman" w:hAnsi="Times New Roman"/>
                      <w:bCs/>
                      <w:snapToGrid w:val="0"/>
                      <w:kern w:val="0"/>
                      <w:sz w:val="21"/>
                      <w:szCs w:val="21"/>
                    </w:rPr>
                  </w:pPr>
                </w:p>
              </w:tc>
              <w:tc>
                <w:tcPr>
                  <w:tcW w:w="1451" w:type="pct"/>
                  <w:tcBorders>
                    <w:tl2br w:val="nil"/>
                    <w:tr2bl w:val="nil"/>
                  </w:tcBorders>
                  <w:vAlign w:val="center"/>
                </w:tcPr>
                <w:p>
                  <w:pPr>
                    <w:widowControl/>
                    <w:ind w:left="420" w:hanging="420"/>
                    <w:jc w:val="center"/>
                    <w:textAlignment w:val="center"/>
                    <w:rPr>
                      <w:bCs/>
                      <w:kern w:val="0"/>
                      <w:sz w:val="20"/>
                      <w:szCs w:val="21"/>
                    </w:rPr>
                  </w:pPr>
                  <w:r>
                    <w:rPr>
                      <w:rFonts w:hint="eastAsia"/>
                      <w:bCs/>
                      <w:kern w:val="0"/>
                      <w:szCs w:val="21"/>
                    </w:rPr>
                    <w:t>二氧化碳</w:t>
                  </w:r>
                </w:p>
              </w:tc>
              <w:tc>
                <w:tcPr>
                  <w:tcW w:w="1011" w:type="pct"/>
                  <w:tcBorders>
                    <w:tl2br w:val="nil"/>
                    <w:tr2bl w:val="nil"/>
                  </w:tcBorders>
                  <w:vAlign w:val="center"/>
                </w:tcPr>
                <w:p>
                  <w:pPr>
                    <w:widowControl/>
                    <w:ind w:left="420" w:hanging="420"/>
                    <w:jc w:val="center"/>
                    <w:textAlignment w:val="center"/>
                    <w:rPr>
                      <w:bCs/>
                      <w:kern w:val="0"/>
                      <w:sz w:val="20"/>
                      <w:szCs w:val="21"/>
                    </w:rPr>
                  </w:pPr>
                  <w:r>
                    <w:rPr>
                      <w:rFonts w:hint="eastAsia"/>
                      <w:bCs/>
                      <w:kern w:val="0"/>
                      <w:szCs w:val="21"/>
                    </w:rPr>
                    <w:t>40t/a</w:t>
                  </w:r>
                </w:p>
              </w:tc>
              <w:tc>
                <w:tcPr>
                  <w:tcW w:w="960" w:type="pct"/>
                  <w:vMerge w:val="continue"/>
                  <w:tcBorders>
                    <w:tl2br w:val="nil"/>
                    <w:tr2bl w:val="nil"/>
                  </w:tcBorders>
                  <w:vAlign w:val="center"/>
                </w:tcPr>
                <w:p>
                  <w:pPr>
                    <w:pStyle w:val="10"/>
                    <w:ind w:left="420" w:hanging="420"/>
                    <w:jc w:val="center"/>
                    <w:rPr>
                      <w:bCs/>
                      <w:kern w:val="0"/>
                      <w:sz w:val="21"/>
                      <w:szCs w:val="21"/>
                    </w:rPr>
                  </w:pPr>
                </w:p>
              </w:tc>
              <w:tc>
                <w:tcPr>
                  <w:tcW w:w="962" w:type="pct"/>
                  <w:tcBorders>
                    <w:tl2br w:val="nil"/>
                    <w:tr2bl w:val="nil"/>
                  </w:tcBorders>
                  <w:vAlign w:val="center"/>
                </w:tcPr>
                <w:p>
                  <w:pPr>
                    <w:pStyle w:val="10"/>
                    <w:ind w:left="420" w:hanging="420"/>
                    <w:jc w:val="center"/>
                    <w:rPr>
                      <w:bCs/>
                      <w:kern w:val="0"/>
                      <w:sz w:val="21"/>
                      <w:szCs w:val="21"/>
                    </w:rPr>
                  </w:pPr>
                  <w:r>
                    <w:rPr>
                      <w:rFonts w:hint="eastAsia"/>
                      <w:bCs/>
                      <w:kern w:val="0"/>
                      <w:sz w:val="21"/>
                      <w:szCs w:val="21"/>
                    </w:rPr>
                    <w:t>瓶装，气态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15" w:type="pct"/>
                  <w:vMerge w:val="continue"/>
                  <w:tcBorders>
                    <w:tl2br w:val="nil"/>
                    <w:tr2bl w:val="nil"/>
                  </w:tcBorders>
                  <w:vAlign w:val="center"/>
                </w:tcPr>
                <w:p>
                  <w:pPr>
                    <w:pStyle w:val="10"/>
                    <w:ind w:left="420" w:hanging="420"/>
                    <w:jc w:val="center"/>
                    <w:rPr>
                      <w:rFonts w:ascii="Times New Roman" w:hAnsi="Times New Roman"/>
                      <w:bCs/>
                      <w:snapToGrid w:val="0"/>
                      <w:kern w:val="0"/>
                      <w:sz w:val="21"/>
                      <w:szCs w:val="21"/>
                    </w:rPr>
                  </w:pPr>
                </w:p>
              </w:tc>
              <w:tc>
                <w:tcPr>
                  <w:tcW w:w="1451" w:type="pct"/>
                  <w:tcBorders>
                    <w:tl2br w:val="nil"/>
                    <w:tr2bl w:val="nil"/>
                  </w:tcBorders>
                  <w:vAlign w:val="center"/>
                </w:tcPr>
                <w:p>
                  <w:pPr>
                    <w:widowControl/>
                    <w:ind w:left="420" w:hanging="420"/>
                    <w:jc w:val="center"/>
                    <w:textAlignment w:val="center"/>
                    <w:rPr>
                      <w:bCs/>
                      <w:kern w:val="0"/>
                      <w:sz w:val="20"/>
                      <w:szCs w:val="21"/>
                    </w:rPr>
                  </w:pPr>
                  <w:r>
                    <w:rPr>
                      <w:rFonts w:hint="eastAsia"/>
                      <w:bCs/>
                      <w:kern w:val="0"/>
                      <w:szCs w:val="21"/>
                    </w:rPr>
                    <w:t>阻燃剂</w:t>
                  </w:r>
                </w:p>
              </w:tc>
              <w:tc>
                <w:tcPr>
                  <w:tcW w:w="1011" w:type="pct"/>
                  <w:tcBorders>
                    <w:tl2br w:val="nil"/>
                    <w:tr2bl w:val="nil"/>
                  </w:tcBorders>
                  <w:vAlign w:val="center"/>
                </w:tcPr>
                <w:p>
                  <w:pPr>
                    <w:widowControl/>
                    <w:ind w:left="420" w:hanging="420"/>
                    <w:jc w:val="center"/>
                    <w:textAlignment w:val="center"/>
                    <w:rPr>
                      <w:bCs/>
                      <w:kern w:val="0"/>
                      <w:sz w:val="20"/>
                      <w:szCs w:val="21"/>
                    </w:rPr>
                  </w:pPr>
                  <w:r>
                    <w:rPr>
                      <w:rFonts w:hint="eastAsia"/>
                      <w:bCs/>
                      <w:kern w:val="0"/>
                      <w:szCs w:val="21"/>
                    </w:rPr>
                    <w:t>200t/a</w:t>
                  </w:r>
                </w:p>
              </w:tc>
              <w:tc>
                <w:tcPr>
                  <w:tcW w:w="960" w:type="pct"/>
                  <w:vMerge w:val="continue"/>
                  <w:tcBorders>
                    <w:tl2br w:val="nil"/>
                    <w:tr2bl w:val="nil"/>
                  </w:tcBorders>
                  <w:vAlign w:val="center"/>
                </w:tcPr>
                <w:p>
                  <w:pPr>
                    <w:pStyle w:val="10"/>
                    <w:ind w:left="420" w:hanging="420"/>
                    <w:jc w:val="center"/>
                    <w:rPr>
                      <w:bCs/>
                      <w:kern w:val="0"/>
                      <w:sz w:val="21"/>
                      <w:szCs w:val="21"/>
                    </w:rPr>
                  </w:pPr>
                </w:p>
              </w:tc>
              <w:tc>
                <w:tcPr>
                  <w:tcW w:w="962" w:type="pct"/>
                  <w:tcBorders>
                    <w:tl2br w:val="nil"/>
                    <w:tr2bl w:val="nil"/>
                  </w:tcBorders>
                  <w:vAlign w:val="center"/>
                </w:tcPr>
                <w:p>
                  <w:pPr>
                    <w:pStyle w:val="10"/>
                    <w:ind w:left="560" w:hanging="560"/>
                    <w:jc w:val="center"/>
                    <w:rPr>
                      <w:bCs/>
                      <w:kern w:val="0"/>
                      <w:sz w:val="21"/>
                      <w:szCs w:val="21"/>
                    </w:rPr>
                  </w:pPr>
                  <w:r>
                    <w:rPr>
                      <w:rFonts w:hint="eastAsia"/>
                      <w:kern w:val="0"/>
                      <w:szCs w:val="21"/>
                    </w:rPr>
                    <w:t>袋装，粒状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15" w:type="pct"/>
                  <w:vMerge w:val="continue"/>
                  <w:tcBorders>
                    <w:tl2br w:val="nil"/>
                    <w:tr2bl w:val="nil"/>
                  </w:tcBorders>
                  <w:vAlign w:val="center"/>
                </w:tcPr>
                <w:p>
                  <w:pPr>
                    <w:pStyle w:val="10"/>
                    <w:ind w:left="420" w:hanging="420"/>
                    <w:jc w:val="center"/>
                    <w:rPr>
                      <w:rFonts w:ascii="Times New Roman" w:hAnsi="Times New Roman"/>
                      <w:bCs/>
                      <w:snapToGrid w:val="0"/>
                      <w:kern w:val="0"/>
                      <w:sz w:val="21"/>
                      <w:szCs w:val="21"/>
                    </w:rPr>
                  </w:pPr>
                </w:p>
              </w:tc>
              <w:tc>
                <w:tcPr>
                  <w:tcW w:w="4384" w:type="pct"/>
                  <w:gridSpan w:val="4"/>
                  <w:tcBorders>
                    <w:tl2br w:val="nil"/>
                    <w:tr2bl w:val="nil"/>
                  </w:tcBorders>
                  <w:vAlign w:val="center"/>
                </w:tcPr>
                <w:p>
                  <w:pPr>
                    <w:pStyle w:val="10"/>
                    <w:ind w:left="422" w:hanging="422"/>
                    <w:jc w:val="center"/>
                    <w:rPr>
                      <w:bCs/>
                      <w:kern w:val="0"/>
                      <w:sz w:val="21"/>
                      <w:szCs w:val="21"/>
                    </w:rPr>
                  </w:pPr>
                  <w:r>
                    <w:rPr>
                      <w:rFonts w:hint="eastAsia"/>
                      <w:b/>
                      <w:kern w:val="0"/>
                      <w:sz w:val="21"/>
                      <w:szCs w:val="21"/>
                    </w:rPr>
                    <w:t>EPS板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15" w:type="pct"/>
                  <w:vMerge w:val="continue"/>
                  <w:tcBorders>
                    <w:tl2br w:val="nil"/>
                    <w:tr2bl w:val="nil"/>
                  </w:tcBorders>
                  <w:vAlign w:val="center"/>
                </w:tcPr>
                <w:p>
                  <w:pPr>
                    <w:pStyle w:val="10"/>
                    <w:ind w:left="420" w:hanging="420"/>
                    <w:jc w:val="center"/>
                    <w:rPr>
                      <w:rFonts w:ascii="Times New Roman" w:hAnsi="Times New Roman"/>
                      <w:bCs/>
                      <w:snapToGrid w:val="0"/>
                      <w:kern w:val="0"/>
                      <w:sz w:val="21"/>
                      <w:szCs w:val="21"/>
                    </w:rPr>
                  </w:pPr>
                </w:p>
              </w:tc>
              <w:tc>
                <w:tcPr>
                  <w:tcW w:w="1451" w:type="pct"/>
                  <w:tcBorders>
                    <w:tl2br w:val="nil"/>
                    <w:tr2bl w:val="nil"/>
                  </w:tcBorders>
                  <w:vAlign w:val="center"/>
                </w:tcPr>
                <w:p>
                  <w:pPr>
                    <w:widowControl/>
                    <w:ind w:left="420" w:hanging="420"/>
                    <w:jc w:val="center"/>
                    <w:textAlignment w:val="center"/>
                    <w:rPr>
                      <w:bCs/>
                      <w:kern w:val="0"/>
                      <w:sz w:val="20"/>
                      <w:szCs w:val="21"/>
                    </w:rPr>
                  </w:pPr>
                  <w:r>
                    <w:rPr>
                      <w:rFonts w:hint="eastAsia"/>
                      <w:bCs/>
                      <w:kern w:val="0"/>
                      <w:szCs w:val="21"/>
                    </w:rPr>
                    <w:t>EPS颗粒</w:t>
                  </w:r>
                </w:p>
              </w:tc>
              <w:tc>
                <w:tcPr>
                  <w:tcW w:w="1011" w:type="pct"/>
                  <w:tcBorders>
                    <w:tl2br w:val="nil"/>
                    <w:tr2bl w:val="nil"/>
                  </w:tcBorders>
                  <w:vAlign w:val="center"/>
                </w:tcPr>
                <w:p>
                  <w:pPr>
                    <w:widowControl/>
                    <w:ind w:left="420" w:hanging="420"/>
                    <w:jc w:val="center"/>
                    <w:textAlignment w:val="center"/>
                    <w:rPr>
                      <w:bCs/>
                      <w:kern w:val="0"/>
                      <w:sz w:val="20"/>
                      <w:szCs w:val="21"/>
                    </w:rPr>
                  </w:pPr>
                  <w:r>
                    <w:rPr>
                      <w:bCs/>
                      <w:kern w:val="0"/>
                      <w:szCs w:val="21"/>
                    </w:rPr>
                    <w:t>800</w:t>
                  </w:r>
                  <w:r>
                    <w:rPr>
                      <w:rFonts w:hint="eastAsia"/>
                      <w:bCs/>
                      <w:kern w:val="0"/>
                      <w:szCs w:val="21"/>
                    </w:rPr>
                    <w:t>t/a</w:t>
                  </w:r>
                </w:p>
              </w:tc>
              <w:tc>
                <w:tcPr>
                  <w:tcW w:w="960" w:type="pct"/>
                  <w:tcBorders>
                    <w:tl2br w:val="nil"/>
                    <w:tr2bl w:val="nil"/>
                  </w:tcBorders>
                  <w:vAlign w:val="center"/>
                </w:tcPr>
                <w:p>
                  <w:pPr>
                    <w:pStyle w:val="10"/>
                    <w:ind w:left="420" w:hanging="420"/>
                    <w:jc w:val="center"/>
                    <w:rPr>
                      <w:bCs/>
                      <w:kern w:val="0"/>
                      <w:sz w:val="21"/>
                      <w:szCs w:val="21"/>
                    </w:rPr>
                  </w:pPr>
                  <w:r>
                    <w:rPr>
                      <w:rFonts w:hint="eastAsia"/>
                      <w:bCs/>
                      <w:kern w:val="0"/>
                      <w:sz w:val="21"/>
                      <w:szCs w:val="21"/>
                    </w:rPr>
                    <w:t>外购</w:t>
                  </w:r>
                </w:p>
              </w:tc>
              <w:tc>
                <w:tcPr>
                  <w:tcW w:w="962" w:type="pct"/>
                  <w:tcBorders>
                    <w:tl2br w:val="nil"/>
                    <w:tr2bl w:val="nil"/>
                  </w:tcBorders>
                  <w:vAlign w:val="center"/>
                </w:tcPr>
                <w:p>
                  <w:pPr>
                    <w:pStyle w:val="10"/>
                    <w:ind w:left="560" w:hanging="560"/>
                    <w:jc w:val="center"/>
                    <w:rPr>
                      <w:bCs/>
                      <w:kern w:val="0"/>
                      <w:sz w:val="21"/>
                      <w:szCs w:val="21"/>
                    </w:rPr>
                  </w:pPr>
                  <w:r>
                    <w:rPr>
                      <w:rFonts w:hint="eastAsia"/>
                      <w:kern w:val="0"/>
                      <w:szCs w:val="21"/>
                    </w:rPr>
                    <w:t>袋装，粒状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15" w:type="pct"/>
                  <w:vMerge w:val="restart"/>
                  <w:tcBorders>
                    <w:tl2br w:val="nil"/>
                    <w:tr2bl w:val="nil"/>
                  </w:tcBorders>
                  <w:vAlign w:val="center"/>
                </w:tcPr>
                <w:p>
                  <w:pPr>
                    <w:pStyle w:val="10"/>
                    <w:ind w:left="422" w:hanging="422"/>
                    <w:jc w:val="center"/>
                    <w:rPr>
                      <w:rFonts w:ascii="Times New Roman" w:hAnsi="Times New Roman"/>
                      <w:bCs/>
                      <w:snapToGrid w:val="0"/>
                      <w:kern w:val="0"/>
                      <w:sz w:val="21"/>
                      <w:szCs w:val="21"/>
                    </w:rPr>
                  </w:pPr>
                  <w:r>
                    <w:rPr>
                      <w:rFonts w:hint="eastAsia" w:ascii="Times New Roman" w:hAnsi="Times New Roman"/>
                      <w:b/>
                      <w:snapToGrid w:val="0"/>
                      <w:kern w:val="0"/>
                      <w:sz w:val="21"/>
                      <w:szCs w:val="21"/>
                    </w:rPr>
                    <w:t>能源消耗</w:t>
                  </w:r>
                </w:p>
              </w:tc>
              <w:tc>
                <w:tcPr>
                  <w:tcW w:w="1451" w:type="pct"/>
                  <w:tcBorders>
                    <w:tl2br w:val="nil"/>
                    <w:tr2bl w:val="nil"/>
                  </w:tcBorders>
                  <w:vAlign w:val="center"/>
                </w:tcPr>
                <w:p>
                  <w:pPr>
                    <w:adjustRightInd w:val="0"/>
                    <w:snapToGrid w:val="0"/>
                    <w:ind w:left="420" w:hanging="420"/>
                    <w:jc w:val="center"/>
                    <w:rPr>
                      <w:bCs/>
                      <w:kern w:val="0"/>
                      <w:sz w:val="20"/>
                      <w:szCs w:val="21"/>
                    </w:rPr>
                  </w:pPr>
                  <w:r>
                    <w:rPr>
                      <w:rFonts w:hint="eastAsia"/>
                      <w:bCs/>
                      <w:kern w:val="0"/>
                      <w:szCs w:val="21"/>
                    </w:rPr>
                    <w:t>水</w:t>
                  </w:r>
                </w:p>
              </w:tc>
              <w:tc>
                <w:tcPr>
                  <w:tcW w:w="1011" w:type="pct"/>
                  <w:tcBorders>
                    <w:tl2br w:val="nil"/>
                    <w:tr2bl w:val="nil"/>
                  </w:tcBorders>
                  <w:vAlign w:val="center"/>
                </w:tcPr>
                <w:p>
                  <w:pPr>
                    <w:adjustRightInd w:val="0"/>
                    <w:snapToGrid w:val="0"/>
                    <w:ind w:left="420" w:hanging="420"/>
                    <w:jc w:val="center"/>
                    <w:rPr>
                      <w:bCs/>
                      <w:kern w:val="0"/>
                      <w:sz w:val="20"/>
                      <w:szCs w:val="21"/>
                    </w:rPr>
                  </w:pPr>
                  <w:r>
                    <w:rPr>
                      <w:kern w:val="0"/>
                      <w:szCs w:val="21"/>
                    </w:rPr>
                    <w:t>1140m</w:t>
                  </w:r>
                  <w:r>
                    <w:rPr>
                      <w:kern w:val="0"/>
                      <w:szCs w:val="21"/>
                      <w:vertAlign w:val="superscript"/>
                    </w:rPr>
                    <w:t>3</w:t>
                  </w:r>
                  <w:r>
                    <w:rPr>
                      <w:kern w:val="0"/>
                      <w:szCs w:val="21"/>
                    </w:rPr>
                    <w:t>/a</w:t>
                  </w:r>
                </w:p>
              </w:tc>
              <w:tc>
                <w:tcPr>
                  <w:tcW w:w="960" w:type="pct"/>
                  <w:tcBorders>
                    <w:bottom w:val="single" w:color="auto" w:sz="4" w:space="0"/>
                    <w:tl2br w:val="nil"/>
                    <w:tr2bl w:val="nil"/>
                  </w:tcBorders>
                  <w:vAlign w:val="center"/>
                </w:tcPr>
                <w:p>
                  <w:pPr>
                    <w:pStyle w:val="10"/>
                    <w:ind w:left="420" w:hanging="420"/>
                    <w:jc w:val="center"/>
                    <w:rPr>
                      <w:bCs/>
                      <w:kern w:val="0"/>
                      <w:sz w:val="21"/>
                      <w:szCs w:val="21"/>
                    </w:rPr>
                  </w:pPr>
                  <w:r>
                    <w:rPr>
                      <w:rFonts w:hint="eastAsia"/>
                      <w:bCs/>
                      <w:kern w:val="0"/>
                      <w:sz w:val="21"/>
                      <w:szCs w:val="21"/>
                    </w:rPr>
                    <w:t>自来水管网</w:t>
                  </w:r>
                </w:p>
              </w:tc>
              <w:tc>
                <w:tcPr>
                  <w:tcW w:w="962" w:type="pct"/>
                  <w:tcBorders>
                    <w:bottom w:val="single" w:color="auto" w:sz="4" w:space="0"/>
                    <w:tl2br w:val="nil"/>
                    <w:tr2bl w:val="nil"/>
                  </w:tcBorders>
                  <w:vAlign w:val="center"/>
                </w:tcPr>
                <w:p>
                  <w:pPr>
                    <w:pStyle w:val="10"/>
                    <w:ind w:left="420" w:hanging="420"/>
                    <w:jc w:val="center"/>
                    <w:rPr>
                      <w:bCs/>
                      <w:kern w:val="0"/>
                      <w:sz w:val="21"/>
                      <w:szCs w:val="21"/>
                    </w:rPr>
                  </w:pPr>
                  <w:r>
                    <w:rPr>
                      <w:rFonts w:hint="eastAsia"/>
                      <w:bCs/>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15" w:type="pct"/>
                  <w:vMerge w:val="continue"/>
                  <w:tcBorders>
                    <w:tl2br w:val="nil"/>
                    <w:tr2bl w:val="nil"/>
                  </w:tcBorders>
                  <w:vAlign w:val="center"/>
                </w:tcPr>
                <w:p>
                  <w:pPr>
                    <w:pStyle w:val="10"/>
                    <w:ind w:left="420" w:hanging="420"/>
                    <w:jc w:val="center"/>
                    <w:rPr>
                      <w:rFonts w:ascii="Times New Roman" w:hAnsi="Times New Roman"/>
                      <w:bCs/>
                      <w:snapToGrid w:val="0"/>
                      <w:kern w:val="0"/>
                      <w:sz w:val="21"/>
                      <w:szCs w:val="21"/>
                    </w:rPr>
                  </w:pPr>
                </w:p>
              </w:tc>
              <w:tc>
                <w:tcPr>
                  <w:tcW w:w="1451" w:type="pct"/>
                  <w:tcBorders>
                    <w:tl2br w:val="nil"/>
                    <w:tr2bl w:val="nil"/>
                  </w:tcBorders>
                  <w:vAlign w:val="center"/>
                </w:tcPr>
                <w:p>
                  <w:pPr>
                    <w:adjustRightInd w:val="0"/>
                    <w:snapToGrid w:val="0"/>
                    <w:ind w:left="420" w:hanging="420"/>
                    <w:jc w:val="center"/>
                    <w:rPr>
                      <w:bCs/>
                      <w:kern w:val="0"/>
                      <w:sz w:val="20"/>
                      <w:szCs w:val="21"/>
                    </w:rPr>
                  </w:pPr>
                  <w:r>
                    <w:rPr>
                      <w:rFonts w:hint="eastAsia"/>
                      <w:bCs/>
                      <w:kern w:val="0"/>
                      <w:szCs w:val="21"/>
                    </w:rPr>
                    <w:t>电</w:t>
                  </w:r>
                </w:p>
              </w:tc>
              <w:tc>
                <w:tcPr>
                  <w:tcW w:w="1011" w:type="pct"/>
                  <w:tcBorders>
                    <w:tl2br w:val="nil"/>
                    <w:tr2bl w:val="nil"/>
                  </w:tcBorders>
                  <w:vAlign w:val="center"/>
                </w:tcPr>
                <w:p>
                  <w:pPr>
                    <w:adjustRightInd w:val="0"/>
                    <w:snapToGrid w:val="0"/>
                    <w:ind w:left="420" w:hanging="420"/>
                    <w:jc w:val="center"/>
                    <w:rPr>
                      <w:bCs/>
                      <w:kern w:val="0"/>
                      <w:sz w:val="20"/>
                      <w:szCs w:val="21"/>
                    </w:rPr>
                  </w:pPr>
                  <w:r>
                    <w:rPr>
                      <w:rFonts w:hint="eastAsia"/>
                      <w:bCs/>
                      <w:kern w:val="0"/>
                      <w:szCs w:val="21"/>
                    </w:rPr>
                    <w:t>5</w:t>
                  </w:r>
                  <w:r>
                    <w:rPr>
                      <w:bCs/>
                      <w:kern w:val="0"/>
                      <w:szCs w:val="21"/>
                    </w:rPr>
                    <w:t>0</w:t>
                  </w:r>
                  <w:r>
                    <w:rPr>
                      <w:rFonts w:hint="eastAsia"/>
                      <w:bCs/>
                      <w:kern w:val="0"/>
                      <w:szCs w:val="21"/>
                    </w:rPr>
                    <w:t>万kWh/a</w:t>
                  </w:r>
                </w:p>
              </w:tc>
              <w:tc>
                <w:tcPr>
                  <w:tcW w:w="960" w:type="pct"/>
                  <w:tcBorders>
                    <w:top w:val="single" w:color="auto" w:sz="4" w:space="0"/>
                    <w:bottom w:val="single" w:color="auto" w:sz="4" w:space="0"/>
                  </w:tcBorders>
                  <w:vAlign w:val="center"/>
                </w:tcPr>
                <w:p>
                  <w:pPr>
                    <w:pStyle w:val="10"/>
                    <w:ind w:left="420" w:hanging="420"/>
                    <w:jc w:val="center"/>
                    <w:rPr>
                      <w:bCs/>
                      <w:kern w:val="0"/>
                      <w:sz w:val="21"/>
                      <w:szCs w:val="21"/>
                    </w:rPr>
                  </w:pPr>
                  <w:r>
                    <w:rPr>
                      <w:rFonts w:hint="eastAsia"/>
                      <w:bCs/>
                      <w:kern w:val="0"/>
                      <w:sz w:val="21"/>
                      <w:szCs w:val="21"/>
                    </w:rPr>
                    <w:t>当地电网</w:t>
                  </w:r>
                </w:p>
              </w:tc>
              <w:tc>
                <w:tcPr>
                  <w:tcW w:w="962" w:type="pct"/>
                  <w:tcBorders>
                    <w:top w:val="single" w:color="auto" w:sz="4" w:space="0"/>
                    <w:bottom w:val="single" w:color="auto" w:sz="4" w:space="0"/>
                  </w:tcBorders>
                  <w:vAlign w:val="center"/>
                </w:tcPr>
                <w:p>
                  <w:pPr>
                    <w:pStyle w:val="10"/>
                    <w:ind w:left="420" w:hanging="420"/>
                    <w:jc w:val="center"/>
                    <w:rPr>
                      <w:bCs/>
                      <w:kern w:val="0"/>
                      <w:sz w:val="21"/>
                      <w:szCs w:val="21"/>
                    </w:rPr>
                  </w:pPr>
                  <w:r>
                    <w:rPr>
                      <w:rFonts w:hint="eastAsia"/>
                      <w:bCs/>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15" w:type="pct"/>
                  <w:vMerge w:val="continue"/>
                  <w:tcBorders>
                    <w:tl2br w:val="nil"/>
                    <w:tr2bl w:val="nil"/>
                  </w:tcBorders>
                  <w:vAlign w:val="center"/>
                </w:tcPr>
                <w:p>
                  <w:pPr>
                    <w:pStyle w:val="10"/>
                    <w:ind w:left="420" w:hanging="420"/>
                    <w:jc w:val="center"/>
                    <w:rPr>
                      <w:rFonts w:ascii="Times New Roman" w:hAnsi="Times New Roman"/>
                      <w:bCs/>
                      <w:snapToGrid w:val="0"/>
                      <w:kern w:val="0"/>
                      <w:sz w:val="21"/>
                      <w:szCs w:val="21"/>
                    </w:rPr>
                  </w:pPr>
                </w:p>
              </w:tc>
              <w:tc>
                <w:tcPr>
                  <w:tcW w:w="1451" w:type="pct"/>
                  <w:tcBorders>
                    <w:tl2br w:val="nil"/>
                    <w:tr2bl w:val="nil"/>
                  </w:tcBorders>
                  <w:vAlign w:val="center"/>
                </w:tcPr>
                <w:p>
                  <w:pPr>
                    <w:widowControl/>
                    <w:ind w:left="420" w:hanging="420"/>
                    <w:jc w:val="center"/>
                    <w:textAlignment w:val="center"/>
                    <w:rPr>
                      <w:bCs/>
                      <w:kern w:val="0"/>
                      <w:sz w:val="20"/>
                      <w:szCs w:val="21"/>
                    </w:rPr>
                  </w:pPr>
                  <w:r>
                    <w:rPr>
                      <w:rFonts w:hint="eastAsia"/>
                      <w:bCs/>
                      <w:kern w:val="0"/>
                      <w:szCs w:val="21"/>
                    </w:rPr>
                    <w:t>天然气</w:t>
                  </w:r>
                </w:p>
              </w:tc>
              <w:tc>
                <w:tcPr>
                  <w:tcW w:w="1011" w:type="pct"/>
                  <w:tcBorders>
                    <w:tl2br w:val="nil"/>
                    <w:tr2bl w:val="nil"/>
                  </w:tcBorders>
                  <w:vAlign w:val="center"/>
                </w:tcPr>
                <w:p>
                  <w:pPr>
                    <w:widowControl/>
                    <w:ind w:left="420" w:hanging="420"/>
                    <w:jc w:val="center"/>
                    <w:textAlignment w:val="center"/>
                    <w:rPr>
                      <w:bCs/>
                      <w:kern w:val="0"/>
                      <w:sz w:val="20"/>
                      <w:szCs w:val="21"/>
                    </w:rPr>
                  </w:pPr>
                  <w:r>
                    <w:rPr>
                      <w:bCs/>
                      <w:kern w:val="0"/>
                      <w:szCs w:val="21"/>
                    </w:rPr>
                    <w:t>27</w:t>
                  </w:r>
                  <w:r>
                    <w:rPr>
                      <w:rFonts w:hint="eastAsia"/>
                      <w:bCs/>
                      <w:kern w:val="0"/>
                      <w:szCs w:val="21"/>
                    </w:rPr>
                    <w:t>0000m</w:t>
                  </w:r>
                  <w:r>
                    <w:rPr>
                      <w:rFonts w:hint="eastAsia"/>
                      <w:bCs/>
                      <w:kern w:val="0"/>
                      <w:szCs w:val="21"/>
                      <w:vertAlign w:val="superscript"/>
                    </w:rPr>
                    <w:t>3</w:t>
                  </w:r>
                  <w:r>
                    <w:rPr>
                      <w:rFonts w:hint="eastAsia"/>
                      <w:bCs/>
                      <w:kern w:val="0"/>
                      <w:szCs w:val="21"/>
                    </w:rPr>
                    <w:t>/a</w:t>
                  </w:r>
                </w:p>
              </w:tc>
              <w:tc>
                <w:tcPr>
                  <w:tcW w:w="960" w:type="pct"/>
                  <w:tcBorders>
                    <w:top w:val="single" w:color="auto" w:sz="4" w:space="0"/>
                    <w:bottom w:val="single" w:color="auto" w:sz="12" w:space="0"/>
                  </w:tcBorders>
                  <w:vAlign w:val="center"/>
                </w:tcPr>
                <w:p>
                  <w:pPr>
                    <w:pStyle w:val="10"/>
                    <w:ind w:left="420" w:hanging="420"/>
                    <w:jc w:val="center"/>
                    <w:rPr>
                      <w:bCs/>
                      <w:kern w:val="0"/>
                      <w:sz w:val="21"/>
                      <w:szCs w:val="21"/>
                    </w:rPr>
                  </w:pPr>
                  <w:r>
                    <w:rPr>
                      <w:rFonts w:hint="eastAsia"/>
                      <w:bCs/>
                      <w:kern w:val="0"/>
                      <w:sz w:val="21"/>
                      <w:szCs w:val="21"/>
                    </w:rPr>
                    <w:t>市政供气</w:t>
                  </w:r>
                </w:p>
              </w:tc>
              <w:tc>
                <w:tcPr>
                  <w:tcW w:w="962" w:type="pct"/>
                  <w:tcBorders>
                    <w:top w:val="single" w:color="auto" w:sz="4" w:space="0"/>
                    <w:bottom w:val="single" w:color="auto" w:sz="12" w:space="0"/>
                  </w:tcBorders>
                  <w:vAlign w:val="center"/>
                </w:tcPr>
                <w:p>
                  <w:pPr>
                    <w:pStyle w:val="10"/>
                    <w:ind w:left="420" w:hanging="420"/>
                    <w:jc w:val="center"/>
                    <w:rPr>
                      <w:bCs/>
                      <w:kern w:val="0"/>
                      <w:sz w:val="21"/>
                      <w:szCs w:val="21"/>
                    </w:rPr>
                  </w:pPr>
                  <w:r>
                    <w:rPr>
                      <w:rFonts w:hint="eastAsia"/>
                      <w:bCs/>
                      <w:kern w:val="0"/>
                      <w:sz w:val="21"/>
                      <w:szCs w:val="21"/>
                    </w:rPr>
                    <w:t>9</w:t>
                  </w:r>
                  <w:r>
                    <w:rPr>
                      <w:bCs/>
                      <w:kern w:val="0"/>
                      <w:sz w:val="21"/>
                      <w:szCs w:val="21"/>
                    </w:rPr>
                    <w:t>00h/a</w:t>
                  </w:r>
                </w:p>
              </w:tc>
            </w:tr>
          </w:tbl>
          <w:p>
            <w:pPr>
              <w:spacing w:line="360" w:lineRule="auto"/>
              <w:ind w:firstLine="480" w:firstLineChars="200"/>
              <w:rPr>
                <w:bCs/>
                <w:sz w:val="24"/>
              </w:rPr>
            </w:pPr>
            <w:r>
              <w:rPr>
                <w:rFonts w:hint="eastAsia"/>
                <w:sz w:val="24"/>
              </w:rPr>
              <w:t>（1）</w:t>
            </w:r>
            <w:r>
              <w:rPr>
                <w:rFonts w:hint="eastAsia"/>
                <w:b/>
                <w:bCs/>
                <w:sz w:val="24"/>
              </w:rPr>
              <w:t>EPS颗粒：</w:t>
            </w:r>
            <w:r>
              <w:rPr>
                <w:color w:val="000000" w:themeColor="text1"/>
                <w:sz w:val="24"/>
                <w:szCs w:val="20"/>
                <w14:textFill>
                  <w14:solidFill>
                    <w14:schemeClr w14:val="tx1"/>
                  </w14:solidFill>
                </w14:textFill>
              </w:rPr>
              <w:t>EPS颗粒由苯乙烯单体，通过悬浮聚合反应，并加入戊烷（约5%）发泡剂的可发性聚苯乙烯颗粒。聚苯乙烯在75</w:t>
            </w:r>
            <w:r>
              <w:rPr>
                <w:bCs/>
                <w:sz w:val="24"/>
              </w:rPr>
              <w:t>℃开始软化收缩，164℃开始熔融成液体，316℃开始氧化，高分子解聚为低分子聚合物，576℃开始裂解燃烧。</w:t>
            </w:r>
            <w:r>
              <w:rPr>
                <w:color w:val="000000" w:themeColor="text1"/>
                <w:sz w:val="24"/>
                <w:szCs w:val="20"/>
                <w14:textFill>
                  <w14:solidFill>
                    <w14:schemeClr w14:val="tx1"/>
                  </w14:solidFill>
                </w14:textFill>
              </w:rPr>
              <w:t>本项目各生产线涉及原料（EPS颗粒）发泡、挤出等工序加热温度均</w:t>
            </w:r>
            <w:r>
              <w:rPr>
                <w:sz w:val="24"/>
              </w:rPr>
              <w:t>≤210</w:t>
            </w:r>
            <w:r>
              <w:rPr>
                <w:bCs/>
                <w:sz w:val="24"/>
              </w:rPr>
              <w:t>℃，原材料不会发生分解，不会产生大量有机废气，仅原材料中残存的未聚合的反应单体或原料生产过程中加入的少量加工助剂。</w:t>
            </w:r>
            <w:r>
              <w:rPr>
                <w:rFonts w:hint="eastAsia"/>
                <w:bCs/>
                <w:sz w:val="24"/>
              </w:rPr>
              <w:t>本项目采用的</w:t>
            </w:r>
            <w:r>
              <w:rPr>
                <w:color w:val="000000" w:themeColor="text1"/>
                <w:sz w:val="24"/>
                <w:szCs w:val="20"/>
                <w14:textFill>
                  <w14:solidFill>
                    <w14:schemeClr w14:val="tx1"/>
                  </w14:solidFill>
                </w14:textFill>
              </w:rPr>
              <w:t>EPS颗粒</w:t>
            </w:r>
            <w:r>
              <w:rPr>
                <w:rFonts w:hint="eastAsia"/>
                <w:color w:val="000000" w:themeColor="text1"/>
                <w:sz w:val="24"/>
                <w:szCs w:val="20"/>
                <w14:textFill>
                  <w14:solidFill>
                    <w14:schemeClr w14:val="tx1"/>
                  </w14:solidFill>
                </w14:textFill>
              </w:rPr>
              <w:t>为</w:t>
            </w:r>
            <w:r>
              <w:rPr>
                <w:rFonts w:hint="eastAsia"/>
                <w:bCs/>
                <w:sz w:val="24"/>
              </w:rPr>
              <w:t>阻燃级F的树脂，满足《可发性聚苯乙烯（EP</w:t>
            </w:r>
            <w:r>
              <w:rPr>
                <w:bCs/>
                <w:sz w:val="24"/>
              </w:rPr>
              <w:t>S</w:t>
            </w:r>
            <w:r>
              <w:rPr>
                <w:rFonts w:hint="eastAsia"/>
                <w:bCs/>
                <w:sz w:val="24"/>
              </w:rPr>
              <w:t>）树脂》（Q</w:t>
            </w:r>
            <w:r>
              <w:rPr>
                <w:bCs/>
                <w:sz w:val="24"/>
              </w:rPr>
              <w:t>B/T4009-2010</w:t>
            </w:r>
            <w:r>
              <w:rPr>
                <w:rFonts w:hint="eastAsia"/>
                <w:bCs/>
                <w:sz w:val="24"/>
              </w:rPr>
              <w:t>）中表2对阻燃级F的技术指标要求，见表1-</w:t>
            </w:r>
            <w:r>
              <w:rPr>
                <w:bCs/>
                <w:sz w:val="24"/>
              </w:rPr>
              <w:t>5</w:t>
            </w:r>
            <w:r>
              <w:rPr>
                <w:rFonts w:hint="eastAsia"/>
                <w:bCs/>
                <w:sz w:val="24"/>
              </w:rPr>
              <w:t>。</w:t>
            </w:r>
          </w:p>
          <w:p>
            <w:pPr>
              <w:spacing w:line="360" w:lineRule="auto"/>
              <w:jc w:val="center"/>
              <w:rPr>
                <w:b/>
                <w:sz w:val="24"/>
              </w:rPr>
            </w:pPr>
            <w:r>
              <w:rPr>
                <w:rFonts w:hint="eastAsia"/>
                <w:b/>
                <w:sz w:val="24"/>
              </w:rPr>
              <w:t>表1-</w:t>
            </w:r>
            <w:r>
              <w:rPr>
                <w:b/>
                <w:sz w:val="24"/>
              </w:rPr>
              <w:t xml:space="preserve">5   </w:t>
            </w:r>
            <w:r>
              <w:rPr>
                <w:rFonts w:hint="eastAsia"/>
                <w:b/>
                <w:sz w:val="24"/>
              </w:rPr>
              <w:t>阻燃级技术指标</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27"/>
              <w:gridCol w:w="4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37" w:type="dxa"/>
                </w:tcPr>
                <w:p>
                  <w:pPr>
                    <w:spacing w:line="360" w:lineRule="auto"/>
                    <w:jc w:val="center"/>
                    <w:rPr>
                      <w:bCs/>
                      <w:kern w:val="0"/>
                      <w:szCs w:val="21"/>
                    </w:rPr>
                  </w:pPr>
                  <w:r>
                    <w:rPr>
                      <w:rFonts w:hint="eastAsia"/>
                      <w:bCs/>
                      <w:kern w:val="0"/>
                      <w:szCs w:val="21"/>
                    </w:rPr>
                    <w:t>项目</w:t>
                  </w:r>
                </w:p>
              </w:tc>
              <w:tc>
                <w:tcPr>
                  <w:tcW w:w="4538" w:type="dxa"/>
                </w:tcPr>
                <w:p>
                  <w:pPr>
                    <w:spacing w:line="360" w:lineRule="auto"/>
                    <w:jc w:val="center"/>
                    <w:rPr>
                      <w:bCs/>
                      <w:kern w:val="0"/>
                      <w:szCs w:val="21"/>
                    </w:rPr>
                  </w:pPr>
                  <w:r>
                    <w:rPr>
                      <w:rFonts w:hint="eastAsia"/>
                      <w:bCs/>
                      <w:kern w:val="0"/>
                      <w:szCs w:val="21"/>
                    </w:rPr>
                    <w:t>阻燃级F</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37" w:type="dxa"/>
                </w:tcPr>
                <w:p>
                  <w:pPr>
                    <w:spacing w:line="360" w:lineRule="auto"/>
                    <w:jc w:val="center"/>
                    <w:rPr>
                      <w:bCs/>
                      <w:kern w:val="0"/>
                      <w:szCs w:val="21"/>
                    </w:rPr>
                  </w:pPr>
                  <w:r>
                    <w:rPr>
                      <w:rFonts w:hint="eastAsia"/>
                      <w:bCs/>
                      <w:kern w:val="0"/>
                      <w:szCs w:val="21"/>
                    </w:rPr>
                    <w:t>发泡剂含量/</w:t>
                  </w:r>
                  <w:r>
                    <w:rPr>
                      <w:bCs/>
                      <w:kern w:val="0"/>
                      <w:szCs w:val="21"/>
                    </w:rPr>
                    <w:t>%</w:t>
                  </w:r>
                </w:p>
              </w:tc>
              <w:tc>
                <w:tcPr>
                  <w:tcW w:w="4538" w:type="dxa"/>
                </w:tcPr>
                <w:p>
                  <w:pPr>
                    <w:spacing w:line="360" w:lineRule="auto"/>
                    <w:jc w:val="center"/>
                    <w:rPr>
                      <w:bCs/>
                      <w:kern w:val="0"/>
                      <w:szCs w:val="21"/>
                    </w:rPr>
                  </w:pPr>
                  <w:r>
                    <w:rPr>
                      <w:rFonts w:hint="eastAsia"/>
                      <w:bCs/>
                      <w:kern w:val="0"/>
                      <w:szCs w:val="21"/>
                    </w:rPr>
                    <w:t>4</w:t>
                  </w:r>
                  <w:r>
                    <w:rPr>
                      <w:bCs/>
                      <w:kern w:val="0"/>
                      <w:szCs w:val="21"/>
                    </w:rPr>
                    <w:t>.0~6.8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37" w:type="dxa"/>
                </w:tcPr>
                <w:p>
                  <w:pPr>
                    <w:spacing w:line="360" w:lineRule="auto"/>
                    <w:jc w:val="center"/>
                    <w:rPr>
                      <w:bCs/>
                      <w:kern w:val="0"/>
                      <w:szCs w:val="21"/>
                    </w:rPr>
                  </w:pPr>
                  <w:r>
                    <w:rPr>
                      <w:rFonts w:hint="eastAsia"/>
                      <w:bCs/>
                      <w:kern w:val="0"/>
                      <w:szCs w:val="21"/>
                    </w:rPr>
                    <w:t>残留苯乙烯，W</w:t>
                  </w:r>
                  <w:r>
                    <w:rPr>
                      <w:bCs/>
                      <w:kern w:val="0"/>
                      <w:szCs w:val="21"/>
                    </w:rPr>
                    <w:t xml:space="preserve">T/%              </w:t>
                  </w:r>
                  <w:r>
                    <w:rPr>
                      <w:rFonts w:hint="eastAsia"/>
                      <w:bCs/>
                      <w:kern w:val="0"/>
                      <w:szCs w:val="21"/>
                    </w:rPr>
                    <w:t>≤</w:t>
                  </w:r>
                </w:p>
              </w:tc>
              <w:tc>
                <w:tcPr>
                  <w:tcW w:w="4538" w:type="dxa"/>
                </w:tcPr>
                <w:p>
                  <w:pPr>
                    <w:spacing w:line="360" w:lineRule="auto"/>
                    <w:jc w:val="center"/>
                    <w:rPr>
                      <w:bCs/>
                      <w:kern w:val="0"/>
                      <w:szCs w:val="21"/>
                    </w:rPr>
                  </w:pPr>
                  <w:r>
                    <w:rPr>
                      <w:rFonts w:hint="eastAsia"/>
                      <w:bCs/>
                      <w:kern w:val="0"/>
                      <w:szCs w:val="21"/>
                    </w:rPr>
                    <w:t>0</w:t>
                  </w:r>
                  <w:r>
                    <w:rPr>
                      <w:bCs/>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37" w:type="dxa"/>
                </w:tcPr>
                <w:p>
                  <w:pPr>
                    <w:spacing w:line="360" w:lineRule="auto"/>
                    <w:jc w:val="center"/>
                    <w:rPr>
                      <w:bCs/>
                      <w:kern w:val="0"/>
                      <w:szCs w:val="21"/>
                    </w:rPr>
                  </w:pPr>
                  <w:r>
                    <w:rPr>
                      <w:rFonts w:hint="eastAsia"/>
                      <w:bCs/>
                      <w:kern w:val="0"/>
                      <w:szCs w:val="21"/>
                    </w:rPr>
                    <w:t>含水量，W</w:t>
                  </w:r>
                  <w:r>
                    <w:rPr>
                      <w:bCs/>
                      <w:kern w:val="0"/>
                      <w:szCs w:val="21"/>
                    </w:rPr>
                    <w:t xml:space="preserve">T/%                  </w:t>
                  </w:r>
                  <w:r>
                    <w:rPr>
                      <w:rFonts w:hint="eastAsia"/>
                      <w:bCs/>
                      <w:kern w:val="0"/>
                      <w:szCs w:val="21"/>
                    </w:rPr>
                    <w:t>≤</w:t>
                  </w:r>
                </w:p>
              </w:tc>
              <w:tc>
                <w:tcPr>
                  <w:tcW w:w="4538" w:type="dxa"/>
                </w:tcPr>
                <w:p>
                  <w:pPr>
                    <w:spacing w:line="360" w:lineRule="auto"/>
                    <w:jc w:val="center"/>
                    <w:rPr>
                      <w:bCs/>
                      <w:kern w:val="0"/>
                      <w:szCs w:val="21"/>
                    </w:rPr>
                  </w:pPr>
                  <w:r>
                    <w:rPr>
                      <w:rFonts w:hint="eastAsia"/>
                      <w:bCs/>
                      <w:kern w:val="0"/>
                      <w:szCs w:val="21"/>
                    </w:rPr>
                    <w:t>1</w:t>
                  </w:r>
                  <w:r>
                    <w:rPr>
                      <w:bCs/>
                      <w:kern w:val="0"/>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37" w:type="dxa"/>
                </w:tcPr>
                <w:p>
                  <w:pPr>
                    <w:spacing w:line="360" w:lineRule="auto"/>
                    <w:jc w:val="center"/>
                    <w:rPr>
                      <w:bCs/>
                      <w:kern w:val="0"/>
                      <w:szCs w:val="21"/>
                    </w:rPr>
                  </w:pPr>
                  <w:r>
                    <w:rPr>
                      <w:rFonts w:hint="eastAsia"/>
                      <w:bCs/>
                      <w:kern w:val="0"/>
                      <w:szCs w:val="21"/>
                    </w:rPr>
                    <w:t>筛析效率/</w:t>
                  </w:r>
                  <w:r>
                    <w:rPr>
                      <w:bCs/>
                      <w:kern w:val="0"/>
                      <w:szCs w:val="21"/>
                    </w:rPr>
                    <w:t xml:space="preserve">%                     </w:t>
                  </w:r>
                  <w:r>
                    <w:rPr>
                      <w:rFonts w:hint="eastAsia"/>
                      <w:bCs/>
                      <w:kern w:val="0"/>
                      <w:szCs w:val="21"/>
                    </w:rPr>
                    <w:t>≤</w:t>
                  </w:r>
                </w:p>
              </w:tc>
              <w:tc>
                <w:tcPr>
                  <w:tcW w:w="4538" w:type="dxa"/>
                </w:tcPr>
                <w:p>
                  <w:pPr>
                    <w:spacing w:line="360" w:lineRule="auto"/>
                    <w:jc w:val="center"/>
                    <w:rPr>
                      <w:bCs/>
                      <w:kern w:val="0"/>
                      <w:szCs w:val="21"/>
                    </w:rPr>
                  </w:pPr>
                  <w:r>
                    <w:rPr>
                      <w:rFonts w:hint="eastAsia"/>
                      <w:bCs/>
                      <w:kern w:val="0"/>
                      <w:szCs w:val="21"/>
                    </w:rPr>
                    <w:t>9</w:t>
                  </w:r>
                  <w:r>
                    <w:rPr>
                      <w:bCs/>
                      <w:kern w:val="0"/>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537" w:type="dxa"/>
                </w:tcPr>
                <w:p>
                  <w:pPr>
                    <w:spacing w:line="360" w:lineRule="auto"/>
                    <w:jc w:val="center"/>
                    <w:rPr>
                      <w:bCs/>
                      <w:kern w:val="0"/>
                      <w:szCs w:val="21"/>
                    </w:rPr>
                  </w:pPr>
                  <w:r>
                    <w:rPr>
                      <w:rFonts w:hint="eastAsia"/>
                      <w:bCs/>
                      <w:kern w:val="0"/>
                      <w:szCs w:val="21"/>
                    </w:rPr>
                    <w:t xml:space="preserve">氧指数 </w:t>
                  </w:r>
                  <w:r>
                    <w:rPr>
                      <w:bCs/>
                      <w:kern w:val="0"/>
                      <w:szCs w:val="21"/>
                    </w:rPr>
                    <w:t xml:space="preserve">                         </w:t>
                  </w:r>
                  <w:r>
                    <w:rPr>
                      <w:rFonts w:hint="eastAsia"/>
                      <w:bCs/>
                      <w:kern w:val="0"/>
                      <w:szCs w:val="21"/>
                    </w:rPr>
                    <w:t>＞</w:t>
                  </w:r>
                </w:p>
              </w:tc>
              <w:tc>
                <w:tcPr>
                  <w:tcW w:w="4538" w:type="dxa"/>
                </w:tcPr>
                <w:p>
                  <w:pPr>
                    <w:spacing w:line="360" w:lineRule="auto"/>
                    <w:jc w:val="center"/>
                    <w:rPr>
                      <w:bCs/>
                      <w:kern w:val="0"/>
                      <w:szCs w:val="21"/>
                    </w:rPr>
                  </w:pPr>
                  <w:r>
                    <w:rPr>
                      <w:rFonts w:hint="eastAsia"/>
                      <w:bCs/>
                      <w:kern w:val="0"/>
                      <w:szCs w:val="21"/>
                    </w:rPr>
                    <w:t>3</w:t>
                  </w:r>
                  <w:r>
                    <w:rPr>
                      <w:bCs/>
                      <w:kern w:val="0"/>
                      <w:szCs w:val="21"/>
                    </w:rPr>
                    <w:t>0</w:t>
                  </w:r>
                </w:p>
              </w:tc>
            </w:tr>
          </w:tbl>
          <w:p>
            <w:pPr>
              <w:spacing w:line="360" w:lineRule="auto"/>
              <w:ind w:firstLine="480" w:firstLineChars="200"/>
              <w:rPr>
                <w:sz w:val="24"/>
              </w:rPr>
            </w:pPr>
            <w:r>
              <w:rPr>
                <w:rFonts w:hint="eastAsia"/>
                <w:sz w:val="24"/>
              </w:rPr>
              <w:t>（2）</w:t>
            </w:r>
            <w:r>
              <w:rPr>
                <w:rFonts w:hint="eastAsia"/>
                <w:b/>
                <w:bCs/>
                <w:sz w:val="24"/>
              </w:rPr>
              <w:t>阻燃剂：</w:t>
            </w:r>
            <w:r>
              <w:rPr>
                <w:sz w:val="24"/>
              </w:rPr>
              <w:t>赋予易燃聚合物难燃性的功能性助剂，主要是针对</w:t>
            </w:r>
            <w:r>
              <w:fldChar w:fldCharType="begin"/>
            </w:r>
            <w:r>
              <w:instrText xml:space="preserve"> HYPERLINK "https://baike.so.com/doc/6178579-6391823.html" \t "_blank" </w:instrText>
            </w:r>
            <w:r>
              <w:fldChar w:fldCharType="separate"/>
            </w:r>
            <w:r>
              <w:rPr>
                <w:rStyle w:val="24"/>
                <w:sz w:val="24"/>
              </w:rPr>
              <w:t>高分子材料</w:t>
            </w:r>
            <w:r>
              <w:rPr>
                <w:rStyle w:val="24"/>
                <w:sz w:val="24"/>
              </w:rPr>
              <w:fldChar w:fldCharType="end"/>
            </w:r>
            <w:r>
              <w:rPr>
                <w:sz w:val="24"/>
              </w:rPr>
              <w:t>的阻燃设计的</w:t>
            </w:r>
            <w:r>
              <w:rPr>
                <w:rFonts w:hint="eastAsia"/>
                <w:sz w:val="24"/>
              </w:rPr>
              <w:t>，</w:t>
            </w:r>
            <w:r>
              <w:rPr>
                <w:sz w:val="24"/>
              </w:rPr>
              <w:t>通过</w:t>
            </w:r>
            <w:r>
              <w:fldChar w:fldCharType="begin"/>
            </w:r>
            <w:r>
              <w:instrText xml:space="preserve"> HYPERLINK "https://baike.so.com/doc/334203-353980.html" \t "_blank" </w:instrText>
            </w:r>
            <w:r>
              <w:fldChar w:fldCharType="separate"/>
            </w:r>
            <w:r>
              <w:rPr>
                <w:rStyle w:val="24"/>
                <w:sz w:val="24"/>
              </w:rPr>
              <w:t>机械混合</w:t>
            </w:r>
            <w:r>
              <w:rPr>
                <w:rStyle w:val="24"/>
                <w:sz w:val="24"/>
              </w:rPr>
              <w:fldChar w:fldCharType="end"/>
            </w:r>
            <w:r>
              <w:rPr>
                <w:sz w:val="24"/>
              </w:rPr>
              <w:t>方法加入到聚合物中，使聚合物具有阻燃性</w:t>
            </w:r>
            <w:r>
              <w:rPr>
                <w:rFonts w:hint="eastAsia"/>
                <w:sz w:val="24"/>
              </w:rPr>
              <w:t>。其阻燃剂为环保型卤磷复合型阻燃母粒，主要成份为十溴二苯乙烷，初溶温度为1</w:t>
            </w:r>
            <w:r>
              <w:rPr>
                <w:sz w:val="24"/>
              </w:rPr>
              <w:t>60</w:t>
            </w:r>
            <w:r>
              <w:rPr>
                <w:rFonts w:hint="eastAsia"/>
                <w:sz w:val="24"/>
              </w:rPr>
              <w:t>℃，热分解温度为2</w:t>
            </w:r>
            <w:r>
              <w:rPr>
                <w:sz w:val="24"/>
              </w:rPr>
              <w:t>20</w:t>
            </w:r>
            <w:r>
              <w:rPr>
                <w:rFonts w:hint="eastAsia"/>
                <w:sz w:val="24"/>
              </w:rPr>
              <w:t>~</w:t>
            </w:r>
            <w:r>
              <w:rPr>
                <w:sz w:val="24"/>
              </w:rPr>
              <w:t>240</w:t>
            </w:r>
            <w:r>
              <w:rPr>
                <w:rFonts w:hint="eastAsia"/>
                <w:sz w:val="24"/>
              </w:rPr>
              <w:t>℃。</w:t>
            </w:r>
            <w:r>
              <w:rPr>
                <w:sz w:val="24"/>
              </w:rPr>
              <w:t xml:space="preserve"> </w:t>
            </w:r>
          </w:p>
          <w:p>
            <w:pPr>
              <w:spacing w:line="470" w:lineRule="exact"/>
              <w:ind w:firstLine="241" w:firstLineChars="100"/>
              <w:jc w:val="center"/>
              <w:rPr>
                <w:b/>
                <w:sz w:val="24"/>
              </w:rPr>
            </w:pPr>
            <w:r>
              <w:rPr>
                <w:rFonts w:hint="eastAsia"/>
                <w:b/>
                <w:sz w:val="24"/>
              </w:rPr>
              <w:t>表</w:t>
            </w:r>
            <w:r>
              <w:rPr>
                <w:b/>
                <w:sz w:val="24"/>
              </w:rPr>
              <w:t>1-6</w:t>
            </w:r>
            <w:r>
              <w:rPr>
                <w:rFonts w:hint="eastAsia"/>
                <w:b/>
                <w:sz w:val="24"/>
              </w:rPr>
              <w:t xml:space="preserve">   天然气理化性质</w:t>
            </w:r>
            <w:r>
              <w:rPr>
                <w:b/>
                <w:sz w:val="24"/>
              </w:rPr>
              <w:t>一览表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1036"/>
              <w:gridCol w:w="1170"/>
              <w:gridCol w:w="1137"/>
              <w:gridCol w:w="1137"/>
              <w:gridCol w:w="1054"/>
              <w:gridCol w:w="1125"/>
              <w:gridCol w:w="10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7" w:type="pct"/>
                  <w:vAlign w:val="center"/>
                </w:tcPr>
                <w:p>
                  <w:pPr>
                    <w:jc w:val="center"/>
                    <w:rPr>
                      <w:b/>
                      <w:bCs/>
                      <w:color w:val="000000"/>
                      <w:szCs w:val="21"/>
                    </w:rPr>
                  </w:pPr>
                  <w:r>
                    <w:rPr>
                      <w:b/>
                      <w:bCs/>
                      <w:color w:val="000000"/>
                    </w:rPr>
                    <w:object>
                      <v:shape id="_x0000_i1025" o:spt="75" type="#_x0000_t75" style="height:7pt;width:7pt;" o:ole="t" filled="f" o:preferrelative="t" stroked="f" coordsize="21600,21600">
                        <v:path/>
                        <v:fill on="f" focussize="0,0"/>
                        <v:stroke on="f" joinstyle="miter"/>
                        <v:imagedata o:title=""/>
                        <o:lock v:ext="edit" aspectratio="t"/>
                        <w10:wrap type="none"/>
                        <w10:anchorlock/>
                      </v:shape>
                      <o:OLEObject Type="Embed" ProgID="Excel.Chart.8" ShapeID="_x0000_i1025" DrawAspect="Content" ObjectID="_1468075725" r:id="rId6">
                        <o:LockedField>false</o:LockedField>
                      </o:OLEObject>
                    </w:object>
                  </w:r>
                  <w:r>
                    <w:rPr>
                      <w:b/>
                      <w:bCs/>
                      <w:color w:val="000000"/>
                      <w:szCs w:val="21"/>
                    </w:rPr>
                    <w:t>名称</w:t>
                  </w:r>
                </w:p>
              </w:tc>
              <w:tc>
                <w:tcPr>
                  <w:tcW w:w="4273" w:type="pct"/>
                  <w:gridSpan w:val="7"/>
                  <w:vAlign w:val="center"/>
                </w:tcPr>
                <w:p>
                  <w:pPr>
                    <w:jc w:val="center"/>
                    <w:rPr>
                      <w:b/>
                      <w:bCs/>
                      <w:color w:val="000000"/>
                      <w:szCs w:val="21"/>
                    </w:rPr>
                  </w:pPr>
                  <w:r>
                    <w:rPr>
                      <w:b/>
                      <w:bCs/>
                      <w:color w:val="000000"/>
                      <w:szCs w:val="21"/>
                    </w:rPr>
                    <w:t>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7" w:type="pct"/>
                  <w:vMerge w:val="restart"/>
                  <w:vAlign w:val="center"/>
                </w:tcPr>
                <w:p>
                  <w:pPr>
                    <w:jc w:val="center"/>
                    <w:rPr>
                      <w:color w:val="000000"/>
                      <w:szCs w:val="21"/>
                    </w:rPr>
                  </w:pPr>
                  <w:r>
                    <w:rPr>
                      <w:color w:val="000000"/>
                      <w:szCs w:val="21"/>
                    </w:rPr>
                    <w:t>天然气</w:t>
                  </w:r>
                </w:p>
              </w:tc>
              <w:tc>
                <w:tcPr>
                  <w:tcW w:w="572" w:type="pct"/>
                  <w:vAlign w:val="center"/>
                </w:tcPr>
                <w:p>
                  <w:pPr>
                    <w:jc w:val="center"/>
                    <w:rPr>
                      <w:color w:val="000000"/>
                    </w:rPr>
                  </w:pPr>
                  <w:r>
                    <w:rPr>
                      <w:color w:val="000000"/>
                    </w:rPr>
                    <w:t>组分</w:t>
                  </w:r>
                </w:p>
              </w:tc>
              <w:tc>
                <w:tcPr>
                  <w:tcW w:w="646" w:type="pct"/>
                  <w:vAlign w:val="center"/>
                </w:tcPr>
                <w:p>
                  <w:pPr>
                    <w:jc w:val="center"/>
                    <w:rPr>
                      <w:color w:val="000000"/>
                    </w:rPr>
                  </w:pPr>
                  <w:r>
                    <w:rPr>
                      <w:color w:val="000000"/>
                    </w:rPr>
                    <w:t>甲烷（CH</w:t>
                  </w:r>
                  <w:r>
                    <w:rPr>
                      <w:color w:val="000000"/>
                      <w:vertAlign w:val="subscript"/>
                    </w:rPr>
                    <w:t>4</w:t>
                  </w:r>
                  <w:r>
                    <w:rPr>
                      <w:color w:val="000000"/>
                    </w:rPr>
                    <w:t>）</w:t>
                  </w:r>
                </w:p>
              </w:tc>
              <w:tc>
                <w:tcPr>
                  <w:tcW w:w="628" w:type="pct"/>
                  <w:vAlign w:val="center"/>
                </w:tcPr>
                <w:p>
                  <w:pPr>
                    <w:jc w:val="center"/>
                    <w:rPr>
                      <w:color w:val="000000"/>
                    </w:rPr>
                  </w:pPr>
                  <w:r>
                    <w:rPr>
                      <w:color w:val="000000"/>
                    </w:rPr>
                    <w:t>乙烷（C</w:t>
                  </w:r>
                  <w:r>
                    <w:rPr>
                      <w:color w:val="000000"/>
                      <w:vertAlign w:val="subscript"/>
                    </w:rPr>
                    <w:t>2</w:t>
                  </w:r>
                  <w:r>
                    <w:rPr>
                      <w:color w:val="000000"/>
                    </w:rPr>
                    <w:t>H</w:t>
                  </w:r>
                  <w:r>
                    <w:rPr>
                      <w:color w:val="000000"/>
                      <w:vertAlign w:val="subscript"/>
                    </w:rPr>
                    <w:t>6</w:t>
                  </w:r>
                  <w:r>
                    <w:rPr>
                      <w:color w:val="000000"/>
                    </w:rPr>
                    <w:t>）</w:t>
                  </w:r>
                </w:p>
              </w:tc>
              <w:tc>
                <w:tcPr>
                  <w:tcW w:w="628" w:type="pct"/>
                  <w:vAlign w:val="center"/>
                </w:tcPr>
                <w:p>
                  <w:pPr>
                    <w:jc w:val="center"/>
                    <w:rPr>
                      <w:color w:val="000000"/>
                    </w:rPr>
                  </w:pPr>
                  <w:r>
                    <w:rPr>
                      <w:color w:val="000000"/>
                    </w:rPr>
                    <w:t>丙烷（C</w:t>
                  </w:r>
                  <w:r>
                    <w:rPr>
                      <w:color w:val="000000"/>
                      <w:vertAlign w:val="subscript"/>
                    </w:rPr>
                    <w:t>3</w:t>
                  </w:r>
                  <w:r>
                    <w:rPr>
                      <w:color w:val="000000"/>
                    </w:rPr>
                    <w:t>H</w:t>
                  </w:r>
                  <w:r>
                    <w:rPr>
                      <w:color w:val="000000"/>
                      <w:vertAlign w:val="subscript"/>
                    </w:rPr>
                    <w:t>8</w:t>
                  </w:r>
                  <w:r>
                    <w:rPr>
                      <w:color w:val="000000"/>
                    </w:rPr>
                    <w:t>）</w:t>
                  </w:r>
                </w:p>
              </w:tc>
              <w:tc>
                <w:tcPr>
                  <w:tcW w:w="582" w:type="pct"/>
                  <w:vAlign w:val="center"/>
                </w:tcPr>
                <w:p>
                  <w:pPr>
                    <w:jc w:val="center"/>
                    <w:rPr>
                      <w:color w:val="000000"/>
                    </w:rPr>
                  </w:pPr>
                  <w:r>
                    <w:rPr>
                      <w:color w:val="000000"/>
                    </w:rPr>
                    <w:t>硫化氢（H</w:t>
                  </w:r>
                  <w:r>
                    <w:rPr>
                      <w:color w:val="000000"/>
                      <w:vertAlign w:val="subscript"/>
                    </w:rPr>
                    <w:t>2</w:t>
                  </w:r>
                  <w:r>
                    <w:rPr>
                      <w:color w:val="000000"/>
                    </w:rPr>
                    <w:t>S）</w:t>
                  </w:r>
                </w:p>
              </w:tc>
              <w:tc>
                <w:tcPr>
                  <w:tcW w:w="621" w:type="pct"/>
                  <w:vAlign w:val="center"/>
                </w:tcPr>
                <w:p>
                  <w:pPr>
                    <w:jc w:val="center"/>
                    <w:rPr>
                      <w:color w:val="000000"/>
                    </w:rPr>
                  </w:pPr>
                  <w:r>
                    <w:rPr>
                      <w:color w:val="000000"/>
                    </w:rPr>
                    <w:t>二氧化碳</w:t>
                  </w:r>
                </w:p>
                <w:p>
                  <w:pPr>
                    <w:jc w:val="center"/>
                    <w:rPr>
                      <w:color w:val="000000"/>
                    </w:rPr>
                  </w:pPr>
                  <w:r>
                    <w:rPr>
                      <w:color w:val="000000"/>
                    </w:rPr>
                    <w:t>（CO</w:t>
                  </w:r>
                  <w:r>
                    <w:rPr>
                      <w:color w:val="000000"/>
                      <w:vertAlign w:val="subscript"/>
                    </w:rPr>
                    <w:t>2</w:t>
                  </w:r>
                  <w:r>
                    <w:rPr>
                      <w:color w:val="000000"/>
                    </w:rPr>
                    <w:t>）</w:t>
                  </w:r>
                </w:p>
              </w:tc>
              <w:tc>
                <w:tcPr>
                  <w:tcW w:w="596" w:type="pct"/>
                  <w:vAlign w:val="center"/>
                </w:tcPr>
                <w:p>
                  <w:pPr>
                    <w:jc w:val="center"/>
                    <w:rPr>
                      <w:color w:val="000000"/>
                    </w:rPr>
                  </w:pPr>
                  <w:r>
                    <w:rPr>
                      <w:color w:val="000000"/>
                    </w:rPr>
                    <w:t>水</w:t>
                  </w:r>
                </w:p>
                <w:p>
                  <w:pPr>
                    <w:jc w:val="center"/>
                    <w:rPr>
                      <w:color w:val="000000"/>
                    </w:rPr>
                  </w:pPr>
                  <w:r>
                    <w:rPr>
                      <w:color w:val="000000"/>
                    </w:rPr>
                    <w:t>（H</w:t>
                  </w:r>
                  <w:r>
                    <w:rPr>
                      <w:color w:val="000000"/>
                      <w:vertAlign w:val="subscript"/>
                    </w:rPr>
                    <w:t>2</w:t>
                  </w:r>
                  <w:r>
                    <w:rPr>
                      <w:color w:val="000000"/>
                    </w:rPr>
                    <w:t>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727" w:type="pct"/>
                  <w:vMerge w:val="continue"/>
                  <w:vAlign w:val="center"/>
                </w:tcPr>
                <w:p>
                  <w:pPr>
                    <w:jc w:val="center"/>
                    <w:rPr>
                      <w:color w:val="000000"/>
                      <w:szCs w:val="21"/>
                    </w:rPr>
                  </w:pPr>
                </w:p>
              </w:tc>
              <w:tc>
                <w:tcPr>
                  <w:tcW w:w="572" w:type="pct"/>
                  <w:vAlign w:val="center"/>
                </w:tcPr>
                <w:p>
                  <w:pPr>
                    <w:jc w:val="center"/>
                    <w:rPr>
                      <w:color w:val="000000"/>
                    </w:rPr>
                  </w:pPr>
                  <w:r>
                    <w:rPr>
                      <w:color w:val="000000"/>
                    </w:rPr>
                    <w:t>体积比(%)</w:t>
                  </w:r>
                </w:p>
              </w:tc>
              <w:tc>
                <w:tcPr>
                  <w:tcW w:w="646" w:type="pct"/>
                  <w:vAlign w:val="center"/>
                </w:tcPr>
                <w:p>
                  <w:pPr>
                    <w:jc w:val="center"/>
                    <w:rPr>
                      <w:color w:val="000000"/>
                    </w:rPr>
                  </w:pPr>
                  <w:r>
                    <w:rPr>
                      <w:color w:val="000000"/>
                    </w:rPr>
                    <w:t>95.9494</w:t>
                  </w:r>
                </w:p>
              </w:tc>
              <w:tc>
                <w:tcPr>
                  <w:tcW w:w="628" w:type="pct"/>
                  <w:vAlign w:val="center"/>
                </w:tcPr>
                <w:p>
                  <w:pPr>
                    <w:jc w:val="center"/>
                    <w:rPr>
                      <w:color w:val="000000"/>
                    </w:rPr>
                  </w:pPr>
                  <w:r>
                    <w:rPr>
                      <w:color w:val="000000"/>
                    </w:rPr>
                    <w:t>0.9075</w:t>
                  </w:r>
                </w:p>
              </w:tc>
              <w:tc>
                <w:tcPr>
                  <w:tcW w:w="628" w:type="pct"/>
                  <w:vAlign w:val="center"/>
                </w:tcPr>
                <w:p>
                  <w:pPr>
                    <w:jc w:val="center"/>
                    <w:rPr>
                      <w:color w:val="000000"/>
                    </w:rPr>
                  </w:pPr>
                  <w:r>
                    <w:rPr>
                      <w:color w:val="000000"/>
                    </w:rPr>
                    <w:t>0.1367</w:t>
                  </w:r>
                </w:p>
              </w:tc>
              <w:tc>
                <w:tcPr>
                  <w:tcW w:w="582" w:type="pct"/>
                  <w:vAlign w:val="center"/>
                </w:tcPr>
                <w:p>
                  <w:pPr>
                    <w:jc w:val="center"/>
                    <w:rPr>
                      <w:color w:val="000000"/>
                    </w:rPr>
                  </w:pPr>
                  <w:r>
                    <w:rPr>
                      <w:color w:val="000000"/>
                    </w:rPr>
                    <w:t>0.0002</w:t>
                  </w:r>
                </w:p>
              </w:tc>
              <w:tc>
                <w:tcPr>
                  <w:tcW w:w="621" w:type="pct"/>
                  <w:vAlign w:val="center"/>
                </w:tcPr>
                <w:p>
                  <w:pPr>
                    <w:jc w:val="center"/>
                    <w:rPr>
                      <w:color w:val="000000"/>
                    </w:rPr>
                  </w:pPr>
                  <w:r>
                    <w:rPr>
                      <w:color w:val="000000"/>
                    </w:rPr>
                    <w:t>3.0000</w:t>
                  </w:r>
                </w:p>
              </w:tc>
              <w:tc>
                <w:tcPr>
                  <w:tcW w:w="596" w:type="pct"/>
                  <w:vAlign w:val="center"/>
                </w:tcPr>
                <w:p>
                  <w:pPr>
                    <w:jc w:val="center"/>
                    <w:rPr>
                      <w:color w:val="000000"/>
                    </w:rPr>
                  </w:pPr>
                  <w:r>
                    <w:rPr>
                      <w:color w:val="000000"/>
                    </w:rPr>
                    <w:t>0.0062</w:t>
                  </w:r>
                </w:p>
              </w:tc>
            </w:tr>
          </w:tbl>
          <w:p>
            <w:pPr>
              <w:spacing w:line="360" w:lineRule="auto"/>
              <w:ind w:firstLine="480" w:firstLineChars="200"/>
              <w:rPr>
                <w:color w:val="000000"/>
                <w:sz w:val="24"/>
              </w:rPr>
            </w:pPr>
            <w:r>
              <w:rPr>
                <w:color w:val="000000"/>
                <w:sz w:val="24"/>
              </w:rPr>
              <w:t>注：</w:t>
            </w:r>
            <w:r>
              <w:rPr>
                <w:rFonts w:hint="eastAsia"/>
                <w:color w:val="000000"/>
                <w:sz w:val="24"/>
              </w:rPr>
              <w:t>本项目</w:t>
            </w:r>
            <w:r>
              <w:rPr>
                <w:color w:val="000000"/>
                <w:sz w:val="24"/>
              </w:rPr>
              <w:t>使用</w:t>
            </w:r>
            <w:r>
              <w:rPr>
                <w:rFonts w:hint="eastAsia"/>
                <w:color w:val="000000"/>
                <w:sz w:val="24"/>
              </w:rPr>
              <w:t>的天然气</w:t>
            </w:r>
            <w:r>
              <w:rPr>
                <w:color w:val="000000"/>
                <w:sz w:val="24"/>
              </w:rPr>
              <w:t>总硫（以硫计）</w:t>
            </w:r>
            <w:r>
              <w:rPr>
                <w:rFonts w:hint="eastAsia"/>
                <w:color w:val="000000"/>
                <w:sz w:val="24"/>
              </w:rPr>
              <w:t>为5</w:t>
            </w:r>
            <w:r>
              <w:rPr>
                <w:color w:val="000000"/>
                <w:sz w:val="24"/>
              </w:rPr>
              <w:t>0mg/m</w:t>
            </w:r>
            <w:r>
              <w:rPr>
                <w:color w:val="000000"/>
                <w:sz w:val="24"/>
                <w:vertAlign w:val="superscript"/>
              </w:rPr>
              <w:t>3</w:t>
            </w:r>
            <w:r>
              <w:rPr>
                <w:rFonts w:hint="eastAsia"/>
                <w:color w:val="000000"/>
                <w:sz w:val="24"/>
              </w:rPr>
              <w:t>，符合</w:t>
            </w:r>
            <w:r>
              <w:rPr>
                <w:color w:val="000000"/>
                <w:sz w:val="24"/>
              </w:rPr>
              <w:t>《天然气》（GB17820-2012）中一类天然气，总硫（以硫计）≤60mg/m</w:t>
            </w:r>
            <w:r>
              <w:rPr>
                <w:color w:val="000000"/>
                <w:sz w:val="24"/>
                <w:vertAlign w:val="superscript"/>
              </w:rPr>
              <w:t>3</w:t>
            </w:r>
            <w:r>
              <w:rPr>
                <w:color w:val="000000"/>
                <w:sz w:val="24"/>
              </w:rPr>
              <w:t>。</w:t>
            </w:r>
          </w:p>
          <w:p>
            <w:pPr>
              <w:pStyle w:val="7"/>
              <w:spacing w:after="0" w:line="360" w:lineRule="auto"/>
              <w:ind w:firstLine="480" w:firstLineChars="200"/>
              <w:rPr>
                <w:kern w:val="0"/>
                <w:sz w:val="24"/>
              </w:rPr>
            </w:pPr>
            <w:r>
              <w:rPr>
                <w:rFonts w:hint="eastAsia"/>
                <w:kern w:val="0"/>
                <w:sz w:val="24"/>
              </w:rPr>
              <w:t>（3）产品方案及生产规模</w:t>
            </w:r>
          </w:p>
          <w:p>
            <w:pPr>
              <w:adjustRightInd w:val="0"/>
              <w:snapToGrid w:val="0"/>
              <w:jc w:val="center"/>
              <w:rPr>
                <w:b/>
                <w:bCs/>
                <w:sz w:val="24"/>
              </w:rPr>
            </w:pPr>
            <w:r>
              <w:rPr>
                <w:b/>
                <w:bCs/>
                <w:sz w:val="24"/>
              </w:rPr>
              <w:t>表</w:t>
            </w:r>
            <w:r>
              <w:rPr>
                <w:rFonts w:hint="eastAsia"/>
                <w:b/>
                <w:bCs/>
                <w:sz w:val="24"/>
              </w:rPr>
              <w:t>1-</w:t>
            </w:r>
            <w:r>
              <w:rPr>
                <w:b/>
                <w:bCs/>
                <w:sz w:val="24"/>
              </w:rPr>
              <w:t xml:space="preserve">7   </w:t>
            </w:r>
            <w:r>
              <w:rPr>
                <w:rFonts w:hint="eastAsia"/>
                <w:b/>
                <w:bCs/>
                <w:sz w:val="24"/>
              </w:rPr>
              <w:t>产品方案</w:t>
            </w:r>
            <w:r>
              <w:rPr>
                <w:b/>
                <w:bCs/>
                <w:sz w:val="24"/>
              </w:rPr>
              <w:t>一览表</w:t>
            </w:r>
          </w:p>
          <w:tbl>
            <w:tblPr>
              <w:tblStyle w:val="2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910"/>
              <w:gridCol w:w="4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7" w:type="pct"/>
                  <w:vAlign w:val="center"/>
                </w:tcPr>
                <w:p>
                  <w:pPr>
                    <w:adjustRightInd w:val="0"/>
                    <w:snapToGrid w:val="0"/>
                    <w:spacing w:line="300" w:lineRule="exact"/>
                    <w:jc w:val="center"/>
                    <w:rPr>
                      <w:b/>
                      <w:spacing w:val="-6"/>
                      <w:szCs w:val="21"/>
                    </w:rPr>
                  </w:pPr>
                  <w:r>
                    <w:rPr>
                      <w:rFonts w:hint="eastAsia"/>
                      <w:b/>
                      <w:spacing w:val="-6"/>
                      <w:szCs w:val="21"/>
                    </w:rPr>
                    <w:t>序号</w:t>
                  </w:r>
                </w:p>
              </w:tc>
              <w:tc>
                <w:tcPr>
                  <w:tcW w:w="2160" w:type="pct"/>
                  <w:vAlign w:val="center"/>
                </w:tcPr>
                <w:p>
                  <w:pPr>
                    <w:adjustRightInd w:val="0"/>
                    <w:snapToGrid w:val="0"/>
                    <w:spacing w:line="300" w:lineRule="exact"/>
                    <w:jc w:val="center"/>
                    <w:rPr>
                      <w:b/>
                      <w:spacing w:val="-6"/>
                      <w:szCs w:val="21"/>
                    </w:rPr>
                  </w:pPr>
                  <w:r>
                    <w:rPr>
                      <w:rFonts w:hint="eastAsia"/>
                      <w:b/>
                      <w:spacing w:val="-6"/>
                      <w:szCs w:val="21"/>
                    </w:rPr>
                    <w:t>产品</w:t>
                  </w:r>
                  <w:r>
                    <w:rPr>
                      <w:b/>
                      <w:spacing w:val="-6"/>
                      <w:szCs w:val="21"/>
                    </w:rPr>
                    <w:t>名称</w:t>
                  </w:r>
                </w:p>
              </w:tc>
              <w:tc>
                <w:tcPr>
                  <w:tcW w:w="2232" w:type="pct"/>
                  <w:vAlign w:val="center"/>
                </w:tcPr>
                <w:p>
                  <w:pPr>
                    <w:adjustRightInd w:val="0"/>
                    <w:snapToGrid w:val="0"/>
                    <w:spacing w:line="300" w:lineRule="exact"/>
                    <w:jc w:val="center"/>
                    <w:rPr>
                      <w:b/>
                      <w:spacing w:val="-6"/>
                      <w:szCs w:val="21"/>
                    </w:rPr>
                  </w:pPr>
                  <w:r>
                    <w:rPr>
                      <w:rFonts w:hint="eastAsia"/>
                      <w:b/>
                      <w:spacing w:val="-6"/>
                      <w:szCs w:val="21"/>
                    </w:rPr>
                    <w:t>年产量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07" w:type="pct"/>
                  <w:vAlign w:val="center"/>
                </w:tcPr>
                <w:p>
                  <w:pPr>
                    <w:adjustRightInd w:val="0"/>
                    <w:snapToGrid w:val="0"/>
                    <w:spacing w:line="300" w:lineRule="exact"/>
                    <w:jc w:val="center"/>
                    <w:rPr>
                      <w:spacing w:val="-6"/>
                      <w:szCs w:val="21"/>
                    </w:rPr>
                  </w:pPr>
                  <w:r>
                    <w:rPr>
                      <w:rFonts w:hint="eastAsia"/>
                      <w:spacing w:val="-6"/>
                      <w:szCs w:val="21"/>
                    </w:rPr>
                    <w:t>1</w:t>
                  </w:r>
                </w:p>
              </w:tc>
              <w:tc>
                <w:tcPr>
                  <w:tcW w:w="2160" w:type="pct"/>
                  <w:vAlign w:val="center"/>
                </w:tcPr>
                <w:p>
                  <w:pPr>
                    <w:adjustRightInd w:val="0"/>
                    <w:snapToGrid w:val="0"/>
                    <w:spacing w:line="300" w:lineRule="exact"/>
                    <w:jc w:val="center"/>
                    <w:rPr>
                      <w:spacing w:val="-6"/>
                      <w:szCs w:val="21"/>
                    </w:rPr>
                  </w:pPr>
                  <w:r>
                    <w:rPr>
                      <w:rFonts w:hint="eastAsia"/>
                      <w:spacing w:val="-6"/>
                      <w:szCs w:val="21"/>
                    </w:rPr>
                    <w:t>EPS板</w:t>
                  </w:r>
                </w:p>
              </w:tc>
              <w:tc>
                <w:tcPr>
                  <w:tcW w:w="2232" w:type="pct"/>
                  <w:vAlign w:val="center"/>
                </w:tcPr>
                <w:p>
                  <w:pPr>
                    <w:adjustRightInd w:val="0"/>
                    <w:snapToGrid w:val="0"/>
                    <w:spacing w:line="300" w:lineRule="exact"/>
                    <w:jc w:val="center"/>
                    <w:rPr>
                      <w:spacing w:val="-6"/>
                      <w:szCs w:val="21"/>
                    </w:rPr>
                  </w:pPr>
                  <w:r>
                    <w:rPr>
                      <w:rFonts w:hint="eastAsia"/>
                      <w:spacing w:val="-6"/>
                      <w:szCs w:val="21"/>
                    </w:rPr>
                    <w:t>10万m</w:t>
                  </w:r>
                  <w:r>
                    <w:rPr>
                      <w:rFonts w:hint="eastAsia"/>
                      <w:spacing w:val="-6"/>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07" w:type="pct"/>
                  <w:vAlign w:val="center"/>
                </w:tcPr>
                <w:p>
                  <w:pPr>
                    <w:adjustRightInd w:val="0"/>
                    <w:snapToGrid w:val="0"/>
                    <w:spacing w:line="300" w:lineRule="exact"/>
                    <w:jc w:val="center"/>
                    <w:rPr>
                      <w:spacing w:val="-6"/>
                      <w:szCs w:val="21"/>
                    </w:rPr>
                  </w:pPr>
                  <w:r>
                    <w:rPr>
                      <w:rFonts w:hint="eastAsia"/>
                      <w:spacing w:val="-6"/>
                      <w:szCs w:val="21"/>
                    </w:rPr>
                    <w:t>2</w:t>
                  </w:r>
                </w:p>
              </w:tc>
              <w:tc>
                <w:tcPr>
                  <w:tcW w:w="2160" w:type="pct"/>
                  <w:vAlign w:val="center"/>
                </w:tcPr>
                <w:p>
                  <w:pPr>
                    <w:adjustRightInd w:val="0"/>
                    <w:snapToGrid w:val="0"/>
                    <w:spacing w:line="300" w:lineRule="exact"/>
                    <w:jc w:val="center"/>
                    <w:rPr>
                      <w:spacing w:val="-6"/>
                      <w:szCs w:val="21"/>
                    </w:rPr>
                  </w:pPr>
                  <w:r>
                    <w:rPr>
                      <w:rFonts w:hint="eastAsia"/>
                      <w:spacing w:val="-6"/>
                      <w:szCs w:val="21"/>
                    </w:rPr>
                    <w:t>XPS板</w:t>
                  </w:r>
                </w:p>
              </w:tc>
              <w:tc>
                <w:tcPr>
                  <w:tcW w:w="2232" w:type="pct"/>
                  <w:vAlign w:val="center"/>
                </w:tcPr>
                <w:p>
                  <w:pPr>
                    <w:adjustRightInd w:val="0"/>
                    <w:snapToGrid w:val="0"/>
                    <w:spacing w:line="300" w:lineRule="exact"/>
                    <w:jc w:val="center"/>
                    <w:rPr>
                      <w:spacing w:val="-6"/>
                      <w:szCs w:val="21"/>
                    </w:rPr>
                  </w:pPr>
                  <w:r>
                    <w:rPr>
                      <w:rFonts w:hint="eastAsia"/>
                      <w:spacing w:val="-6"/>
                      <w:szCs w:val="21"/>
                    </w:rPr>
                    <w:t>10万m</w:t>
                  </w:r>
                  <w:r>
                    <w:rPr>
                      <w:rFonts w:hint="eastAsia"/>
                      <w:spacing w:val="-6"/>
                      <w:szCs w:val="21"/>
                      <w:vertAlign w:val="superscript"/>
                    </w:rPr>
                    <w:t>3</w:t>
                  </w:r>
                </w:p>
              </w:tc>
            </w:tr>
          </w:tbl>
          <w:p>
            <w:pPr>
              <w:adjustRightInd w:val="0"/>
              <w:snapToGrid w:val="0"/>
              <w:spacing w:line="360" w:lineRule="auto"/>
              <w:rPr>
                <w:b/>
                <w:kern w:val="0"/>
                <w:sz w:val="24"/>
              </w:rPr>
            </w:pPr>
            <w:r>
              <w:rPr>
                <w:rFonts w:hint="eastAsia"/>
                <w:b/>
                <w:kern w:val="0"/>
                <w:sz w:val="24"/>
              </w:rPr>
              <w:t>四、劳动定员及工作制度</w:t>
            </w:r>
          </w:p>
          <w:p>
            <w:pPr>
              <w:adjustRightInd w:val="0"/>
              <w:snapToGrid w:val="0"/>
              <w:spacing w:line="360" w:lineRule="auto"/>
              <w:ind w:firstLine="480" w:firstLineChars="200"/>
              <w:rPr>
                <w:b/>
                <w:kern w:val="0"/>
                <w:sz w:val="24"/>
              </w:rPr>
            </w:pPr>
            <w:r>
              <w:rPr>
                <w:snapToGrid w:val="0"/>
                <w:sz w:val="24"/>
              </w:rPr>
              <w:t>项目劳动定员</w:t>
            </w:r>
            <w:r>
              <w:rPr>
                <w:rFonts w:hint="eastAsia"/>
                <w:snapToGrid w:val="0"/>
                <w:sz w:val="24"/>
              </w:rPr>
              <w:t>20</w:t>
            </w:r>
            <w:r>
              <w:rPr>
                <w:snapToGrid w:val="0"/>
                <w:sz w:val="24"/>
              </w:rPr>
              <w:t>人，</w:t>
            </w:r>
            <w:r>
              <w:rPr>
                <w:rFonts w:hint="eastAsia"/>
                <w:snapToGrid w:val="0"/>
                <w:sz w:val="24"/>
              </w:rPr>
              <w:t>厂内无食宿，</w:t>
            </w:r>
            <w:r>
              <w:rPr>
                <w:snapToGrid w:val="0"/>
                <w:sz w:val="24"/>
              </w:rPr>
              <w:t>年工作</w:t>
            </w:r>
            <w:r>
              <w:rPr>
                <w:rFonts w:hint="eastAsia"/>
                <w:snapToGrid w:val="0"/>
                <w:sz w:val="24"/>
              </w:rPr>
              <w:t>300</w:t>
            </w:r>
            <w:r>
              <w:rPr>
                <w:snapToGrid w:val="0"/>
                <w:sz w:val="24"/>
              </w:rPr>
              <w:t>天，</w:t>
            </w:r>
            <w:r>
              <w:rPr>
                <w:rFonts w:hint="eastAsia"/>
                <w:sz w:val="24"/>
              </w:rPr>
              <w:t>三</w:t>
            </w:r>
            <w:r>
              <w:rPr>
                <w:sz w:val="24"/>
              </w:rPr>
              <w:t>班制，每班工作8小时。</w:t>
            </w:r>
          </w:p>
          <w:p>
            <w:pPr>
              <w:adjustRightInd w:val="0"/>
              <w:snapToGrid w:val="0"/>
              <w:spacing w:line="360" w:lineRule="auto"/>
              <w:rPr>
                <w:b/>
                <w:kern w:val="0"/>
                <w:sz w:val="24"/>
              </w:rPr>
            </w:pPr>
            <w:r>
              <w:rPr>
                <w:rFonts w:hint="eastAsia"/>
                <w:b/>
                <w:kern w:val="0"/>
                <w:sz w:val="24"/>
              </w:rPr>
              <w:t>五</w:t>
            </w:r>
            <w:r>
              <w:rPr>
                <w:b/>
                <w:kern w:val="0"/>
                <w:sz w:val="24"/>
              </w:rPr>
              <w:t>、公用工程</w:t>
            </w:r>
          </w:p>
          <w:p>
            <w:pPr>
              <w:adjustRightInd w:val="0"/>
              <w:snapToGrid w:val="0"/>
              <w:spacing w:line="360" w:lineRule="auto"/>
              <w:ind w:firstLine="480" w:firstLineChars="200"/>
              <w:rPr>
                <w:kern w:val="0"/>
                <w:sz w:val="24"/>
              </w:rPr>
            </w:pPr>
            <w:r>
              <w:rPr>
                <w:rFonts w:hint="eastAsia"/>
                <w:kern w:val="0"/>
                <w:sz w:val="24"/>
              </w:rPr>
              <w:t>1、</w:t>
            </w:r>
            <w:r>
              <w:rPr>
                <w:kern w:val="0"/>
                <w:sz w:val="24"/>
              </w:rPr>
              <w:t>给</w:t>
            </w:r>
            <w:r>
              <w:rPr>
                <w:rFonts w:hint="eastAsia"/>
                <w:kern w:val="0"/>
                <w:sz w:val="24"/>
              </w:rPr>
              <w:t>排</w:t>
            </w:r>
            <w:r>
              <w:rPr>
                <w:kern w:val="0"/>
                <w:sz w:val="24"/>
              </w:rPr>
              <w:t>水：</w:t>
            </w:r>
          </w:p>
          <w:p>
            <w:pPr>
              <w:adjustRightInd w:val="0"/>
              <w:snapToGrid w:val="0"/>
              <w:spacing w:line="360" w:lineRule="auto"/>
              <w:ind w:firstLine="480" w:firstLineChars="200"/>
              <w:rPr>
                <w:kern w:val="0"/>
                <w:sz w:val="24"/>
              </w:rPr>
            </w:pPr>
            <w:r>
              <w:rPr>
                <w:rFonts w:hint="eastAsia"/>
                <w:kern w:val="0"/>
                <w:sz w:val="24"/>
              </w:rPr>
              <w:t>（</w:t>
            </w:r>
            <w:r>
              <w:rPr>
                <w:kern w:val="0"/>
                <w:sz w:val="24"/>
              </w:rPr>
              <w:t>1</w:t>
            </w:r>
            <w:r>
              <w:rPr>
                <w:rFonts w:hint="eastAsia"/>
                <w:kern w:val="0"/>
                <w:sz w:val="24"/>
              </w:rPr>
              <w:t>）给水</w:t>
            </w:r>
          </w:p>
          <w:p>
            <w:pPr>
              <w:spacing w:line="360" w:lineRule="auto"/>
              <w:ind w:firstLine="600" w:firstLineChars="250"/>
              <w:rPr>
                <w:color w:val="000000"/>
                <w:sz w:val="24"/>
              </w:rPr>
            </w:pPr>
            <w:r>
              <w:rPr>
                <w:rFonts w:hint="eastAsia"/>
                <w:kern w:val="0"/>
                <w:sz w:val="24"/>
              </w:rPr>
              <w:t>本项目用水来源于自来水管网，主要为生活用水和锅炉用水，</w:t>
            </w:r>
            <w:r>
              <w:rPr>
                <w:rFonts w:hint="eastAsia"/>
                <w:color w:val="000000"/>
                <w:sz w:val="24"/>
              </w:rPr>
              <w:t>共</w:t>
            </w:r>
            <w:r>
              <w:rPr>
                <w:color w:val="000000"/>
                <w:sz w:val="24"/>
              </w:rPr>
              <w:t>3.8</w:t>
            </w:r>
            <w:r>
              <w:rPr>
                <w:sz w:val="24"/>
                <w:shd w:val="clear" w:color="auto" w:fill="FFFFFF"/>
              </w:rPr>
              <w:t xml:space="preserve"> m</w:t>
            </w:r>
            <w:r>
              <w:rPr>
                <w:sz w:val="24"/>
                <w:shd w:val="clear" w:color="auto" w:fill="FFFFFF"/>
                <w:vertAlign w:val="superscript"/>
              </w:rPr>
              <w:t>3</w:t>
            </w:r>
            <w:r>
              <w:rPr>
                <w:sz w:val="24"/>
                <w:shd w:val="clear" w:color="auto" w:fill="FFFFFF"/>
              </w:rPr>
              <w:t>/d</w:t>
            </w:r>
            <w:r>
              <w:rPr>
                <w:rFonts w:hint="eastAsia"/>
                <w:color w:val="000000"/>
                <w:sz w:val="24"/>
              </w:rPr>
              <w:t>（</w:t>
            </w:r>
            <w:r>
              <w:rPr>
                <w:color w:val="000000"/>
                <w:sz w:val="24"/>
              </w:rPr>
              <w:t>1140m</w:t>
            </w:r>
            <w:r>
              <w:rPr>
                <w:color w:val="000000"/>
                <w:sz w:val="24"/>
                <w:vertAlign w:val="superscript"/>
              </w:rPr>
              <w:t>3</w:t>
            </w:r>
            <w:r>
              <w:rPr>
                <w:color w:val="000000"/>
                <w:sz w:val="24"/>
              </w:rPr>
              <w:t>/a</w:t>
            </w:r>
            <w:r>
              <w:rPr>
                <w:rFonts w:hint="eastAsia"/>
                <w:sz w:val="24"/>
                <w:shd w:val="clear" w:color="auto" w:fill="FFFFFF"/>
              </w:rPr>
              <w:t>）</w:t>
            </w:r>
            <w:r>
              <w:rPr>
                <w:rFonts w:hint="eastAsia"/>
                <w:color w:val="000000"/>
                <w:sz w:val="24"/>
              </w:rPr>
              <w:t>。</w:t>
            </w:r>
          </w:p>
          <w:p>
            <w:pPr>
              <w:spacing w:line="360" w:lineRule="auto"/>
              <w:ind w:firstLine="480" w:firstLineChars="200"/>
              <w:rPr>
                <w:sz w:val="24"/>
              </w:rPr>
            </w:pPr>
            <w:r>
              <w:rPr>
                <w:rFonts w:hint="eastAsia"/>
                <w:kern w:val="0"/>
                <w:sz w:val="24"/>
              </w:rPr>
              <w:t>①</w:t>
            </w:r>
            <w:r>
              <w:rPr>
                <w:sz w:val="24"/>
              </w:rPr>
              <w:t>生活用水</w:t>
            </w:r>
          </w:p>
          <w:p>
            <w:pPr>
              <w:spacing w:line="360" w:lineRule="auto"/>
              <w:ind w:firstLine="480" w:firstLineChars="200"/>
              <w:rPr>
                <w:kern w:val="0"/>
                <w:sz w:val="24"/>
              </w:rPr>
            </w:pPr>
            <w:r>
              <w:rPr>
                <w:rFonts w:hint="eastAsia"/>
                <w:sz w:val="24"/>
              </w:rPr>
              <w:t>本</w:t>
            </w:r>
            <w:r>
              <w:rPr>
                <w:sz w:val="24"/>
              </w:rPr>
              <w:t>项目劳动定员</w:t>
            </w:r>
            <w:r>
              <w:rPr>
                <w:rFonts w:hint="eastAsia"/>
                <w:sz w:val="24"/>
              </w:rPr>
              <w:t>20</w:t>
            </w:r>
            <w:r>
              <w:rPr>
                <w:sz w:val="24"/>
              </w:rPr>
              <w:t>人，依据《陕西省行业用水定额</w:t>
            </w:r>
            <w:r>
              <w:rPr>
                <w:rFonts w:hint="eastAsia"/>
                <w:sz w:val="24"/>
              </w:rPr>
              <w:t>（修订稿）</w:t>
            </w:r>
            <w:r>
              <w:rPr>
                <w:sz w:val="24"/>
              </w:rPr>
              <w:t>》（DB 61/T 943-20</w:t>
            </w:r>
            <w:r>
              <w:rPr>
                <w:rFonts w:hint="eastAsia"/>
                <w:sz w:val="24"/>
              </w:rPr>
              <w:t>20</w:t>
            </w:r>
            <w:r>
              <w:rPr>
                <w:sz w:val="24"/>
              </w:rPr>
              <w:t>），</w:t>
            </w:r>
            <w:r>
              <w:rPr>
                <w:rFonts w:hint="eastAsia"/>
                <w:sz w:val="24"/>
              </w:rPr>
              <w:t>关中地区居民生活人员</w:t>
            </w:r>
            <w:r>
              <w:rPr>
                <w:sz w:val="24"/>
              </w:rPr>
              <w:t>用水定额按100L/人·</w:t>
            </w:r>
            <w:r>
              <w:rPr>
                <w:rFonts w:hint="eastAsia"/>
                <w:sz w:val="24"/>
              </w:rPr>
              <w:t>d</w:t>
            </w:r>
            <w:r>
              <w:rPr>
                <w:sz w:val="24"/>
              </w:rPr>
              <w:t>计</w:t>
            </w:r>
            <w:r>
              <w:rPr>
                <w:rFonts w:hint="eastAsia"/>
                <w:sz w:val="24"/>
              </w:rPr>
              <w:t>，</w:t>
            </w:r>
            <w:r>
              <w:rPr>
                <w:kern w:val="0"/>
                <w:sz w:val="24"/>
              </w:rPr>
              <w:t>用水量为2m</w:t>
            </w:r>
            <w:r>
              <w:rPr>
                <w:kern w:val="0"/>
                <w:sz w:val="24"/>
                <w:vertAlign w:val="superscript"/>
              </w:rPr>
              <w:t>3</w:t>
            </w:r>
            <w:r>
              <w:rPr>
                <w:kern w:val="0"/>
                <w:sz w:val="24"/>
              </w:rPr>
              <w:t>/d</w:t>
            </w:r>
            <w:r>
              <w:rPr>
                <w:rFonts w:hint="eastAsia"/>
                <w:kern w:val="0"/>
                <w:sz w:val="24"/>
              </w:rPr>
              <w:t>（</w:t>
            </w:r>
            <w:r>
              <w:rPr>
                <w:kern w:val="0"/>
                <w:sz w:val="24"/>
              </w:rPr>
              <w:t>600m</w:t>
            </w:r>
            <w:r>
              <w:rPr>
                <w:kern w:val="0"/>
                <w:sz w:val="24"/>
                <w:vertAlign w:val="superscript"/>
              </w:rPr>
              <w:t>3</w:t>
            </w:r>
            <w:r>
              <w:rPr>
                <w:kern w:val="0"/>
                <w:sz w:val="24"/>
              </w:rPr>
              <w:t>/a</w:t>
            </w:r>
            <w:r>
              <w:rPr>
                <w:rFonts w:hint="eastAsia"/>
                <w:kern w:val="0"/>
                <w:sz w:val="24"/>
              </w:rPr>
              <w:t>）。</w:t>
            </w:r>
          </w:p>
          <w:p>
            <w:pPr>
              <w:spacing w:line="360" w:lineRule="auto"/>
              <w:ind w:firstLine="480" w:firstLineChars="200"/>
              <w:rPr>
                <w:kern w:val="0"/>
                <w:sz w:val="24"/>
              </w:rPr>
            </w:pPr>
            <w:r>
              <w:rPr>
                <w:rFonts w:hint="eastAsia"/>
                <w:kern w:val="0"/>
                <w:sz w:val="24"/>
              </w:rPr>
              <w:t>②锅炉用水</w:t>
            </w:r>
          </w:p>
          <w:p>
            <w:pPr>
              <w:spacing w:line="360" w:lineRule="auto"/>
              <w:ind w:firstLine="480" w:firstLineChars="200"/>
              <w:rPr>
                <w:rFonts w:hAnsi="宋体"/>
                <w:sz w:val="24"/>
              </w:rPr>
            </w:pPr>
            <w:r>
              <w:rPr>
                <w:rFonts w:hint="eastAsia" w:hAnsi="宋体"/>
                <w:sz w:val="24"/>
              </w:rPr>
              <w:t>本项目锅炉用水来源于反渗透水处理装置。锅炉年运行9</w:t>
            </w:r>
            <w:r>
              <w:rPr>
                <w:rFonts w:hAnsi="宋体"/>
                <w:sz w:val="24"/>
              </w:rPr>
              <w:t>00</w:t>
            </w:r>
            <w:r>
              <w:rPr>
                <w:rFonts w:hint="eastAsia" w:hAnsi="宋体"/>
                <w:sz w:val="24"/>
              </w:rPr>
              <w:t>小时，制备的软水用于设备冷却及锅炉使用，冷却水的循环量约2m</w:t>
            </w:r>
            <w:r>
              <w:rPr>
                <w:rFonts w:hint="eastAsia" w:hAnsi="宋体"/>
                <w:sz w:val="24"/>
                <w:vertAlign w:val="superscript"/>
              </w:rPr>
              <w:t>3</w:t>
            </w:r>
            <w:r>
              <w:rPr>
                <w:rFonts w:hint="eastAsia" w:hAnsi="宋体"/>
                <w:sz w:val="24"/>
              </w:rPr>
              <w:t>，每小时的补充水量约占循环量的1%，0.02m</w:t>
            </w:r>
            <w:r>
              <w:rPr>
                <w:rFonts w:hint="eastAsia" w:hAnsi="宋体"/>
                <w:sz w:val="24"/>
                <w:vertAlign w:val="superscript"/>
              </w:rPr>
              <w:t>3</w:t>
            </w:r>
            <w:r>
              <w:rPr>
                <w:rFonts w:hint="eastAsia" w:hAnsi="宋体"/>
                <w:sz w:val="24"/>
              </w:rPr>
              <w:t>（0.</w:t>
            </w:r>
            <w:r>
              <w:rPr>
                <w:rFonts w:hAnsi="宋体"/>
                <w:sz w:val="24"/>
              </w:rPr>
              <w:t>06</w:t>
            </w:r>
            <w:r>
              <w:rPr>
                <w:rFonts w:hint="eastAsia" w:hAnsi="宋体"/>
                <w:sz w:val="24"/>
              </w:rPr>
              <w:t>m</w:t>
            </w:r>
            <w:r>
              <w:rPr>
                <w:rFonts w:hint="eastAsia" w:hAnsi="宋体"/>
                <w:sz w:val="24"/>
                <w:vertAlign w:val="superscript"/>
              </w:rPr>
              <w:t>3</w:t>
            </w:r>
            <w:r>
              <w:rPr>
                <w:rFonts w:hint="eastAsia" w:hAnsi="宋体"/>
                <w:sz w:val="24"/>
              </w:rPr>
              <w:t>/d，</w:t>
            </w:r>
            <w:r>
              <w:rPr>
                <w:rFonts w:hAnsi="宋体"/>
                <w:sz w:val="24"/>
              </w:rPr>
              <w:t>18</w:t>
            </w:r>
            <w:r>
              <w:rPr>
                <w:rFonts w:hint="eastAsia" w:hAnsi="宋体"/>
                <w:sz w:val="24"/>
              </w:rPr>
              <w:t>m</w:t>
            </w:r>
            <w:r>
              <w:rPr>
                <w:rFonts w:hint="eastAsia" w:hAnsi="宋体"/>
                <w:sz w:val="24"/>
                <w:vertAlign w:val="superscript"/>
              </w:rPr>
              <w:t>3</w:t>
            </w:r>
            <w:r>
              <w:rPr>
                <w:rFonts w:hint="eastAsia" w:hAnsi="宋体"/>
                <w:sz w:val="24"/>
              </w:rPr>
              <w:t>/a）。锅炉蒸发量共4m</w:t>
            </w:r>
            <w:r>
              <w:rPr>
                <w:rFonts w:hint="eastAsia" w:hAnsi="宋体"/>
                <w:sz w:val="24"/>
                <w:vertAlign w:val="superscript"/>
              </w:rPr>
              <w:t>3</w:t>
            </w:r>
            <w:r>
              <w:rPr>
                <w:rFonts w:hint="eastAsia" w:hAnsi="宋体"/>
                <w:sz w:val="24"/>
              </w:rPr>
              <w:t>/h，每日需蒸汽</w:t>
            </w:r>
            <w:r>
              <w:rPr>
                <w:rFonts w:hAnsi="宋体"/>
                <w:sz w:val="24"/>
              </w:rPr>
              <w:t>12</w:t>
            </w:r>
            <w:r>
              <w:rPr>
                <w:rFonts w:hint="eastAsia" w:hAnsi="宋体"/>
                <w:sz w:val="24"/>
              </w:rPr>
              <w:t>m</w:t>
            </w:r>
            <w:r>
              <w:rPr>
                <w:rFonts w:hint="eastAsia" w:hAnsi="宋体"/>
                <w:sz w:val="24"/>
                <w:vertAlign w:val="superscript"/>
              </w:rPr>
              <w:t>3</w:t>
            </w:r>
            <w:r>
              <w:rPr>
                <w:rFonts w:hint="eastAsia" w:hAnsi="宋体"/>
                <w:sz w:val="24"/>
              </w:rPr>
              <w:t>，其中蒸汽损失量按蒸汽总量</w:t>
            </w:r>
            <w:r>
              <w:rPr>
                <w:rFonts w:hAnsi="宋体"/>
                <w:sz w:val="24"/>
              </w:rPr>
              <w:t>10</w:t>
            </w:r>
            <w:r>
              <w:rPr>
                <w:rFonts w:hint="eastAsia" w:hAnsi="宋体"/>
                <w:sz w:val="24"/>
              </w:rPr>
              <w:t>%计，约</w:t>
            </w:r>
            <w:r>
              <w:rPr>
                <w:rFonts w:hAnsi="宋体"/>
                <w:sz w:val="24"/>
              </w:rPr>
              <w:t>1.2</w:t>
            </w:r>
            <w:r>
              <w:rPr>
                <w:rFonts w:hint="eastAsia" w:hAnsi="宋体"/>
                <w:sz w:val="24"/>
              </w:rPr>
              <w:t>m</w:t>
            </w:r>
            <w:r>
              <w:rPr>
                <w:rFonts w:hint="eastAsia" w:hAnsi="宋体"/>
                <w:sz w:val="24"/>
                <w:vertAlign w:val="superscript"/>
              </w:rPr>
              <w:t>3</w:t>
            </w:r>
            <w:r>
              <w:rPr>
                <w:rFonts w:hint="eastAsia" w:hAnsi="宋体"/>
                <w:sz w:val="24"/>
              </w:rPr>
              <w:t>/d（</w:t>
            </w:r>
            <w:r>
              <w:rPr>
                <w:rFonts w:hAnsi="宋体"/>
                <w:sz w:val="24"/>
              </w:rPr>
              <w:t>360</w:t>
            </w:r>
            <w:r>
              <w:rPr>
                <w:rFonts w:hint="eastAsia" w:hAnsi="宋体"/>
                <w:sz w:val="24"/>
              </w:rPr>
              <w:t>m</w:t>
            </w:r>
            <w:r>
              <w:rPr>
                <w:rFonts w:hint="eastAsia" w:hAnsi="宋体"/>
                <w:sz w:val="24"/>
                <w:vertAlign w:val="superscript"/>
              </w:rPr>
              <w:t>3</w:t>
            </w:r>
            <w:r>
              <w:rPr>
                <w:rFonts w:hint="eastAsia" w:hAnsi="宋体"/>
                <w:sz w:val="24"/>
              </w:rPr>
              <w:t>/a），循环水量按蒸汽总量的90%计，约</w:t>
            </w:r>
            <w:r>
              <w:rPr>
                <w:rFonts w:hAnsi="宋体"/>
                <w:sz w:val="24"/>
              </w:rPr>
              <w:t>10.8</w:t>
            </w:r>
            <w:r>
              <w:rPr>
                <w:rFonts w:hint="eastAsia" w:hAnsi="宋体"/>
                <w:sz w:val="24"/>
              </w:rPr>
              <w:t>m</w:t>
            </w:r>
            <w:r>
              <w:rPr>
                <w:rFonts w:hint="eastAsia" w:hAnsi="宋体"/>
                <w:sz w:val="24"/>
                <w:vertAlign w:val="superscript"/>
              </w:rPr>
              <w:t>3</w:t>
            </w:r>
            <w:r>
              <w:rPr>
                <w:rFonts w:hint="eastAsia" w:hAnsi="宋体"/>
                <w:sz w:val="24"/>
              </w:rPr>
              <w:t>/d，补充水量约占蒸汽总量的10%，</w:t>
            </w:r>
            <w:r>
              <w:rPr>
                <w:rFonts w:hAnsi="宋体"/>
                <w:sz w:val="24"/>
              </w:rPr>
              <w:t>1.2</w:t>
            </w:r>
            <w:r>
              <w:rPr>
                <w:rFonts w:hint="eastAsia" w:hAnsi="宋体"/>
                <w:sz w:val="24"/>
              </w:rPr>
              <w:t>m</w:t>
            </w:r>
            <w:r>
              <w:rPr>
                <w:rFonts w:hint="eastAsia" w:hAnsi="宋体"/>
                <w:sz w:val="24"/>
                <w:vertAlign w:val="superscript"/>
              </w:rPr>
              <w:t>3</w:t>
            </w:r>
            <w:r>
              <w:rPr>
                <w:rFonts w:hint="eastAsia" w:hAnsi="宋体"/>
                <w:sz w:val="24"/>
              </w:rPr>
              <w:t>/d（</w:t>
            </w:r>
            <w:r>
              <w:rPr>
                <w:rFonts w:hAnsi="宋体"/>
                <w:sz w:val="24"/>
              </w:rPr>
              <w:t>360</w:t>
            </w:r>
            <w:r>
              <w:rPr>
                <w:rFonts w:hint="eastAsia" w:hAnsi="宋体"/>
                <w:sz w:val="24"/>
              </w:rPr>
              <w:t>m</w:t>
            </w:r>
            <w:r>
              <w:rPr>
                <w:rFonts w:hint="eastAsia" w:hAnsi="宋体"/>
                <w:sz w:val="24"/>
                <w:vertAlign w:val="superscript"/>
              </w:rPr>
              <w:t>3</w:t>
            </w:r>
            <w:r>
              <w:rPr>
                <w:rFonts w:hint="eastAsia" w:hAnsi="宋体"/>
                <w:sz w:val="24"/>
              </w:rPr>
              <w:t>/a）。</w:t>
            </w:r>
          </w:p>
          <w:p>
            <w:pPr>
              <w:spacing w:line="360" w:lineRule="auto"/>
              <w:ind w:firstLine="480" w:firstLineChars="200"/>
              <w:rPr>
                <w:rFonts w:hAnsi="宋体"/>
                <w:sz w:val="24"/>
              </w:rPr>
            </w:pPr>
            <w:r>
              <w:rPr>
                <w:rFonts w:hint="eastAsia" w:hAnsi="宋体"/>
                <w:sz w:val="24"/>
              </w:rPr>
              <w:t>以上共计1</w:t>
            </w:r>
            <w:r>
              <w:rPr>
                <w:rFonts w:hAnsi="宋体"/>
                <w:sz w:val="24"/>
              </w:rPr>
              <w:t>.26</w:t>
            </w:r>
            <w:r>
              <w:rPr>
                <w:rFonts w:hint="eastAsia" w:hAnsi="宋体"/>
                <w:sz w:val="24"/>
              </w:rPr>
              <w:t xml:space="preserve"> m</w:t>
            </w:r>
            <w:r>
              <w:rPr>
                <w:rFonts w:hint="eastAsia" w:hAnsi="宋体"/>
                <w:sz w:val="24"/>
                <w:vertAlign w:val="superscript"/>
              </w:rPr>
              <w:t>3</w:t>
            </w:r>
            <w:r>
              <w:rPr>
                <w:rFonts w:hint="eastAsia" w:hAnsi="宋体"/>
                <w:sz w:val="24"/>
              </w:rPr>
              <w:t>/d，软水制备率按70%计，所需新鲜水量约为</w:t>
            </w:r>
            <w:r>
              <w:rPr>
                <w:rFonts w:hAnsi="宋体"/>
                <w:sz w:val="24"/>
              </w:rPr>
              <w:t>1.8</w:t>
            </w:r>
            <w:r>
              <w:rPr>
                <w:rFonts w:hint="eastAsia" w:hAnsi="宋体"/>
                <w:sz w:val="24"/>
              </w:rPr>
              <w:t>m</w:t>
            </w:r>
            <w:r>
              <w:rPr>
                <w:rFonts w:hint="eastAsia" w:hAnsi="宋体"/>
                <w:sz w:val="24"/>
                <w:vertAlign w:val="superscript"/>
              </w:rPr>
              <w:t>3</w:t>
            </w:r>
            <w:r>
              <w:rPr>
                <w:rFonts w:hint="eastAsia" w:hAnsi="宋体"/>
                <w:sz w:val="24"/>
              </w:rPr>
              <w:t>/d（</w:t>
            </w:r>
            <w:r>
              <w:rPr>
                <w:rFonts w:hAnsi="宋体"/>
                <w:sz w:val="24"/>
              </w:rPr>
              <w:t>540</w:t>
            </w:r>
            <w:r>
              <w:rPr>
                <w:rFonts w:hint="eastAsia" w:hAnsi="宋体"/>
                <w:sz w:val="24"/>
              </w:rPr>
              <w:t>m</w:t>
            </w:r>
            <w:r>
              <w:rPr>
                <w:rFonts w:hint="eastAsia" w:hAnsi="宋体"/>
                <w:sz w:val="24"/>
                <w:vertAlign w:val="superscript"/>
              </w:rPr>
              <w:t>3</w:t>
            </w:r>
            <w:r>
              <w:rPr>
                <w:rFonts w:hint="eastAsia" w:hAnsi="宋体"/>
                <w:sz w:val="24"/>
              </w:rPr>
              <w:t>/a）</w:t>
            </w:r>
            <w:r>
              <w:rPr>
                <w:rFonts w:hint="eastAsia"/>
                <w:kern w:val="0"/>
                <w:sz w:val="24"/>
              </w:rPr>
              <w:t>。</w:t>
            </w:r>
          </w:p>
          <w:p>
            <w:pPr>
              <w:spacing w:line="360" w:lineRule="auto"/>
              <w:ind w:firstLine="480" w:firstLineChars="200"/>
              <w:rPr>
                <w:kern w:val="0"/>
                <w:sz w:val="24"/>
              </w:rPr>
            </w:pPr>
            <w:r>
              <w:rPr>
                <w:rFonts w:hint="eastAsia"/>
                <w:kern w:val="0"/>
                <w:sz w:val="24"/>
              </w:rPr>
              <w:t>（2）排水</w:t>
            </w:r>
          </w:p>
          <w:p>
            <w:pPr>
              <w:spacing w:line="360" w:lineRule="auto"/>
              <w:ind w:firstLine="480" w:firstLineChars="200"/>
              <w:rPr>
                <w:color w:val="00B0F0"/>
                <w:kern w:val="0"/>
                <w:sz w:val="24"/>
              </w:rPr>
            </w:pPr>
            <w:r>
              <w:rPr>
                <w:rFonts w:hint="eastAsia"/>
                <w:color w:val="00B0F0"/>
                <w:sz w:val="24"/>
                <w:shd w:val="clear" w:color="auto" w:fill="FFFFFF"/>
              </w:rPr>
              <w:t>项目厂区实行雨污分流。</w:t>
            </w:r>
            <w:r>
              <w:rPr>
                <w:color w:val="00B0F0"/>
                <w:sz w:val="24"/>
                <w:shd w:val="clear" w:color="auto" w:fill="FFFFFF"/>
              </w:rPr>
              <w:t>项目</w:t>
            </w:r>
            <w:r>
              <w:rPr>
                <w:rFonts w:hint="eastAsia"/>
                <w:color w:val="00B0F0"/>
                <w:sz w:val="24"/>
                <w:shd w:val="clear" w:color="auto" w:fill="FFFFFF"/>
              </w:rPr>
              <w:t>废水总量为</w:t>
            </w:r>
            <w:r>
              <w:rPr>
                <w:color w:val="00B0F0"/>
                <w:sz w:val="24"/>
                <w:shd w:val="clear" w:color="auto" w:fill="FFFFFF"/>
              </w:rPr>
              <w:t>2.2m</w:t>
            </w:r>
            <w:r>
              <w:rPr>
                <w:color w:val="00B0F0"/>
                <w:sz w:val="24"/>
                <w:shd w:val="clear" w:color="auto" w:fill="FFFFFF"/>
                <w:vertAlign w:val="superscript"/>
              </w:rPr>
              <w:t>3</w:t>
            </w:r>
            <w:r>
              <w:rPr>
                <w:color w:val="00B0F0"/>
                <w:sz w:val="24"/>
                <w:shd w:val="clear" w:color="auto" w:fill="FFFFFF"/>
              </w:rPr>
              <w:t>/d</w:t>
            </w:r>
            <w:r>
              <w:rPr>
                <w:rFonts w:hint="eastAsia"/>
                <w:color w:val="00B0F0"/>
                <w:sz w:val="24"/>
                <w:shd w:val="clear" w:color="auto" w:fill="FFFFFF"/>
              </w:rPr>
              <w:t>（</w:t>
            </w:r>
            <w:r>
              <w:rPr>
                <w:color w:val="00B0F0"/>
                <w:sz w:val="24"/>
                <w:shd w:val="clear" w:color="auto" w:fill="FFFFFF"/>
              </w:rPr>
              <w:t>660m</w:t>
            </w:r>
            <w:r>
              <w:rPr>
                <w:color w:val="00B0F0"/>
                <w:sz w:val="24"/>
                <w:shd w:val="clear" w:color="auto" w:fill="FFFFFF"/>
                <w:vertAlign w:val="superscript"/>
              </w:rPr>
              <w:t>3</w:t>
            </w:r>
            <w:r>
              <w:rPr>
                <w:color w:val="00B0F0"/>
                <w:sz w:val="24"/>
                <w:shd w:val="clear" w:color="auto" w:fill="FFFFFF"/>
              </w:rPr>
              <w:t>/a</w:t>
            </w:r>
            <w:r>
              <w:rPr>
                <w:rFonts w:hint="eastAsia"/>
                <w:color w:val="00B0F0"/>
                <w:sz w:val="24"/>
                <w:shd w:val="clear" w:color="auto" w:fill="FFFFFF"/>
              </w:rPr>
              <w:t>），项目废水不外排。其中，</w:t>
            </w:r>
            <w:r>
              <w:rPr>
                <w:color w:val="00B0F0"/>
                <w:sz w:val="24"/>
                <w:shd w:val="clear" w:color="auto" w:fill="FFFFFF"/>
              </w:rPr>
              <w:t>项目生活废水产生量为</w:t>
            </w:r>
            <w:r>
              <w:rPr>
                <w:rFonts w:hint="eastAsia"/>
                <w:color w:val="00B0F0"/>
                <w:kern w:val="0"/>
                <w:sz w:val="24"/>
              </w:rPr>
              <w:t>1</w:t>
            </w:r>
            <w:r>
              <w:rPr>
                <w:color w:val="00B0F0"/>
                <w:kern w:val="0"/>
                <w:sz w:val="24"/>
              </w:rPr>
              <w:t>.</w:t>
            </w:r>
            <w:r>
              <w:rPr>
                <w:rFonts w:hint="eastAsia"/>
                <w:color w:val="00B0F0"/>
                <w:kern w:val="0"/>
                <w:sz w:val="24"/>
              </w:rPr>
              <w:t>6</w:t>
            </w:r>
            <w:r>
              <w:rPr>
                <w:color w:val="00B0F0"/>
                <w:kern w:val="0"/>
                <w:sz w:val="24"/>
              </w:rPr>
              <w:t>m</w:t>
            </w:r>
            <w:r>
              <w:rPr>
                <w:color w:val="00B0F0"/>
                <w:kern w:val="0"/>
                <w:sz w:val="24"/>
                <w:vertAlign w:val="superscript"/>
              </w:rPr>
              <w:t>3</w:t>
            </w:r>
            <w:r>
              <w:rPr>
                <w:color w:val="00B0F0"/>
                <w:kern w:val="0"/>
                <w:sz w:val="24"/>
              </w:rPr>
              <w:t>/d（</w:t>
            </w:r>
            <w:r>
              <w:rPr>
                <w:rFonts w:hint="eastAsia"/>
                <w:color w:val="00B0F0"/>
                <w:kern w:val="0"/>
                <w:sz w:val="24"/>
              </w:rPr>
              <w:t>48</w:t>
            </w:r>
            <w:r>
              <w:rPr>
                <w:color w:val="00B0F0"/>
                <w:kern w:val="0"/>
                <w:sz w:val="24"/>
              </w:rPr>
              <w:t>0m</w:t>
            </w:r>
            <w:r>
              <w:rPr>
                <w:color w:val="00B0F0"/>
                <w:kern w:val="0"/>
                <w:sz w:val="24"/>
                <w:vertAlign w:val="superscript"/>
              </w:rPr>
              <w:t>3</w:t>
            </w:r>
            <w:r>
              <w:rPr>
                <w:color w:val="00B0F0"/>
                <w:kern w:val="0"/>
                <w:sz w:val="24"/>
              </w:rPr>
              <w:t>/</w:t>
            </w:r>
            <w:r>
              <w:rPr>
                <w:rFonts w:hint="eastAsia"/>
                <w:color w:val="00B0F0"/>
                <w:kern w:val="0"/>
                <w:sz w:val="24"/>
              </w:rPr>
              <w:t>a</w:t>
            </w:r>
            <w:r>
              <w:rPr>
                <w:color w:val="00B0F0"/>
                <w:kern w:val="0"/>
                <w:sz w:val="24"/>
              </w:rPr>
              <w:t>）</w:t>
            </w:r>
            <w:r>
              <w:rPr>
                <w:color w:val="00B0F0"/>
                <w:sz w:val="24"/>
                <w:shd w:val="clear" w:color="auto" w:fill="FFFFFF"/>
              </w:rPr>
              <w:t>，</w:t>
            </w:r>
            <w:r>
              <w:rPr>
                <w:rFonts w:hint="eastAsia"/>
                <w:color w:val="00B0F0"/>
                <w:sz w:val="24"/>
                <w:shd w:val="clear" w:color="auto" w:fill="FFFFFF"/>
              </w:rPr>
              <w:t>餐饮废水经隔油池处理后与</w:t>
            </w:r>
            <w:r>
              <w:rPr>
                <w:color w:val="00B0F0"/>
                <w:sz w:val="24"/>
                <w:shd w:val="clear" w:color="auto" w:fill="FFFFFF"/>
              </w:rPr>
              <w:t>生活污水</w:t>
            </w:r>
            <w:r>
              <w:rPr>
                <w:rFonts w:hint="eastAsia"/>
                <w:color w:val="00B0F0"/>
                <w:sz w:val="24"/>
                <w:shd w:val="clear" w:color="auto" w:fill="FFFFFF"/>
              </w:rPr>
              <w:t>排入</w:t>
            </w:r>
            <w:r>
              <w:rPr>
                <w:color w:val="00B0F0"/>
                <w:sz w:val="24"/>
                <w:shd w:val="clear" w:color="auto" w:fill="FFFFFF"/>
              </w:rPr>
              <w:t>厂区化粪池</w:t>
            </w:r>
            <w:r>
              <w:rPr>
                <w:rFonts w:hint="eastAsia"/>
                <w:color w:val="00B0F0"/>
                <w:sz w:val="24"/>
              </w:rPr>
              <w:t>（3</w:t>
            </w:r>
            <w:r>
              <w:rPr>
                <w:color w:val="00B0F0"/>
                <w:sz w:val="24"/>
              </w:rPr>
              <w:t>0m</w:t>
            </w:r>
            <w:r>
              <w:rPr>
                <w:color w:val="00B0F0"/>
                <w:sz w:val="24"/>
                <w:vertAlign w:val="superscript"/>
              </w:rPr>
              <w:t>3</w:t>
            </w:r>
            <w:r>
              <w:rPr>
                <w:rFonts w:hint="eastAsia"/>
                <w:color w:val="00B0F0"/>
                <w:sz w:val="24"/>
              </w:rPr>
              <w:t>）</w:t>
            </w:r>
            <w:r>
              <w:rPr>
                <w:rFonts w:hint="eastAsia"/>
                <w:color w:val="00B0F0"/>
                <w:sz w:val="24"/>
                <w:shd w:val="clear" w:color="auto" w:fill="FFFFFF"/>
              </w:rPr>
              <w:t>；</w:t>
            </w:r>
            <w:r>
              <w:rPr>
                <w:rFonts w:hint="eastAsia"/>
                <w:color w:val="00B0F0"/>
                <w:kern w:val="0"/>
                <w:sz w:val="24"/>
              </w:rPr>
              <w:t>锅炉运行过程中需定期排污，将锅炉中</w:t>
            </w:r>
            <w:r>
              <w:rPr>
                <w:rFonts w:hint="eastAsia" w:hAnsi="宋体"/>
                <w:color w:val="00B0F0"/>
                <w:sz w:val="24"/>
              </w:rPr>
              <w:t>浓盐水和反渗透处理的浓水</w:t>
            </w:r>
            <w:r>
              <w:rPr>
                <w:rFonts w:hint="eastAsia"/>
                <w:color w:val="00B0F0"/>
                <w:kern w:val="0"/>
                <w:sz w:val="24"/>
              </w:rPr>
              <w:t>排出，浓盐水产生量按补充水量的5%计，浓水量按新鲜水量的30%计，排水量分别为0.</w:t>
            </w:r>
            <w:r>
              <w:rPr>
                <w:color w:val="00B0F0"/>
                <w:kern w:val="0"/>
                <w:sz w:val="24"/>
              </w:rPr>
              <w:t>06m</w:t>
            </w:r>
            <w:r>
              <w:rPr>
                <w:color w:val="00B0F0"/>
                <w:kern w:val="0"/>
                <w:sz w:val="24"/>
                <w:vertAlign w:val="superscript"/>
              </w:rPr>
              <w:t>3</w:t>
            </w:r>
            <w:r>
              <w:rPr>
                <w:color w:val="00B0F0"/>
                <w:kern w:val="0"/>
                <w:sz w:val="24"/>
              </w:rPr>
              <w:t>/d</w:t>
            </w:r>
            <w:r>
              <w:rPr>
                <w:rFonts w:hint="eastAsia" w:hAnsi="宋体"/>
                <w:color w:val="00B0F0"/>
                <w:sz w:val="24"/>
              </w:rPr>
              <w:t>（1</w:t>
            </w:r>
            <w:r>
              <w:rPr>
                <w:rFonts w:hAnsi="宋体"/>
                <w:color w:val="00B0F0"/>
                <w:sz w:val="24"/>
              </w:rPr>
              <w:t>8</w:t>
            </w:r>
            <w:r>
              <w:rPr>
                <w:rFonts w:hint="eastAsia" w:hAnsi="宋体"/>
                <w:color w:val="00B0F0"/>
                <w:sz w:val="24"/>
              </w:rPr>
              <w:t>m</w:t>
            </w:r>
            <w:r>
              <w:rPr>
                <w:rFonts w:hint="eastAsia" w:hAnsi="宋体"/>
                <w:color w:val="00B0F0"/>
                <w:sz w:val="24"/>
                <w:vertAlign w:val="superscript"/>
              </w:rPr>
              <w:t>3</w:t>
            </w:r>
            <w:r>
              <w:rPr>
                <w:rFonts w:hint="eastAsia" w:hAnsi="宋体"/>
                <w:color w:val="00B0F0"/>
                <w:sz w:val="24"/>
              </w:rPr>
              <w:t>/a）、</w:t>
            </w:r>
            <w:r>
              <w:rPr>
                <w:color w:val="00B0F0"/>
                <w:kern w:val="0"/>
                <w:sz w:val="24"/>
              </w:rPr>
              <w:t>0.54m</w:t>
            </w:r>
            <w:r>
              <w:rPr>
                <w:color w:val="00B0F0"/>
                <w:kern w:val="0"/>
                <w:sz w:val="24"/>
                <w:vertAlign w:val="superscript"/>
              </w:rPr>
              <w:t>3</w:t>
            </w:r>
            <w:r>
              <w:rPr>
                <w:color w:val="00B0F0"/>
                <w:kern w:val="0"/>
                <w:sz w:val="24"/>
              </w:rPr>
              <w:t>/d</w:t>
            </w:r>
            <w:r>
              <w:rPr>
                <w:rFonts w:hint="eastAsia" w:hAnsi="宋体"/>
                <w:color w:val="00B0F0"/>
                <w:sz w:val="24"/>
              </w:rPr>
              <w:t>（1</w:t>
            </w:r>
            <w:r>
              <w:rPr>
                <w:rFonts w:hAnsi="宋体"/>
                <w:color w:val="00B0F0"/>
                <w:sz w:val="24"/>
              </w:rPr>
              <w:t>62</w:t>
            </w:r>
            <w:r>
              <w:rPr>
                <w:rFonts w:hint="eastAsia" w:hAnsi="宋体"/>
                <w:color w:val="00B0F0"/>
                <w:sz w:val="24"/>
              </w:rPr>
              <w:t>m</w:t>
            </w:r>
            <w:r>
              <w:rPr>
                <w:rFonts w:hint="eastAsia" w:hAnsi="宋体"/>
                <w:color w:val="00B0F0"/>
                <w:sz w:val="24"/>
                <w:vertAlign w:val="superscript"/>
              </w:rPr>
              <w:t>3</w:t>
            </w:r>
            <w:r>
              <w:rPr>
                <w:rFonts w:hint="eastAsia" w:hAnsi="宋体"/>
                <w:color w:val="00B0F0"/>
                <w:sz w:val="24"/>
              </w:rPr>
              <w:t>/a）</w:t>
            </w:r>
            <w:r>
              <w:rPr>
                <w:rFonts w:hint="eastAsia"/>
                <w:color w:val="00B0F0"/>
                <w:kern w:val="0"/>
                <w:sz w:val="24"/>
              </w:rPr>
              <w:t>。排水中不含有害物质，主要污染物为悬浮物、盐类</w:t>
            </w:r>
            <w:r>
              <w:rPr>
                <w:rFonts w:hint="eastAsia"/>
                <w:color w:val="00B0F0"/>
                <w:kern w:val="0"/>
                <w:sz w:val="24"/>
                <w:lang w:val="zh-CN"/>
              </w:rPr>
              <w:t>。锅炉排水</w:t>
            </w:r>
            <w:r>
              <w:rPr>
                <w:rFonts w:hint="eastAsia"/>
                <w:color w:val="00B0F0"/>
                <w:sz w:val="24"/>
                <w:shd w:val="clear" w:color="auto" w:fill="FFFFFF"/>
              </w:rPr>
              <w:t>排入</w:t>
            </w:r>
            <w:r>
              <w:rPr>
                <w:color w:val="00B0F0"/>
                <w:sz w:val="24"/>
                <w:shd w:val="clear" w:color="auto" w:fill="FFFFFF"/>
              </w:rPr>
              <w:t>厂区化粪池</w:t>
            </w:r>
            <w:r>
              <w:rPr>
                <w:rFonts w:hint="eastAsia"/>
                <w:color w:val="00B0F0"/>
                <w:sz w:val="24"/>
              </w:rPr>
              <w:t>（3</w:t>
            </w:r>
            <w:r>
              <w:rPr>
                <w:color w:val="00B0F0"/>
                <w:sz w:val="24"/>
              </w:rPr>
              <w:t>0m</w:t>
            </w:r>
            <w:r>
              <w:rPr>
                <w:color w:val="00B0F0"/>
                <w:sz w:val="24"/>
                <w:vertAlign w:val="superscript"/>
              </w:rPr>
              <w:t>3</w:t>
            </w:r>
            <w:r>
              <w:rPr>
                <w:rFonts w:hint="eastAsia"/>
                <w:color w:val="00B0F0"/>
                <w:sz w:val="24"/>
              </w:rPr>
              <w:t>）</w:t>
            </w:r>
            <w:r>
              <w:rPr>
                <w:rFonts w:hint="eastAsia"/>
                <w:color w:val="00B0F0"/>
                <w:kern w:val="0"/>
                <w:sz w:val="24"/>
                <w:lang w:val="zh-CN"/>
              </w:rPr>
              <w:t>，厂区对化粪池进行定期清掏工作。</w:t>
            </w:r>
          </w:p>
          <w:p>
            <w:pPr>
              <w:adjustRightInd w:val="0"/>
              <w:snapToGrid w:val="0"/>
              <w:spacing w:line="360" w:lineRule="auto"/>
              <w:ind w:firstLine="480" w:firstLineChars="200"/>
              <w:rPr>
                <w:snapToGrid w:val="0"/>
                <w:sz w:val="24"/>
              </w:rPr>
            </w:pPr>
            <w:r>
              <w:rPr>
                <w:rFonts w:hint="eastAsia"/>
                <w:snapToGrid w:val="0"/>
                <w:sz w:val="24"/>
              </w:rPr>
              <w:t>项目水平衡图见图</w:t>
            </w:r>
            <w:r>
              <w:rPr>
                <w:snapToGrid w:val="0"/>
                <w:sz w:val="24"/>
              </w:rPr>
              <w:t>1</w:t>
            </w:r>
            <w:r>
              <w:rPr>
                <w:rFonts w:hint="eastAsia"/>
                <w:snapToGrid w:val="0"/>
                <w:sz w:val="24"/>
              </w:rPr>
              <w:t>-</w:t>
            </w:r>
            <w:r>
              <w:rPr>
                <w:snapToGrid w:val="0"/>
                <w:sz w:val="24"/>
              </w:rPr>
              <w:t>1</w:t>
            </w:r>
            <w:r>
              <w:rPr>
                <w:rFonts w:hint="eastAsia"/>
                <w:snapToGrid w:val="0"/>
                <w:sz w:val="24"/>
              </w:rPr>
              <w:t>。</w:t>
            </w:r>
          </w:p>
          <w:p>
            <w:pPr>
              <w:adjustRightInd w:val="0"/>
              <w:snapToGrid w:val="0"/>
              <w:spacing w:line="360" w:lineRule="auto"/>
              <w:jc w:val="center"/>
              <w:rPr>
                <w:kern w:val="0"/>
                <w:sz w:val="24"/>
              </w:rPr>
            </w:pPr>
            <w:r>
              <w:object>
                <v:shape id="_x0000_i1026" o:spt="75" type="#_x0000_t75" style="height:194.5pt;width:432pt;" o:ole="t" filled="f" o:preferrelative="t" stroked="f" coordsize="21600,21600">
                  <v:path/>
                  <v:fill on="f" focussize="0,0"/>
                  <v:stroke on="f" joinstyle="miter"/>
                  <v:imagedata r:id="rId8" o:title=""/>
                  <o:lock v:ext="edit" aspectratio="t"/>
                  <w10:wrap type="none"/>
                  <w10:anchorlock/>
                </v:shape>
                <o:OLEObject Type="Embed" ProgID="Visio.Drawing.15" ShapeID="_x0000_i1026" DrawAspect="Content" ObjectID="_1468075726" r:id="rId7">
                  <o:LockedField>false</o:LockedField>
                </o:OLEObject>
              </w:object>
            </w:r>
          </w:p>
          <w:p>
            <w:pPr>
              <w:adjustRightInd w:val="0"/>
              <w:snapToGrid w:val="0"/>
              <w:spacing w:line="360" w:lineRule="auto"/>
              <w:ind w:firstLine="482" w:firstLineChars="200"/>
              <w:jc w:val="center"/>
              <w:rPr>
                <w:kern w:val="0"/>
                <w:sz w:val="24"/>
              </w:rPr>
            </w:pPr>
            <w:r>
              <w:rPr>
                <w:b/>
                <w:bCs/>
                <w:kern w:val="0"/>
                <w:sz w:val="24"/>
              </w:rPr>
              <w:t>图1</w:t>
            </w:r>
            <w:r>
              <w:rPr>
                <w:rFonts w:hint="eastAsia"/>
                <w:b/>
                <w:bCs/>
                <w:kern w:val="0"/>
                <w:sz w:val="24"/>
              </w:rPr>
              <w:t>-</w:t>
            </w:r>
            <w:r>
              <w:rPr>
                <w:b/>
                <w:bCs/>
                <w:kern w:val="0"/>
                <w:sz w:val="24"/>
              </w:rPr>
              <w:t>1   建设项目水平衡图（m</w:t>
            </w:r>
            <w:r>
              <w:rPr>
                <w:b/>
                <w:bCs/>
                <w:kern w:val="0"/>
                <w:sz w:val="24"/>
                <w:vertAlign w:val="superscript"/>
              </w:rPr>
              <w:t>3</w:t>
            </w:r>
            <w:r>
              <w:rPr>
                <w:b/>
                <w:bCs/>
                <w:kern w:val="0"/>
                <w:sz w:val="24"/>
              </w:rPr>
              <w:t>/d）</w:t>
            </w:r>
          </w:p>
          <w:p>
            <w:pPr>
              <w:adjustRightInd w:val="0"/>
              <w:snapToGrid w:val="0"/>
              <w:spacing w:line="360" w:lineRule="auto"/>
              <w:ind w:firstLine="480" w:firstLineChars="200"/>
              <w:rPr>
                <w:kern w:val="0"/>
                <w:sz w:val="24"/>
              </w:rPr>
            </w:pPr>
            <w:r>
              <w:rPr>
                <w:kern w:val="0"/>
                <w:sz w:val="24"/>
              </w:rPr>
              <w:t>2</w:t>
            </w:r>
            <w:r>
              <w:rPr>
                <w:rFonts w:hint="eastAsia"/>
                <w:kern w:val="0"/>
                <w:sz w:val="24"/>
              </w:rPr>
              <w:t>、</w:t>
            </w:r>
            <w:r>
              <w:rPr>
                <w:kern w:val="0"/>
                <w:sz w:val="24"/>
              </w:rPr>
              <w:t>供电</w:t>
            </w:r>
          </w:p>
          <w:p>
            <w:pPr>
              <w:adjustRightInd w:val="0"/>
              <w:snapToGrid w:val="0"/>
              <w:spacing w:line="360" w:lineRule="auto"/>
              <w:ind w:firstLine="480" w:firstLineChars="200"/>
              <w:rPr>
                <w:kern w:val="0"/>
                <w:sz w:val="24"/>
              </w:rPr>
            </w:pPr>
            <w:r>
              <w:rPr>
                <w:rFonts w:hint="eastAsia"/>
                <w:kern w:val="0"/>
                <w:sz w:val="24"/>
              </w:rPr>
              <w:t>本项目供电由当地电网提供</w:t>
            </w:r>
            <w:r>
              <w:rPr>
                <w:kern w:val="0"/>
                <w:sz w:val="24"/>
              </w:rPr>
              <w:t>。</w:t>
            </w:r>
          </w:p>
          <w:p>
            <w:pPr>
              <w:spacing w:line="360" w:lineRule="auto"/>
              <w:ind w:firstLine="480" w:firstLineChars="200"/>
              <w:rPr>
                <w:sz w:val="24"/>
              </w:rPr>
            </w:pPr>
            <w:r>
              <w:rPr>
                <w:rFonts w:hint="eastAsia"/>
                <w:sz w:val="24"/>
              </w:rPr>
              <w:t>3、供热</w:t>
            </w:r>
          </w:p>
          <w:p>
            <w:pPr>
              <w:spacing w:line="360" w:lineRule="auto"/>
              <w:ind w:firstLine="480" w:firstLineChars="200"/>
              <w:rPr>
                <w:color w:val="000000"/>
                <w:sz w:val="24"/>
              </w:rPr>
            </w:pPr>
            <w:r>
              <w:rPr>
                <w:rFonts w:hint="eastAsia"/>
                <w:sz w:val="24"/>
              </w:rPr>
              <w:t>本项目X</w:t>
            </w:r>
            <w:r>
              <w:rPr>
                <w:sz w:val="24"/>
              </w:rPr>
              <w:t>PS</w:t>
            </w:r>
            <w:r>
              <w:rPr>
                <w:rFonts w:hint="eastAsia"/>
                <w:sz w:val="24"/>
              </w:rPr>
              <w:t>板生产过程采用电加热，E</w:t>
            </w:r>
            <w:r>
              <w:rPr>
                <w:sz w:val="24"/>
              </w:rPr>
              <w:t>PS</w:t>
            </w:r>
            <w:r>
              <w:rPr>
                <w:rFonts w:hint="eastAsia"/>
                <w:sz w:val="24"/>
              </w:rPr>
              <w:t>板生产由</w:t>
            </w:r>
            <w:r>
              <w:rPr>
                <w:sz w:val="24"/>
              </w:rPr>
              <w:t>2</w:t>
            </w:r>
            <w:r>
              <w:rPr>
                <w:rFonts w:hint="eastAsia"/>
                <w:sz w:val="24"/>
              </w:rPr>
              <w:t>台2t/h燃气锅</w:t>
            </w:r>
            <w:r>
              <w:rPr>
                <w:rFonts w:hint="eastAsia"/>
                <w:color w:val="000000"/>
                <w:sz w:val="24"/>
              </w:rPr>
              <w:t>炉供给，锅炉年运行9</w:t>
            </w:r>
            <w:r>
              <w:rPr>
                <w:color w:val="000000"/>
                <w:sz w:val="24"/>
              </w:rPr>
              <w:t>00</w:t>
            </w:r>
            <w:r>
              <w:rPr>
                <w:rFonts w:hint="eastAsia"/>
                <w:color w:val="000000"/>
                <w:sz w:val="24"/>
              </w:rPr>
              <w:t>小时。</w:t>
            </w:r>
          </w:p>
          <w:p>
            <w:pPr>
              <w:widowControl/>
              <w:adjustRightInd w:val="0"/>
              <w:snapToGrid w:val="0"/>
              <w:spacing w:line="360" w:lineRule="auto"/>
              <w:jc w:val="left"/>
              <w:rPr>
                <w:b/>
                <w:kern w:val="0"/>
                <w:sz w:val="28"/>
                <w:szCs w:val="28"/>
              </w:rPr>
            </w:pPr>
            <w:r>
              <w:rPr>
                <w:b/>
                <w:kern w:val="0"/>
                <w:sz w:val="28"/>
                <w:szCs w:val="28"/>
              </w:rPr>
              <w:t>与本工程有关的原有污染情况及主要环境问题：</w:t>
            </w:r>
          </w:p>
          <w:p>
            <w:pPr>
              <w:adjustRightInd w:val="0"/>
              <w:snapToGrid w:val="0"/>
              <w:spacing w:line="360" w:lineRule="auto"/>
              <w:ind w:firstLine="482"/>
              <w:rPr>
                <w:sz w:val="24"/>
              </w:rPr>
            </w:pPr>
            <w:r>
              <w:rPr>
                <w:rFonts w:hint="eastAsia"/>
                <w:sz w:val="24"/>
              </w:rPr>
              <w:t>陕西广兴华创材料科技有限公司成立于2020年7月16日并取得营业执照。企业租赁咸阳伟杰商贸有限公司已建成的闲置厂房进行本项目建设。</w:t>
            </w:r>
            <w:r>
              <w:rPr>
                <w:rFonts w:hint="eastAsia"/>
                <w:color w:val="00B0F0"/>
                <w:sz w:val="24"/>
              </w:rPr>
              <w:t>咸阳伟杰商贸有限公司于2017年9月8日取得西咸新区秦汉新城环境保护局关于《煤炭机械配件加工生产线建设项目环境影响评价报告表的批复》（秦汉环批〔[2017]9号），咸阳伟杰商贸有限公司取得环评批复后建设了厂区内的生产车间及办公楼，目前紧邻项目地的北侧厂房作为库房使用，无原有污染情况，无生产情况故没有进行环保验收。</w:t>
            </w:r>
            <w:r>
              <w:rPr>
                <w:rFonts w:hint="eastAsia"/>
                <w:sz w:val="24"/>
              </w:rPr>
              <w:t>本项目属于新建项目，目前尚处于办理环保手续阶段，未进行任何设备入厂及生产活动，无现有环境问题。</w:t>
            </w:r>
          </w:p>
          <w:p>
            <w:pPr>
              <w:rPr>
                <w:sz w:val="24"/>
              </w:rPr>
            </w:pPr>
          </w:p>
        </w:tc>
      </w:tr>
    </w:tbl>
    <w:p>
      <w:pPr>
        <w:spacing w:line="660" w:lineRule="exact"/>
        <w:rPr>
          <w:color w:val="000000" w:themeColor="text1"/>
          <w:sz w:val="24"/>
          <w14:textFill>
            <w14:solidFill>
              <w14:schemeClr w14:val="tx1"/>
            </w14:solidFill>
          </w14:textFill>
        </w:rPr>
        <w:sectPr>
          <w:footerReference r:id="rId4" w:type="default"/>
          <w:pgSz w:w="11906" w:h="16838"/>
          <w:pgMar w:top="1440" w:right="1800" w:bottom="1440" w:left="1800" w:header="851" w:footer="992" w:gutter="0"/>
          <w:pgNumType w:start="1"/>
          <w:cols w:space="425" w:num="1"/>
          <w:docGrid w:type="lines" w:linePitch="312" w:charSpace="0"/>
        </w:sectPr>
      </w:pPr>
    </w:p>
    <w:p>
      <w:pPr>
        <w:pStyle w:val="2"/>
        <w:rPr>
          <w:w w:val="95"/>
        </w:rPr>
      </w:pPr>
      <w:r>
        <w:rPr>
          <w:w w:val="95"/>
        </w:rPr>
        <w:t>建设项目所在地自然环境简况</w:t>
      </w: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870" w:hRule="atLeast"/>
          <w:jc w:val="center"/>
        </w:trPr>
        <w:tc>
          <w:tcPr>
            <w:tcW w:w="8517" w:type="dxa"/>
            <w:tcBorders>
              <w:bottom w:val="single" w:color="auto" w:sz="12" w:space="0"/>
            </w:tcBorders>
          </w:tcPr>
          <w:p>
            <w:pPr>
              <w:spacing w:line="360" w:lineRule="auto"/>
              <w:rPr>
                <w:b/>
                <w:color w:val="000000" w:themeColor="text1"/>
                <w:sz w:val="28"/>
                <w14:textFill>
                  <w14:solidFill>
                    <w14:schemeClr w14:val="tx1"/>
                  </w14:solidFill>
                </w14:textFill>
              </w:rPr>
            </w:pPr>
            <w:r>
              <w:rPr>
                <w:b/>
                <w:color w:val="000000" w:themeColor="text1"/>
                <w:sz w:val="28"/>
                <w14:textFill>
                  <w14:solidFill>
                    <w14:schemeClr w14:val="tx1"/>
                  </w14:solidFill>
                </w14:textFill>
              </w:rPr>
              <w:t>自然环境简况(地形、地貌、地质、气候、气象、水文、植被、生物多样性)</w:t>
            </w:r>
          </w:p>
          <w:p>
            <w:pPr>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1、地理位置</w:t>
            </w:r>
          </w:p>
          <w:p>
            <w:pPr>
              <w:spacing w:before="156" w:beforeLines="50"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秦汉新城位于西咸新区的几何中心，是西咸新区五大功能组团的核心区域，是面积最大的文化新城，位于西安、咸阳两市主城区以北，规划范围包括渭城区的正阳、窑店、渭城、周陵镇福银高速以南的区域，秦都区的双照镇，兴平市茂陵的周边区域，泾阳县的高庄镇(部分)，总面积291平方公里，其中建设用地50平方公里，遗址保护区面积104平方公里。</w:t>
            </w:r>
          </w:p>
          <w:p>
            <w:pPr>
              <w:spacing w:line="360" w:lineRule="auto"/>
              <w:ind w:firstLine="480" w:firstLineChars="200"/>
              <w:rPr>
                <w:b/>
                <w:color w:val="000000" w:themeColor="text1"/>
                <w:sz w:val="24"/>
                <w14:textFill>
                  <w14:solidFill>
                    <w14:schemeClr w14:val="tx1"/>
                  </w14:solidFill>
                </w14:textFill>
              </w:rPr>
            </w:pPr>
            <w:r>
              <w:rPr>
                <w:bCs/>
                <w:color w:val="000000" w:themeColor="text1"/>
                <w:sz w:val="24"/>
                <w14:textFill>
                  <w14:solidFill>
                    <w14:schemeClr w14:val="tx1"/>
                  </w14:solidFill>
                </w14:textFill>
              </w:rPr>
              <w:t>本项目建设地点位于</w:t>
            </w:r>
            <w:r>
              <w:rPr>
                <w:rFonts w:hint="eastAsia"/>
                <w:sz w:val="24"/>
              </w:rPr>
              <w:t>秦汉新城双照街办咸平路大王村</w:t>
            </w:r>
            <w:r>
              <w:rPr>
                <w:rFonts w:hint="eastAsia"/>
                <w:kern w:val="0"/>
                <w:sz w:val="24"/>
              </w:rPr>
              <w:t>十字北500米伟杰公司院内。</w:t>
            </w:r>
            <w:r>
              <w:rPr>
                <w:rFonts w:hint="eastAsia"/>
                <w:bCs/>
                <w:sz w:val="24"/>
              </w:rPr>
              <w:t>所在厂区东侧紧邻秦都大王加油站，其次为咸平路，隔路为建设厂房，北侧紧邻建设厂房，西侧为建设空地，距农田约78米，南侧区域为闲置空地</w:t>
            </w:r>
            <w:r>
              <w:rPr>
                <w:kern w:val="0"/>
                <w:sz w:val="24"/>
              </w:rPr>
              <w:t>。</w:t>
            </w:r>
          </w:p>
          <w:p>
            <w:pPr>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2、地质地貌</w:t>
            </w:r>
          </w:p>
          <w:p>
            <w:pPr>
              <w:spacing w:before="156" w:beforeLines="50"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秦汉新城位于渭河地堑北缘中段，岐山至富平断裂带两侧。地势西北高、东南低。东西长约20km，南北宽约15km，项目位于秦汉新城西部，标高在410m-490m之间。秦汉新城地貌类型由北向南划分为三类：北部为泾河冲积平原，中部黄土台塬，南部为渭河冲积平原。中部黄土台塬大致以宝鸡峡高干渠以及渭城区与泾阳县分界的台塬为界，根据地形高差又可分为一级台塬地和二级台塬地。区内地势中部高，南北两侧低，由南、北两侧向中部呈阶梯状倾斜。</w:t>
            </w:r>
          </w:p>
          <w:p>
            <w:pPr>
              <w:spacing w:before="156" w:beforeLines="50"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本项目所在区域为城市建成区，总体地势开阔平坦，起伏和缓，地形、地貌条件良好。</w:t>
            </w:r>
          </w:p>
          <w:p>
            <w:pPr>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3、地表水</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秦汉新城境内有泾河、渭河条过境河流，均属渭河水系。 </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渭河为本区最大的地表水系。为黄河的一级支流，发源于甘肃渭源县，经甘肃陇西、天水流入陕西省，穿越宝鸡、咸阳、西安及渭南部分县（市）后在潼关县注入黄河，全长818km，流域面积46827km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渭河自西向东沿泾渭新区南缘流过，境内长度约10km。水量季节性变化大，最大流量6220m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/s，最小流量3.4m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/s，平均流量173m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/s。百年一遇洪水流量9920m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/s，相应水位386.5m（铁路桥处）；河床宽浅，平水期水深3.0m，河床比降约1‰，河流南岸有沣河等支流汇入。</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泾河是渭河一级支流，泾河发源于宁夏回族自治区泾源县，河流不断向右侵蚀，几处河段紧贴南部黄土台塬，在右岸造成大小不等的窄长河漫滩，左岸形成宽阔开敞的冲洪积倾斜平原。多年平均径流量18.67亿m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，平均流量64.1m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/s，最大洪峰流量9200 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/s，最小枯水流量0.7 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/s，年输沙量2.74亿m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，平均含沙量141公斤/m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p>
            <w:pPr>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4、气象条件</w:t>
            </w:r>
          </w:p>
          <w:p>
            <w:pPr>
              <w:spacing w:line="360" w:lineRule="auto"/>
              <w:ind w:firstLine="480" w:firstLineChars="200"/>
              <w:rPr>
                <w:bCs/>
                <w:color w:val="000000" w:themeColor="text1"/>
                <w:sz w:val="24"/>
                <w14:textFill>
                  <w14:solidFill>
                    <w14:schemeClr w14:val="tx1"/>
                  </w14:solidFill>
                </w14:textFill>
              </w:rPr>
            </w:pPr>
            <w:r>
              <w:rPr>
                <w:color w:val="000000" w:themeColor="text1"/>
                <w:sz w:val="24"/>
                <w14:textFill>
                  <w14:solidFill>
                    <w14:schemeClr w14:val="tx1"/>
                  </w14:solidFill>
                </w14:textFill>
              </w:rPr>
              <w:t>秦汉新城地处内陆中纬度地带，属暖温带大陆季风气候，四季分明，雨热同季。年平均气温9.0℃～13.2℃，最热月(7月)平均气温21.2～26.5℃，最冷月(1月)气温－0.5～－0.9℃，极端最高气温42℃，极端最低气温－19.7℃；湿度南高北低；全年太阳辐射4.61×109～4.99×109J/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年累积光照时数2017.2～2346.9h，6、7、8三个月的日照时数约占全年32%；多年平均降雨量577mm，主要集中在7～9月，占总量的50～60%；受季风环境影响，冬季多北风和西北风，夏季多南风和东南风，市区全年的主导风向为东北风，频率16.2%，次主导风向为东北东，频率14.4%，静风频率23%，年平均风速1.9m/s；全年无霜期208天。</w:t>
            </w:r>
          </w:p>
          <w:p>
            <w:pPr>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5、地质构造及地震</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秦汉新城地层区划属陕甘宁盆地汾渭分区，地层主要为古生代地层和新生代第四系地层。秦汉新城位于关中地堑北缘，地质构造受祁吕贺“山”字构造、新华夏构造及秦岭构造影响，形成出露的构造形迹，有东西向的断裂结构及东北走向的褶皱和断层，隐伏的构造有泾河断裂、扶风-礼泉断裂及永乐-零口断层等。</w:t>
            </w:r>
          </w:p>
          <w:p>
            <w:pPr>
              <w:spacing w:line="360" w:lineRule="auto"/>
              <w:ind w:firstLine="480" w:firstLineChars="200"/>
              <w:rPr>
                <w:bCs/>
                <w:color w:val="000000" w:themeColor="text1"/>
                <w:sz w:val="24"/>
                <w14:textFill>
                  <w14:solidFill>
                    <w14:schemeClr w14:val="tx1"/>
                  </w14:solidFill>
                </w14:textFill>
              </w:rPr>
            </w:pPr>
            <w:r>
              <w:rPr>
                <w:color w:val="000000" w:themeColor="text1"/>
                <w:sz w:val="24"/>
                <w14:textFill>
                  <w14:solidFill>
                    <w14:schemeClr w14:val="tx1"/>
                  </w14:solidFill>
                </w14:textFill>
              </w:rPr>
              <w:t>根据《中国地震动参数区划图》的划分，该区地震动峰值加速值为0.20g，地震反应谱特征周期为0.4s，地震基本烈度为8度。</w:t>
            </w:r>
          </w:p>
          <w:p>
            <w:pPr>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6、动植物</w:t>
            </w:r>
          </w:p>
          <w:p>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所在区域内植被均为栽培植被与绿化树木，呈现城镇农村生态系统特点，仅有零星的小片人工园林及路旁、田间地头树木，树种有泡桐、梧桐、杨树、柳树、刺槐等。属非生态敏感区。野生动物类有野兔、田鼠、麻雀、鸽子和淡水鱼类，畜禽主要有牛、马、骡、猪等。评价区内人类活动集中，无野生动物。</w:t>
            </w:r>
          </w:p>
        </w:tc>
      </w:tr>
    </w:tbl>
    <w:p>
      <w:pPr>
        <w:spacing w:line="660" w:lineRule="exact"/>
        <w:rPr>
          <w:color w:val="000000" w:themeColor="text1"/>
          <w:sz w:val="24"/>
          <w14:textFill>
            <w14:solidFill>
              <w14:schemeClr w14:val="tx1"/>
            </w14:solidFill>
          </w14:textFill>
        </w:rPr>
      </w:pPr>
    </w:p>
    <w:p>
      <w:pPr>
        <w:pStyle w:val="2"/>
        <w:rPr>
          <w:color w:val="000000" w:themeColor="text1"/>
          <w14:textFill>
            <w14:solidFill>
              <w14:schemeClr w14:val="tx1"/>
            </w14:solidFill>
          </w14:textFill>
        </w:rPr>
      </w:pPr>
      <w:r>
        <w:rPr>
          <w:color w:val="000000" w:themeColor="text1"/>
          <w14:textFill>
            <w14:solidFill>
              <w14:schemeClr w14:val="tx1"/>
            </w14:solidFill>
          </w14:textFill>
        </w:rPr>
        <w:t>环境质量状况</w:t>
      </w: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01" w:hRule="atLeast"/>
          <w:jc w:val="center"/>
        </w:trPr>
        <w:tc>
          <w:tcPr>
            <w:tcW w:w="9288" w:type="dxa"/>
          </w:tcPr>
          <w:p>
            <w:pPr>
              <w:widowControl/>
              <w:spacing w:line="360" w:lineRule="auto"/>
              <w:jc w:val="left"/>
              <w:rPr>
                <w:b/>
                <w:kern w:val="0"/>
                <w:sz w:val="28"/>
                <w:szCs w:val="28"/>
              </w:rPr>
            </w:pPr>
            <w:r>
              <w:rPr>
                <w:b/>
                <w:kern w:val="0"/>
                <w:sz w:val="28"/>
                <w:szCs w:val="28"/>
              </w:rPr>
              <w:t>建设工程所在地区环境质量现状及主要环境问题(环境空气、地面水、地下水、声环境、生态环境等)：</w:t>
            </w:r>
          </w:p>
          <w:p>
            <w:pPr>
              <w:widowControl/>
              <w:adjustRightInd w:val="0"/>
              <w:snapToGrid w:val="0"/>
              <w:spacing w:line="360" w:lineRule="auto"/>
              <w:ind w:firstLine="482" w:firstLineChars="200"/>
              <w:jc w:val="left"/>
              <w:rPr>
                <w:b/>
                <w:bCs/>
                <w:sz w:val="24"/>
              </w:rPr>
            </w:pPr>
            <w:r>
              <w:rPr>
                <w:b/>
                <w:bCs/>
                <w:sz w:val="24"/>
              </w:rPr>
              <w:t>一、环境空气质量</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（1）区域环境空气质量现状</w:t>
            </w:r>
          </w:p>
          <w:p>
            <w:pPr>
              <w:topLinePunct/>
              <w:adjustRightInd w:val="0"/>
              <w:snapToGrid w:val="0"/>
              <w:spacing w:line="360" w:lineRule="auto"/>
              <w:ind w:firstLine="480" w:firstLineChars="200"/>
              <w:rPr>
                <w:kern w:val="0"/>
                <w:sz w:val="24"/>
              </w:rPr>
            </w:pPr>
            <w:r>
              <w:rPr>
                <w:kern w:val="0"/>
                <w:sz w:val="24"/>
              </w:rPr>
              <w:t>根据陕西省</w:t>
            </w:r>
            <w:r>
              <w:rPr>
                <w:rFonts w:hint="eastAsia"/>
                <w:kern w:val="0"/>
                <w:sz w:val="24"/>
              </w:rPr>
              <w:t>生态</w:t>
            </w:r>
            <w:r>
              <w:rPr>
                <w:kern w:val="0"/>
                <w:sz w:val="24"/>
              </w:rPr>
              <w:t>环境厅办公室2</w:t>
            </w:r>
            <w:r>
              <w:rPr>
                <w:rFonts w:hint="eastAsia"/>
                <w:kern w:val="0"/>
                <w:sz w:val="24"/>
              </w:rPr>
              <w:t>020</w:t>
            </w:r>
            <w:r>
              <w:rPr>
                <w:kern w:val="0"/>
                <w:sz w:val="24"/>
              </w:rPr>
              <w:t>年1月</w:t>
            </w:r>
            <w:r>
              <w:rPr>
                <w:rFonts w:hint="eastAsia"/>
                <w:kern w:val="0"/>
                <w:sz w:val="24"/>
              </w:rPr>
              <w:t>23</w:t>
            </w:r>
            <w:r>
              <w:rPr>
                <w:kern w:val="0"/>
                <w:sz w:val="24"/>
              </w:rPr>
              <w:t>日发布的《环保快报》</w:t>
            </w:r>
            <w:r>
              <w:rPr>
                <w:rFonts w:hint="eastAsia"/>
                <w:kern w:val="0"/>
                <w:sz w:val="24"/>
              </w:rPr>
              <w:t>(</w:t>
            </w:r>
            <w:r>
              <w:rPr>
                <w:kern w:val="0"/>
                <w:sz w:val="24"/>
              </w:rPr>
              <w:t>20</w:t>
            </w:r>
            <w:r>
              <w:rPr>
                <w:rFonts w:hint="eastAsia"/>
                <w:kern w:val="0"/>
                <w:sz w:val="24"/>
              </w:rPr>
              <w:t>20-4)</w:t>
            </w:r>
            <w:r>
              <w:rPr>
                <w:kern w:val="0"/>
                <w:sz w:val="24"/>
              </w:rPr>
              <w:t>，</w:t>
            </w:r>
            <w:r>
              <w:rPr>
                <w:rFonts w:hint="eastAsia"/>
                <w:kern w:val="0"/>
                <w:sz w:val="24"/>
              </w:rPr>
              <w:t>秦汉新城</w:t>
            </w:r>
            <w:r>
              <w:rPr>
                <w:kern w:val="0"/>
                <w:sz w:val="24"/>
              </w:rPr>
              <w:t>201</w:t>
            </w:r>
            <w:r>
              <w:rPr>
                <w:rFonts w:hint="eastAsia"/>
                <w:kern w:val="0"/>
                <w:sz w:val="24"/>
              </w:rPr>
              <w:t>9</w:t>
            </w:r>
            <w:r>
              <w:rPr>
                <w:kern w:val="0"/>
                <w:sz w:val="24"/>
              </w:rPr>
              <w:t>年1月-12月全县区环境空气质量状况见下表：</w:t>
            </w:r>
          </w:p>
          <w:p>
            <w:pPr>
              <w:tabs>
                <w:tab w:val="left" w:pos="3900"/>
              </w:tabs>
              <w:adjustRightInd w:val="0"/>
              <w:snapToGrid w:val="0"/>
              <w:jc w:val="center"/>
              <w:rPr>
                <w:b/>
                <w:bCs/>
                <w:sz w:val="24"/>
              </w:rPr>
            </w:pPr>
            <w:r>
              <w:rPr>
                <w:b/>
                <w:bCs/>
                <w:sz w:val="24"/>
              </w:rPr>
              <w:t>表3</w:t>
            </w:r>
            <w:r>
              <w:rPr>
                <w:rFonts w:hint="eastAsia"/>
                <w:b/>
                <w:bCs/>
                <w:sz w:val="24"/>
              </w:rPr>
              <w:t>-1</w:t>
            </w:r>
            <w:r>
              <w:rPr>
                <w:b/>
                <w:bCs/>
                <w:sz w:val="24"/>
              </w:rPr>
              <w:t xml:space="preserve">   环境空气质量监测结果统计表</w:t>
            </w:r>
          </w:p>
          <w:tbl>
            <w:tblPr>
              <w:tblStyle w:val="21"/>
              <w:tblW w:w="90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866"/>
              <w:gridCol w:w="1886"/>
              <w:gridCol w:w="1760"/>
              <w:gridCol w:w="1509"/>
              <w:gridCol w:w="1076"/>
              <w:gridCol w:w="11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Merge w:val="restart"/>
                  <w:tcBorders>
                    <w:tl2br w:val="nil"/>
                    <w:tr2bl w:val="nil"/>
                  </w:tcBorders>
                  <w:vAlign w:val="center"/>
                </w:tcPr>
                <w:p>
                  <w:pPr>
                    <w:widowControl/>
                    <w:adjustRightInd w:val="0"/>
                    <w:snapToGrid w:val="0"/>
                    <w:ind w:left="-63" w:leftChars="-30" w:right="-63" w:rightChars="-30"/>
                    <w:jc w:val="center"/>
                    <w:rPr>
                      <w:b/>
                      <w:bCs/>
                      <w:kern w:val="0"/>
                      <w:sz w:val="20"/>
                      <w:szCs w:val="21"/>
                    </w:rPr>
                  </w:pPr>
                  <w:r>
                    <w:rPr>
                      <w:b/>
                      <w:bCs/>
                      <w:kern w:val="0"/>
                      <w:szCs w:val="21"/>
                    </w:rPr>
                    <w:t>县区</w:t>
                  </w:r>
                </w:p>
              </w:tc>
              <w:tc>
                <w:tcPr>
                  <w:tcW w:w="866" w:type="dxa"/>
                  <w:vMerge w:val="restart"/>
                  <w:tcBorders>
                    <w:tl2br w:val="nil"/>
                    <w:tr2bl w:val="nil"/>
                  </w:tcBorders>
                  <w:vAlign w:val="center"/>
                </w:tcPr>
                <w:p>
                  <w:pPr>
                    <w:widowControl/>
                    <w:adjustRightInd w:val="0"/>
                    <w:snapToGrid w:val="0"/>
                    <w:ind w:left="-63" w:leftChars="-30" w:right="-63" w:rightChars="-30"/>
                    <w:jc w:val="center"/>
                    <w:rPr>
                      <w:b/>
                      <w:bCs/>
                      <w:kern w:val="0"/>
                      <w:sz w:val="20"/>
                      <w:szCs w:val="21"/>
                    </w:rPr>
                  </w:pPr>
                  <w:r>
                    <w:rPr>
                      <w:b/>
                      <w:bCs/>
                      <w:kern w:val="0"/>
                      <w:szCs w:val="21"/>
                    </w:rPr>
                    <w:t>项目</w:t>
                  </w:r>
                </w:p>
              </w:tc>
              <w:tc>
                <w:tcPr>
                  <w:tcW w:w="1886" w:type="dxa"/>
                  <w:vMerge w:val="restart"/>
                  <w:tcBorders>
                    <w:tl2br w:val="nil"/>
                    <w:tr2bl w:val="nil"/>
                  </w:tcBorders>
                  <w:vAlign w:val="center"/>
                </w:tcPr>
                <w:p>
                  <w:pPr>
                    <w:widowControl/>
                    <w:adjustRightInd w:val="0"/>
                    <w:snapToGrid w:val="0"/>
                    <w:ind w:left="-63" w:leftChars="-30" w:right="-63" w:rightChars="-30"/>
                    <w:jc w:val="center"/>
                    <w:rPr>
                      <w:b/>
                      <w:bCs/>
                      <w:kern w:val="0"/>
                      <w:sz w:val="20"/>
                      <w:szCs w:val="21"/>
                    </w:rPr>
                  </w:pPr>
                  <w:r>
                    <w:rPr>
                      <w:b/>
                      <w:bCs/>
                      <w:kern w:val="0"/>
                      <w:szCs w:val="21"/>
                    </w:rPr>
                    <w:t>浓度</w:t>
                  </w:r>
                  <w:r>
                    <w:rPr>
                      <w:rFonts w:hint="eastAsia"/>
                      <w:b/>
                      <w:bCs/>
                      <w:kern w:val="0"/>
                      <w:szCs w:val="21"/>
                    </w:rPr>
                    <w:t>(</w:t>
                  </w:r>
                  <w:r>
                    <w:rPr>
                      <w:b/>
                      <w:bCs/>
                      <w:kern w:val="0"/>
                      <w:szCs w:val="21"/>
                    </w:rPr>
                    <w:t>均值</w:t>
                  </w:r>
                  <w:r>
                    <w:rPr>
                      <w:rFonts w:hint="eastAsia"/>
                      <w:b/>
                      <w:bCs/>
                      <w:kern w:val="0"/>
                      <w:szCs w:val="21"/>
                    </w:rPr>
                    <w:t>)</w:t>
                  </w:r>
                </w:p>
              </w:tc>
              <w:tc>
                <w:tcPr>
                  <w:tcW w:w="1760" w:type="dxa"/>
                  <w:vMerge w:val="restart"/>
                  <w:tcBorders>
                    <w:tl2br w:val="nil"/>
                    <w:tr2bl w:val="nil"/>
                  </w:tcBorders>
                  <w:vAlign w:val="center"/>
                </w:tcPr>
                <w:p>
                  <w:pPr>
                    <w:widowControl/>
                    <w:adjustRightInd w:val="0"/>
                    <w:snapToGrid w:val="0"/>
                    <w:ind w:left="-63" w:leftChars="-30" w:right="-63" w:rightChars="-30"/>
                    <w:jc w:val="center"/>
                    <w:rPr>
                      <w:b/>
                      <w:bCs/>
                      <w:kern w:val="0"/>
                      <w:sz w:val="20"/>
                      <w:szCs w:val="21"/>
                    </w:rPr>
                  </w:pPr>
                  <w:r>
                    <w:rPr>
                      <w:b/>
                      <w:bCs/>
                      <w:kern w:val="0"/>
                      <w:szCs w:val="21"/>
                    </w:rPr>
                    <w:t>平均时间</w:t>
                  </w:r>
                </w:p>
              </w:tc>
              <w:tc>
                <w:tcPr>
                  <w:tcW w:w="1509" w:type="dxa"/>
                  <w:tcBorders>
                    <w:tl2br w:val="nil"/>
                    <w:tr2bl w:val="nil"/>
                  </w:tcBorders>
                  <w:vAlign w:val="center"/>
                </w:tcPr>
                <w:p>
                  <w:pPr>
                    <w:widowControl/>
                    <w:adjustRightInd w:val="0"/>
                    <w:snapToGrid w:val="0"/>
                    <w:ind w:left="-63" w:leftChars="-30" w:right="-63" w:rightChars="-30"/>
                    <w:jc w:val="center"/>
                    <w:rPr>
                      <w:b/>
                      <w:bCs/>
                      <w:kern w:val="0"/>
                      <w:sz w:val="20"/>
                      <w:szCs w:val="21"/>
                    </w:rPr>
                  </w:pPr>
                  <w:r>
                    <w:rPr>
                      <w:b/>
                      <w:bCs/>
                      <w:kern w:val="0"/>
                      <w:szCs w:val="21"/>
                    </w:rPr>
                    <w:t>标准限值</w:t>
                  </w:r>
                </w:p>
              </w:tc>
              <w:tc>
                <w:tcPr>
                  <w:tcW w:w="1076" w:type="dxa"/>
                  <w:vMerge w:val="restart"/>
                  <w:tcBorders>
                    <w:tl2br w:val="nil"/>
                    <w:tr2bl w:val="nil"/>
                  </w:tcBorders>
                  <w:vAlign w:val="center"/>
                </w:tcPr>
                <w:p>
                  <w:pPr>
                    <w:widowControl/>
                    <w:adjustRightInd w:val="0"/>
                    <w:snapToGrid w:val="0"/>
                    <w:ind w:left="-63" w:leftChars="-30" w:right="-63" w:rightChars="-30"/>
                    <w:jc w:val="center"/>
                    <w:rPr>
                      <w:b/>
                      <w:bCs/>
                      <w:kern w:val="0"/>
                      <w:sz w:val="20"/>
                      <w:szCs w:val="21"/>
                    </w:rPr>
                  </w:pPr>
                  <w:r>
                    <w:rPr>
                      <w:b/>
                      <w:bCs/>
                      <w:kern w:val="0"/>
                      <w:szCs w:val="21"/>
                    </w:rPr>
                    <w:t>达标</w:t>
                  </w:r>
                </w:p>
                <w:p>
                  <w:pPr>
                    <w:widowControl/>
                    <w:adjustRightInd w:val="0"/>
                    <w:snapToGrid w:val="0"/>
                    <w:ind w:left="-63" w:leftChars="-30" w:right="-63" w:rightChars="-30"/>
                    <w:jc w:val="center"/>
                    <w:rPr>
                      <w:b/>
                      <w:bCs/>
                      <w:kern w:val="0"/>
                      <w:sz w:val="20"/>
                      <w:szCs w:val="21"/>
                    </w:rPr>
                  </w:pPr>
                  <w:r>
                    <w:rPr>
                      <w:b/>
                      <w:bCs/>
                      <w:kern w:val="0"/>
                      <w:szCs w:val="21"/>
                    </w:rPr>
                    <w:t>情况</w:t>
                  </w:r>
                </w:p>
              </w:tc>
              <w:tc>
                <w:tcPr>
                  <w:tcW w:w="1163" w:type="dxa"/>
                  <w:vMerge w:val="restart"/>
                  <w:tcBorders>
                    <w:tl2br w:val="nil"/>
                    <w:tr2bl w:val="nil"/>
                  </w:tcBorders>
                  <w:vAlign w:val="center"/>
                </w:tcPr>
                <w:p>
                  <w:pPr>
                    <w:widowControl/>
                    <w:adjustRightInd w:val="0"/>
                    <w:snapToGrid w:val="0"/>
                    <w:ind w:left="-63" w:leftChars="-30" w:right="-63" w:rightChars="-30"/>
                    <w:jc w:val="center"/>
                    <w:rPr>
                      <w:b/>
                      <w:bCs/>
                      <w:kern w:val="0"/>
                      <w:sz w:val="20"/>
                      <w:szCs w:val="21"/>
                    </w:rPr>
                  </w:pPr>
                  <w:r>
                    <w:rPr>
                      <w:b/>
                      <w:bCs/>
                      <w:kern w:val="0"/>
                      <w:szCs w:val="21"/>
                    </w:rPr>
                    <w:t>占标率</w:t>
                  </w:r>
                </w:p>
                <w:p>
                  <w:pPr>
                    <w:widowControl/>
                    <w:adjustRightInd w:val="0"/>
                    <w:snapToGrid w:val="0"/>
                    <w:ind w:left="-63" w:leftChars="-30" w:right="-63" w:rightChars="-30"/>
                    <w:jc w:val="center"/>
                    <w:rPr>
                      <w:b/>
                      <w:bCs/>
                      <w:kern w:val="0"/>
                      <w:sz w:val="20"/>
                      <w:szCs w:val="21"/>
                    </w:rPr>
                  </w:pPr>
                  <w:r>
                    <w:rPr>
                      <w:rFonts w:hint="eastAsia"/>
                      <w:b/>
                      <w:bCs/>
                      <w:kern w:val="0"/>
                      <w:szCs w:val="21"/>
                    </w:rPr>
                    <w:t>(</w:t>
                  </w:r>
                  <w:r>
                    <w:rPr>
                      <w:b/>
                      <w:bCs/>
                      <w:kern w:val="0"/>
                      <w:szCs w:val="21"/>
                    </w:rPr>
                    <w:t>%</w:t>
                  </w:r>
                  <w:r>
                    <w:rPr>
                      <w:rFonts w:hint="eastAsia"/>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Merge w:val="continue"/>
                  <w:tcBorders>
                    <w:tl2br w:val="nil"/>
                    <w:tr2bl w:val="nil"/>
                  </w:tcBorders>
                  <w:vAlign w:val="center"/>
                </w:tcPr>
                <w:p>
                  <w:pPr>
                    <w:widowControl/>
                    <w:adjustRightInd w:val="0"/>
                    <w:snapToGrid w:val="0"/>
                    <w:ind w:left="-63" w:leftChars="-30" w:right="-63" w:rightChars="-30"/>
                    <w:jc w:val="center"/>
                    <w:rPr>
                      <w:kern w:val="0"/>
                      <w:sz w:val="20"/>
                      <w:szCs w:val="21"/>
                    </w:rPr>
                  </w:pPr>
                </w:p>
              </w:tc>
              <w:tc>
                <w:tcPr>
                  <w:tcW w:w="866" w:type="dxa"/>
                  <w:vMerge w:val="continue"/>
                  <w:tcBorders>
                    <w:tl2br w:val="nil"/>
                    <w:tr2bl w:val="nil"/>
                  </w:tcBorders>
                  <w:vAlign w:val="center"/>
                </w:tcPr>
                <w:p>
                  <w:pPr>
                    <w:widowControl/>
                    <w:adjustRightInd w:val="0"/>
                    <w:snapToGrid w:val="0"/>
                    <w:ind w:left="-63" w:leftChars="-30" w:right="-63" w:rightChars="-30"/>
                    <w:jc w:val="center"/>
                    <w:rPr>
                      <w:kern w:val="0"/>
                      <w:sz w:val="20"/>
                      <w:szCs w:val="21"/>
                    </w:rPr>
                  </w:pPr>
                </w:p>
              </w:tc>
              <w:tc>
                <w:tcPr>
                  <w:tcW w:w="1886" w:type="dxa"/>
                  <w:vMerge w:val="continue"/>
                  <w:tcBorders>
                    <w:tl2br w:val="nil"/>
                    <w:tr2bl w:val="nil"/>
                  </w:tcBorders>
                  <w:vAlign w:val="center"/>
                </w:tcPr>
                <w:p>
                  <w:pPr>
                    <w:widowControl/>
                    <w:adjustRightInd w:val="0"/>
                    <w:snapToGrid w:val="0"/>
                    <w:ind w:left="-63" w:leftChars="-30" w:right="-63" w:rightChars="-30"/>
                    <w:jc w:val="center"/>
                    <w:rPr>
                      <w:kern w:val="0"/>
                      <w:sz w:val="20"/>
                      <w:szCs w:val="21"/>
                    </w:rPr>
                  </w:pPr>
                </w:p>
              </w:tc>
              <w:tc>
                <w:tcPr>
                  <w:tcW w:w="1760" w:type="dxa"/>
                  <w:vMerge w:val="continue"/>
                  <w:tcBorders>
                    <w:tl2br w:val="nil"/>
                    <w:tr2bl w:val="nil"/>
                  </w:tcBorders>
                  <w:vAlign w:val="center"/>
                </w:tcPr>
                <w:p>
                  <w:pPr>
                    <w:widowControl/>
                    <w:adjustRightInd w:val="0"/>
                    <w:snapToGrid w:val="0"/>
                    <w:ind w:left="-63" w:leftChars="-30" w:right="-63" w:rightChars="-30"/>
                    <w:jc w:val="center"/>
                    <w:rPr>
                      <w:kern w:val="0"/>
                      <w:sz w:val="20"/>
                      <w:szCs w:val="21"/>
                    </w:rPr>
                  </w:pPr>
                </w:p>
              </w:tc>
              <w:tc>
                <w:tcPr>
                  <w:tcW w:w="1509" w:type="dxa"/>
                  <w:tcBorders>
                    <w:tl2br w:val="nil"/>
                    <w:tr2bl w:val="nil"/>
                  </w:tcBorders>
                  <w:vAlign w:val="center"/>
                </w:tcPr>
                <w:p>
                  <w:pPr>
                    <w:widowControl/>
                    <w:adjustRightInd w:val="0"/>
                    <w:snapToGrid w:val="0"/>
                    <w:ind w:left="-63" w:leftChars="-30" w:right="-63" w:rightChars="-30"/>
                    <w:jc w:val="center"/>
                    <w:rPr>
                      <w:kern w:val="0"/>
                      <w:sz w:val="20"/>
                      <w:szCs w:val="21"/>
                    </w:rPr>
                  </w:pPr>
                  <w:r>
                    <w:rPr>
                      <w:b/>
                      <w:bCs/>
                      <w:kern w:val="0"/>
                      <w:szCs w:val="21"/>
                    </w:rPr>
                    <w:t>二级</w:t>
                  </w:r>
                </w:p>
              </w:tc>
              <w:tc>
                <w:tcPr>
                  <w:tcW w:w="1076" w:type="dxa"/>
                  <w:vMerge w:val="continue"/>
                  <w:tcBorders>
                    <w:tl2br w:val="nil"/>
                    <w:tr2bl w:val="nil"/>
                  </w:tcBorders>
                  <w:vAlign w:val="center"/>
                </w:tcPr>
                <w:p>
                  <w:pPr>
                    <w:widowControl/>
                    <w:adjustRightInd w:val="0"/>
                    <w:snapToGrid w:val="0"/>
                    <w:ind w:left="-63" w:leftChars="-30" w:right="-63" w:rightChars="-30"/>
                    <w:jc w:val="center"/>
                    <w:rPr>
                      <w:kern w:val="0"/>
                      <w:sz w:val="20"/>
                      <w:szCs w:val="21"/>
                    </w:rPr>
                  </w:pPr>
                </w:p>
              </w:tc>
              <w:tc>
                <w:tcPr>
                  <w:tcW w:w="1163" w:type="dxa"/>
                  <w:vMerge w:val="continue"/>
                  <w:tcBorders>
                    <w:tl2br w:val="nil"/>
                    <w:tr2bl w:val="nil"/>
                  </w:tcBorders>
                  <w:vAlign w:val="center"/>
                </w:tcPr>
                <w:p>
                  <w:pPr>
                    <w:widowControl/>
                    <w:adjustRightInd w:val="0"/>
                    <w:snapToGrid w:val="0"/>
                    <w:ind w:left="-63" w:leftChars="-30" w:right="-63" w:rightChars="-30"/>
                    <w:jc w:val="center"/>
                    <w:rPr>
                      <w:kern w:val="0"/>
                      <w:sz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Merge w:val="restart"/>
                  <w:tcBorders>
                    <w:tl2br w:val="nil"/>
                    <w:tr2bl w:val="nil"/>
                  </w:tcBorders>
                  <w:vAlign w:val="center"/>
                </w:tcPr>
                <w:p>
                  <w:pPr>
                    <w:widowControl/>
                    <w:adjustRightInd w:val="0"/>
                    <w:snapToGrid w:val="0"/>
                    <w:ind w:left="-63" w:leftChars="-30" w:right="-63" w:rightChars="-30"/>
                    <w:jc w:val="center"/>
                    <w:rPr>
                      <w:kern w:val="0"/>
                      <w:sz w:val="20"/>
                      <w:szCs w:val="21"/>
                    </w:rPr>
                  </w:pPr>
                  <w:r>
                    <w:rPr>
                      <w:rFonts w:hint="eastAsia"/>
                      <w:kern w:val="0"/>
                      <w:szCs w:val="21"/>
                    </w:rPr>
                    <w:t>秦汉</w:t>
                  </w:r>
                </w:p>
                <w:p>
                  <w:pPr>
                    <w:widowControl/>
                    <w:adjustRightInd w:val="0"/>
                    <w:snapToGrid w:val="0"/>
                    <w:ind w:left="-63" w:leftChars="-30" w:right="-63" w:rightChars="-30"/>
                    <w:jc w:val="center"/>
                    <w:rPr>
                      <w:kern w:val="0"/>
                      <w:sz w:val="20"/>
                      <w:szCs w:val="21"/>
                    </w:rPr>
                  </w:pPr>
                  <w:r>
                    <w:rPr>
                      <w:rFonts w:hint="eastAsia"/>
                      <w:kern w:val="0"/>
                      <w:szCs w:val="21"/>
                    </w:rPr>
                    <w:t>新城</w:t>
                  </w:r>
                </w:p>
              </w:tc>
              <w:tc>
                <w:tcPr>
                  <w:tcW w:w="866"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PM</w:t>
                  </w:r>
                  <w:r>
                    <w:rPr>
                      <w:kern w:val="0"/>
                      <w:szCs w:val="21"/>
                      <w:vertAlign w:val="subscript"/>
                    </w:rPr>
                    <w:t>10</w:t>
                  </w:r>
                </w:p>
              </w:tc>
              <w:tc>
                <w:tcPr>
                  <w:tcW w:w="1886" w:type="dxa"/>
                  <w:tcBorders>
                    <w:tl2br w:val="nil"/>
                    <w:tr2bl w:val="nil"/>
                  </w:tcBorders>
                  <w:vAlign w:val="center"/>
                </w:tcPr>
                <w:p>
                  <w:pPr>
                    <w:widowControl/>
                    <w:adjustRightInd w:val="0"/>
                    <w:snapToGrid w:val="0"/>
                    <w:ind w:left="-63" w:leftChars="-30" w:right="-63" w:rightChars="-30"/>
                    <w:jc w:val="center"/>
                    <w:rPr>
                      <w:kern w:val="0"/>
                      <w:sz w:val="20"/>
                      <w:szCs w:val="21"/>
                    </w:rPr>
                  </w:pPr>
                  <w:r>
                    <w:rPr>
                      <w:rFonts w:hint="eastAsia"/>
                      <w:kern w:val="0"/>
                      <w:szCs w:val="21"/>
                    </w:rPr>
                    <w:t>97</w:t>
                  </w:r>
                  <w:r>
                    <w:rPr>
                      <w:kern w:val="0"/>
                      <w:szCs w:val="21"/>
                    </w:rPr>
                    <w:t>µg/m</w:t>
                  </w:r>
                  <w:r>
                    <w:rPr>
                      <w:kern w:val="0"/>
                      <w:szCs w:val="21"/>
                      <w:vertAlign w:val="superscript"/>
                    </w:rPr>
                    <w:t>3</w:t>
                  </w:r>
                </w:p>
              </w:tc>
              <w:tc>
                <w:tcPr>
                  <w:tcW w:w="1760"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年均值</w:t>
                  </w:r>
                </w:p>
              </w:tc>
              <w:tc>
                <w:tcPr>
                  <w:tcW w:w="1509"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70µg/m</w:t>
                  </w:r>
                  <w:r>
                    <w:rPr>
                      <w:kern w:val="0"/>
                      <w:szCs w:val="21"/>
                      <w:vertAlign w:val="superscript"/>
                    </w:rPr>
                    <w:t>3</w:t>
                  </w:r>
                </w:p>
              </w:tc>
              <w:tc>
                <w:tcPr>
                  <w:tcW w:w="1076"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超标</w:t>
                  </w:r>
                </w:p>
              </w:tc>
              <w:tc>
                <w:tcPr>
                  <w:tcW w:w="1163" w:type="dxa"/>
                  <w:tcBorders>
                    <w:tl2br w:val="nil"/>
                    <w:tr2bl w:val="nil"/>
                  </w:tcBorders>
                  <w:vAlign w:val="center"/>
                </w:tcPr>
                <w:p>
                  <w:pPr>
                    <w:widowControl/>
                    <w:adjustRightInd w:val="0"/>
                    <w:snapToGrid w:val="0"/>
                    <w:ind w:left="-63" w:leftChars="-30" w:right="-63" w:rightChars="-30"/>
                    <w:jc w:val="center"/>
                    <w:textAlignment w:val="center"/>
                    <w:rPr>
                      <w:kern w:val="0"/>
                      <w:sz w:val="20"/>
                      <w:szCs w:val="21"/>
                    </w:rPr>
                  </w:pPr>
                  <w:r>
                    <w:rPr>
                      <w:rFonts w:hint="eastAsia"/>
                      <w:kern w:val="0"/>
                      <w:szCs w:val="21"/>
                      <w:lang w:bidi="ar"/>
                    </w:rPr>
                    <w:t>138.6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Merge w:val="continue"/>
                  <w:tcBorders>
                    <w:tl2br w:val="nil"/>
                    <w:tr2bl w:val="nil"/>
                  </w:tcBorders>
                  <w:vAlign w:val="center"/>
                </w:tcPr>
                <w:p>
                  <w:pPr>
                    <w:widowControl/>
                    <w:adjustRightInd w:val="0"/>
                    <w:snapToGrid w:val="0"/>
                    <w:ind w:left="-63" w:leftChars="-30" w:right="-63" w:rightChars="-30"/>
                    <w:jc w:val="center"/>
                    <w:rPr>
                      <w:kern w:val="0"/>
                      <w:sz w:val="20"/>
                      <w:szCs w:val="21"/>
                    </w:rPr>
                  </w:pPr>
                </w:p>
              </w:tc>
              <w:tc>
                <w:tcPr>
                  <w:tcW w:w="866"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PM</w:t>
                  </w:r>
                  <w:r>
                    <w:rPr>
                      <w:kern w:val="0"/>
                      <w:szCs w:val="21"/>
                      <w:vertAlign w:val="subscript"/>
                    </w:rPr>
                    <w:t>2.5</w:t>
                  </w:r>
                </w:p>
              </w:tc>
              <w:tc>
                <w:tcPr>
                  <w:tcW w:w="1886" w:type="dxa"/>
                  <w:tcBorders>
                    <w:tl2br w:val="nil"/>
                    <w:tr2bl w:val="nil"/>
                  </w:tcBorders>
                  <w:vAlign w:val="center"/>
                </w:tcPr>
                <w:p>
                  <w:pPr>
                    <w:widowControl/>
                    <w:adjustRightInd w:val="0"/>
                    <w:snapToGrid w:val="0"/>
                    <w:ind w:left="-63" w:leftChars="-30" w:right="-63" w:rightChars="-30"/>
                    <w:jc w:val="center"/>
                    <w:rPr>
                      <w:kern w:val="0"/>
                      <w:sz w:val="20"/>
                      <w:szCs w:val="21"/>
                    </w:rPr>
                  </w:pPr>
                  <w:r>
                    <w:rPr>
                      <w:rFonts w:hint="eastAsia"/>
                      <w:kern w:val="0"/>
                      <w:szCs w:val="21"/>
                    </w:rPr>
                    <w:t>60</w:t>
                  </w:r>
                  <w:r>
                    <w:rPr>
                      <w:kern w:val="0"/>
                      <w:szCs w:val="21"/>
                    </w:rPr>
                    <w:t>µg/m</w:t>
                  </w:r>
                  <w:r>
                    <w:rPr>
                      <w:kern w:val="0"/>
                      <w:szCs w:val="21"/>
                      <w:vertAlign w:val="superscript"/>
                    </w:rPr>
                    <w:t>3</w:t>
                  </w:r>
                </w:p>
              </w:tc>
              <w:tc>
                <w:tcPr>
                  <w:tcW w:w="1760"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年均值</w:t>
                  </w:r>
                </w:p>
              </w:tc>
              <w:tc>
                <w:tcPr>
                  <w:tcW w:w="1509"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35µg/m</w:t>
                  </w:r>
                  <w:r>
                    <w:rPr>
                      <w:kern w:val="0"/>
                      <w:szCs w:val="21"/>
                      <w:vertAlign w:val="superscript"/>
                    </w:rPr>
                    <w:t>3</w:t>
                  </w:r>
                </w:p>
              </w:tc>
              <w:tc>
                <w:tcPr>
                  <w:tcW w:w="1076"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超标</w:t>
                  </w:r>
                </w:p>
              </w:tc>
              <w:tc>
                <w:tcPr>
                  <w:tcW w:w="1163" w:type="dxa"/>
                  <w:tcBorders>
                    <w:tl2br w:val="nil"/>
                    <w:tr2bl w:val="nil"/>
                  </w:tcBorders>
                  <w:vAlign w:val="center"/>
                </w:tcPr>
                <w:p>
                  <w:pPr>
                    <w:widowControl/>
                    <w:adjustRightInd w:val="0"/>
                    <w:snapToGrid w:val="0"/>
                    <w:ind w:left="-63" w:leftChars="-30" w:right="-63" w:rightChars="-30"/>
                    <w:jc w:val="center"/>
                    <w:textAlignment w:val="center"/>
                    <w:rPr>
                      <w:kern w:val="0"/>
                      <w:sz w:val="20"/>
                      <w:szCs w:val="21"/>
                    </w:rPr>
                  </w:pPr>
                  <w:r>
                    <w:rPr>
                      <w:rFonts w:hint="eastAsia"/>
                      <w:kern w:val="0"/>
                      <w:szCs w:val="21"/>
                      <w:lang w:bidi="ar"/>
                    </w:rPr>
                    <w:t>171.4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Merge w:val="continue"/>
                  <w:tcBorders>
                    <w:tl2br w:val="nil"/>
                    <w:tr2bl w:val="nil"/>
                  </w:tcBorders>
                  <w:vAlign w:val="center"/>
                </w:tcPr>
                <w:p>
                  <w:pPr>
                    <w:widowControl/>
                    <w:adjustRightInd w:val="0"/>
                    <w:snapToGrid w:val="0"/>
                    <w:ind w:left="-63" w:leftChars="-30" w:right="-63" w:rightChars="-30"/>
                    <w:jc w:val="center"/>
                    <w:rPr>
                      <w:kern w:val="0"/>
                      <w:sz w:val="20"/>
                      <w:szCs w:val="21"/>
                    </w:rPr>
                  </w:pPr>
                </w:p>
              </w:tc>
              <w:tc>
                <w:tcPr>
                  <w:tcW w:w="866"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SO</w:t>
                  </w:r>
                  <w:r>
                    <w:rPr>
                      <w:kern w:val="0"/>
                      <w:szCs w:val="21"/>
                      <w:vertAlign w:val="subscript"/>
                    </w:rPr>
                    <w:t>2</w:t>
                  </w:r>
                </w:p>
              </w:tc>
              <w:tc>
                <w:tcPr>
                  <w:tcW w:w="1886" w:type="dxa"/>
                  <w:tcBorders>
                    <w:tl2br w:val="nil"/>
                    <w:tr2bl w:val="nil"/>
                  </w:tcBorders>
                  <w:vAlign w:val="center"/>
                </w:tcPr>
                <w:p>
                  <w:pPr>
                    <w:widowControl/>
                    <w:adjustRightInd w:val="0"/>
                    <w:snapToGrid w:val="0"/>
                    <w:ind w:left="-63" w:leftChars="-30" w:right="-63" w:rightChars="-30"/>
                    <w:jc w:val="center"/>
                    <w:rPr>
                      <w:kern w:val="0"/>
                      <w:sz w:val="20"/>
                      <w:szCs w:val="21"/>
                    </w:rPr>
                  </w:pPr>
                  <w:r>
                    <w:rPr>
                      <w:rFonts w:hint="eastAsia"/>
                      <w:kern w:val="0"/>
                      <w:szCs w:val="21"/>
                    </w:rPr>
                    <w:t>8</w:t>
                  </w:r>
                  <w:r>
                    <w:rPr>
                      <w:kern w:val="0"/>
                      <w:szCs w:val="21"/>
                    </w:rPr>
                    <w:t>µg/m</w:t>
                  </w:r>
                  <w:r>
                    <w:rPr>
                      <w:kern w:val="0"/>
                      <w:szCs w:val="21"/>
                      <w:vertAlign w:val="superscript"/>
                    </w:rPr>
                    <w:t>3</w:t>
                  </w:r>
                </w:p>
              </w:tc>
              <w:tc>
                <w:tcPr>
                  <w:tcW w:w="1760"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年均值</w:t>
                  </w:r>
                </w:p>
              </w:tc>
              <w:tc>
                <w:tcPr>
                  <w:tcW w:w="1509" w:type="dxa"/>
                  <w:tcBorders>
                    <w:tl2br w:val="nil"/>
                    <w:tr2bl w:val="nil"/>
                  </w:tcBorders>
                  <w:vAlign w:val="center"/>
                </w:tcPr>
                <w:p>
                  <w:pPr>
                    <w:widowControl/>
                    <w:adjustRightInd w:val="0"/>
                    <w:snapToGrid w:val="0"/>
                    <w:ind w:left="-63" w:leftChars="-30" w:right="-63" w:rightChars="-30"/>
                    <w:jc w:val="center"/>
                    <w:rPr>
                      <w:kern w:val="0"/>
                      <w:sz w:val="20"/>
                      <w:szCs w:val="21"/>
                      <w:highlight w:val="yellow"/>
                    </w:rPr>
                  </w:pPr>
                  <w:r>
                    <w:rPr>
                      <w:kern w:val="0"/>
                      <w:szCs w:val="21"/>
                    </w:rPr>
                    <w:t>60µg/m</w:t>
                  </w:r>
                  <w:r>
                    <w:rPr>
                      <w:kern w:val="0"/>
                      <w:szCs w:val="21"/>
                      <w:vertAlign w:val="superscript"/>
                    </w:rPr>
                    <w:t>3</w:t>
                  </w:r>
                </w:p>
              </w:tc>
              <w:tc>
                <w:tcPr>
                  <w:tcW w:w="1076"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达标</w:t>
                  </w:r>
                </w:p>
              </w:tc>
              <w:tc>
                <w:tcPr>
                  <w:tcW w:w="1163" w:type="dxa"/>
                  <w:tcBorders>
                    <w:tl2br w:val="nil"/>
                    <w:tr2bl w:val="nil"/>
                  </w:tcBorders>
                  <w:vAlign w:val="center"/>
                </w:tcPr>
                <w:p>
                  <w:pPr>
                    <w:widowControl/>
                    <w:adjustRightInd w:val="0"/>
                    <w:snapToGrid w:val="0"/>
                    <w:ind w:left="-63" w:leftChars="-30" w:right="-63" w:rightChars="-30"/>
                    <w:jc w:val="center"/>
                    <w:textAlignment w:val="center"/>
                    <w:rPr>
                      <w:kern w:val="0"/>
                      <w:sz w:val="20"/>
                      <w:szCs w:val="21"/>
                    </w:rPr>
                  </w:pPr>
                  <w:r>
                    <w:rPr>
                      <w:rFonts w:hint="eastAsia"/>
                      <w:kern w:val="0"/>
                      <w:szCs w:val="21"/>
                      <w:lang w:bidi="ar"/>
                    </w:rPr>
                    <w:t>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Merge w:val="continue"/>
                  <w:tcBorders>
                    <w:tl2br w:val="nil"/>
                    <w:tr2bl w:val="nil"/>
                  </w:tcBorders>
                  <w:vAlign w:val="center"/>
                </w:tcPr>
                <w:p>
                  <w:pPr>
                    <w:widowControl/>
                    <w:adjustRightInd w:val="0"/>
                    <w:snapToGrid w:val="0"/>
                    <w:ind w:left="-63" w:leftChars="-30" w:right="-63" w:rightChars="-30"/>
                    <w:jc w:val="center"/>
                    <w:rPr>
                      <w:kern w:val="0"/>
                      <w:sz w:val="20"/>
                      <w:szCs w:val="21"/>
                    </w:rPr>
                  </w:pPr>
                </w:p>
              </w:tc>
              <w:tc>
                <w:tcPr>
                  <w:tcW w:w="866"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NO</w:t>
                  </w:r>
                  <w:r>
                    <w:rPr>
                      <w:kern w:val="0"/>
                      <w:szCs w:val="21"/>
                      <w:vertAlign w:val="subscript"/>
                    </w:rPr>
                    <w:t>2</w:t>
                  </w:r>
                </w:p>
              </w:tc>
              <w:tc>
                <w:tcPr>
                  <w:tcW w:w="1886" w:type="dxa"/>
                  <w:tcBorders>
                    <w:tl2br w:val="nil"/>
                    <w:tr2bl w:val="nil"/>
                  </w:tcBorders>
                  <w:vAlign w:val="center"/>
                </w:tcPr>
                <w:p>
                  <w:pPr>
                    <w:widowControl/>
                    <w:adjustRightInd w:val="0"/>
                    <w:snapToGrid w:val="0"/>
                    <w:ind w:left="-63" w:leftChars="-30" w:right="-63" w:rightChars="-30"/>
                    <w:jc w:val="center"/>
                    <w:rPr>
                      <w:kern w:val="0"/>
                      <w:sz w:val="20"/>
                      <w:szCs w:val="21"/>
                    </w:rPr>
                  </w:pPr>
                  <w:r>
                    <w:rPr>
                      <w:rFonts w:hint="eastAsia"/>
                      <w:kern w:val="0"/>
                      <w:szCs w:val="21"/>
                    </w:rPr>
                    <w:t>42</w:t>
                  </w:r>
                  <w:r>
                    <w:rPr>
                      <w:kern w:val="0"/>
                      <w:szCs w:val="21"/>
                    </w:rPr>
                    <w:t>µg/m</w:t>
                  </w:r>
                  <w:r>
                    <w:rPr>
                      <w:kern w:val="0"/>
                      <w:szCs w:val="21"/>
                      <w:vertAlign w:val="superscript"/>
                    </w:rPr>
                    <w:t>3</w:t>
                  </w:r>
                </w:p>
              </w:tc>
              <w:tc>
                <w:tcPr>
                  <w:tcW w:w="1760"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年均值</w:t>
                  </w:r>
                </w:p>
              </w:tc>
              <w:tc>
                <w:tcPr>
                  <w:tcW w:w="1509"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40µg/m</w:t>
                  </w:r>
                  <w:r>
                    <w:rPr>
                      <w:kern w:val="0"/>
                      <w:szCs w:val="21"/>
                      <w:vertAlign w:val="superscript"/>
                    </w:rPr>
                    <w:t>3</w:t>
                  </w:r>
                </w:p>
              </w:tc>
              <w:tc>
                <w:tcPr>
                  <w:tcW w:w="1076" w:type="dxa"/>
                  <w:tcBorders>
                    <w:tl2br w:val="nil"/>
                    <w:tr2bl w:val="nil"/>
                  </w:tcBorders>
                  <w:vAlign w:val="center"/>
                </w:tcPr>
                <w:p>
                  <w:pPr>
                    <w:widowControl/>
                    <w:adjustRightInd w:val="0"/>
                    <w:snapToGrid w:val="0"/>
                    <w:ind w:left="-63" w:leftChars="-30" w:right="-63" w:rightChars="-30"/>
                    <w:jc w:val="center"/>
                    <w:rPr>
                      <w:kern w:val="0"/>
                      <w:sz w:val="20"/>
                      <w:szCs w:val="21"/>
                    </w:rPr>
                  </w:pPr>
                  <w:r>
                    <w:rPr>
                      <w:rFonts w:hint="eastAsia"/>
                      <w:kern w:val="0"/>
                      <w:szCs w:val="21"/>
                    </w:rPr>
                    <w:t>超</w:t>
                  </w:r>
                  <w:r>
                    <w:rPr>
                      <w:kern w:val="0"/>
                      <w:szCs w:val="21"/>
                    </w:rPr>
                    <w:t>标</w:t>
                  </w:r>
                </w:p>
              </w:tc>
              <w:tc>
                <w:tcPr>
                  <w:tcW w:w="1163" w:type="dxa"/>
                  <w:tcBorders>
                    <w:tl2br w:val="nil"/>
                    <w:tr2bl w:val="nil"/>
                  </w:tcBorders>
                  <w:vAlign w:val="center"/>
                </w:tcPr>
                <w:p>
                  <w:pPr>
                    <w:widowControl/>
                    <w:adjustRightInd w:val="0"/>
                    <w:snapToGrid w:val="0"/>
                    <w:ind w:left="-63" w:leftChars="-30" w:right="-63" w:rightChars="-30"/>
                    <w:jc w:val="center"/>
                    <w:textAlignment w:val="center"/>
                    <w:rPr>
                      <w:kern w:val="0"/>
                      <w:sz w:val="20"/>
                      <w:szCs w:val="21"/>
                    </w:rPr>
                  </w:pPr>
                  <w:r>
                    <w:rPr>
                      <w:rFonts w:hint="eastAsia"/>
                      <w:kern w:val="0"/>
                      <w:szCs w:val="21"/>
                      <w:lang w:bidi="ar"/>
                    </w:rPr>
                    <w:t>105.0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Merge w:val="continue"/>
                  <w:tcBorders>
                    <w:tl2br w:val="nil"/>
                    <w:tr2bl w:val="nil"/>
                  </w:tcBorders>
                  <w:vAlign w:val="center"/>
                </w:tcPr>
                <w:p>
                  <w:pPr>
                    <w:widowControl/>
                    <w:adjustRightInd w:val="0"/>
                    <w:snapToGrid w:val="0"/>
                    <w:ind w:left="-63" w:leftChars="-30" w:right="-63" w:rightChars="-30"/>
                    <w:jc w:val="center"/>
                    <w:rPr>
                      <w:kern w:val="0"/>
                      <w:sz w:val="20"/>
                      <w:szCs w:val="21"/>
                    </w:rPr>
                  </w:pPr>
                </w:p>
              </w:tc>
              <w:tc>
                <w:tcPr>
                  <w:tcW w:w="866"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CO</w:t>
                  </w:r>
                </w:p>
              </w:tc>
              <w:tc>
                <w:tcPr>
                  <w:tcW w:w="1886" w:type="dxa"/>
                  <w:tcBorders>
                    <w:tl2br w:val="nil"/>
                    <w:tr2bl w:val="nil"/>
                  </w:tcBorders>
                  <w:vAlign w:val="center"/>
                </w:tcPr>
                <w:p>
                  <w:pPr>
                    <w:widowControl/>
                    <w:adjustRightInd w:val="0"/>
                    <w:snapToGrid w:val="0"/>
                    <w:ind w:left="-63" w:leftChars="-30" w:right="-63" w:rightChars="-30"/>
                    <w:jc w:val="center"/>
                    <w:rPr>
                      <w:kern w:val="0"/>
                      <w:sz w:val="20"/>
                      <w:szCs w:val="21"/>
                      <w:vertAlign w:val="superscript"/>
                    </w:rPr>
                  </w:pPr>
                  <w:r>
                    <w:rPr>
                      <w:rFonts w:hint="eastAsia"/>
                      <w:kern w:val="0"/>
                      <w:szCs w:val="21"/>
                    </w:rPr>
                    <w:t>1.5</w:t>
                  </w:r>
                  <w:r>
                    <w:rPr>
                      <w:kern w:val="0"/>
                      <w:szCs w:val="21"/>
                    </w:rPr>
                    <w:t>mg/m</w:t>
                  </w:r>
                  <w:r>
                    <w:rPr>
                      <w:kern w:val="0"/>
                      <w:szCs w:val="21"/>
                      <w:vertAlign w:val="superscript"/>
                    </w:rPr>
                    <w:t>3</w:t>
                  </w:r>
                </w:p>
                <w:p>
                  <w:pPr>
                    <w:widowControl/>
                    <w:adjustRightInd w:val="0"/>
                    <w:snapToGrid w:val="0"/>
                    <w:ind w:left="-63" w:leftChars="-30" w:right="-63" w:rightChars="-30"/>
                    <w:jc w:val="center"/>
                    <w:rPr>
                      <w:kern w:val="0"/>
                      <w:sz w:val="20"/>
                      <w:szCs w:val="21"/>
                    </w:rPr>
                  </w:pPr>
                  <w:r>
                    <w:rPr>
                      <w:rFonts w:hint="eastAsia"/>
                      <w:kern w:val="0"/>
                      <w:szCs w:val="21"/>
                    </w:rPr>
                    <w:t>(</w:t>
                  </w:r>
                  <w:r>
                    <w:rPr>
                      <w:kern w:val="0"/>
                      <w:szCs w:val="21"/>
                    </w:rPr>
                    <w:t>95位百分浓度</w:t>
                  </w:r>
                  <w:r>
                    <w:rPr>
                      <w:rFonts w:hint="eastAsia"/>
                      <w:kern w:val="0"/>
                      <w:szCs w:val="21"/>
                    </w:rPr>
                    <w:t>)</w:t>
                  </w:r>
                </w:p>
              </w:tc>
              <w:tc>
                <w:tcPr>
                  <w:tcW w:w="1760"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24小时平均</w:t>
                  </w:r>
                </w:p>
              </w:tc>
              <w:tc>
                <w:tcPr>
                  <w:tcW w:w="1509"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4mg/m</w:t>
                  </w:r>
                  <w:r>
                    <w:rPr>
                      <w:kern w:val="0"/>
                      <w:szCs w:val="21"/>
                      <w:vertAlign w:val="superscript"/>
                    </w:rPr>
                    <w:t>3</w:t>
                  </w:r>
                </w:p>
              </w:tc>
              <w:tc>
                <w:tcPr>
                  <w:tcW w:w="1076"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达标</w:t>
                  </w:r>
                </w:p>
              </w:tc>
              <w:tc>
                <w:tcPr>
                  <w:tcW w:w="1163" w:type="dxa"/>
                  <w:tcBorders>
                    <w:tl2br w:val="nil"/>
                    <w:tr2bl w:val="nil"/>
                  </w:tcBorders>
                  <w:vAlign w:val="center"/>
                </w:tcPr>
                <w:p>
                  <w:pPr>
                    <w:widowControl/>
                    <w:adjustRightInd w:val="0"/>
                    <w:snapToGrid w:val="0"/>
                    <w:ind w:left="-63" w:leftChars="-30" w:right="-63" w:rightChars="-30"/>
                    <w:jc w:val="center"/>
                    <w:textAlignment w:val="center"/>
                    <w:rPr>
                      <w:kern w:val="0"/>
                      <w:sz w:val="20"/>
                      <w:szCs w:val="21"/>
                    </w:rPr>
                  </w:pPr>
                  <w:r>
                    <w:rPr>
                      <w:rFonts w:hint="eastAsia"/>
                      <w:kern w:val="0"/>
                      <w:szCs w:val="21"/>
                      <w:lang w:bidi="ar"/>
                    </w:rPr>
                    <w:t>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Merge w:val="continue"/>
                  <w:tcBorders>
                    <w:tl2br w:val="nil"/>
                    <w:tr2bl w:val="nil"/>
                  </w:tcBorders>
                  <w:vAlign w:val="center"/>
                </w:tcPr>
                <w:p>
                  <w:pPr>
                    <w:widowControl/>
                    <w:adjustRightInd w:val="0"/>
                    <w:snapToGrid w:val="0"/>
                    <w:ind w:left="-63" w:leftChars="-30" w:right="-63" w:rightChars="-30"/>
                    <w:jc w:val="center"/>
                    <w:rPr>
                      <w:kern w:val="0"/>
                      <w:sz w:val="20"/>
                      <w:szCs w:val="21"/>
                    </w:rPr>
                  </w:pPr>
                </w:p>
              </w:tc>
              <w:tc>
                <w:tcPr>
                  <w:tcW w:w="866"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O</w:t>
                  </w:r>
                  <w:r>
                    <w:rPr>
                      <w:kern w:val="0"/>
                      <w:szCs w:val="21"/>
                      <w:vertAlign w:val="subscript"/>
                    </w:rPr>
                    <w:t>3</w:t>
                  </w:r>
                </w:p>
              </w:tc>
              <w:tc>
                <w:tcPr>
                  <w:tcW w:w="1886" w:type="dxa"/>
                  <w:tcBorders>
                    <w:tl2br w:val="nil"/>
                    <w:tr2bl w:val="nil"/>
                  </w:tcBorders>
                  <w:vAlign w:val="center"/>
                </w:tcPr>
                <w:p>
                  <w:pPr>
                    <w:widowControl/>
                    <w:adjustRightInd w:val="0"/>
                    <w:snapToGrid w:val="0"/>
                    <w:ind w:left="-63" w:leftChars="-30" w:right="-63" w:rightChars="-30"/>
                    <w:jc w:val="center"/>
                    <w:rPr>
                      <w:kern w:val="0"/>
                      <w:sz w:val="20"/>
                      <w:szCs w:val="21"/>
                      <w:vertAlign w:val="superscript"/>
                    </w:rPr>
                  </w:pPr>
                  <w:r>
                    <w:rPr>
                      <w:rFonts w:hint="eastAsia"/>
                      <w:kern w:val="0"/>
                      <w:szCs w:val="21"/>
                    </w:rPr>
                    <w:t>158</w:t>
                  </w:r>
                  <w:r>
                    <w:rPr>
                      <w:kern w:val="0"/>
                      <w:szCs w:val="21"/>
                    </w:rPr>
                    <w:t>µg/m</w:t>
                  </w:r>
                  <w:r>
                    <w:rPr>
                      <w:kern w:val="0"/>
                      <w:szCs w:val="21"/>
                      <w:vertAlign w:val="superscript"/>
                    </w:rPr>
                    <w:t>3</w:t>
                  </w:r>
                </w:p>
                <w:p>
                  <w:pPr>
                    <w:widowControl/>
                    <w:adjustRightInd w:val="0"/>
                    <w:snapToGrid w:val="0"/>
                    <w:ind w:left="-63" w:leftChars="-30" w:right="-63" w:rightChars="-30"/>
                    <w:jc w:val="center"/>
                    <w:rPr>
                      <w:kern w:val="0"/>
                      <w:sz w:val="20"/>
                      <w:szCs w:val="21"/>
                    </w:rPr>
                  </w:pPr>
                  <w:r>
                    <w:rPr>
                      <w:rFonts w:hint="eastAsia"/>
                      <w:kern w:val="0"/>
                      <w:szCs w:val="21"/>
                    </w:rPr>
                    <w:t>(</w:t>
                  </w:r>
                  <w:r>
                    <w:rPr>
                      <w:kern w:val="0"/>
                      <w:szCs w:val="21"/>
                    </w:rPr>
                    <w:t>90位百分浓度</w:t>
                  </w:r>
                  <w:r>
                    <w:rPr>
                      <w:rFonts w:hint="eastAsia"/>
                      <w:kern w:val="0"/>
                      <w:szCs w:val="21"/>
                    </w:rPr>
                    <w:t>)</w:t>
                  </w:r>
                </w:p>
              </w:tc>
              <w:tc>
                <w:tcPr>
                  <w:tcW w:w="1760"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日最大8小时平均</w:t>
                  </w:r>
                </w:p>
              </w:tc>
              <w:tc>
                <w:tcPr>
                  <w:tcW w:w="1509"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160µg/m</w:t>
                  </w:r>
                  <w:r>
                    <w:rPr>
                      <w:kern w:val="0"/>
                      <w:szCs w:val="21"/>
                      <w:vertAlign w:val="superscript"/>
                    </w:rPr>
                    <w:t>3</w:t>
                  </w:r>
                </w:p>
              </w:tc>
              <w:tc>
                <w:tcPr>
                  <w:tcW w:w="1076" w:type="dxa"/>
                  <w:tcBorders>
                    <w:tl2br w:val="nil"/>
                    <w:tr2bl w:val="nil"/>
                  </w:tcBorders>
                  <w:vAlign w:val="center"/>
                </w:tcPr>
                <w:p>
                  <w:pPr>
                    <w:widowControl/>
                    <w:adjustRightInd w:val="0"/>
                    <w:snapToGrid w:val="0"/>
                    <w:ind w:left="-63" w:leftChars="-30" w:right="-63" w:rightChars="-30"/>
                    <w:jc w:val="center"/>
                    <w:rPr>
                      <w:kern w:val="0"/>
                      <w:sz w:val="20"/>
                      <w:szCs w:val="21"/>
                    </w:rPr>
                  </w:pPr>
                  <w:r>
                    <w:rPr>
                      <w:kern w:val="0"/>
                      <w:szCs w:val="21"/>
                    </w:rPr>
                    <w:t>达标</w:t>
                  </w:r>
                </w:p>
              </w:tc>
              <w:tc>
                <w:tcPr>
                  <w:tcW w:w="1163" w:type="dxa"/>
                  <w:tcBorders>
                    <w:tl2br w:val="nil"/>
                    <w:tr2bl w:val="nil"/>
                  </w:tcBorders>
                  <w:vAlign w:val="center"/>
                </w:tcPr>
                <w:p>
                  <w:pPr>
                    <w:widowControl/>
                    <w:adjustRightInd w:val="0"/>
                    <w:snapToGrid w:val="0"/>
                    <w:ind w:left="-63" w:leftChars="-30" w:right="-63" w:rightChars="-30"/>
                    <w:jc w:val="center"/>
                    <w:textAlignment w:val="center"/>
                    <w:rPr>
                      <w:kern w:val="0"/>
                      <w:sz w:val="20"/>
                      <w:szCs w:val="21"/>
                    </w:rPr>
                  </w:pPr>
                  <w:r>
                    <w:rPr>
                      <w:rFonts w:hint="eastAsia"/>
                      <w:kern w:val="0"/>
                      <w:szCs w:val="21"/>
                      <w:lang w:bidi="ar"/>
                    </w:rPr>
                    <w:t>98.8</w:t>
                  </w:r>
                </w:p>
              </w:tc>
            </w:tr>
          </w:tbl>
          <w:p>
            <w:pPr>
              <w:adjustRightInd w:val="0"/>
              <w:snapToGrid w:val="0"/>
              <w:spacing w:line="360" w:lineRule="auto"/>
              <w:ind w:firstLine="480" w:firstLineChars="200"/>
              <w:rPr>
                <w:kern w:val="0"/>
                <w:sz w:val="24"/>
              </w:rPr>
            </w:pPr>
            <w:r>
              <w:rPr>
                <w:kern w:val="0"/>
                <w:sz w:val="24"/>
              </w:rPr>
              <w:t>从表中可以看出，项目所在区域SO</w:t>
            </w:r>
            <w:r>
              <w:rPr>
                <w:kern w:val="0"/>
                <w:sz w:val="24"/>
                <w:vertAlign w:val="subscript"/>
              </w:rPr>
              <w:t>2</w:t>
            </w:r>
            <w:r>
              <w:rPr>
                <w:kern w:val="0"/>
                <w:sz w:val="24"/>
              </w:rPr>
              <w:t>、CO、O</w:t>
            </w:r>
            <w:r>
              <w:rPr>
                <w:kern w:val="0"/>
                <w:sz w:val="24"/>
                <w:vertAlign w:val="subscript"/>
              </w:rPr>
              <w:t>3</w:t>
            </w:r>
            <w:r>
              <w:rPr>
                <w:kern w:val="0"/>
                <w:sz w:val="24"/>
              </w:rPr>
              <w:t>均满足《环境空气质量标准》</w:t>
            </w:r>
            <w:r>
              <w:rPr>
                <w:rFonts w:hint="eastAsia"/>
                <w:kern w:val="0"/>
                <w:sz w:val="24"/>
              </w:rPr>
              <w:t>(</w:t>
            </w:r>
            <w:r>
              <w:rPr>
                <w:kern w:val="0"/>
                <w:sz w:val="24"/>
              </w:rPr>
              <w:t>GB 3095-2012</w:t>
            </w:r>
            <w:r>
              <w:rPr>
                <w:rFonts w:hint="eastAsia"/>
                <w:kern w:val="0"/>
                <w:sz w:val="24"/>
              </w:rPr>
              <w:t>)</w:t>
            </w:r>
            <w:r>
              <w:rPr>
                <w:kern w:val="0"/>
                <w:sz w:val="24"/>
              </w:rPr>
              <w:t>二类区标准要求，PM</w:t>
            </w:r>
            <w:r>
              <w:rPr>
                <w:kern w:val="0"/>
                <w:sz w:val="24"/>
                <w:vertAlign w:val="subscript"/>
              </w:rPr>
              <w:t>10</w:t>
            </w:r>
            <w:r>
              <w:rPr>
                <w:kern w:val="0"/>
                <w:sz w:val="24"/>
              </w:rPr>
              <w:t>、PM</w:t>
            </w:r>
            <w:r>
              <w:rPr>
                <w:kern w:val="0"/>
                <w:sz w:val="24"/>
                <w:vertAlign w:val="subscript"/>
              </w:rPr>
              <w:t>2.5</w:t>
            </w:r>
            <w:r>
              <w:rPr>
                <w:kern w:val="0"/>
                <w:sz w:val="24"/>
              </w:rPr>
              <w:t>、NO</w:t>
            </w:r>
            <w:r>
              <w:rPr>
                <w:kern w:val="0"/>
                <w:sz w:val="24"/>
                <w:vertAlign w:val="subscript"/>
              </w:rPr>
              <w:t>2</w:t>
            </w:r>
            <w:r>
              <w:rPr>
                <w:kern w:val="0"/>
                <w:sz w:val="24"/>
              </w:rPr>
              <w:t>均超过《环境空气质量标准》</w:t>
            </w:r>
            <w:r>
              <w:rPr>
                <w:rFonts w:hint="eastAsia"/>
                <w:kern w:val="0"/>
                <w:sz w:val="24"/>
              </w:rPr>
              <w:t>(</w:t>
            </w:r>
            <w:r>
              <w:rPr>
                <w:kern w:val="0"/>
                <w:sz w:val="24"/>
              </w:rPr>
              <w:t>GB 3095-2012</w:t>
            </w:r>
            <w:r>
              <w:rPr>
                <w:rFonts w:hint="eastAsia"/>
                <w:kern w:val="0"/>
                <w:sz w:val="24"/>
              </w:rPr>
              <w:t>)</w:t>
            </w:r>
            <w:r>
              <w:rPr>
                <w:kern w:val="0"/>
                <w:sz w:val="24"/>
              </w:rPr>
              <w:t>二类区标准要求</w:t>
            </w:r>
            <w:r>
              <w:rPr>
                <w:rFonts w:hint="eastAsia"/>
                <w:kern w:val="0"/>
                <w:sz w:val="24"/>
              </w:rPr>
              <w:t>，因此项目所在区域属于不达标区</w:t>
            </w:r>
            <w:r>
              <w:rPr>
                <w:kern w:val="0"/>
                <w:sz w:val="24"/>
              </w:rPr>
              <w:t>。</w:t>
            </w:r>
          </w:p>
          <w:p>
            <w:pPr>
              <w:pStyle w:val="7"/>
              <w:adjustRightInd w:val="0"/>
              <w:snapToGrid w:val="0"/>
              <w:spacing w:after="0" w:line="360" w:lineRule="auto"/>
              <w:ind w:firstLine="480" w:firstLineChars="200"/>
              <w:rPr>
                <w:sz w:val="24"/>
              </w:rPr>
            </w:pPr>
            <w:r>
              <w:rPr>
                <w:rFonts w:hint="eastAsia"/>
                <w:kern w:val="0"/>
                <w:sz w:val="24"/>
              </w:rPr>
              <w:t>秦汉新城</w:t>
            </w:r>
            <w:r>
              <w:rPr>
                <w:kern w:val="0"/>
                <w:sz w:val="24"/>
              </w:rPr>
              <w:t>应积极响应《陕西省铁腕治霾打赢蓝天保卫战三年行动方案</w:t>
            </w:r>
            <w:r>
              <w:rPr>
                <w:rFonts w:hint="eastAsia"/>
                <w:kern w:val="0"/>
                <w:sz w:val="24"/>
              </w:rPr>
              <w:t>(</w:t>
            </w:r>
            <w:r>
              <w:rPr>
                <w:kern w:val="0"/>
                <w:sz w:val="24"/>
              </w:rPr>
              <w:t>2018-2020年</w:t>
            </w:r>
            <w:r>
              <w:rPr>
                <w:rFonts w:hint="eastAsia"/>
                <w:kern w:val="0"/>
                <w:sz w:val="24"/>
              </w:rPr>
              <w:t>)(</w:t>
            </w:r>
            <w:r>
              <w:rPr>
                <w:kern w:val="0"/>
                <w:sz w:val="24"/>
              </w:rPr>
              <w:t>修订版</w:t>
            </w:r>
            <w:r>
              <w:rPr>
                <w:rFonts w:hint="eastAsia"/>
                <w:kern w:val="0"/>
                <w:sz w:val="24"/>
              </w:rPr>
              <w:t>)</w:t>
            </w:r>
            <w:r>
              <w:rPr>
                <w:kern w:val="0"/>
                <w:sz w:val="24"/>
              </w:rPr>
              <w:t>》、</w:t>
            </w:r>
            <w:r>
              <w:rPr>
                <w:sz w:val="24"/>
              </w:rPr>
              <w:t>《西咸新区铁腕治霾打赢蓝天保卫战三年行动实施方案(2018-2020年)(修订版)》</w:t>
            </w:r>
            <w:r>
              <w:rPr>
                <w:kern w:val="0"/>
                <w:sz w:val="24"/>
              </w:rPr>
              <w:t>等省市相关政策，落实相关措施，加强环境管理，改善区域环境空气质量，争取区域环境空气质量达标。</w:t>
            </w:r>
          </w:p>
          <w:p>
            <w:pPr>
              <w:adjustRightInd w:val="0"/>
              <w:snapToGrid w:val="0"/>
              <w:spacing w:line="360" w:lineRule="auto"/>
              <w:ind w:firstLine="480" w:firstLineChars="200"/>
              <w:rPr>
                <w:sz w:val="24"/>
              </w:rPr>
            </w:pPr>
            <w:r>
              <w:rPr>
                <w:rFonts w:hint="eastAsia"/>
                <w:sz w:val="24"/>
              </w:rPr>
              <w:t>（2）</w:t>
            </w:r>
            <w:r>
              <w:rPr>
                <w:sz w:val="24"/>
              </w:rPr>
              <w:t>特征因子监测</w:t>
            </w:r>
          </w:p>
          <w:p>
            <w:pPr>
              <w:adjustRightInd w:val="0"/>
              <w:snapToGrid w:val="0"/>
              <w:spacing w:line="360" w:lineRule="auto"/>
              <w:ind w:firstLine="480" w:firstLineChars="200"/>
              <w:rPr>
                <w:kern w:val="0"/>
                <w:sz w:val="24"/>
              </w:rPr>
            </w:pPr>
            <w:bookmarkStart w:id="2" w:name="_Toc255802213"/>
            <w:r>
              <w:rPr>
                <w:kern w:val="0"/>
                <w:sz w:val="24"/>
              </w:rPr>
              <w:t>本次环评的环境空气质量特征因子</w:t>
            </w:r>
            <w:r>
              <w:rPr>
                <w:rFonts w:hint="eastAsia"/>
                <w:kern w:val="0"/>
                <w:sz w:val="24"/>
              </w:rPr>
              <w:t>引用西安普惠环境检测技术有限公司</w:t>
            </w:r>
            <w:r>
              <w:rPr>
                <w:kern w:val="0"/>
                <w:sz w:val="24"/>
              </w:rPr>
              <w:t>监测报告“</w:t>
            </w:r>
            <w:r>
              <w:rPr>
                <w:rFonts w:hint="eastAsia"/>
                <w:kern w:val="0"/>
                <w:sz w:val="24"/>
              </w:rPr>
              <w:t>PHJC-202007-ZH35</w:t>
            </w:r>
            <w:r>
              <w:rPr>
                <w:kern w:val="0"/>
                <w:sz w:val="24"/>
              </w:rPr>
              <w:t>”</w:t>
            </w:r>
            <w:r>
              <w:rPr>
                <w:rFonts w:hint="eastAsia"/>
                <w:kern w:val="0"/>
                <w:sz w:val="24"/>
              </w:rPr>
              <w:t>，见附件</w:t>
            </w:r>
            <w:r>
              <w:rPr>
                <w:kern w:val="0"/>
                <w:sz w:val="24"/>
              </w:rPr>
              <w:t>。监测时间为</w:t>
            </w:r>
            <w:r>
              <w:rPr>
                <w:sz w:val="24"/>
              </w:rPr>
              <w:t>2020年</w:t>
            </w:r>
            <w:r>
              <w:rPr>
                <w:rFonts w:hint="eastAsia"/>
                <w:sz w:val="24"/>
              </w:rPr>
              <w:t>07</w:t>
            </w:r>
            <w:r>
              <w:rPr>
                <w:sz w:val="24"/>
              </w:rPr>
              <w:t>月</w:t>
            </w:r>
            <w:r>
              <w:rPr>
                <w:rFonts w:hint="eastAsia"/>
                <w:sz w:val="24"/>
              </w:rPr>
              <w:t>28日至08月03</w:t>
            </w:r>
            <w:r>
              <w:rPr>
                <w:sz w:val="24"/>
              </w:rPr>
              <w:t>日</w:t>
            </w:r>
            <w:r>
              <w:rPr>
                <w:rFonts w:hint="eastAsia"/>
                <w:sz w:val="24"/>
              </w:rPr>
              <w:t>、</w:t>
            </w:r>
            <w:r>
              <w:rPr>
                <w:sz w:val="24"/>
              </w:rPr>
              <w:t>2020年</w:t>
            </w:r>
            <w:r>
              <w:rPr>
                <w:rFonts w:hint="eastAsia"/>
                <w:sz w:val="24"/>
              </w:rPr>
              <w:t>0</w:t>
            </w:r>
            <w:r>
              <w:rPr>
                <w:sz w:val="24"/>
              </w:rPr>
              <w:t>9月09</w:t>
            </w:r>
            <w:r>
              <w:rPr>
                <w:rFonts w:hint="eastAsia"/>
                <w:sz w:val="24"/>
              </w:rPr>
              <w:t>日至0</w:t>
            </w:r>
            <w:r>
              <w:rPr>
                <w:sz w:val="24"/>
              </w:rPr>
              <w:t>9</w:t>
            </w:r>
            <w:r>
              <w:rPr>
                <w:rFonts w:hint="eastAsia"/>
                <w:sz w:val="24"/>
              </w:rPr>
              <w:t>月</w:t>
            </w:r>
            <w:r>
              <w:rPr>
                <w:sz w:val="24"/>
              </w:rPr>
              <w:t>15日</w:t>
            </w:r>
            <w:r>
              <w:rPr>
                <w:kern w:val="0"/>
                <w:sz w:val="24"/>
              </w:rPr>
              <w:t>，监测数据符合导则要求，数据有效。具体监测点位见附图4。</w:t>
            </w:r>
          </w:p>
          <w:bookmarkEnd w:id="2"/>
          <w:p>
            <w:pPr>
              <w:topLinePunct/>
              <w:adjustRightInd w:val="0"/>
              <w:snapToGrid w:val="0"/>
              <w:spacing w:line="360" w:lineRule="auto"/>
              <w:ind w:firstLine="480" w:firstLineChars="200"/>
              <w:rPr>
                <w:sz w:val="24"/>
              </w:rPr>
            </w:pPr>
            <w:r>
              <w:rPr>
                <w:rFonts w:hint="eastAsia"/>
                <w:sz w:val="24"/>
              </w:rPr>
              <w:t>①</w:t>
            </w:r>
            <w:r>
              <w:rPr>
                <w:sz w:val="24"/>
              </w:rPr>
              <w:t>监测项目及频率</w:t>
            </w:r>
          </w:p>
          <w:p>
            <w:pPr>
              <w:autoSpaceDE w:val="0"/>
              <w:autoSpaceDN w:val="0"/>
              <w:adjustRightInd w:val="0"/>
              <w:snapToGrid w:val="0"/>
              <w:spacing w:line="360" w:lineRule="auto"/>
              <w:ind w:firstLine="480" w:firstLineChars="200"/>
              <w:rPr>
                <w:sz w:val="24"/>
              </w:rPr>
            </w:pPr>
            <w:r>
              <w:rPr>
                <w:sz w:val="24"/>
              </w:rPr>
              <w:t>监测项目：</w:t>
            </w:r>
            <w:r>
              <w:rPr>
                <w:rFonts w:hint="eastAsia"/>
                <w:sz w:val="24"/>
              </w:rPr>
              <w:t>非甲烷总烃、苯乙烯和总悬浮颗粒物</w:t>
            </w:r>
          </w:p>
          <w:p>
            <w:pPr>
              <w:autoSpaceDE w:val="0"/>
              <w:autoSpaceDN w:val="0"/>
              <w:adjustRightInd w:val="0"/>
              <w:snapToGrid w:val="0"/>
              <w:spacing w:line="360" w:lineRule="auto"/>
              <w:ind w:firstLine="480" w:firstLineChars="200"/>
              <w:rPr>
                <w:sz w:val="24"/>
              </w:rPr>
            </w:pPr>
            <w:r>
              <w:rPr>
                <w:sz w:val="24"/>
              </w:rPr>
              <w:t>监测频率：</w:t>
            </w:r>
            <w:bookmarkStart w:id="3" w:name="_Toc255802217"/>
            <w:r>
              <w:rPr>
                <w:kern w:val="0"/>
                <w:sz w:val="24"/>
              </w:rPr>
              <w:t>连续监测7天，每天4次。</w:t>
            </w:r>
          </w:p>
          <w:bookmarkEnd w:id="3"/>
          <w:p>
            <w:pPr>
              <w:topLinePunct/>
              <w:adjustRightInd w:val="0"/>
              <w:snapToGrid w:val="0"/>
              <w:spacing w:line="360" w:lineRule="auto"/>
              <w:ind w:firstLine="480" w:firstLineChars="200"/>
              <w:rPr>
                <w:sz w:val="24"/>
              </w:rPr>
            </w:pPr>
            <w:r>
              <w:rPr>
                <w:rFonts w:hint="eastAsia"/>
                <w:sz w:val="24"/>
              </w:rPr>
              <w:t>②</w:t>
            </w:r>
            <w:r>
              <w:rPr>
                <w:sz w:val="24"/>
              </w:rPr>
              <w:t>监测时间及地点</w:t>
            </w:r>
          </w:p>
          <w:p>
            <w:pPr>
              <w:topLinePunct/>
              <w:adjustRightInd w:val="0"/>
              <w:snapToGrid w:val="0"/>
              <w:spacing w:line="360" w:lineRule="auto"/>
              <w:ind w:firstLine="480" w:firstLineChars="200"/>
              <w:rPr>
                <w:sz w:val="24"/>
              </w:rPr>
            </w:pPr>
            <w:r>
              <w:rPr>
                <w:sz w:val="24"/>
              </w:rPr>
              <w:t>监测时间为2020年</w:t>
            </w:r>
            <w:r>
              <w:rPr>
                <w:rFonts w:hint="eastAsia"/>
                <w:sz w:val="24"/>
              </w:rPr>
              <w:t>07</w:t>
            </w:r>
            <w:r>
              <w:rPr>
                <w:sz w:val="24"/>
              </w:rPr>
              <w:t>月</w:t>
            </w:r>
            <w:r>
              <w:rPr>
                <w:rFonts w:hint="eastAsia"/>
                <w:sz w:val="24"/>
              </w:rPr>
              <w:t>28日至08月03</w:t>
            </w:r>
            <w:r>
              <w:rPr>
                <w:sz w:val="24"/>
              </w:rPr>
              <w:t>日</w:t>
            </w:r>
            <w:r>
              <w:rPr>
                <w:rFonts w:hint="eastAsia"/>
                <w:sz w:val="24"/>
              </w:rPr>
              <w:t>、</w:t>
            </w:r>
            <w:r>
              <w:rPr>
                <w:sz w:val="24"/>
              </w:rPr>
              <w:t>2020年</w:t>
            </w:r>
            <w:r>
              <w:rPr>
                <w:rFonts w:hint="eastAsia"/>
                <w:sz w:val="24"/>
              </w:rPr>
              <w:t>0</w:t>
            </w:r>
            <w:r>
              <w:rPr>
                <w:sz w:val="24"/>
              </w:rPr>
              <w:t>9月09</w:t>
            </w:r>
            <w:r>
              <w:rPr>
                <w:rFonts w:hint="eastAsia"/>
                <w:sz w:val="24"/>
              </w:rPr>
              <w:t>日至0</w:t>
            </w:r>
            <w:r>
              <w:rPr>
                <w:sz w:val="24"/>
              </w:rPr>
              <w:t>9</w:t>
            </w:r>
            <w:r>
              <w:rPr>
                <w:rFonts w:hint="eastAsia"/>
                <w:sz w:val="24"/>
              </w:rPr>
              <w:t>月</w:t>
            </w:r>
            <w:r>
              <w:rPr>
                <w:sz w:val="24"/>
              </w:rPr>
              <w:t>15日。监测点位详见表3</w:t>
            </w:r>
            <w:r>
              <w:rPr>
                <w:rFonts w:hint="eastAsia"/>
                <w:sz w:val="24"/>
              </w:rPr>
              <w:t>-2</w:t>
            </w:r>
            <w:r>
              <w:rPr>
                <w:sz w:val="24"/>
              </w:rPr>
              <w:t>。</w:t>
            </w:r>
          </w:p>
          <w:p>
            <w:pPr>
              <w:adjustRightInd w:val="0"/>
              <w:snapToGrid w:val="0"/>
              <w:jc w:val="center"/>
              <w:rPr>
                <w:b/>
                <w:bCs/>
                <w:sz w:val="24"/>
              </w:rPr>
            </w:pPr>
            <w:r>
              <w:rPr>
                <w:b/>
                <w:bCs/>
                <w:sz w:val="24"/>
              </w:rPr>
              <w:t>表3</w:t>
            </w:r>
            <w:r>
              <w:rPr>
                <w:rFonts w:hint="eastAsia"/>
                <w:b/>
                <w:bCs/>
                <w:sz w:val="24"/>
              </w:rPr>
              <w:t>-2</w:t>
            </w:r>
            <w:r>
              <w:rPr>
                <w:b/>
                <w:bCs/>
                <w:sz w:val="24"/>
              </w:rPr>
              <w:t xml:space="preserve">   环境空气监测布点情况</w:t>
            </w:r>
          </w:p>
          <w:tbl>
            <w:tblPr>
              <w:tblStyle w:val="20"/>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24"/>
              <w:gridCol w:w="37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4" w:type="pct"/>
                  <w:vAlign w:val="center"/>
                </w:tcPr>
                <w:p>
                  <w:pPr>
                    <w:adjustRightInd w:val="0"/>
                    <w:snapToGrid w:val="0"/>
                    <w:jc w:val="center"/>
                    <w:rPr>
                      <w:b/>
                      <w:bCs/>
                      <w:szCs w:val="21"/>
                    </w:rPr>
                  </w:pPr>
                  <w:r>
                    <w:rPr>
                      <w:b/>
                      <w:bCs/>
                      <w:szCs w:val="21"/>
                    </w:rPr>
                    <w:t>监测内容</w:t>
                  </w:r>
                </w:p>
              </w:tc>
              <w:tc>
                <w:tcPr>
                  <w:tcW w:w="2055" w:type="pct"/>
                  <w:vAlign w:val="center"/>
                </w:tcPr>
                <w:p>
                  <w:pPr>
                    <w:adjustRightInd w:val="0"/>
                    <w:snapToGrid w:val="0"/>
                    <w:jc w:val="center"/>
                    <w:rPr>
                      <w:b/>
                      <w:bCs/>
                      <w:szCs w:val="21"/>
                    </w:rPr>
                  </w:pPr>
                  <w:r>
                    <w:rPr>
                      <w:b/>
                      <w:bCs/>
                      <w:szCs w:val="21"/>
                    </w:rPr>
                    <w:t>相对本项目位置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4" w:type="pct"/>
                  <w:vAlign w:val="center"/>
                </w:tcPr>
                <w:p>
                  <w:pPr>
                    <w:adjustRightInd w:val="0"/>
                    <w:snapToGrid w:val="0"/>
                    <w:jc w:val="center"/>
                    <w:rPr>
                      <w:szCs w:val="21"/>
                    </w:rPr>
                  </w:pPr>
                  <w:r>
                    <w:rPr>
                      <w:rFonts w:hint="eastAsia"/>
                      <w:szCs w:val="21"/>
                    </w:rPr>
                    <w:t>非甲烷总烃、苯乙烯和总悬浮颗粒物</w:t>
                  </w:r>
                </w:p>
              </w:tc>
              <w:tc>
                <w:tcPr>
                  <w:tcW w:w="2055" w:type="pct"/>
                  <w:vAlign w:val="center"/>
                </w:tcPr>
                <w:p>
                  <w:pPr>
                    <w:adjustRightInd w:val="0"/>
                    <w:snapToGrid w:val="0"/>
                    <w:jc w:val="center"/>
                    <w:rPr>
                      <w:szCs w:val="21"/>
                    </w:rPr>
                  </w:pPr>
                  <w:r>
                    <w:rPr>
                      <w:rFonts w:hint="eastAsia"/>
                      <w:szCs w:val="21"/>
                    </w:rPr>
                    <w:t>项目所在厂区内</w:t>
                  </w:r>
                </w:p>
              </w:tc>
            </w:tr>
          </w:tbl>
          <w:p>
            <w:pPr>
              <w:topLinePunct/>
              <w:adjustRightInd w:val="0"/>
              <w:snapToGrid w:val="0"/>
              <w:spacing w:line="360" w:lineRule="auto"/>
              <w:ind w:firstLine="480" w:firstLineChars="200"/>
              <w:rPr>
                <w:sz w:val="24"/>
              </w:rPr>
            </w:pPr>
            <w:r>
              <w:rPr>
                <w:rFonts w:hint="eastAsia"/>
                <w:sz w:val="24"/>
              </w:rPr>
              <w:t>③</w:t>
            </w:r>
            <w:r>
              <w:rPr>
                <w:sz w:val="24"/>
              </w:rPr>
              <w:t>监测结果</w:t>
            </w:r>
          </w:p>
          <w:p>
            <w:pPr>
              <w:pStyle w:val="10"/>
              <w:ind w:firstLine="482" w:firstLineChars="200"/>
              <w:jc w:val="center"/>
              <w:rPr>
                <w:rFonts w:ascii="Times New Roman" w:hAnsi="Times New Roman"/>
                <w:b/>
                <w:bCs/>
                <w:sz w:val="24"/>
              </w:rPr>
            </w:pPr>
            <w:r>
              <w:rPr>
                <w:rFonts w:ascii="Times New Roman" w:hAnsi="Times New Roman"/>
                <w:b/>
                <w:bCs/>
                <w:sz w:val="24"/>
              </w:rPr>
              <w:t>表3-3   非甲烷总烃监测统计结果表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34"/>
              <w:gridCol w:w="2336"/>
              <w:gridCol w:w="2336"/>
              <w:gridCol w:w="2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5" w:type="pct"/>
                  <w:vMerge w:val="restart"/>
                  <w:vAlign w:val="center"/>
                </w:tcPr>
                <w:p>
                  <w:pPr>
                    <w:adjustRightInd w:val="0"/>
                    <w:snapToGrid w:val="0"/>
                    <w:jc w:val="center"/>
                    <w:rPr>
                      <w:snapToGrid w:val="0"/>
                      <w:szCs w:val="21"/>
                    </w:rPr>
                  </w:pPr>
                  <w:r>
                    <w:rPr>
                      <w:snapToGrid w:val="0"/>
                      <w:szCs w:val="21"/>
                    </w:rPr>
                    <w:t>监测点</w:t>
                  </w:r>
                </w:p>
                <w:p>
                  <w:pPr>
                    <w:adjustRightInd w:val="0"/>
                    <w:snapToGrid w:val="0"/>
                    <w:jc w:val="center"/>
                    <w:rPr>
                      <w:snapToGrid w:val="0"/>
                      <w:szCs w:val="21"/>
                    </w:rPr>
                  </w:pPr>
                  <w:r>
                    <w:rPr>
                      <w:rFonts w:hint="eastAsia"/>
                      <w:snapToGrid w:val="0"/>
                      <w:szCs w:val="21"/>
                    </w:rPr>
                    <w:t>2020年0</w:t>
                  </w:r>
                  <w:r>
                    <w:rPr>
                      <w:snapToGrid w:val="0"/>
                      <w:szCs w:val="21"/>
                    </w:rPr>
                    <w:t>7</w:t>
                  </w:r>
                  <w:r>
                    <w:rPr>
                      <w:rFonts w:hint="eastAsia"/>
                      <w:snapToGrid w:val="0"/>
                      <w:szCs w:val="21"/>
                    </w:rPr>
                    <w:t>月</w:t>
                  </w:r>
                  <w:r>
                    <w:rPr>
                      <w:snapToGrid w:val="0"/>
                      <w:szCs w:val="21"/>
                    </w:rPr>
                    <w:t>28</w:t>
                  </w:r>
                  <w:r>
                    <w:rPr>
                      <w:rFonts w:hint="eastAsia"/>
                      <w:snapToGrid w:val="0"/>
                      <w:szCs w:val="21"/>
                    </w:rPr>
                    <w:t>日-0</w:t>
                  </w:r>
                  <w:r>
                    <w:rPr>
                      <w:snapToGrid w:val="0"/>
                      <w:szCs w:val="21"/>
                    </w:rPr>
                    <w:t>8</w:t>
                  </w:r>
                  <w:r>
                    <w:rPr>
                      <w:rFonts w:hint="eastAsia"/>
                      <w:snapToGrid w:val="0"/>
                      <w:szCs w:val="21"/>
                    </w:rPr>
                    <w:t>月0</w:t>
                  </w:r>
                  <w:r>
                    <w:rPr>
                      <w:snapToGrid w:val="0"/>
                      <w:szCs w:val="21"/>
                    </w:rPr>
                    <w:t>3</w:t>
                  </w:r>
                  <w:r>
                    <w:rPr>
                      <w:rFonts w:hint="eastAsia"/>
                      <w:snapToGrid w:val="0"/>
                      <w:szCs w:val="21"/>
                    </w:rPr>
                    <w:t>日</w:t>
                  </w:r>
                </w:p>
              </w:tc>
              <w:tc>
                <w:tcPr>
                  <w:tcW w:w="3875" w:type="pct"/>
                  <w:gridSpan w:val="3"/>
                  <w:vAlign w:val="center"/>
                </w:tcPr>
                <w:p>
                  <w:pPr>
                    <w:adjustRightInd w:val="0"/>
                    <w:snapToGrid w:val="0"/>
                    <w:jc w:val="center"/>
                    <w:rPr>
                      <w:snapToGrid w:val="0"/>
                      <w:szCs w:val="21"/>
                    </w:rPr>
                  </w:pPr>
                  <w:r>
                    <w:rPr>
                      <w:snapToGrid w:val="0"/>
                      <w:szCs w:val="21"/>
                    </w:rPr>
                    <w:t>小时平均浓度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5" w:type="pct"/>
                  <w:vMerge w:val="continue"/>
                  <w:vAlign w:val="center"/>
                </w:tcPr>
                <w:p>
                  <w:pPr>
                    <w:widowControl/>
                    <w:adjustRightInd w:val="0"/>
                    <w:snapToGrid w:val="0"/>
                    <w:jc w:val="center"/>
                    <w:rPr>
                      <w:snapToGrid w:val="0"/>
                      <w:szCs w:val="21"/>
                    </w:rPr>
                  </w:pPr>
                </w:p>
              </w:tc>
              <w:tc>
                <w:tcPr>
                  <w:tcW w:w="1292" w:type="pct"/>
                  <w:vAlign w:val="center"/>
                </w:tcPr>
                <w:p>
                  <w:pPr>
                    <w:adjustRightInd w:val="0"/>
                    <w:snapToGrid w:val="0"/>
                    <w:jc w:val="center"/>
                    <w:rPr>
                      <w:snapToGrid w:val="0"/>
                      <w:szCs w:val="21"/>
                    </w:rPr>
                  </w:pPr>
                  <w:r>
                    <w:rPr>
                      <w:snapToGrid w:val="0"/>
                      <w:szCs w:val="21"/>
                    </w:rPr>
                    <w:t>浓度范围（mg/m</w:t>
                  </w:r>
                  <w:r>
                    <w:rPr>
                      <w:snapToGrid w:val="0"/>
                      <w:szCs w:val="21"/>
                      <w:vertAlign w:val="superscript"/>
                    </w:rPr>
                    <w:t>3</w:t>
                  </w:r>
                  <w:r>
                    <w:rPr>
                      <w:snapToGrid w:val="0"/>
                      <w:szCs w:val="21"/>
                    </w:rPr>
                    <w:t>）</w:t>
                  </w:r>
                </w:p>
              </w:tc>
              <w:tc>
                <w:tcPr>
                  <w:tcW w:w="1292" w:type="pct"/>
                  <w:vAlign w:val="center"/>
                </w:tcPr>
                <w:p>
                  <w:pPr>
                    <w:adjustRightInd w:val="0"/>
                    <w:snapToGrid w:val="0"/>
                    <w:jc w:val="center"/>
                    <w:rPr>
                      <w:snapToGrid w:val="0"/>
                      <w:szCs w:val="21"/>
                    </w:rPr>
                  </w:pPr>
                  <w:r>
                    <w:rPr>
                      <w:snapToGrid w:val="0"/>
                      <w:szCs w:val="21"/>
                    </w:rPr>
                    <w:t>超标率（</w:t>
                  </w:r>
                  <w:r>
                    <w:rPr>
                      <w:rFonts w:hint="eastAsia"/>
                      <w:snapToGrid w:val="0"/>
                      <w:szCs w:val="21"/>
                    </w:rPr>
                    <w:t>%</w:t>
                  </w:r>
                  <w:r>
                    <w:rPr>
                      <w:snapToGrid w:val="0"/>
                      <w:szCs w:val="21"/>
                    </w:rPr>
                    <w:t>）</w:t>
                  </w:r>
                </w:p>
              </w:tc>
              <w:tc>
                <w:tcPr>
                  <w:tcW w:w="1291" w:type="pct"/>
                  <w:vAlign w:val="center"/>
                </w:tcPr>
                <w:p>
                  <w:pPr>
                    <w:adjustRightInd w:val="0"/>
                    <w:snapToGrid w:val="0"/>
                    <w:jc w:val="center"/>
                    <w:rPr>
                      <w:snapToGrid w:val="0"/>
                      <w:szCs w:val="21"/>
                    </w:rPr>
                  </w:pPr>
                  <w:r>
                    <w:rPr>
                      <w:snapToGrid w:val="0"/>
                      <w:szCs w:val="21"/>
                    </w:rPr>
                    <w:t>最大占标率（</w:t>
                  </w:r>
                  <w:r>
                    <w:rPr>
                      <w:rFonts w:hint="eastAsia"/>
                      <w:snapToGrid w:val="0"/>
                      <w:szCs w:val="21"/>
                    </w:rPr>
                    <w:t>%</w:t>
                  </w:r>
                  <w:r>
                    <w:rPr>
                      <w:snapToGrid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5" w:type="pct"/>
                  <w:vAlign w:val="center"/>
                </w:tcPr>
                <w:p>
                  <w:pPr>
                    <w:jc w:val="center"/>
                    <w:rPr>
                      <w:kern w:val="28"/>
                      <w:szCs w:val="21"/>
                    </w:rPr>
                  </w:pPr>
                  <w:r>
                    <w:rPr>
                      <w:szCs w:val="21"/>
                    </w:rPr>
                    <w:t>项目所在地</w:t>
                  </w:r>
                </w:p>
              </w:tc>
              <w:tc>
                <w:tcPr>
                  <w:tcW w:w="1292" w:type="pct"/>
                  <w:vAlign w:val="center"/>
                </w:tcPr>
                <w:p>
                  <w:pPr>
                    <w:adjustRightInd w:val="0"/>
                    <w:snapToGrid w:val="0"/>
                    <w:jc w:val="center"/>
                    <w:rPr>
                      <w:snapToGrid w:val="0"/>
                      <w:szCs w:val="21"/>
                    </w:rPr>
                  </w:pPr>
                  <w:r>
                    <w:rPr>
                      <w:rFonts w:eastAsia="仿宋_GB2312"/>
                      <w:szCs w:val="21"/>
                    </w:rPr>
                    <w:t>0.52～0.77</w:t>
                  </w:r>
                </w:p>
              </w:tc>
              <w:tc>
                <w:tcPr>
                  <w:tcW w:w="1292" w:type="pct"/>
                  <w:vAlign w:val="center"/>
                </w:tcPr>
                <w:p>
                  <w:pPr>
                    <w:adjustRightInd w:val="0"/>
                    <w:snapToGrid w:val="0"/>
                    <w:jc w:val="center"/>
                    <w:rPr>
                      <w:snapToGrid w:val="0"/>
                      <w:szCs w:val="21"/>
                    </w:rPr>
                  </w:pPr>
                  <w:r>
                    <w:rPr>
                      <w:snapToGrid w:val="0"/>
                      <w:szCs w:val="21"/>
                    </w:rPr>
                    <w:t>/</w:t>
                  </w:r>
                </w:p>
              </w:tc>
              <w:tc>
                <w:tcPr>
                  <w:tcW w:w="1291" w:type="pct"/>
                  <w:vAlign w:val="center"/>
                </w:tcPr>
                <w:p>
                  <w:pPr>
                    <w:adjustRightInd w:val="0"/>
                    <w:snapToGrid w:val="0"/>
                    <w:jc w:val="center"/>
                    <w:rPr>
                      <w:snapToGrid w:val="0"/>
                      <w:szCs w:val="21"/>
                    </w:rPr>
                  </w:pPr>
                  <w:r>
                    <w:rPr>
                      <w:snapToGrid w:val="0"/>
                      <w:szCs w:val="21"/>
                    </w:rPr>
                    <w:t>38.5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5" w:type="pct"/>
                  <w:vAlign w:val="center"/>
                </w:tcPr>
                <w:p>
                  <w:pPr>
                    <w:pStyle w:val="12"/>
                    <w:adjustRightInd w:val="0"/>
                    <w:snapToGrid w:val="0"/>
                    <w:jc w:val="center"/>
                    <w:rPr>
                      <w:snapToGrid w:val="0"/>
                      <w:sz w:val="21"/>
                      <w:szCs w:val="21"/>
                    </w:rPr>
                  </w:pPr>
                  <w:r>
                    <w:rPr>
                      <w:sz w:val="21"/>
                      <w:szCs w:val="21"/>
                    </w:rPr>
                    <w:t>《大气污染物综合排放标准详解》</w:t>
                  </w:r>
                </w:p>
              </w:tc>
              <w:tc>
                <w:tcPr>
                  <w:tcW w:w="3875" w:type="pct"/>
                  <w:gridSpan w:val="3"/>
                  <w:vAlign w:val="center"/>
                </w:tcPr>
                <w:p>
                  <w:pPr>
                    <w:adjustRightInd w:val="0"/>
                    <w:snapToGrid w:val="0"/>
                    <w:jc w:val="center"/>
                    <w:rPr>
                      <w:snapToGrid w:val="0"/>
                      <w:szCs w:val="21"/>
                    </w:rPr>
                  </w:pPr>
                  <w:r>
                    <w:rPr>
                      <w:snapToGrid w:val="0"/>
                      <w:szCs w:val="21"/>
                    </w:rPr>
                    <w:t>2.0</w:t>
                  </w:r>
                </w:p>
              </w:tc>
            </w:tr>
          </w:tbl>
          <w:p>
            <w:pPr>
              <w:pStyle w:val="10"/>
              <w:ind w:firstLine="482" w:firstLineChars="200"/>
              <w:jc w:val="center"/>
              <w:rPr>
                <w:rFonts w:ascii="Times New Roman" w:hAnsi="Times New Roman"/>
                <w:b/>
                <w:bCs/>
                <w:sz w:val="24"/>
              </w:rPr>
            </w:pPr>
            <w:r>
              <w:rPr>
                <w:rFonts w:ascii="Times New Roman" w:hAnsi="Times New Roman"/>
                <w:b/>
                <w:bCs/>
                <w:sz w:val="24"/>
              </w:rPr>
              <w:t>表3-4   苯乙烯监测统计结果表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34"/>
              <w:gridCol w:w="2336"/>
              <w:gridCol w:w="2336"/>
              <w:gridCol w:w="2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5" w:type="pct"/>
                  <w:vMerge w:val="restart"/>
                  <w:vAlign w:val="center"/>
                </w:tcPr>
                <w:p>
                  <w:pPr>
                    <w:adjustRightInd w:val="0"/>
                    <w:snapToGrid w:val="0"/>
                    <w:jc w:val="center"/>
                    <w:rPr>
                      <w:snapToGrid w:val="0"/>
                      <w:szCs w:val="21"/>
                    </w:rPr>
                  </w:pPr>
                  <w:r>
                    <w:rPr>
                      <w:snapToGrid w:val="0"/>
                      <w:szCs w:val="21"/>
                    </w:rPr>
                    <w:t>监测点</w:t>
                  </w:r>
                </w:p>
                <w:p>
                  <w:pPr>
                    <w:adjustRightInd w:val="0"/>
                    <w:snapToGrid w:val="0"/>
                    <w:jc w:val="center"/>
                    <w:rPr>
                      <w:snapToGrid w:val="0"/>
                      <w:szCs w:val="21"/>
                    </w:rPr>
                  </w:pPr>
                  <w:r>
                    <w:rPr>
                      <w:rFonts w:hint="eastAsia"/>
                      <w:snapToGrid w:val="0"/>
                      <w:szCs w:val="21"/>
                    </w:rPr>
                    <w:t>2020年09月09日-09月15日</w:t>
                  </w:r>
                </w:p>
              </w:tc>
              <w:tc>
                <w:tcPr>
                  <w:tcW w:w="3875" w:type="pct"/>
                  <w:gridSpan w:val="3"/>
                  <w:vAlign w:val="center"/>
                </w:tcPr>
                <w:p>
                  <w:pPr>
                    <w:adjustRightInd w:val="0"/>
                    <w:snapToGrid w:val="0"/>
                    <w:jc w:val="center"/>
                    <w:rPr>
                      <w:snapToGrid w:val="0"/>
                      <w:szCs w:val="21"/>
                    </w:rPr>
                  </w:pPr>
                  <w:r>
                    <w:rPr>
                      <w:snapToGrid w:val="0"/>
                      <w:szCs w:val="21"/>
                    </w:rPr>
                    <w:t>小时平均浓度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5" w:type="pct"/>
                  <w:vMerge w:val="continue"/>
                  <w:vAlign w:val="center"/>
                </w:tcPr>
                <w:p>
                  <w:pPr>
                    <w:widowControl/>
                    <w:adjustRightInd w:val="0"/>
                    <w:snapToGrid w:val="0"/>
                    <w:jc w:val="center"/>
                    <w:rPr>
                      <w:snapToGrid w:val="0"/>
                      <w:szCs w:val="21"/>
                    </w:rPr>
                  </w:pPr>
                </w:p>
              </w:tc>
              <w:tc>
                <w:tcPr>
                  <w:tcW w:w="1292" w:type="pct"/>
                  <w:vAlign w:val="center"/>
                </w:tcPr>
                <w:p>
                  <w:pPr>
                    <w:adjustRightInd w:val="0"/>
                    <w:snapToGrid w:val="0"/>
                    <w:jc w:val="center"/>
                    <w:rPr>
                      <w:snapToGrid w:val="0"/>
                      <w:szCs w:val="21"/>
                    </w:rPr>
                  </w:pPr>
                  <w:r>
                    <w:rPr>
                      <w:snapToGrid w:val="0"/>
                      <w:szCs w:val="21"/>
                    </w:rPr>
                    <w:t>浓度范围（ug/m</w:t>
                  </w:r>
                  <w:r>
                    <w:rPr>
                      <w:snapToGrid w:val="0"/>
                      <w:szCs w:val="21"/>
                      <w:vertAlign w:val="superscript"/>
                    </w:rPr>
                    <w:t>3</w:t>
                  </w:r>
                  <w:r>
                    <w:rPr>
                      <w:snapToGrid w:val="0"/>
                      <w:szCs w:val="21"/>
                    </w:rPr>
                    <w:t>）</w:t>
                  </w:r>
                </w:p>
              </w:tc>
              <w:tc>
                <w:tcPr>
                  <w:tcW w:w="1292" w:type="pct"/>
                  <w:vAlign w:val="center"/>
                </w:tcPr>
                <w:p>
                  <w:pPr>
                    <w:adjustRightInd w:val="0"/>
                    <w:snapToGrid w:val="0"/>
                    <w:jc w:val="center"/>
                    <w:rPr>
                      <w:snapToGrid w:val="0"/>
                      <w:szCs w:val="21"/>
                    </w:rPr>
                  </w:pPr>
                  <w:r>
                    <w:rPr>
                      <w:snapToGrid w:val="0"/>
                      <w:szCs w:val="21"/>
                    </w:rPr>
                    <w:t>超标率（</w:t>
                  </w:r>
                  <w:r>
                    <w:rPr>
                      <w:rFonts w:hint="eastAsia"/>
                      <w:snapToGrid w:val="0"/>
                      <w:szCs w:val="21"/>
                    </w:rPr>
                    <w:t>%</w:t>
                  </w:r>
                  <w:r>
                    <w:rPr>
                      <w:snapToGrid w:val="0"/>
                      <w:szCs w:val="21"/>
                    </w:rPr>
                    <w:t>）</w:t>
                  </w:r>
                </w:p>
              </w:tc>
              <w:tc>
                <w:tcPr>
                  <w:tcW w:w="1291" w:type="pct"/>
                  <w:vAlign w:val="center"/>
                </w:tcPr>
                <w:p>
                  <w:pPr>
                    <w:adjustRightInd w:val="0"/>
                    <w:snapToGrid w:val="0"/>
                    <w:jc w:val="center"/>
                    <w:rPr>
                      <w:snapToGrid w:val="0"/>
                      <w:szCs w:val="21"/>
                    </w:rPr>
                  </w:pPr>
                  <w:r>
                    <w:rPr>
                      <w:snapToGrid w:val="0"/>
                      <w:szCs w:val="21"/>
                    </w:rPr>
                    <w:t>最大占标率（</w:t>
                  </w:r>
                  <w:r>
                    <w:rPr>
                      <w:rFonts w:hint="eastAsia"/>
                      <w:snapToGrid w:val="0"/>
                      <w:szCs w:val="21"/>
                    </w:rPr>
                    <w:t>%</w:t>
                  </w:r>
                  <w:r>
                    <w:rPr>
                      <w:snapToGrid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5" w:type="pct"/>
                  <w:vAlign w:val="center"/>
                </w:tcPr>
                <w:p>
                  <w:pPr>
                    <w:jc w:val="center"/>
                    <w:rPr>
                      <w:kern w:val="28"/>
                      <w:szCs w:val="21"/>
                    </w:rPr>
                  </w:pPr>
                  <w:r>
                    <w:rPr>
                      <w:szCs w:val="21"/>
                    </w:rPr>
                    <w:t>项目所在地</w:t>
                  </w:r>
                </w:p>
              </w:tc>
              <w:tc>
                <w:tcPr>
                  <w:tcW w:w="1292" w:type="pct"/>
                  <w:vAlign w:val="center"/>
                </w:tcPr>
                <w:p>
                  <w:pPr>
                    <w:adjustRightInd w:val="0"/>
                    <w:snapToGrid w:val="0"/>
                    <w:jc w:val="center"/>
                    <w:rPr>
                      <w:snapToGrid w:val="0"/>
                      <w:szCs w:val="21"/>
                    </w:rPr>
                  </w:pPr>
                  <w:r>
                    <w:rPr>
                      <w:rFonts w:eastAsia="仿宋_GB2312"/>
                      <w:szCs w:val="21"/>
                    </w:rPr>
                    <w:t>ND</w:t>
                  </w:r>
                  <w:r>
                    <w:rPr>
                      <w:rFonts w:hint="eastAsia" w:eastAsia="仿宋_GB2312"/>
                      <w:szCs w:val="21"/>
                    </w:rPr>
                    <w:t>（0</w:t>
                  </w:r>
                  <w:r>
                    <w:rPr>
                      <w:rFonts w:eastAsia="仿宋_GB2312"/>
                      <w:szCs w:val="21"/>
                    </w:rPr>
                    <w:t>.0015</w:t>
                  </w:r>
                  <w:r>
                    <w:rPr>
                      <w:rFonts w:hint="eastAsia" w:eastAsia="仿宋_GB2312"/>
                      <w:szCs w:val="21"/>
                    </w:rPr>
                    <w:t>）</w:t>
                  </w:r>
                </w:p>
              </w:tc>
              <w:tc>
                <w:tcPr>
                  <w:tcW w:w="1292" w:type="pct"/>
                  <w:vAlign w:val="center"/>
                </w:tcPr>
                <w:p>
                  <w:pPr>
                    <w:adjustRightInd w:val="0"/>
                    <w:snapToGrid w:val="0"/>
                    <w:jc w:val="center"/>
                    <w:rPr>
                      <w:snapToGrid w:val="0"/>
                      <w:szCs w:val="21"/>
                    </w:rPr>
                  </w:pPr>
                  <w:r>
                    <w:rPr>
                      <w:snapToGrid w:val="0"/>
                      <w:szCs w:val="21"/>
                    </w:rPr>
                    <w:t>/</w:t>
                  </w:r>
                </w:p>
              </w:tc>
              <w:tc>
                <w:tcPr>
                  <w:tcW w:w="1291" w:type="pct"/>
                  <w:vAlign w:val="center"/>
                </w:tcPr>
                <w:p>
                  <w:pPr>
                    <w:adjustRightInd w:val="0"/>
                    <w:snapToGrid w:val="0"/>
                    <w:jc w:val="center"/>
                    <w:rPr>
                      <w:snapToGrid w:val="0"/>
                      <w:szCs w:val="21"/>
                    </w:rPr>
                  </w:pPr>
                  <w:r>
                    <w:rPr>
                      <w:snapToGrid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5" w:type="pct"/>
                  <w:vAlign w:val="center"/>
                </w:tcPr>
                <w:p>
                  <w:pPr>
                    <w:pStyle w:val="12"/>
                    <w:adjustRightInd w:val="0"/>
                    <w:snapToGrid w:val="0"/>
                    <w:rPr>
                      <w:snapToGrid w:val="0"/>
                      <w:sz w:val="21"/>
                      <w:szCs w:val="21"/>
                    </w:rPr>
                  </w:pPr>
                  <w:r>
                    <w:rPr>
                      <w:rFonts w:hint="eastAsia"/>
                      <w:snapToGrid w:val="0"/>
                      <w:sz w:val="21"/>
                      <w:szCs w:val="21"/>
                    </w:rPr>
                    <w:t>参照《环境影响评价技术导则 大气环境》（HJ 2.2-2018）附录D.1中浓度限值</w:t>
                  </w:r>
                </w:p>
              </w:tc>
              <w:tc>
                <w:tcPr>
                  <w:tcW w:w="3875" w:type="pct"/>
                  <w:gridSpan w:val="3"/>
                  <w:vAlign w:val="center"/>
                </w:tcPr>
                <w:p>
                  <w:pPr>
                    <w:adjustRightInd w:val="0"/>
                    <w:snapToGrid w:val="0"/>
                    <w:jc w:val="center"/>
                    <w:rPr>
                      <w:snapToGrid w:val="0"/>
                      <w:szCs w:val="21"/>
                    </w:rPr>
                  </w:pPr>
                  <w:r>
                    <w:rPr>
                      <w:snapToGrid w:val="0"/>
                      <w:szCs w:val="21"/>
                    </w:rPr>
                    <w:t>10</w:t>
                  </w:r>
                </w:p>
              </w:tc>
            </w:tr>
          </w:tbl>
          <w:p>
            <w:pPr>
              <w:pStyle w:val="10"/>
              <w:spacing w:before="156" w:beforeLines="50"/>
              <w:ind w:firstLine="482" w:firstLineChars="200"/>
              <w:jc w:val="center"/>
              <w:rPr>
                <w:rFonts w:ascii="Times New Roman" w:hAnsi="Times New Roman"/>
                <w:b/>
                <w:bCs/>
                <w:sz w:val="24"/>
              </w:rPr>
            </w:pPr>
            <w:r>
              <w:rPr>
                <w:rFonts w:ascii="Times New Roman" w:hAnsi="Times New Roman"/>
                <w:b/>
                <w:bCs/>
                <w:sz w:val="24"/>
              </w:rPr>
              <w:t>表3-5   TSP监测统计结果表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34"/>
              <w:gridCol w:w="2336"/>
              <w:gridCol w:w="2336"/>
              <w:gridCol w:w="2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125" w:type="pct"/>
                  <w:vMerge w:val="restart"/>
                  <w:vAlign w:val="center"/>
                </w:tcPr>
                <w:p>
                  <w:pPr>
                    <w:adjustRightInd w:val="0"/>
                    <w:snapToGrid w:val="0"/>
                    <w:jc w:val="center"/>
                    <w:rPr>
                      <w:snapToGrid w:val="0"/>
                      <w:szCs w:val="21"/>
                    </w:rPr>
                  </w:pPr>
                  <w:r>
                    <w:rPr>
                      <w:snapToGrid w:val="0"/>
                      <w:szCs w:val="21"/>
                    </w:rPr>
                    <w:t>监测点</w:t>
                  </w:r>
                </w:p>
              </w:tc>
              <w:tc>
                <w:tcPr>
                  <w:tcW w:w="3875" w:type="pct"/>
                  <w:gridSpan w:val="3"/>
                  <w:vAlign w:val="center"/>
                </w:tcPr>
                <w:p>
                  <w:pPr>
                    <w:adjustRightInd w:val="0"/>
                    <w:snapToGrid w:val="0"/>
                    <w:jc w:val="center"/>
                    <w:rPr>
                      <w:snapToGrid w:val="0"/>
                      <w:szCs w:val="21"/>
                    </w:rPr>
                  </w:pPr>
                  <w:r>
                    <w:rPr>
                      <w:snapToGrid w:val="0"/>
                      <w:szCs w:val="21"/>
                    </w:rPr>
                    <w:t>24小时平均浓度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5" w:type="pct"/>
                  <w:vMerge w:val="continue"/>
                  <w:vAlign w:val="center"/>
                </w:tcPr>
                <w:p>
                  <w:pPr>
                    <w:widowControl/>
                    <w:adjustRightInd w:val="0"/>
                    <w:snapToGrid w:val="0"/>
                    <w:jc w:val="center"/>
                    <w:rPr>
                      <w:snapToGrid w:val="0"/>
                      <w:szCs w:val="21"/>
                    </w:rPr>
                  </w:pPr>
                </w:p>
              </w:tc>
              <w:tc>
                <w:tcPr>
                  <w:tcW w:w="1292" w:type="pct"/>
                  <w:vAlign w:val="center"/>
                </w:tcPr>
                <w:p>
                  <w:pPr>
                    <w:adjustRightInd w:val="0"/>
                    <w:snapToGrid w:val="0"/>
                    <w:jc w:val="center"/>
                    <w:rPr>
                      <w:snapToGrid w:val="0"/>
                      <w:szCs w:val="21"/>
                    </w:rPr>
                  </w:pPr>
                  <w:r>
                    <w:rPr>
                      <w:snapToGrid w:val="0"/>
                      <w:szCs w:val="21"/>
                    </w:rPr>
                    <w:t>浓度范围（μg /m</w:t>
                  </w:r>
                  <w:r>
                    <w:rPr>
                      <w:snapToGrid w:val="0"/>
                      <w:szCs w:val="21"/>
                      <w:vertAlign w:val="superscript"/>
                    </w:rPr>
                    <w:t>3</w:t>
                  </w:r>
                  <w:r>
                    <w:rPr>
                      <w:snapToGrid w:val="0"/>
                      <w:szCs w:val="21"/>
                    </w:rPr>
                    <w:t>）</w:t>
                  </w:r>
                </w:p>
              </w:tc>
              <w:tc>
                <w:tcPr>
                  <w:tcW w:w="1292" w:type="pct"/>
                  <w:vAlign w:val="center"/>
                </w:tcPr>
                <w:p>
                  <w:pPr>
                    <w:adjustRightInd w:val="0"/>
                    <w:snapToGrid w:val="0"/>
                    <w:jc w:val="center"/>
                    <w:rPr>
                      <w:snapToGrid w:val="0"/>
                      <w:szCs w:val="21"/>
                    </w:rPr>
                  </w:pPr>
                  <w:r>
                    <w:rPr>
                      <w:snapToGrid w:val="0"/>
                      <w:szCs w:val="21"/>
                    </w:rPr>
                    <w:t>超标率（%）</w:t>
                  </w:r>
                </w:p>
              </w:tc>
              <w:tc>
                <w:tcPr>
                  <w:tcW w:w="1291" w:type="pct"/>
                  <w:vAlign w:val="center"/>
                </w:tcPr>
                <w:p>
                  <w:pPr>
                    <w:adjustRightInd w:val="0"/>
                    <w:snapToGrid w:val="0"/>
                    <w:jc w:val="center"/>
                    <w:rPr>
                      <w:snapToGrid w:val="0"/>
                      <w:szCs w:val="21"/>
                    </w:rPr>
                  </w:pPr>
                  <w:r>
                    <w:rPr>
                      <w:snapToGrid w:val="0"/>
                      <w:szCs w:val="21"/>
                    </w:rPr>
                    <w:t>最大占标率（%）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5" w:type="pct"/>
                  <w:vAlign w:val="center"/>
                </w:tcPr>
                <w:p>
                  <w:pPr>
                    <w:jc w:val="center"/>
                    <w:rPr>
                      <w:kern w:val="28"/>
                      <w:szCs w:val="21"/>
                    </w:rPr>
                  </w:pPr>
                  <w:r>
                    <w:rPr>
                      <w:szCs w:val="21"/>
                    </w:rPr>
                    <w:t>项目所在地</w:t>
                  </w:r>
                </w:p>
              </w:tc>
              <w:tc>
                <w:tcPr>
                  <w:tcW w:w="1292" w:type="pct"/>
                  <w:vAlign w:val="center"/>
                </w:tcPr>
                <w:p>
                  <w:pPr>
                    <w:adjustRightInd w:val="0"/>
                    <w:snapToGrid w:val="0"/>
                    <w:jc w:val="center"/>
                    <w:rPr>
                      <w:snapToGrid w:val="0"/>
                      <w:szCs w:val="21"/>
                    </w:rPr>
                  </w:pPr>
                  <w:r>
                    <w:t>390</w:t>
                  </w:r>
                  <w:r>
                    <w:rPr>
                      <w:snapToGrid w:val="0"/>
                      <w:szCs w:val="21"/>
                    </w:rPr>
                    <w:t>～</w:t>
                  </w:r>
                  <w:r>
                    <w:t>415</w:t>
                  </w:r>
                </w:p>
              </w:tc>
              <w:tc>
                <w:tcPr>
                  <w:tcW w:w="1292" w:type="pct"/>
                  <w:vAlign w:val="center"/>
                </w:tcPr>
                <w:p>
                  <w:pPr>
                    <w:jc w:val="center"/>
                  </w:pPr>
                  <w:r>
                    <w:t>/</w:t>
                  </w:r>
                </w:p>
              </w:tc>
              <w:tc>
                <w:tcPr>
                  <w:tcW w:w="1291" w:type="pct"/>
                  <w:vAlign w:val="center"/>
                </w:tcPr>
                <w:p>
                  <w:pPr>
                    <w:jc w:val="center"/>
                  </w:pPr>
                  <w:r>
                    <w:t>138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5" w:type="pct"/>
                  <w:vAlign w:val="center"/>
                </w:tcPr>
                <w:p>
                  <w:pPr>
                    <w:pStyle w:val="12"/>
                    <w:adjustRightInd w:val="0"/>
                    <w:snapToGrid w:val="0"/>
                    <w:jc w:val="center"/>
                    <w:rPr>
                      <w:snapToGrid w:val="0"/>
                      <w:sz w:val="21"/>
                      <w:szCs w:val="21"/>
                    </w:rPr>
                  </w:pPr>
                  <w:r>
                    <w:rPr>
                      <w:sz w:val="21"/>
                      <w:szCs w:val="21"/>
                    </w:rPr>
                    <w:t>《环境空气质量标准》二级标准</w:t>
                  </w:r>
                </w:p>
              </w:tc>
              <w:tc>
                <w:tcPr>
                  <w:tcW w:w="3875" w:type="pct"/>
                  <w:gridSpan w:val="3"/>
                  <w:vAlign w:val="center"/>
                </w:tcPr>
                <w:p>
                  <w:pPr>
                    <w:adjustRightInd w:val="0"/>
                    <w:snapToGrid w:val="0"/>
                    <w:jc w:val="center"/>
                    <w:rPr>
                      <w:snapToGrid w:val="0"/>
                      <w:szCs w:val="21"/>
                    </w:rPr>
                  </w:pPr>
                  <w:r>
                    <w:rPr>
                      <w:snapToGrid w:val="0"/>
                      <w:szCs w:val="21"/>
                    </w:rPr>
                    <w:t>300</w:t>
                  </w:r>
                </w:p>
              </w:tc>
            </w:tr>
          </w:tbl>
          <w:p>
            <w:pPr>
              <w:autoSpaceDE w:val="0"/>
              <w:autoSpaceDN w:val="0"/>
              <w:adjustRightInd w:val="0"/>
              <w:snapToGrid w:val="0"/>
              <w:spacing w:line="360" w:lineRule="auto"/>
              <w:ind w:firstLine="480" w:firstLineChars="200"/>
              <w:rPr>
                <w:color w:val="000000"/>
                <w:kern w:val="0"/>
                <w:sz w:val="24"/>
              </w:rPr>
            </w:pPr>
            <w:r>
              <w:rPr>
                <w:sz w:val="24"/>
              </w:rPr>
              <w:t>由监测结果可以看出，评价区</w:t>
            </w:r>
            <w:r>
              <w:rPr>
                <w:color w:val="000000"/>
                <w:kern w:val="21"/>
                <w:sz w:val="24"/>
              </w:rPr>
              <w:t>非甲烷总烃项目地最大浓度值为0.77</w:t>
            </w:r>
            <w:r>
              <w:rPr>
                <w:color w:val="000000"/>
                <w:kern w:val="0"/>
                <w:sz w:val="24"/>
              </w:rPr>
              <w:t>mg/m</w:t>
            </w:r>
            <w:r>
              <w:rPr>
                <w:color w:val="000000"/>
                <w:kern w:val="0"/>
                <w:sz w:val="24"/>
                <w:vertAlign w:val="superscript"/>
              </w:rPr>
              <w:t>3</w:t>
            </w:r>
            <w:r>
              <w:rPr>
                <w:color w:val="000000"/>
                <w:kern w:val="0"/>
                <w:sz w:val="24"/>
              </w:rPr>
              <w:t>，</w:t>
            </w:r>
            <w:r>
              <w:rPr>
                <w:color w:val="000000"/>
                <w:kern w:val="21"/>
                <w:sz w:val="24"/>
              </w:rPr>
              <w:t>满足《大气污染物综合排放标准详解》第四章标准要求（1次值2.0mg/m</w:t>
            </w:r>
            <w:r>
              <w:rPr>
                <w:color w:val="000000"/>
                <w:kern w:val="21"/>
                <w:sz w:val="24"/>
                <w:vertAlign w:val="superscript"/>
              </w:rPr>
              <w:t>3</w:t>
            </w:r>
            <w:r>
              <w:rPr>
                <w:color w:val="000000"/>
                <w:kern w:val="21"/>
                <w:sz w:val="24"/>
              </w:rPr>
              <w:t>），</w:t>
            </w:r>
            <w:r>
              <w:rPr>
                <w:rFonts w:hint="eastAsia"/>
                <w:color w:val="000000"/>
                <w:kern w:val="21"/>
                <w:sz w:val="24"/>
              </w:rPr>
              <w:t>苯乙烯满足《环境影响评价技术导则 大气环境》（HJ 2.2-2018）附录D.1中浓度限值（1</w:t>
            </w:r>
            <w:r>
              <w:rPr>
                <w:color w:val="000000"/>
                <w:kern w:val="21"/>
                <w:sz w:val="24"/>
              </w:rPr>
              <w:t>0</w:t>
            </w:r>
            <w:r>
              <w:rPr>
                <w:snapToGrid w:val="0"/>
                <w:szCs w:val="21"/>
              </w:rPr>
              <w:t>μg /m</w:t>
            </w:r>
            <w:r>
              <w:rPr>
                <w:snapToGrid w:val="0"/>
                <w:szCs w:val="21"/>
                <w:vertAlign w:val="superscript"/>
              </w:rPr>
              <w:t>3</w:t>
            </w:r>
            <w:r>
              <w:rPr>
                <w:rFonts w:hint="eastAsia"/>
                <w:color w:val="000000"/>
                <w:kern w:val="21"/>
                <w:sz w:val="24"/>
              </w:rPr>
              <w:t>）；</w:t>
            </w:r>
            <w:r>
              <w:rPr>
                <w:rFonts w:hint="eastAsia"/>
                <w:sz w:val="24"/>
              </w:rPr>
              <w:t>总悬浮颗粒物监测值不满足《环境空气质量标准》(GB 3095-2012)中二级标准。</w:t>
            </w:r>
          </w:p>
          <w:p>
            <w:pPr>
              <w:pStyle w:val="7"/>
              <w:adjustRightInd w:val="0"/>
              <w:snapToGrid w:val="0"/>
              <w:spacing w:after="0" w:line="360" w:lineRule="auto"/>
              <w:ind w:firstLine="480" w:firstLineChars="200"/>
              <w:rPr>
                <w:b/>
                <w:bCs/>
                <w:sz w:val="24"/>
              </w:rPr>
            </w:pPr>
            <w:r>
              <w:rPr>
                <w:rFonts w:hint="eastAsia"/>
                <w:sz w:val="24"/>
              </w:rPr>
              <w:t>二</w:t>
            </w:r>
            <w:r>
              <w:rPr>
                <w:rFonts w:hint="eastAsia"/>
                <w:b/>
                <w:bCs/>
                <w:sz w:val="24"/>
              </w:rPr>
              <w:t>、声环境质量</w:t>
            </w:r>
          </w:p>
          <w:p>
            <w:pPr>
              <w:pStyle w:val="39"/>
              <w:spacing w:line="312" w:lineRule="auto"/>
              <w:ind w:firstLine="480" w:firstLineChars="200"/>
              <w:jc w:val="left"/>
              <w:rPr>
                <w:sz w:val="24"/>
                <w:szCs w:val="22"/>
              </w:rPr>
            </w:pPr>
            <w:r>
              <w:rPr>
                <w:rFonts w:hint="eastAsia"/>
                <w:sz w:val="24"/>
                <w:szCs w:val="22"/>
              </w:rPr>
              <w:t>本次噪声监测引用西安普惠环境检测技术有限公司“</w:t>
            </w:r>
            <w:r>
              <w:rPr>
                <w:sz w:val="24"/>
                <w:szCs w:val="22"/>
              </w:rPr>
              <w:t>PHJC-202007-ZH35”</w:t>
            </w:r>
            <w:r>
              <w:rPr>
                <w:rFonts w:hint="eastAsia"/>
                <w:sz w:val="24"/>
                <w:szCs w:val="22"/>
              </w:rPr>
              <w:t>，2020年7月7日~7月8日对项目周围的环境噪声进行了监测，测量仪器采用</w:t>
            </w:r>
            <w:r>
              <w:rPr>
                <w:sz w:val="24"/>
                <w:szCs w:val="24"/>
              </w:rPr>
              <w:t>AWA56</w:t>
            </w:r>
            <w:r>
              <w:rPr>
                <w:rFonts w:hint="eastAsia"/>
                <w:sz w:val="24"/>
                <w:szCs w:val="24"/>
              </w:rPr>
              <w:t>80</w:t>
            </w:r>
            <w:r>
              <w:rPr>
                <w:sz w:val="24"/>
                <w:szCs w:val="24"/>
              </w:rPr>
              <w:t>多功能声级计/PH-</w:t>
            </w:r>
            <w:r>
              <w:rPr>
                <w:rFonts w:hint="eastAsia"/>
                <w:sz w:val="24"/>
                <w:szCs w:val="24"/>
              </w:rPr>
              <w:t>033</w:t>
            </w:r>
            <w:r>
              <w:rPr>
                <w:rFonts w:hint="eastAsia"/>
                <w:sz w:val="24"/>
                <w:szCs w:val="22"/>
              </w:rPr>
              <w:t>，监测依据《声环境质量标准》（GB3096-2008）进行，分昼间、夜间两个时段进行。</w:t>
            </w:r>
          </w:p>
          <w:p>
            <w:pPr>
              <w:topLinePunct/>
              <w:autoSpaceDN w:val="0"/>
              <w:spacing w:line="360" w:lineRule="auto"/>
              <w:ind w:firstLine="480" w:firstLineChars="200"/>
              <w:rPr>
                <w:kern w:val="0"/>
                <w:sz w:val="24"/>
                <w:szCs w:val="22"/>
              </w:rPr>
            </w:pPr>
            <w:r>
              <w:rPr>
                <w:rFonts w:hint="eastAsia"/>
                <w:kern w:val="0"/>
                <w:sz w:val="24"/>
                <w:szCs w:val="22"/>
              </w:rPr>
              <w:t>（1）监测布点及时段</w:t>
            </w:r>
          </w:p>
          <w:p>
            <w:pPr>
              <w:topLinePunct/>
              <w:autoSpaceDN w:val="0"/>
              <w:spacing w:line="360" w:lineRule="auto"/>
              <w:ind w:firstLine="480" w:firstLineChars="200"/>
              <w:rPr>
                <w:kern w:val="0"/>
                <w:sz w:val="24"/>
                <w:szCs w:val="22"/>
              </w:rPr>
            </w:pPr>
            <w:r>
              <w:rPr>
                <w:rFonts w:hint="eastAsia"/>
                <w:kern w:val="0"/>
                <w:sz w:val="24"/>
                <w:szCs w:val="22"/>
              </w:rPr>
              <w:t>在项目厂址四周各</w:t>
            </w:r>
            <w:r>
              <w:rPr>
                <w:kern w:val="0"/>
                <w:sz w:val="24"/>
                <w:szCs w:val="22"/>
              </w:rPr>
              <w:t>布设1个监测点位，</w:t>
            </w:r>
            <w:r>
              <w:rPr>
                <w:rFonts w:hint="eastAsia"/>
                <w:kern w:val="0"/>
                <w:sz w:val="24"/>
                <w:szCs w:val="22"/>
              </w:rPr>
              <w:t>共布设了4个噪声监测点</w:t>
            </w:r>
            <w:r>
              <w:rPr>
                <w:kern w:val="0"/>
                <w:sz w:val="24"/>
                <w:szCs w:val="22"/>
              </w:rPr>
              <w:t>，</w:t>
            </w:r>
            <w:r>
              <w:rPr>
                <w:rFonts w:hint="eastAsia"/>
                <w:kern w:val="0"/>
                <w:sz w:val="24"/>
                <w:szCs w:val="22"/>
              </w:rPr>
              <w:t>监测依据《声环境质量标准》GB3096-2008进行，分昼间、夜间两个时段进行监测。</w:t>
            </w:r>
          </w:p>
          <w:p>
            <w:pPr>
              <w:topLinePunct/>
              <w:autoSpaceDN w:val="0"/>
              <w:spacing w:line="360" w:lineRule="auto"/>
              <w:ind w:firstLine="480" w:firstLineChars="200"/>
              <w:rPr>
                <w:kern w:val="0"/>
                <w:sz w:val="24"/>
                <w:szCs w:val="22"/>
              </w:rPr>
            </w:pPr>
            <w:bookmarkStart w:id="4" w:name="_Toc414881928"/>
            <w:bookmarkStart w:id="5" w:name="_Toc414817777"/>
            <w:bookmarkStart w:id="6" w:name="_Toc415169791"/>
            <w:r>
              <w:rPr>
                <w:rFonts w:hint="eastAsia"/>
                <w:kern w:val="0"/>
                <w:sz w:val="24"/>
                <w:szCs w:val="22"/>
              </w:rPr>
              <w:t>（2）监测结果</w:t>
            </w:r>
            <w:bookmarkEnd w:id="4"/>
            <w:bookmarkEnd w:id="5"/>
            <w:bookmarkEnd w:id="6"/>
          </w:p>
          <w:p>
            <w:pPr>
              <w:topLinePunct/>
              <w:autoSpaceDN w:val="0"/>
              <w:spacing w:line="360" w:lineRule="auto"/>
              <w:ind w:firstLine="480" w:firstLineChars="200"/>
              <w:rPr>
                <w:kern w:val="0"/>
                <w:sz w:val="24"/>
                <w:szCs w:val="22"/>
              </w:rPr>
            </w:pPr>
            <w:r>
              <w:rPr>
                <w:rFonts w:hint="eastAsia"/>
                <w:kern w:val="0"/>
                <w:sz w:val="24"/>
                <w:szCs w:val="22"/>
              </w:rPr>
              <w:t>监测于20</w:t>
            </w:r>
            <w:r>
              <w:rPr>
                <w:kern w:val="0"/>
                <w:sz w:val="24"/>
                <w:szCs w:val="22"/>
              </w:rPr>
              <w:t>20</w:t>
            </w:r>
            <w:r>
              <w:rPr>
                <w:rFonts w:hint="eastAsia"/>
                <w:kern w:val="0"/>
                <w:sz w:val="24"/>
                <w:szCs w:val="22"/>
              </w:rPr>
              <w:t>年7月28日-29日，昼、夜各监测一次，监测结果见表</w:t>
            </w:r>
            <w:r>
              <w:rPr>
                <w:kern w:val="0"/>
                <w:sz w:val="24"/>
                <w:szCs w:val="22"/>
              </w:rPr>
              <w:t>3</w:t>
            </w:r>
            <w:r>
              <w:rPr>
                <w:rFonts w:hint="eastAsia"/>
                <w:kern w:val="0"/>
                <w:sz w:val="24"/>
                <w:szCs w:val="22"/>
              </w:rPr>
              <w:t>-</w:t>
            </w:r>
            <w:r>
              <w:rPr>
                <w:kern w:val="0"/>
                <w:sz w:val="24"/>
                <w:szCs w:val="22"/>
              </w:rPr>
              <w:t>6</w:t>
            </w:r>
            <w:r>
              <w:rPr>
                <w:rFonts w:hint="eastAsia"/>
                <w:kern w:val="0"/>
                <w:sz w:val="24"/>
                <w:szCs w:val="22"/>
              </w:rPr>
              <w:t>。</w:t>
            </w:r>
          </w:p>
          <w:p>
            <w:pPr>
              <w:adjustRightInd w:val="0"/>
              <w:snapToGrid w:val="0"/>
              <w:jc w:val="center"/>
              <w:rPr>
                <w:b/>
                <w:bCs/>
                <w:sz w:val="24"/>
              </w:rPr>
            </w:pPr>
            <w:r>
              <w:rPr>
                <w:b/>
                <w:bCs/>
                <w:sz w:val="24"/>
              </w:rPr>
              <w:t>表3</w:t>
            </w:r>
            <w:r>
              <w:rPr>
                <w:rFonts w:hint="eastAsia"/>
                <w:b/>
                <w:bCs/>
                <w:sz w:val="24"/>
              </w:rPr>
              <w:t>-</w:t>
            </w:r>
            <w:r>
              <w:rPr>
                <w:b/>
                <w:bCs/>
                <w:sz w:val="24"/>
              </w:rPr>
              <w:t>6</w:t>
            </w:r>
            <w:r>
              <w:rPr>
                <w:rFonts w:hint="eastAsia"/>
                <w:b/>
                <w:bCs/>
                <w:sz w:val="24"/>
              </w:rPr>
              <w:t xml:space="preserve"> </w:t>
            </w:r>
            <w:r>
              <w:rPr>
                <w:b/>
                <w:bCs/>
                <w:sz w:val="24"/>
              </w:rPr>
              <w:t xml:space="preserve">  环境噪声监测统计结果   单位：dB（A）</w:t>
            </w:r>
          </w:p>
          <w:tbl>
            <w:tblPr>
              <w:tblStyle w:val="20"/>
              <w:tblW w:w="904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638"/>
              <w:gridCol w:w="1851"/>
              <w:gridCol w:w="1850"/>
              <w:gridCol w:w="1851"/>
              <w:gridCol w:w="185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042" w:type="dxa"/>
                  <w:gridSpan w:val="5"/>
                  <w:tcBorders>
                    <w:tl2br w:val="nil"/>
                    <w:tr2bl w:val="nil"/>
                  </w:tcBorders>
                  <w:vAlign w:val="center"/>
                </w:tcPr>
                <w:p>
                  <w:pPr>
                    <w:spacing w:line="240" w:lineRule="exact"/>
                    <w:jc w:val="center"/>
                    <w:rPr>
                      <w:szCs w:val="21"/>
                    </w:rPr>
                  </w:pPr>
                  <w:r>
                    <w:rPr>
                      <w:rFonts w:hint="eastAsia"/>
                      <w:szCs w:val="21"/>
                    </w:rPr>
                    <w:t>环境噪声监测结果（单位：</w:t>
                  </w:r>
                  <w:r>
                    <w:rPr>
                      <w:szCs w:val="21"/>
                    </w:rPr>
                    <w:t>Leq dB(A)</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38" w:type="dxa"/>
                  <w:vMerge w:val="restart"/>
                  <w:tcBorders>
                    <w:tl2br w:val="nil"/>
                    <w:tr2bl w:val="nil"/>
                  </w:tcBorders>
                  <w:vAlign w:val="center"/>
                </w:tcPr>
                <w:p>
                  <w:pPr>
                    <w:spacing w:line="240" w:lineRule="exact"/>
                    <w:jc w:val="center"/>
                    <w:rPr>
                      <w:szCs w:val="21"/>
                    </w:rPr>
                  </w:pPr>
                  <w:r>
                    <w:rPr>
                      <w:rFonts w:hint="eastAsia"/>
                      <w:szCs w:val="21"/>
                    </w:rPr>
                    <w:t>监测点位</w:t>
                  </w:r>
                </w:p>
              </w:tc>
              <w:tc>
                <w:tcPr>
                  <w:tcW w:w="3701" w:type="dxa"/>
                  <w:gridSpan w:val="2"/>
                  <w:tcBorders>
                    <w:tl2br w:val="nil"/>
                    <w:tr2bl w:val="nil"/>
                  </w:tcBorders>
                  <w:vAlign w:val="center"/>
                </w:tcPr>
                <w:p>
                  <w:pPr>
                    <w:spacing w:line="280" w:lineRule="exact"/>
                    <w:jc w:val="center"/>
                    <w:rPr>
                      <w:szCs w:val="21"/>
                    </w:rPr>
                  </w:pPr>
                  <w:r>
                    <w:rPr>
                      <w:rFonts w:hint="eastAsia"/>
                      <w:szCs w:val="21"/>
                    </w:rPr>
                    <w:t>2020年7月28日</w:t>
                  </w:r>
                </w:p>
              </w:tc>
              <w:tc>
                <w:tcPr>
                  <w:tcW w:w="3703" w:type="dxa"/>
                  <w:gridSpan w:val="2"/>
                  <w:tcBorders>
                    <w:tl2br w:val="nil"/>
                    <w:tr2bl w:val="nil"/>
                  </w:tcBorders>
                  <w:vAlign w:val="center"/>
                </w:tcPr>
                <w:p>
                  <w:pPr>
                    <w:spacing w:line="280" w:lineRule="exact"/>
                    <w:jc w:val="center"/>
                    <w:rPr>
                      <w:szCs w:val="21"/>
                    </w:rPr>
                  </w:pPr>
                  <w:r>
                    <w:rPr>
                      <w:rFonts w:hint="eastAsia"/>
                      <w:szCs w:val="21"/>
                    </w:rPr>
                    <w:t>2020年7月29日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38" w:type="dxa"/>
                  <w:vMerge w:val="continue"/>
                  <w:tcBorders>
                    <w:tl2br w:val="nil"/>
                    <w:tr2bl w:val="nil"/>
                  </w:tcBorders>
                  <w:vAlign w:val="center"/>
                </w:tcPr>
                <w:p>
                  <w:pPr>
                    <w:spacing w:line="240" w:lineRule="exact"/>
                    <w:jc w:val="center"/>
                    <w:rPr>
                      <w:szCs w:val="21"/>
                    </w:rPr>
                  </w:pPr>
                </w:p>
              </w:tc>
              <w:tc>
                <w:tcPr>
                  <w:tcW w:w="1851" w:type="dxa"/>
                  <w:tcBorders>
                    <w:tl2br w:val="nil"/>
                    <w:tr2bl w:val="nil"/>
                  </w:tcBorders>
                  <w:vAlign w:val="center"/>
                </w:tcPr>
                <w:p>
                  <w:pPr>
                    <w:spacing w:line="240" w:lineRule="exact"/>
                    <w:jc w:val="center"/>
                    <w:rPr>
                      <w:szCs w:val="21"/>
                    </w:rPr>
                  </w:pPr>
                  <w:r>
                    <w:rPr>
                      <w:szCs w:val="21"/>
                    </w:rPr>
                    <w:t>昼间</w:t>
                  </w:r>
                </w:p>
              </w:tc>
              <w:tc>
                <w:tcPr>
                  <w:tcW w:w="1850" w:type="dxa"/>
                  <w:tcBorders>
                    <w:tl2br w:val="nil"/>
                    <w:tr2bl w:val="nil"/>
                  </w:tcBorders>
                  <w:vAlign w:val="center"/>
                </w:tcPr>
                <w:p>
                  <w:pPr>
                    <w:spacing w:line="240" w:lineRule="exact"/>
                    <w:jc w:val="center"/>
                    <w:rPr>
                      <w:szCs w:val="21"/>
                    </w:rPr>
                  </w:pPr>
                  <w:r>
                    <w:rPr>
                      <w:rFonts w:hint="eastAsia"/>
                      <w:szCs w:val="21"/>
                    </w:rPr>
                    <w:t>夜</w:t>
                  </w:r>
                  <w:r>
                    <w:rPr>
                      <w:szCs w:val="21"/>
                    </w:rPr>
                    <w:t>间</w:t>
                  </w:r>
                </w:p>
              </w:tc>
              <w:tc>
                <w:tcPr>
                  <w:tcW w:w="1851" w:type="dxa"/>
                  <w:tcBorders>
                    <w:tl2br w:val="nil"/>
                    <w:tr2bl w:val="nil"/>
                  </w:tcBorders>
                  <w:vAlign w:val="center"/>
                </w:tcPr>
                <w:p>
                  <w:pPr>
                    <w:spacing w:line="240" w:lineRule="exact"/>
                    <w:jc w:val="center"/>
                    <w:rPr>
                      <w:szCs w:val="21"/>
                    </w:rPr>
                  </w:pPr>
                  <w:r>
                    <w:rPr>
                      <w:szCs w:val="21"/>
                    </w:rPr>
                    <w:t>昼间</w:t>
                  </w:r>
                </w:p>
              </w:tc>
              <w:tc>
                <w:tcPr>
                  <w:tcW w:w="1852" w:type="dxa"/>
                  <w:tcBorders>
                    <w:tl2br w:val="nil"/>
                    <w:tr2bl w:val="nil"/>
                  </w:tcBorders>
                  <w:vAlign w:val="center"/>
                </w:tcPr>
                <w:p>
                  <w:pPr>
                    <w:spacing w:line="240" w:lineRule="exact"/>
                    <w:jc w:val="center"/>
                    <w:rPr>
                      <w:szCs w:val="21"/>
                    </w:rPr>
                  </w:pPr>
                  <w:r>
                    <w:rPr>
                      <w:rFonts w:hint="eastAsia"/>
                      <w:szCs w:val="21"/>
                    </w:rPr>
                    <w:t>夜</w:t>
                  </w:r>
                  <w:r>
                    <w:rPr>
                      <w:szCs w:val="21"/>
                    </w:rPr>
                    <w:t>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38" w:type="dxa"/>
                  <w:tcBorders>
                    <w:tl2br w:val="nil"/>
                    <w:tr2bl w:val="nil"/>
                  </w:tcBorders>
                  <w:vAlign w:val="center"/>
                </w:tcPr>
                <w:p>
                  <w:pPr>
                    <w:spacing w:line="240" w:lineRule="exact"/>
                    <w:jc w:val="center"/>
                    <w:rPr>
                      <w:szCs w:val="21"/>
                    </w:rPr>
                  </w:pPr>
                  <w:r>
                    <w:rPr>
                      <w:rFonts w:hint="eastAsia"/>
                      <w:szCs w:val="21"/>
                    </w:rPr>
                    <w:t>1#厂界东</w:t>
                  </w:r>
                </w:p>
              </w:tc>
              <w:tc>
                <w:tcPr>
                  <w:tcW w:w="1851" w:type="dxa"/>
                  <w:tcBorders>
                    <w:tl2br w:val="nil"/>
                    <w:tr2bl w:val="nil"/>
                  </w:tcBorders>
                  <w:vAlign w:val="center"/>
                </w:tcPr>
                <w:p>
                  <w:pPr>
                    <w:spacing w:line="288" w:lineRule="auto"/>
                    <w:jc w:val="center"/>
                    <w:rPr>
                      <w:szCs w:val="21"/>
                    </w:rPr>
                  </w:pPr>
                  <w:r>
                    <w:rPr>
                      <w:rFonts w:hint="eastAsia"/>
                      <w:szCs w:val="21"/>
                    </w:rPr>
                    <w:t>54</w:t>
                  </w:r>
                </w:p>
              </w:tc>
              <w:tc>
                <w:tcPr>
                  <w:tcW w:w="1850" w:type="dxa"/>
                  <w:tcBorders>
                    <w:tl2br w:val="nil"/>
                    <w:tr2bl w:val="nil"/>
                  </w:tcBorders>
                  <w:vAlign w:val="center"/>
                </w:tcPr>
                <w:p>
                  <w:pPr>
                    <w:widowControl/>
                    <w:spacing w:before="100" w:beforeAutospacing="1" w:after="100" w:afterAutospacing="1" w:line="288" w:lineRule="auto"/>
                    <w:jc w:val="center"/>
                    <w:rPr>
                      <w:szCs w:val="21"/>
                    </w:rPr>
                  </w:pPr>
                  <w:r>
                    <w:rPr>
                      <w:rFonts w:hint="eastAsia"/>
                      <w:szCs w:val="21"/>
                    </w:rPr>
                    <w:t>45</w:t>
                  </w:r>
                </w:p>
              </w:tc>
              <w:tc>
                <w:tcPr>
                  <w:tcW w:w="1851" w:type="dxa"/>
                  <w:tcBorders>
                    <w:tl2br w:val="nil"/>
                    <w:tr2bl w:val="nil"/>
                  </w:tcBorders>
                  <w:vAlign w:val="center"/>
                </w:tcPr>
                <w:p>
                  <w:pPr>
                    <w:spacing w:line="288" w:lineRule="auto"/>
                    <w:jc w:val="center"/>
                    <w:rPr>
                      <w:szCs w:val="21"/>
                    </w:rPr>
                  </w:pPr>
                  <w:r>
                    <w:rPr>
                      <w:rFonts w:hint="eastAsia"/>
                      <w:szCs w:val="21"/>
                    </w:rPr>
                    <w:t>54</w:t>
                  </w:r>
                </w:p>
              </w:tc>
              <w:tc>
                <w:tcPr>
                  <w:tcW w:w="1852" w:type="dxa"/>
                  <w:tcBorders>
                    <w:tl2br w:val="nil"/>
                    <w:tr2bl w:val="nil"/>
                  </w:tcBorders>
                  <w:vAlign w:val="center"/>
                </w:tcPr>
                <w:p>
                  <w:pPr>
                    <w:widowControl/>
                    <w:spacing w:before="100" w:beforeAutospacing="1" w:after="100" w:afterAutospacing="1" w:line="288" w:lineRule="auto"/>
                    <w:jc w:val="center"/>
                    <w:rPr>
                      <w:szCs w:val="21"/>
                    </w:rPr>
                  </w:pPr>
                  <w:r>
                    <w:rPr>
                      <w:rFonts w:hint="eastAsia"/>
                      <w:szCs w:val="21"/>
                    </w:rPr>
                    <w:t>44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38" w:type="dxa"/>
                  <w:tcBorders>
                    <w:tl2br w:val="nil"/>
                    <w:tr2bl w:val="nil"/>
                  </w:tcBorders>
                  <w:vAlign w:val="center"/>
                </w:tcPr>
                <w:p>
                  <w:pPr>
                    <w:spacing w:line="240" w:lineRule="exact"/>
                    <w:jc w:val="center"/>
                    <w:rPr>
                      <w:szCs w:val="21"/>
                    </w:rPr>
                  </w:pPr>
                  <w:r>
                    <w:rPr>
                      <w:rFonts w:hint="eastAsia"/>
                      <w:szCs w:val="21"/>
                    </w:rPr>
                    <w:t>2#厂界南</w:t>
                  </w:r>
                </w:p>
              </w:tc>
              <w:tc>
                <w:tcPr>
                  <w:tcW w:w="1851" w:type="dxa"/>
                  <w:tcBorders>
                    <w:tl2br w:val="nil"/>
                    <w:tr2bl w:val="nil"/>
                  </w:tcBorders>
                  <w:vAlign w:val="center"/>
                </w:tcPr>
                <w:p>
                  <w:pPr>
                    <w:spacing w:line="288" w:lineRule="auto"/>
                    <w:jc w:val="center"/>
                    <w:rPr>
                      <w:szCs w:val="21"/>
                    </w:rPr>
                  </w:pPr>
                  <w:r>
                    <w:rPr>
                      <w:rFonts w:hint="eastAsia"/>
                      <w:szCs w:val="21"/>
                    </w:rPr>
                    <w:t>51</w:t>
                  </w:r>
                </w:p>
              </w:tc>
              <w:tc>
                <w:tcPr>
                  <w:tcW w:w="1850" w:type="dxa"/>
                  <w:tcBorders>
                    <w:tl2br w:val="nil"/>
                    <w:tr2bl w:val="nil"/>
                  </w:tcBorders>
                  <w:vAlign w:val="center"/>
                </w:tcPr>
                <w:p>
                  <w:pPr>
                    <w:widowControl/>
                    <w:spacing w:before="100" w:beforeAutospacing="1" w:after="100" w:afterAutospacing="1" w:line="288" w:lineRule="auto"/>
                    <w:jc w:val="center"/>
                    <w:rPr>
                      <w:szCs w:val="21"/>
                    </w:rPr>
                  </w:pPr>
                  <w:r>
                    <w:rPr>
                      <w:rFonts w:hint="eastAsia"/>
                      <w:szCs w:val="21"/>
                    </w:rPr>
                    <w:t>43</w:t>
                  </w:r>
                </w:p>
              </w:tc>
              <w:tc>
                <w:tcPr>
                  <w:tcW w:w="1851" w:type="dxa"/>
                  <w:tcBorders>
                    <w:tl2br w:val="nil"/>
                    <w:tr2bl w:val="nil"/>
                  </w:tcBorders>
                  <w:vAlign w:val="center"/>
                </w:tcPr>
                <w:p>
                  <w:pPr>
                    <w:spacing w:line="288" w:lineRule="auto"/>
                    <w:jc w:val="center"/>
                    <w:rPr>
                      <w:szCs w:val="21"/>
                    </w:rPr>
                  </w:pPr>
                  <w:r>
                    <w:rPr>
                      <w:rFonts w:hint="eastAsia"/>
                      <w:szCs w:val="21"/>
                    </w:rPr>
                    <w:t>52</w:t>
                  </w:r>
                </w:p>
              </w:tc>
              <w:tc>
                <w:tcPr>
                  <w:tcW w:w="1852" w:type="dxa"/>
                  <w:tcBorders>
                    <w:tl2br w:val="nil"/>
                    <w:tr2bl w:val="nil"/>
                  </w:tcBorders>
                  <w:vAlign w:val="center"/>
                </w:tcPr>
                <w:p>
                  <w:pPr>
                    <w:widowControl/>
                    <w:spacing w:before="100" w:beforeAutospacing="1" w:after="100" w:afterAutospacing="1" w:line="288" w:lineRule="auto"/>
                    <w:jc w:val="center"/>
                    <w:rPr>
                      <w:szCs w:val="21"/>
                    </w:rPr>
                  </w:pPr>
                  <w:r>
                    <w:rPr>
                      <w:rFonts w:hint="eastAsia"/>
                      <w:szCs w:val="21"/>
                    </w:rPr>
                    <w:t>42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38" w:type="dxa"/>
                  <w:tcBorders>
                    <w:tl2br w:val="nil"/>
                    <w:tr2bl w:val="nil"/>
                  </w:tcBorders>
                  <w:vAlign w:val="center"/>
                </w:tcPr>
                <w:p>
                  <w:pPr>
                    <w:spacing w:line="240" w:lineRule="exact"/>
                    <w:jc w:val="center"/>
                    <w:rPr>
                      <w:szCs w:val="21"/>
                    </w:rPr>
                  </w:pPr>
                  <w:r>
                    <w:rPr>
                      <w:rFonts w:hint="eastAsia"/>
                      <w:szCs w:val="21"/>
                    </w:rPr>
                    <w:t>3#厂界西</w:t>
                  </w:r>
                </w:p>
              </w:tc>
              <w:tc>
                <w:tcPr>
                  <w:tcW w:w="1851" w:type="dxa"/>
                  <w:tcBorders>
                    <w:tl2br w:val="nil"/>
                    <w:tr2bl w:val="nil"/>
                  </w:tcBorders>
                  <w:vAlign w:val="center"/>
                </w:tcPr>
                <w:p>
                  <w:pPr>
                    <w:spacing w:line="288" w:lineRule="auto"/>
                    <w:jc w:val="center"/>
                    <w:rPr>
                      <w:szCs w:val="21"/>
                    </w:rPr>
                  </w:pPr>
                  <w:r>
                    <w:rPr>
                      <w:rFonts w:hint="eastAsia"/>
                      <w:szCs w:val="21"/>
                    </w:rPr>
                    <w:t>52</w:t>
                  </w:r>
                </w:p>
              </w:tc>
              <w:tc>
                <w:tcPr>
                  <w:tcW w:w="1850" w:type="dxa"/>
                  <w:tcBorders>
                    <w:tl2br w:val="nil"/>
                    <w:tr2bl w:val="nil"/>
                  </w:tcBorders>
                  <w:vAlign w:val="center"/>
                </w:tcPr>
                <w:p>
                  <w:pPr>
                    <w:widowControl/>
                    <w:spacing w:before="100" w:beforeAutospacing="1" w:after="100" w:afterAutospacing="1" w:line="288" w:lineRule="auto"/>
                    <w:jc w:val="center"/>
                    <w:rPr>
                      <w:szCs w:val="21"/>
                    </w:rPr>
                  </w:pPr>
                  <w:r>
                    <w:rPr>
                      <w:rFonts w:hint="eastAsia"/>
                      <w:szCs w:val="21"/>
                    </w:rPr>
                    <w:t>43</w:t>
                  </w:r>
                </w:p>
              </w:tc>
              <w:tc>
                <w:tcPr>
                  <w:tcW w:w="1851" w:type="dxa"/>
                  <w:tcBorders>
                    <w:tl2br w:val="nil"/>
                    <w:tr2bl w:val="nil"/>
                  </w:tcBorders>
                  <w:vAlign w:val="center"/>
                </w:tcPr>
                <w:p>
                  <w:pPr>
                    <w:spacing w:line="288" w:lineRule="auto"/>
                    <w:jc w:val="center"/>
                    <w:rPr>
                      <w:szCs w:val="21"/>
                    </w:rPr>
                  </w:pPr>
                  <w:r>
                    <w:rPr>
                      <w:rFonts w:hint="eastAsia"/>
                      <w:szCs w:val="21"/>
                    </w:rPr>
                    <w:t>53</w:t>
                  </w:r>
                </w:p>
              </w:tc>
              <w:tc>
                <w:tcPr>
                  <w:tcW w:w="1852" w:type="dxa"/>
                  <w:tcBorders>
                    <w:tl2br w:val="nil"/>
                    <w:tr2bl w:val="nil"/>
                  </w:tcBorders>
                  <w:vAlign w:val="center"/>
                </w:tcPr>
                <w:p>
                  <w:pPr>
                    <w:widowControl/>
                    <w:spacing w:before="100" w:beforeAutospacing="1" w:after="100" w:afterAutospacing="1" w:line="288" w:lineRule="auto"/>
                    <w:jc w:val="center"/>
                    <w:rPr>
                      <w:szCs w:val="21"/>
                    </w:rPr>
                  </w:pPr>
                  <w:r>
                    <w:rPr>
                      <w:rFonts w:hint="eastAsia"/>
                      <w:szCs w:val="21"/>
                    </w:rPr>
                    <w:t>44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38" w:type="dxa"/>
                  <w:tcBorders>
                    <w:tl2br w:val="nil"/>
                    <w:tr2bl w:val="nil"/>
                  </w:tcBorders>
                  <w:vAlign w:val="center"/>
                </w:tcPr>
                <w:p>
                  <w:pPr>
                    <w:spacing w:line="240" w:lineRule="exact"/>
                    <w:jc w:val="center"/>
                    <w:rPr>
                      <w:szCs w:val="21"/>
                    </w:rPr>
                  </w:pPr>
                  <w:r>
                    <w:rPr>
                      <w:rFonts w:hint="eastAsia"/>
                      <w:szCs w:val="21"/>
                    </w:rPr>
                    <w:t>4#厂界北</w:t>
                  </w:r>
                </w:p>
              </w:tc>
              <w:tc>
                <w:tcPr>
                  <w:tcW w:w="1851" w:type="dxa"/>
                  <w:tcBorders>
                    <w:tl2br w:val="nil"/>
                    <w:tr2bl w:val="nil"/>
                  </w:tcBorders>
                  <w:vAlign w:val="center"/>
                </w:tcPr>
                <w:p>
                  <w:pPr>
                    <w:spacing w:line="288" w:lineRule="auto"/>
                    <w:jc w:val="center"/>
                    <w:rPr>
                      <w:szCs w:val="21"/>
                    </w:rPr>
                  </w:pPr>
                  <w:r>
                    <w:rPr>
                      <w:rFonts w:hint="eastAsia"/>
                      <w:szCs w:val="21"/>
                    </w:rPr>
                    <w:t>53</w:t>
                  </w:r>
                </w:p>
              </w:tc>
              <w:tc>
                <w:tcPr>
                  <w:tcW w:w="1850" w:type="dxa"/>
                  <w:tcBorders>
                    <w:tl2br w:val="nil"/>
                    <w:tr2bl w:val="nil"/>
                  </w:tcBorders>
                  <w:vAlign w:val="center"/>
                </w:tcPr>
                <w:p>
                  <w:pPr>
                    <w:widowControl/>
                    <w:spacing w:before="100" w:beforeAutospacing="1" w:after="100" w:afterAutospacing="1" w:line="288" w:lineRule="auto"/>
                    <w:jc w:val="center"/>
                    <w:rPr>
                      <w:szCs w:val="21"/>
                    </w:rPr>
                  </w:pPr>
                  <w:r>
                    <w:rPr>
                      <w:rFonts w:hint="eastAsia"/>
                      <w:szCs w:val="21"/>
                    </w:rPr>
                    <w:t>44</w:t>
                  </w:r>
                </w:p>
              </w:tc>
              <w:tc>
                <w:tcPr>
                  <w:tcW w:w="1851" w:type="dxa"/>
                  <w:tcBorders>
                    <w:tl2br w:val="nil"/>
                    <w:tr2bl w:val="nil"/>
                  </w:tcBorders>
                  <w:vAlign w:val="center"/>
                </w:tcPr>
                <w:p>
                  <w:pPr>
                    <w:spacing w:line="288" w:lineRule="auto"/>
                    <w:jc w:val="center"/>
                    <w:rPr>
                      <w:szCs w:val="21"/>
                    </w:rPr>
                  </w:pPr>
                  <w:r>
                    <w:rPr>
                      <w:rFonts w:hint="eastAsia"/>
                      <w:szCs w:val="21"/>
                    </w:rPr>
                    <w:t>52</w:t>
                  </w:r>
                </w:p>
              </w:tc>
              <w:tc>
                <w:tcPr>
                  <w:tcW w:w="1852" w:type="dxa"/>
                  <w:tcBorders>
                    <w:tl2br w:val="nil"/>
                    <w:tr2bl w:val="nil"/>
                  </w:tcBorders>
                  <w:vAlign w:val="center"/>
                </w:tcPr>
                <w:p>
                  <w:pPr>
                    <w:widowControl/>
                    <w:spacing w:before="100" w:beforeAutospacing="1" w:after="100" w:afterAutospacing="1" w:line="288" w:lineRule="auto"/>
                    <w:jc w:val="center"/>
                    <w:rPr>
                      <w:szCs w:val="21"/>
                    </w:rPr>
                  </w:pPr>
                  <w:r>
                    <w:rPr>
                      <w:rFonts w:hint="eastAsia"/>
                      <w:szCs w:val="21"/>
                    </w:rPr>
                    <w:t>43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4" w:hRule="atLeast"/>
                <w:jc w:val="center"/>
              </w:trPr>
              <w:tc>
                <w:tcPr>
                  <w:tcW w:w="1638" w:type="dxa"/>
                  <w:tcBorders>
                    <w:tl2br w:val="nil"/>
                    <w:tr2bl w:val="nil"/>
                  </w:tcBorders>
                  <w:vAlign w:val="center"/>
                </w:tcPr>
                <w:p>
                  <w:pPr>
                    <w:spacing w:line="240" w:lineRule="exact"/>
                    <w:jc w:val="center"/>
                    <w:rPr>
                      <w:szCs w:val="21"/>
                    </w:rPr>
                  </w:pPr>
                  <w:r>
                    <w:rPr>
                      <w:rFonts w:hint="eastAsia"/>
                      <w:szCs w:val="21"/>
                    </w:rPr>
                    <w:t>标准</w:t>
                  </w:r>
                </w:p>
              </w:tc>
              <w:tc>
                <w:tcPr>
                  <w:tcW w:w="7404" w:type="dxa"/>
                  <w:gridSpan w:val="4"/>
                  <w:tcBorders>
                    <w:tl2br w:val="nil"/>
                    <w:tr2bl w:val="nil"/>
                  </w:tcBorders>
                  <w:vAlign w:val="center"/>
                </w:tcPr>
                <w:p>
                  <w:pPr>
                    <w:adjustRightInd w:val="0"/>
                    <w:snapToGrid w:val="0"/>
                    <w:jc w:val="center"/>
                    <w:rPr>
                      <w:color w:val="000000" w:themeColor="text1"/>
                      <w:spacing w:val="-6"/>
                      <w:szCs w:val="21"/>
                      <w14:textFill>
                        <w14:solidFill>
                          <w14:schemeClr w14:val="tx1"/>
                        </w14:solidFill>
                      </w14:textFill>
                    </w:rPr>
                  </w:pPr>
                  <w:r>
                    <w:rPr>
                      <w:rFonts w:hint="eastAsia"/>
                      <w:kern w:val="0"/>
                      <w:szCs w:val="21"/>
                    </w:rPr>
                    <w:t>执行</w:t>
                  </w:r>
                  <w:r>
                    <w:rPr>
                      <w:color w:val="000000" w:themeColor="text1"/>
                      <w:spacing w:val="-6"/>
                      <w:szCs w:val="21"/>
                      <w14:textFill>
                        <w14:solidFill>
                          <w14:schemeClr w14:val="tx1"/>
                        </w14:solidFill>
                      </w14:textFill>
                    </w:rPr>
                    <w:t>《声环境质量标准》（GB3096-2008）2类</w:t>
                  </w:r>
                  <w:r>
                    <w:rPr>
                      <w:color w:val="000000" w:themeColor="text1"/>
                      <w:szCs w:val="21"/>
                      <w14:textFill>
                        <w14:solidFill>
                          <w14:schemeClr w14:val="tx1"/>
                        </w14:solidFill>
                      </w14:textFill>
                    </w:rPr>
                    <w:t>[60dB(A)，夜间50dB(A)]</w:t>
                  </w:r>
                </w:p>
              </w:tc>
            </w:tr>
          </w:tbl>
          <w:p>
            <w:pPr>
              <w:topLinePunct/>
              <w:autoSpaceDN w:val="0"/>
              <w:spacing w:line="360" w:lineRule="auto"/>
              <w:ind w:firstLine="480" w:firstLineChars="200"/>
            </w:pPr>
            <w:r>
              <w:rPr>
                <w:rFonts w:hint="eastAsia"/>
                <w:kern w:val="0"/>
                <w:sz w:val="24"/>
                <w:szCs w:val="22"/>
              </w:rPr>
              <w:t>由表</w:t>
            </w:r>
            <w:r>
              <w:rPr>
                <w:kern w:val="0"/>
                <w:sz w:val="24"/>
                <w:szCs w:val="22"/>
              </w:rPr>
              <w:t>3</w:t>
            </w:r>
            <w:r>
              <w:rPr>
                <w:rFonts w:hint="eastAsia"/>
                <w:kern w:val="0"/>
                <w:sz w:val="24"/>
                <w:szCs w:val="22"/>
              </w:rPr>
              <w:t>-</w:t>
            </w:r>
            <w:r>
              <w:rPr>
                <w:kern w:val="0"/>
                <w:sz w:val="24"/>
                <w:szCs w:val="22"/>
              </w:rPr>
              <w:t>6</w:t>
            </w:r>
            <w:r>
              <w:rPr>
                <w:rFonts w:hint="eastAsia"/>
                <w:kern w:val="0"/>
                <w:sz w:val="24"/>
                <w:szCs w:val="22"/>
              </w:rPr>
              <w:t>监测结果可知，本项目所在地昼间和夜间厂界四周噪声监测均满足《声环境质量标准》（GB3096-2008）2类标准标准。</w:t>
            </w:r>
          </w:p>
          <w:p>
            <w:pPr>
              <w:pStyle w:val="7"/>
              <w:spacing w:line="360" w:lineRule="auto"/>
              <w:rPr>
                <w:b/>
                <w:bCs/>
                <w:sz w:val="24"/>
              </w:rPr>
            </w:pPr>
            <w:r>
              <w:rPr>
                <w:b/>
                <w:bCs/>
                <w:sz w:val="24"/>
              </w:rPr>
              <w:t>主要环境保护目标(列出名单及保护级别)：</w:t>
            </w:r>
          </w:p>
          <w:p>
            <w:pPr>
              <w:topLinePunct/>
              <w:autoSpaceDN w:val="0"/>
              <w:spacing w:line="360" w:lineRule="auto"/>
              <w:ind w:firstLine="480" w:firstLineChars="200"/>
              <w:rPr>
                <w:kern w:val="0"/>
                <w:sz w:val="24"/>
                <w:szCs w:val="22"/>
              </w:rPr>
            </w:pPr>
            <w:r>
              <w:rPr>
                <w:rFonts w:hint="eastAsia"/>
                <w:kern w:val="0"/>
                <w:sz w:val="24"/>
                <w:szCs w:val="22"/>
              </w:rPr>
              <w:t>根据本项目的排污特点和周围的环境特征，确定了本次评价控制污染的主要内容与环境保护目标，主要环境保护目标见表</w:t>
            </w:r>
            <w:r>
              <w:rPr>
                <w:kern w:val="0"/>
                <w:sz w:val="24"/>
                <w:szCs w:val="22"/>
              </w:rPr>
              <w:t>3</w:t>
            </w:r>
            <w:r>
              <w:rPr>
                <w:rFonts w:hint="eastAsia"/>
                <w:kern w:val="0"/>
                <w:sz w:val="24"/>
                <w:szCs w:val="22"/>
              </w:rPr>
              <w:t>-</w:t>
            </w:r>
            <w:r>
              <w:rPr>
                <w:kern w:val="0"/>
                <w:sz w:val="24"/>
                <w:szCs w:val="22"/>
              </w:rPr>
              <w:t>7</w:t>
            </w:r>
            <w:r>
              <w:rPr>
                <w:rFonts w:hint="eastAsia"/>
                <w:kern w:val="0"/>
                <w:sz w:val="24"/>
                <w:szCs w:val="22"/>
              </w:rPr>
              <w:t>。</w:t>
            </w:r>
          </w:p>
          <w:p>
            <w:pPr>
              <w:adjustRightInd w:val="0"/>
              <w:snapToGrid w:val="0"/>
              <w:spacing w:line="360" w:lineRule="auto"/>
              <w:jc w:val="center"/>
              <w:rPr>
                <w:sz w:val="24"/>
              </w:rPr>
            </w:pPr>
            <w:r>
              <w:rPr>
                <w:rFonts w:hint="eastAsia"/>
                <w:b/>
                <w:bCs/>
                <w:sz w:val="24"/>
              </w:rPr>
              <w:t>表</w:t>
            </w:r>
            <w:r>
              <w:rPr>
                <w:b/>
                <w:bCs/>
                <w:sz w:val="24"/>
              </w:rPr>
              <w:t>3</w:t>
            </w:r>
            <w:r>
              <w:rPr>
                <w:rFonts w:hint="eastAsia"/>
                <w:b/>
                <w:bCs/>
                <w:sz w:val="24"/>
              </w:rPr>
              <w:t>-</w:t>
            </w:r>
            <w:r>
              <w:rPr>
                <w:b/>
                <w:bCs/>
                <w:sz w:val="24"/>
              </w:rPr>
              <w:t xml:space="preserve">7 </w:t>
            </w:r>
            <w:r>
              <w:rPr>
                <w:rFonts w:hint="eastAsia"/>
                <w:b/>
                <w:bCs/>
                <w:sz w:val="24"/>
              </w:rPr>
              <w:t xml:space="preserve">  </w:t>
            </w:r>
            <w:r>
              <w:rPr>
                <w:b/>
                <w:bCs/>
                <w:sz w:val="24"/>
              </w:rPr>
              <w:t>主要环境保护目标及保护级别</w:t>
            </w:r>
            <w:r>
              <w:rPr>
                <w:rFonts w:hint="eastAsia"/>
                <w:b/>
                <w:bCs/>
                <w:sz w:val="24"/>
              </w:rPr>
              <w:t>（坐标原点为企业中心坐标）</w:t>
            </w:r>
          </w:p>
          <w:tbl>
            <w:tblPr>
              <w:tblStyle w:val="20"/>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1" w:type="dxa"/>
                <w:bottom w:w="0" w:type="dxa"/>
                <w:right w:w="11" w:type="dxa"/>
              </w:tblCellMar>
            </w:tblPr>
            <w:tblGrid>
              <w:gridCol w:w="650"/>
              <w:gridCol w:w="1145"/>
              <w:gridCol w:w="1104"/>
              <w:gridCol w:w="1371"/>
              <w:gridCol w:w="905"/>
              <w:gridCol w:w="1395"/>
              <w:gridCol w:w="739"/>
              <w:gridCol w:w="739"/>
              <w:gridCol w:w="9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60" w:type="pct"/>
                  <w:vMerge w:val="restart"/>
                  <w:tcBorders>
                    <w:tl2br w:val="nil"/>
                    <w:tr2bl w:val="nil"/>
                  </w:tcBorders>
                  <w:vAlign w:val="center"/>
                </w:tcPr>
                <w:p>
                  <w:pPr>
                    <w:adjustRightInd w:val="0"/>
                    <w:snapToGrid w:val="0"/>
                    <w:ind w:right="-63" w:rightChars="-30"/>
                    <w:jc w:val="center"/>
                    <w:rPr>
                      <w:b/>
                      <w:color w:val="00B0F0"/>
                      <w:szCs w:val="21"/>
                    </w:rPr>
                  </w:pPr>
                  <w:r>
                    <w:rPr>
                      <w:b/>
                      <w:color w:val="00B0F0"/>
                      <w:szCs w:val="21"/>
                    </w:rPr>
                    <w:t>环境</w:t>
                  </w:r>
                </w:p>
                <w:p>
                  <w:pPr>
                    <w:adjustRightInd w:val="0"/>
                    <w:snapToGrid w:val="0"/>
                    <w:ind w:right="-63" w:rightChars="-30"/>
                    <w:jc w:val="center"/>
                    <w:rPr>
                      <w:b/>
                      <w:color w:val="00B0F0"/>
                      <w:szCs w:val="21"/>
                    </w:rPr>
                  </w:pPr>
                  <w:r>
                    <w:rPr>
                      <w:b/>
                      <w:color w:val="00B0F0"/>
                      <w:szCs w:val="21"/>
                    </w:rPr>
                    <w:t>要素</w:t>
                  </w:r>
                </w:p>
              </w:tc>
              <w:tc>
                <w:tcPr>
                  <w:tcW w:w="634" w:type="pct"/>
                  <w:vMerge w:val="restart"/>
                  <w:tcBorders>
                    <w:tl2br w:val="nil"/>
                    <w:tr2bl w:val="nil"/>
                  </w:tcBorders>
                  <w:vAlign w:val="center"/>
                </w:tcPr>
                <w:p>
                  <w:pPr>
                    <w:adjustRightInd w:val="0"/>
                    <w:snapToGrid w:val="0"/>
                    <w:ind w:right="-63" w:rightChars="-30"/>
                    <w:jc w:val="center"/>
                    <w:rPr>
                      <w:b/>
                      <w:color w:val="00B0F0"/>
                      <w:szCs w:val="21"/>
                    </w:rPr>
                  </w:pPr>
                  <w:r>
                    <w:rPr>
                      <w:b/>
                      <w:color w:val="00B0F0"/>
                      <w:szCs w:val="21"/>
                    </w:rPr>
                    <w:t>名称</w:t>
                  </w:r>
                </w:p>
              </w:tc>
              <w:tc>
                <w:tcPr>
                  <w:tcW w:w="1370" w:type="pct"/>
                  <w:gridSpan w:val="2"/>
                  <w:tcBorders>
                    <w:tl2br w:val="nil"/>
                    <w:tr2bl w:val="nil"/>
                  </w:tcBorders>
                  <w:vAlign w:val="center"/>
                </w:tcPr>
                <w:p>
                  <w:pPr>
                    <w:adjustRightInd w:val="0"/>
                    <w:snapToGrid w:val="0"/>
                    <w:ind w:right="-63" w:rightChars="-30"/>
                    <w:jc w:val="center"/>
                    <w:rPr>
                      <w:b/>
                      <w:color w:val="00B0F0"/>
                      <w:szCs w:val="21"/>
                    </w:rPr>
                  </w:pPr>
                  <w:r>
                    <w:rPr>
                      <w:b/>
                      <w:color w:val="00B0F0"/>
                      <w:szCs w:val="21"/>
                    </w:rPr>
                    <w:t>距离项目最近点坐标/m</w:t>
                  </w:r>
                </w:p>
              </w:tc>
              <w:tc>
                <w:tcPr>
                  <w:tcW w:w="501" w:type="pct"/>
                  <w:vMerge w:val="restart"/>
                  <w:tcBorders>
                    <w:tl2br w:val="nil"/>
                    <w:tr2bl w:val="nil"/>
                  </w:tcBorders>
                  <w:vAlign w:val="center"/>
                </w:tcPr>
                <w:p>
                  <w:pPr>
                    <w:adjustRightInd w:val="0"/>
                    <w:snapToGrid w:val="0"/>
                    <w:ind w:right="-63" w:rightChars="-30"/>
                    <w:jc w:val="center"/>
                    <w:rPr>
                      <w:b/>
                      <w:color w:val="00B0F0"/>
                      <w:szCs w:val="21"/>
                    </w:rPr>
                  </w:pPr>
                  <w:r>
                    <w:rPr>
                      <w:b/>
                      <w:color w:val="00B0F0"/>
                      <w:szCs w:val="21"/>
                    </w:rPr>
                    <w:t>保护</w:t>
                  </w:r>
                </w:p>
                <w:p>
                  <w:pPr>
                    <w:adjustRightInd w:val="0"/>
                    <w:snapToGrid w:val="0"/>
                    <w:ind w:right="-63" w:rightChars="-30"/>
                    <w:jc w:val="center"/>
                    <w:rPr>
                      <w:b/>
                      <w:color w:val="00B0F0"/>
                      <w:szCs w:val="21"/>
                    </w:rPr>
                  </w:pPr>
                  <w:r>
                    <w:rPr>
                      <w:rFonts w:hint="eastAsia"/>
                      <w:b/>
                      <w:color w:val="00B0F0"/>
                      <w:szCs w:val="21"/>
                    </w:rPr>
                    <w:t>内容</w:t>
                  </w:r>
                </w:p>
              </w:tc>
              <w:tc>
                <w:tcPr>
                  <w:tcW w:w="772" w:type="pct"/>
                  <w:vMerge w:val="restart"/>
                  <w:tcBorders>
                    <w:tl2br w:val="nil"/>
                    <w:tr2bl w:val="nil"/>
                  </w:tcBorders>
                  <w:vAlign w:val="center"/>
                </w:tcPr>
                <w:p>
                  <w:pPr>
                    <w:adjustRightInd w:val="0"/>
                    <w:snapToGrid w:val="0"/>
                    <w:ind w:right="-63" w:rightChars="-30"/>
                    <w:jc w:val="center"/>
                    <w:rPr>
                      <w:b/>
                      <w:color w:val="00B0F0"/>
                      <w:szCs w:val="21"/>
                    </w:rPr>
                  </w:pPr>
                  <w:r>
                    <w:rPr>
                      <w:rFonts w:hint="eastAsia"/>
                      <w:b/>
                      <w:color w:val="00B0F0"/>
                      <w:szCs w:val="21"/>
                    </w:rPr>
                    <w:t>规模</w:t>
                  </w:r>
                </w:p>
              </w:tc>
              <w:tc>
                <w:tcPr>
                  <w:tcW w:w="409" w:type="pct"/>
                  <w:vMerge w:val="restart"/>
                  <w:tcBorders>
                    <w:tl2br w:val="nil"/>
                    <w:tr2bl w:val="nil"/>
                  </w:tcBorders>
                  <w:vAlign w:val="center"/>
                </w:tcPr>
                <w:p>
                  <w:pPr>
                    <w:adjustRightInd w:val="0"/>
                    <w:snapToGrid w:val="0"/>
                    <w:ind w:right="-63" w:rightChars="-30"/>
                    <w:jc w:val="center"/>
                    <w:rPr>
                      <w:b/>
                      <w:color w:val="00B0F0"/>
                      <w:szCs w:val="21"/>
                    </w:rPr>
                  </w:pPr>
                  <w:r>
                    <w:rPr>
                      <w:b/>
                      <w:color w:val="00B0F0"/>
                      <w:szCs w:val="21"/>
                    </w:rPr>
                    <w:t>环境</w:t>
                  </w:r>
                </w:p>
                <w:p>
                  <w:pPr>
                    <w:adjustRightInd w:val="0"/>
                    <w:snapToGrid w:val="0"/>
                    <w:ind w:right="-63" w:rightChars="-30"/>
                    <w:jc w:val="center"/>
                    <w:rPr>
                      <w:b/>
                      <w:color w:val="00B0F0"/>
                      <w:szCs w:val="21"/>
                    </w:rPr>
                  </w:pPr>
                  <w:r>
                    <w:rPr>
                      <w:b/>
                      <w:color w:val="00B0F0"/>
                      <w:szCs w:val="21"/>
                    </w:rPr>
                    <w:t>功能区</w:t>
                  </w:r>
                </w:p>
              </w:tc>
              <w:tc>
                <w:tcPr>
                  <w:tcW w:w="409" w:type="pct"/>
                  <w:vMerge w:val="restart"/>
                  <w:tcBorders>
                    <w:tl2br w:val="nil"/>
                    <w:tr2bl w:val="nil"/>
                  </w:tcBorders>
                  <w:vAlign w:val="center"/>
                </w:tcPr>
                <w:p>
                  <w:pPr>
                    <w:adjustRightInd w:val="0"/>
                    <w:snapToGrid w:val="0"/>
                    <w:ind w:right="-63" w:rightChars="-30"/>
                    <w:jc w:val="center"/>
                    <w:rPr>
                      <w:b/>
                      <w:color w:val="00B0F0"/>
                      <w:szCs w:val="21"/>
                    </w:rPr>
                  </w:pPr>
                  <w:r>
                    <w:rPr>
                      <w:b/>
                      <w:color w:val="00B0F0"/>
                      <w:szCs w:val="21"/>
                    </w:rPr>
                    <w:t>相对厂</w:t>
                  </w:r>
                </w:p>
                <w:p>
                  <w:pPr>
                    <w:adjustRightInd w:val="0"/>
                    <w:snapToGrid w:val="0"/>
                    <w:ind w:right="-63" w:rightChars="-30"/>
                    <w:jc w:val="center"/>
                    <w:rPr>
                      <w:b/>
                      <w:color w:val="00B0F0"/>
                      <w:szCs w:val="21"/>
                    </w:rPr>
                  </w:pPr>
                  <w:r>
                    <w:rPr>
                      <w:b/>
                      <w:color w:val="00B0F0"/>
                      <w:szCs w:val="21"/>
                    </w:rPr>
                    <w:t>址方向</w:t>
                  </w:r>
                </w:p>
              </w:tc>
              <w:tc>
                <w:tcPr>
                  <w:tcW w:w="545" w:type="pct"/>
                  <w:vMerge w:val="restart"/>
                  <w:tcBorders>
                    <w:tl2br w:val="nil"/>
                    <w:tr2bl w:val="nil"/>
                  </w:tcBorders>
                  <w:vAlign w:val="center"/>
                </w:tcPr>
                <w:p>
                  <w:pPr>
                    <w:adjustRightInd w:val="0"/>
                    <w:snapToGrid w:val="0"/>
                    <w:ind w:right="-63" w:rightChars="-30"/>
                    <w:jc w:val="center"/>
                    <w:rPr>
                      <w:b/>
                      <w:color w:val="00B0F0"/>
                      <w:szCs w:val="21"/>
                    </w:rPr>
                  </w:pPr>
                  <w:r>
                    <w:rPr>
                      <w:b/>
                      <w:color w:val="00B0F0"/>
                      <w:szCs w:val="21"/>
                    </w:rPr>
                    <w:t>相对厂界</w:t>
                  </w:r>
                </w:p>
                <w:p>
                  <w:pPr>
                    <w:adjustRightInd w:val="0"/>
                    <w:snapToGrid w:val="0"/>
                    <w:ind w:right="-63" w:rightChars="-30"/>
                    <w:jc w:val="center"/>
                    <w:rPr>
                      <w:b/>
                      <w:color w:val="00B0F0"/>
                      <w:szCs w:val="21"/>
                    </w:rPr>
                  </w:pPr>
                  <w:r>
                    <w:rPr>
                      <w:b/>
                      <w:color w:val="00B0F0"/>
                      <w:szCs w:val="21"/>
                    </w:rPr>
                    <w:t>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60" w:type="pct"/>
                  <w:vMerge w:val="continue"/>
                  <w:tcBorders>
                    <w:tl2br w:val="nil"/>
                    <w:tr2bl w:val="nil"/>
                  </w:tcBorders>
                  <w:vAlign w:val="center"/>
                </w:tcPr>
                <w:p>
                  <w:pPr>
                    <w:adjustRightInd w:val="0"/>
                    <w:snapToGrid w:val="0"/>
                    <w:ind w:right="-63" w:rightChars="-30"/>
                    <w:jc w:val="center"/>
                    <w:rPr>
                      <w:color w:val="00B0F0"/>
                      <w:szCs w:val="21"/>
                    </w:rPr>
                  </w:pPr>
                </w:p>
              </w:tc>
              <w:tc>
                <w:tcPr>
                  <w:tcW w:w="634" w:type="pct"/>
                  <w:vMerge w:val="continue"/>
                  <w:tcBorders>
                    <w:tl2br w:val="nil"/>
                    <w:tr2bl w:val="nil"/>
                  </w:tcBorders>
                  <w:vAlign w:val="center"/>
                </w:tcPr>
                <w:p>
                  <w:pPr>
                    <w:adjustRightInd w:val="0"/>
                    <w:snapToGrid w:val="0"/>
                    <w:ind w:right="-63" w:rightChars="-30"/>
                    <w:jc w:val="center"/>
                    <w:rPr>
                      <w:color w:val="00B0F0"/>
                      <w:szCs w:val="21"/>
                    </w:rPr>
                  </w:pPr>
                </w:p>
              </w:tc>
              <w:tc>
                <w:tcPr>
                  <w:tcW w:w="611" w:type="pct"/>
                  <w:tcBorders>
                    <w:tl2br w:val="nil"/>
                    <w:tr2bl w:val="nil"/>
                  </w:tcBorders>
                  <w:vAlign w:val="center"/>
                </w:tcPr>
                <w:p>
                  <w:pPr>
                    <w:adjustRightInd w:val="0"/>
                    <w:snapToGrid w:val="0"/>
                    <w:ind w:right="-63" w:rightChars="-30"/>
                    <w:jc w:val="center"/>
                    <w:rPr>
                      <w:b/>
                      <w:bCs/>
                      <w:color w:val="00B0F0"/>
                      <w:szCs w:val="21"/>
                    </w:rPr>
                  </w:pPr>
                  <w:r>
                    <w:rPr>
                      <w:b/>
                      <w:bCs/>
                      <w:color w:val="00B0F0"/>
                      <w:szCs w:val="21"/>
                    </w:rPr>
                    <w:t>X</w:t>
                  </w:r>
                </w:p>
              </w:tc>
              <w:tc>
                <w:tcPr>
                  <w:tcW w:w="759" w:type="pct"/>
                  <w:tcBorders>
                    <w:tl2br w:val="nil"/>
                    <w:tr2bl w:val="nil"/>
                  </w:tcBorders>
                  <w:vAlign w:val="center"/>
                </w:tcPr>
                <w:p>
                  <w:pPr>
                    <w:adjustRightInd w:val="0"/>
                    <w:snapToGrid w:val="0"/>
                    <w:ind w:right="-63" w:rightChars="-30"/>
                    <w:jc w:val="center"/>
                    <w:rPr>
                      <w:b/>
                      <w:bCs/>
                      <w:color w:val="00B0F0"/>
                      <w:szCs w:val="21"/>
                    </w:rPr>
                  </w:pPr>
                  <w:r>
                    <w:rPr>
                      <w:b/>
                      <w:bCs/>
                      <w:color w:val="00B0F0"/>
                      <w:szCs w:val="21"/>
                    </w:rPr>
                    <w:t>Y</w:t>
                  </w:r>
                </w:p>
              </w:tc>
              <w:tc>
                <w:tcPr>
                  <w:tcW w:w="501" w:type="pct"/>
                  <w:vMerge w:val="continue"/>
                  <w:tcBorders>
                    <w:tl2br w:val="nil"/>
                    <w:tr2bl w:val="nil"/>
                  </w:tcBorders>
                  <w:vAlign w:val="center"/>
                </w:tcPr>
                <w:p>
                  <w:pPr>
                    <w:adjustRightInd w:val="0"/>
                    <w:snapToGrid w:val="0"/>
                    <w:ind w:right="-63" w:rightChars="-30"/>
                    <w:jc w:val="center"/>
                    <w:rPr>
                      <w:color w:val="00B0F0"/>
                      <w:szCs w:val="21"/>
                    </w:rPr>
                  </w:pPr>
                </w:p>
              </w:tc>
              <w:tc>
                <w:tcPr>
                  <w:tcW w:w="772" w:type="pct"/>
                  <w:vMerge w:val="continue"/>
                  <w:tcBorders>
                    <w:tl2br w:val="nil"/>
                    <w:tr2bl w:val="nil"/>
                  </w:tcBorders>
                  <w:vAlign w:val="center"/>
                </w:tcPr>
                <w:p>
                  <w:pPr>
                    <w:adjustRightInd w:val="0"/>
                    <w:snapToGrid w:val="0"/>
                    <w:ind w:right="-63" w:rightChars="-30"/>
                    <w:jc w:val="center"/>
                    <w:rPr>
                      <w:color w:val="00B0F0"/>
                      <w:szCs w:val="21"/>
                    </w:rPr>
                  </w:pPr>
                </w:p>
              </w:tc>
              <w:tc>
                <w:tcPr>
                  <w:tcW w:w="409" w:type="pct"/>
                  <w:vMerge w:val="continue"/>
                  <w:tcBorders>
                    <w:tl2br w:val="nil"/>
                    <w:tr2bl w:val="nil"/>
                  </w:tcBorders>
                  <w:vAlign w:val="center"/>
                </w:tcPr>
                <w:p>
                  <w:pPr>
                    <w:adjustRightInd w:val="0"/>
                    <w:snapToGrid w:val="0"/>
                    <w:ind w:right="-63" w:rightChars="-30"/>
                    <w:jc w:val="center"/>
                    <w:rPr>
                      <w:color w:val="00B0F0"/>
                      <w:szCs w:val="21"/>
                    </w:rPr>
                  </w:pPr>
                </w:p>
              </w:tc>
              <w:tc>
                <w:tcPr>
                  <w:tcW w:w="409" w:type="pct"/>
                  <w:vMerge w:val="continue"/>
                  <w:tcBorders>
                    <w:tl2br w:val="nil"/>
                    <w:tr2bl w:val="nil"/>
                  </w:tcBorders>
                  <w:vAlign w:val="center"/>
                </w:tcPr>
                <w:p>
                  <w:pPr>
                    <w:adjustRightInd w:val="0"/>
                    <w:snapToGrid w:val="0"/>
                    <w:ind w:right="-63" w:rightChars="-30"/>
                    <w:jc w:val="center"/>
                    <w:rPr>
                      <w:color w:val="00B0F0"/>
                      <w:szCs w:val="21"/>
                    </w:rPr>
                  </w:pPr>
                </w:p>
              </w:tc>
              <w:tc>
                <w:tcPr>
                  <w:tcW w:w="545" w:type="pct"/>
                  <w:vMerge w:val="continue"/>
                  <w:tcBorders>
                    <w:tl2br w:val="nil"/>
                    <w:tr2bl w:val="nil"/>
                  </w:tcBorders>
                  <w:vAlign w:val="center"/>
                </w:tcPr>
                <w:p>
                  <w:pPr>
                    <w:adjustRightInd w:val="0"/>
                    <w:snapToGrid w:val="0"/>
                    <w:ind w:right="-63" w:rightChars="-30"/>
                    <w:jc w:val="center"/>
                    <w:rPr>
                      <w:color w:val="00B0F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60" w:type="pct"/>
                  <w:vMerge w:val="restart"/>
                  <w:tcBorders>
                    <w:tl2br w:val="nil"/>
                    <w:tr2bl w:val="nil"/>
                  </w:tcBorders>
                  <w:vAlign w:val="center"/>
                </w:tcPr>
                <w:p>
                  <w:pPr>
                    <w:adjustRightInd w:val="0"/>
                    <w:snapToGrid w:val="0"/>
                    <w:ind w:right="-63" w:rightChars="-30"/>
                    <w:jc w:val="center"/>
                    <w:rPr>
                      <w:color w:val="00B0F0"/>
                      <w:szCs w:val="21"/>
                    </w:rPr>
                  </w:pPr>
                  <w:r>
                    <w:rPr>
                      <w:color w:val="00B0F0"/>
                      <w:szCs w:val="21"/>
                    </w:rPr>
                    <w:t>环境</w:t>
                  </w:r>
                </w:p>
                <w:p>
                  <w:pPr>
                    <w:adjustRightInd w:val="0"/>
                    <w:snapToGrid w:val="0"/>
                    <w:ind w:right="-63" w:rightChars="-30"/>
                    <w:jc w:val="center"/>
                    <w:rPr>
                      <w:color w:val="00B0F0"/>
                      <w:szCs w:val="21"/>
                    </w:rPr>
                  </w:pPr>
                  <w:r>
                    <w:rPr>
                      <w:color w:val="00B0F0"/>
                      <w:szCs w:val="21"/>
                    </w:rPr>
                    <w:t>空气</w:t>
                  </w:r>
                </w:p>
              </w:tc>
              <w:tc>
                <w:tcPr>
                  <w:tcW w:w="634" w:type="pct"/>
                  <w:tcBorders>
                    <w:tl2br w:val="nil"/>
                    <w:tr2bl w:val="nil"/>
                  </w:tcBorders>
                  <w:vAlign w:val="center"/>
                </w:tcPr>
                <w:p>
                  <w:pPr>
                    <w:adjustRightInd w:val="0"/>
                    <w:snapToGrid w:val="0"/>
                    <w:ind w:left="-63" w:leftChars="-30" w:right="-63" w:rightChars="-30"/>
                    <w:jc w:val="center"/>
                    <w:rPr>
                      <w:color w:val="00B0F0"/>
                      <w:szCs w:val="21"/>
                    </w:rPr>
                  </w:pPr>
                  <w:r>
                    <w:rPr>
                      <w:color w:val="00B0F0"/>
                      <w:szCs w:val="21"/>
                    </w:rPr>
                    <w:t>项目所在地</w:t>
                  </w:r>
                </w:p>
              </w:tc>
              <w:tc>
                <w:tcPr>
                  <w:tcW w:w="611"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0</w:t>
                  </w:r>
                </w:p>
              </w:tc>
              <w:tc>
                <w:tcPr>
                  <w:tcW w:w="759"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0</w:t>
                  </w:r>
                </w:p>
              </w:tc>
              <w:tc>
                <w:tcPr>
                  <w:tcW w:w="501"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w:t>
                  </w:r>
                </w:p>
              </w:tc>
              <w:tc>
                <w:tcPr>
                  <w:tcW w:w="772"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w:t>
                  </w:r>
                </w:p>
              </w:tc>
              <w:tc>
                <w:tcPr>
                  <w:tcW w:w="409" w:type="pct"/>
                  <w:vMerge w:val="restart"/>
                  <w:tcBorders>
                    <w:tl2br w:val="nil"/>
                    <w:tr2bl w:val="nil"/>
                  </w:tcBorders>
                  <w:vAlign w:val="center"/>
                </w:tcPr>
                <w:p>
                  <w:pPr>
                    <w:adjustRightInd w:val="0"/>
                    <w:snapToGrid w:val="0"/>
                    <w:ind w:right="-63" w:rightChars="-30"/>
                    <w:jc w:val="center"/>
                    <w:rPr>
                      <w:bCs/>
                      <w:color w:val="00B0F0"/>
                      <w:szCs w:val="21"/>
                    </w:rPr>
                  </w:pPr>
                  <w:r>
                    <w:rPr>
                      <w:bCs/>
                      <w:color w:val="00B0F0"/>
                      <w:szCs w:val="21"/>
                    </w:rPr>
                    <w:t>二类</w:t>
                  </w:r>
                </w:p>
                <w:p>
                  <w:pPr>
                    <w:adjustRightInd w:val="0"/>
                    <w:snapToGrid w:val="0"/>
                    <w:ind w:right="-63" w:rightChars="-30"/>
                    <w:jc w:val="center"/>
                    <w:rPr>
                      <w:bCs/>
                      <w:color w:val="00B0F0"/>
                      <w:szCs w:val="21"/>
                    </w:rPr>
                  </w:pPr>
                  <w:r>
                    <w:rPr>
                      <w:bCs/>
                      <w:color w:val="00B0F0"/>
                      <w:szCs w:val="21"/>
                    </w:rPr>
                    <w:t>功能区</w:t>
                  </w:r>
                </w:p>
              </w:tc>
              <w:tc>
                <w:tcPr>
                  <w:tcW w:w="409"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w:t>
                  </w:r>
                </w:p>
              </w:tc>
              <w:tc>
                <w:tcPr>
                  <w:tcW w:w="545"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60" w:type="pct"/>
                  <w:vMerge w:val="continue"/>
                  <w:tcBorders>
                    <w:tl2br w:val="nil"/>
                    <w:tr2bl w:val="nil"/>
                  </w:tcBorders>
                  <w:vAlign w:val="center"/>
                </w:tcPr>
                <w:p>
                  <w:pPr>
                    <w:adjustRightInd w:val="0"/>
                    <w:snapToGrid w:val="0"/>
                    <w:ind w:right="-63" w:rightChars="-30"/>
                    <w:jc w:val="center"/>
                    <w:rPr>
                      <w:color w:val="00B0F0"/>
                      <w:szCs w:val="21"/>
                    </w:rPr>
                  </w:pPr>
                </w:p>
              </w:tc>
              <w:tc>
                <w:tcPr>
                  <w:tcW w:w="634" w:type="pct"/>
                  <w:tcBorders>
                    <w:tl2br w:val="nil"/>
                    <w:tr2bl w:val="nil"/>
                  </w:tcBorders>
                  <w:vAlign w:val="center"/>
                </w:tcPr>
                <w:p>
                  <w:pPr>
                    <w:adjustRightInd w:val="0"/>
                    <w:snapToGrid w:val="0"/>
                    <w:ind w:right="-63" w:rightChars="-30"/>
                    <w:jc w:val="center"/>
                    <w:rPr>
                      <w:color w:val="00B0F0"/>
                      <w:szCs w:val="21"/>
                    </w:rPr>
                  </w:pPr>
                  <w:r>
                    <w:rPr>
                      <w:rFonts w:hint="eastAsia"/>
                      <w:color w:val="00B0F0"/>
                      <w:szCs w:val="21"/>
                    </w:rPr>
                    <w:t>李都村</w:t>
                  </w:r>
                </w:p>
              </w:tc>
              <w:tc>
                <w:tcPr>
                  <w:tcW w:w="611"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801</w:t>
                  </w:r>
                </w:p>
              </w:tc>
              <w:tc>
                <w:tcPr>
                  <w:tcW w:w="75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113</w:t>
                  </w:r>
                </w:p>
              </w:tc>
              <w:tc>
                <w:tcPr>
                  <w:tcW w:w="501"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居住区</w:t>
                  </w:r>
                </w:p>
              </w:tc>
              <w:tc>
                <w:tcPr>
                  <w:tcW w:w="772"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约2000人</w:t>
                  </w:r>
                </w:p>
              </w:tc>
              <w:tc>
                <w:tcPr>
                  <w:tcW w:w="409" w:type="pct"/>
                  <w:vMerge w:val="continue"/>
                  <w:tcBorders>
                    <w:tl2br w:val="nil"/>
                    <w:tr2bl w:val="nil"/>
                  </w:tcBorders>
                  <w:vAlign w:val="center"/>
                </w:tcPr>
                <w:p>
                  <w:pPr>
                    <w:adjustRightInd w:val="0"/>
                    <w:snapToGrid w:val="0"/>
                    <w:ind w:right="-63" w:rightChars="-30"/>
                    <w:jc w:val="center"/>
                    <w:rPr>
                      <w:bCs/>
                      <w:color w:val="00B0F0"/>
                      <w:szCs w:val="21"/>
                    </w:rPr>
                  </w:pPr>
                </w:p>
              </w:tc>
              <w:tc>
                <w:tcPr>
                  <w:tcW w:w="40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东</w:t>
                  </w:r>
                </w:p>
              </w:tc>
              <w:tc>
                <w:tcPr>
                  <w:tcW w:w="545"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804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60" w:type="pct"/>
                  <w:vMerge w:val="continue"/>
                  <w:tcBorders>
                    <w:tl2br w:val="nil"/>
                    <w:tr2bl w:val="nil"/>
                  </w:tcBorders>
                  <w:vAlign w:val="center"/>
                </w:tcPr>
                <w:p>
                  <w:pPr>
                    <w:adjustRightInd w:val="0"/>
                    <w:snapToGrid w:val="0"/>
                    <w:ind w:right="-63" w:rightChars="-30"/>
                    <w:jc w:val="center"/>
                    <w:rPr>
                      <w:color w:val="00B0F0"/>
                      <w:szCs w:val="21"/>
                    </w:rPr>
                  </w:pPr>
                </w:p>
              </w:tc>
              <w:tc>
                <w:tcPr>
                  <w:tcW w:w="634" w:type="pct"/>
                  <w:tcBorders>
                    <w:tl2br w:val="nil"/>
                    <w:tr2bl w:val="nil"/>
                  </w:tcBorders>
                  <w:vAlign w:val="center"/>
                </w:tcPr>
                <w:p>
                  <w:pPr>
                    <w:adjustRightInd w:val="0"/>
                    <w:snapToGrid w:val="0"/>
                    <w:ind w:right="-63" w:rightChars="-30"/>
                    <w:jc w:val="center"/>
                    <w:rPr>
                      <w:color w:val="00B0F0"/>
                      <w:szCs w:val="21"/>
                    </w:rPr>
                  </w:pPr>
                  <w:r>
                    <w:rPr>
                      <w:rFonts w:hint="eastAsia"/>
                      <w:color w:val="00B0F0"/>
                      <w:szCs w:val="21"/>
                    </w:rPr>
                    <w:t>上帝王村</w:t>
                  </w:r>
                </w:p>
              </w:tc>
              <w:tc>
                <w:tcPr>
                  <w:tcW w:w="611"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1249</w:t>
                  </w:r>
                </w:p>
              </w:tc>
              <w:tc>
                <w:tcPr>
                  <w:tcW w:w="75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-926</w:t>
                  </w:r>
                </w:p>
              </w:tc>
              <w:tc>
                <w:tcPr>
                  <w:tcW w:w="501"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居住区</w:t>
                  </w:r>
                </w:p>
              </w:tc>
              <w:tc>
                <w:tcPr>
                  <w:tcW w:w="772"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约740人</w:t>
                  </w:r>
                </w:p>
              </w:tc>
              <w:tc>
                <w:tcPr>
                  <w:tcW w:w="409" w:type="pct"/>
                  <w:vMerge w:val="continue"/>
                  <w:tcBorders>
                    <w:tl2br w:val="nil"/>
                    <w:tr2bl w:val="nil"/>
                  </w:tcBorders>
                  <w:vAlign w:val="center"/>
                </w:tcPr>
                <w:p>
                  <w:pPr>
                    <w:adjustRightInd w:val="0"/>
                    <w:snapToGrid w:val="0"/>
                    <w:ind w:right="-63" w:rightChars="-30"/>
                    <w:jc w:val="center"/>
                    <w:rPr>
                      <w:bCs/>
                      <w:color w:val="00B0F0"/>
                      <w:szCs w:val="21"/>
                    </w:rPr>
                  </w:pPr>
                </w:p>
              </w:tc>
              <w:tc>
                <w:tcPr>
                  <w:tcW w:w="40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东南</w:t>
                  </w:r>
                </w:p>
              </w:tc>
              <w:tc>
                <w:tcPr>
                  <w:tcW w:w="545"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1509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60" w:type="pct"/>
                  <w:vMerge w:val="continue"/>
                  <w:tcBorders>
                    <w:tl2br w:val="nil"/>
                    <w:tr2bl w:val="nil"/>
                  </w:tcBorders>
                  <w:vAlign w:val="center"/>
                </w:tcPr>
                <w:p>
                  <w:pPr>
                    <w:adjustRightInd w:val="0"/>
                    <w:snapToGrid w:val="0"/>
                    <w:ind w:right="-63" w:rightChars="-30"/>
                    <w:jc w:val="center"/>
                    <w:rPr>
                      <w:color w:val="00B0F0"/>
                      <w:szCs w:val="21"/>
                    </w:rPr>
                  </w:pPr>
                </w:p>
              </w:tc>
              <w:tc>
                <w:tcPr>
                  <w:tcW w:w="634" w:type="pct"/>
                  <w:tcBorders>
                    <w:tl2br w:val="nil"/>
                    <w:tr2bl w:val="nil"/>
                  </w:tcBorders>
                  <w:vAlign w:val="center"/>
                </w:tcPr>
                <w:p>
                  <w:pPr>
                    <w:adjustRightInd w:val="0"/>
                    <w:snapToGrid w:val="0"/>
                    <w:ind w:right="-63" w:rightChars="-30"/>
                    <w:jc w:val="center"/>
                    <w:rPr>
                      <w:color w:val="00B0F0"/>
                      <w:szCs w:val="21"/>
                    </w:rPr>
                  </w:pPr>
                  <w:r>
                    <w:rPr>
                      <w:rFonts w:hint="eastAsia"/>
                      <w:color w:val="00B0F0"/>
                      <w:szCs w:val="21"/>
                    </w:rPr>
                    <w:t>下帝王村</w:t>
                  </w:r>
                </w:p>
              </w:tc>
              <w:tc>
                <w:tcPr>
                  <w:tcW w:w="611"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1436</w:t>
                  </w:r>
                </w:p>
              </w:tc>
              <w:tc>
                <w:tcPr>
                  <w:tcW w:w="75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-2274</w:t>
                  </w:r>
                </w:p>
              </w:tc>
              <w:tc>
                <w:tcPr>
                  <w:tcW w:w="501"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居住区</w:t>
                  </w:r>
                </w:p>
              </w:tc>
              <w:tc>
                <w:tcPr>
                  <w:tcW w:w="772" w:type="pct"/>
                  <w:tcBorders>
                    <w:tl2br w:val="nil"/>
                    <w:tr2bl w:val="nil"/>
                  </w:tcBorders>
                  <w:vAlign w:val="center"/>
                </w:tcPr>
                <w:p>
                  <w:pPr>
                    <w:jc w:val="center"/>
                    <w:rPr>
                      <w:bCs/>
                      <w:color w:val="00B0F0"/>
                      <w:szCs w:val="21"/>
                    </w:rPr>
                  </w:pPr>
                  <w:r>
                    <w:rPr>
                      <w:rFonts w:hint="eastAsia"/>
                      <w:bCs/>
                      <w:color w:val="00B0F0"/>
                      <w:szCs w:val="21"/>
                    </w:rPr>
                    <w:t>约850人</w:t>
                  </w:r>
                </w:p>
              </w:tc>
              <w:tc>
                <w:tcPr>
                  <w:tcW w:w="409" w:type="pct"/>
                  <w:vMerge w:val="continue"/>
                  <w:tcBorders>
                    <w:tl2br w:val="nil"/>
                    <w:tr2bl w:val="nil"/>
                  </w:tcBorders>
                  <w:vAlign w:val="center"/>
                </w:tcPr>
                <w:p>
                  <w:pPr>
                    <w:adjustRightInd w:val="0"/>
                    <w:snapToGrid w:val="0"/>
                    <w:ind w:right="-63" w:rightChars="-30"/>
                    <w:jc w:val="center"/>
                    <w:rPr>
                      <w:bCs/>
                      <w:color w:val="00B0F0"/>
                      <w:szCs w:val="21"/>
                    </w:rPr>
                  </w:pPr>
                </w:p>
              </w:tc>
              <w:tc>
                <w:tcPr>
                  <w:tcW w:w="40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东南</w:t>
                  </w:r>
                </w:p>
              </w:tc>
              <w:tc>
                <w:tcPr>
                  <w:tcW w:w="545"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2678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60" w:type="pct"/>
                  <w:vMerge w:val="continue"/>
                  <w:tcBorders>
                    <w:tl2br w:val="nil"/>
                    <w:tr2bl w:val="nil"/>
                  </w:tcBorders>
                  <w:vAlign w:val="center"/>
                </w:tcPr>
                <w:p>
                  <w:pPr>
                    <w:adjustRightInd w:val="0"/>
                    <w:snapToGrid w:val="0"/>
                    <w:ind w:right="-63" w:rightChars="-30"/>
                    <w:jc w:val="center"/>
                    <w:rPr>
                      <w:color w:val="00B0F0"/>
                      <w:szCs w:val="21"/>
                    </w:rPr>
                  </w:pPr>
                </w:p>
              </w:tc>
              <w:tc>
                <w:tcPr>
                  <w:tcW w:w="634" w:type="pct"/>
                  <w:tcBorders>
                    <w:tl2br w:val="nil"/>
                    <w:tr2bl w:val="nil"/>
                  </w:tcBorders>
                  <w:vAlign w:val="center"/>
                </w:tcPr>
                <w:p>
                  <w:pPr>
                    <w:adjustRightInd w:val="0"/>
                    <w:snapToGrid w:val="0"/>
                    <w:ind w:right="-63" w:rightChars="-30"/>
                    <w:jc w:val="center"/>
                    <w:rPr>
                      <w:color w:val="00B0F0"/>
                      <w:szCs w:val="21"/>
                    </w:rPr>
                  </w:pPr>
                  <w:r>
                    <w:rPr>
                      <w:rFonts w:hint="eastAsia"/>
                      <w:color w:val="00B0F0"/>
                      <w:szCs w:val="21"/>
                    </w:rPr>
                    <w:t>大王村</w:t>
                  </w:r>
                </w:p>
              </w:tc>
              <w:tc>
                <w:tcPr>
                  <w:tcW w:w="611"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96</w:t>
                  </w:r>
                </w:p>
              </w:tc>
              <w:tc>
                <w:tcPr>
                  <w:tcW w:w="75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-279</w:t>
                  </w:r>
                </w:p>
              </w:tc>
              <w:tc>
                <w:tcPr>
                  <w:tcW w:w="501"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居住区</w:t>
                  </w:r>
                </w:p>
              </w:tc>
              <w:tc>
                <w:tcPr>
                  <w:tcW w:w="772" w:type="pct"/>
                  <w:tcBorders>
                    <w:tl2br w:val="nil"/>
                    <w:tr2bl w:val="nil"/>
                  </w:tcBorders>
                  <w:vAlign w:val="center"/>
                </w:tcPr>
                <w:p>
                  <w:pPr>
                    <w:jc w:val="center"/>
                    <w:rPr>
                      <w:bCs/>
                      <w:color w:val="00B0F0"/>
                      <w:szCs w:val="21"/>
                    </w:rPr>
                  </w:pPr>
                  <w:r>
                    <w:rPr>
                      <w:rFonts w:hint="eastAsia"/>
                      <w:bCs/>
                      <w:color w:val="00B0F0"/>
                      <w:szCs w:val="21"/>
                    </w:rPr>
                    <w:t>约430人</w:t>
                  </w:r>
                </w:p>
              </w:tc>
              <w:tc>
                <w:tcPr>
                  <w:tcW w:w="409" w:type="pct"/>
                  <w:vMerge w:val="continue"/>
                  <w:tcBorders>
                    <w:tl2br w:val="nil"/>
                    <w:tr2bl w:val="nil"/>
                  </w:tcBorders>
                  <w:vAlign w:val="center"/>
                </w:tcPr>
                <w:p>
                  <w:pPr>
                    <w:adjustRightInd w:val="0"/>
                    <w:snapToGrid w:val="0"/>
                    <w:ind w:right="-63" w:rightChars="-30"/>
                    <w:jc w:val="center"/>
                    <w:rPr>
                      <w:bCs/>
                      <w:color w:val="00B0F0"/>
                      <w:szCs w:val="21"/>
                    </w:rPr>
                  </w:pPr>
                </w:p>
              </w:tc>
              <w:tc>
                <w:tcPr>
                  <w:tcW w:w="40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南</w:t>
                  </w:r>
                </w:p>
              </w:tc>
              <w:tc>
                <w:tcPr>
                  <w:tcW w:w="545"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60" w:type="pct"/>
                  <w:vMerge w:val="continue"/>
                  <w:tcBorders>
                    <w:tl2br w:val="nil"/>
                    <w:tr2bl w:val="nil"/>
                  </w:tcBorders>
                  <w:vAlign w:val="center"/>
                </w:tcPr>
                <w:p>
                  <w:pPr>
                    <w:adjustRightInd w:val="0"/>
                    <w:snapToGrid w:val="0"/>
                    <w:ind w:right="-63" w:rightChars="-30"/>
                    <w:jc w:val="center"/>
                    <w:rPr>
                      <w:color w:val="00B0F0"/>
                      <w:szCs w:val="21"/>
                    </w:rPr>
                  </w:pPr>
                </w:p>
              </w:tc>
              <w:tc>
                <w:tcPr>
                  <w:tcW w:w="634" w:type="pct"/>
                  <w:tcBorders>
                    <w:tl2br w:val="nil"/>
                    <w:tr2bl w:val="nil"/>
                  </w:tcBorders>
                  <w:vAlign w:val="center"/>
                </w:tcPr>
                <w:p>
                  <w:pPr>
                    <w:adjustRightInd w:val="0"/>
                    <w:snapToGrid w:val="0"/>
                    <w:ind w:right="-63" w:rightChars="-30"/>
                    <w:jc w:val="center"/>
                    <w:rPr>
                      <w:color w:val="00B0F0"/>
                      <w:szCs w:val="21"/>
                    </w:rPr>
                  </w:pPr>
                  <w:r>
                    <w:rPr>
                      <w:rFonts w:hint="eastAsia"/>
                      <w:color w:val="00B0F0"/>
                      <w:szCs w:val="21"/>
                    </w:rPr>
                    <w:t>互助村</w:t>
                  </w:r>
                </w:p>
              </w:tc>
              <w:tc>
                <w:tcPr>
                  <w:tcW w:w="611"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145</w:t>
                  </w:r>
                </w:p>
              </w:tc>
              <w:tc>
                <w:tcPr>
                  <w:tcW w:w="75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-1787</w:t>
                  </w:r>
                </w:p>
              </w:tc>
              <w:tc>
                <w:tcPr>
                  <w:tcW w:w="501"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居住区</w:t>
                  </w:r>
                </w:p>
              </w:tc>
              <w:tc>
                <w:tcPr>
                  <w:tcW w:w="772"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约310人</w:t>
                  </w:r>
                </w:p>
              </w:tc>
              <w:tc>
                <w:tcPr>
                  <w:tcW w:w="409" w:type="pct"/>
                  <w:vMerge w:val="continue"/>
                  <w:tcBorders>
                    <w:tl2br w:val="nil"/>
                    <w:tr2bl w:val="nil"/>
                  </w:tcBorders>
                  <w:vAlign w:val="center"/>
                </w:tcPr>
                <w:p>
                  <w:pPr>
                    <w:adjustRightInd w:val="0"/>
                    <w:snapToGrid w:val="0"/>
                    <w:ind w:right="-63" w:rightChars="-30"/>
                    <w:jc w:val="center"/>
                    <w:rPr>
                      <w:bCs/>
                      <w:color w:val="00B0F0"/>
                      <w:szCs w:val="21"/>
                    </w:rPr>
                  </w:pPr>
                </w:p>
              </w:tc>
              <w:tc>
                <w:tcPr>
                  <w:tcW w:w="40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南</w:t>
                  </w:r>
                </w:p>
              </w:tc>
              <w:tc>
                <w:tcPr>
                  <w:tcW w:w="545"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1776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60" w:type="pct"/>
                  <w:vMerge w:val="continue"/>
                  <w:tcBorders>
                    <w:tl2br w:val="nil"/>
                    <w:tr2bl w:val="nil"/>
                  </w:tcBorders>
                  <w:vAlign w:val="center"/>
                </w:tcPr>
                <w:p>
                  <w:pPr>
                    <w:adjustRightInd w:val="0"/>
                    <w:snapToGrid w:val="0"/>
                    <w:ind w:right="-63" w:rightChars="-30"/>
                    <w:jc w:val="center"/>
                    <w:rPr>
                      <w:color w:val="00B0F0"/>
                      <w:szCs w:val="21"/>
                    </w:rPr>
                  </w:pPr>
                </w:p>
              </w:tc>
              <w:tc>
                <w:tcPr>
                  <w:tcW w:w="634" w:type="pct"/>
                  <w:tcBorders>
                    <w:tl2br w:val="nil"/>
                    <w:tr2bl w:val="nil"/>
                  </w:tcBorders>
                  <w:vAlign w:val="center"/>
                </w:tcPr>
                <w:p>
                  <w:pPr>
                    <w:adjustRightInd w:val="0"/>
                    <w:snapToGrid w:val="0"/>
                    <w:ind w:right="-63" w:rightChars="-30"/>
                    <w:jc w:val="center"/>
                    <w:rPr>
                      <w:color w:val="00B0F0"/>
                      <w:szCs w:val="21"/>
                    </w:rPr>
                  </w:pPr>
                  <w:r>
                    <w:rPr>
                      <w:rFonts w:hint="eastAsia"/>
                      <w:color w:val="00B0F0"/>
                      <w:szCs w:val="21"/>
                    </w:rPr>
                    <w:t>夏家寨村</w:t>
                  </w:r>
                </w:p>
              </w:tc>
              <w:tc>
                <w:tcPr>
                  <w:tcW w:w="611"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-1897</w:t>
                  </w:r>
                </w:p>
              </w:tc>
              <w:tc>
                <w:tcPr>
                  <w:tcW w:w="75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-1186</w:t>
                  </w:r>
                </w:p>
              </w:tc>
              <w:tc>
                <w:tcPr>
                  <w:tcW w:w="501"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居住区</w:t>
                  </w:r>
                </w:p>
              </w:tc>
              <w:tc>
                <w:tcPr>
                  <w:tcW w:w="772"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约800人</w:t>
                  </w:r>
                </w:p>
              </w:tc>
              <w:tc>
                <w:tcPr>
                  <w:tcW w:w="409" w:type="pct"/>
                  <w:vMerge w:val="continue"/>
                  <w:tcBorders>
                    <w:tl2br w:val="nil"/>
                    <w:tr2bl w:val="nil"/>
                  </w:tcBorders>
                  <w:vAlign w:val="center"/>
                </w:tcPr>
                <w:p>
                  <w:pPr>
                    <w:adjustRightInd w:val="0"/>
                    <w:snapToGrid w:val="0"/>
                    <w:ind w:right="-63" w:rightChars="-30"/>
                    <w:jc w:val="center"/>
                    <w:rPr>
                      <w:bCs/>
                      <w:color w:val="00B0F0"/>
                      <w:szCs w:val="21"/>
                    </w:rPr>
                  </w:pPr>
                </w:p>
              </w:tc>
              <w:tc>
                <w:tcPr>
                  <w:tcW w:w="40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西南</w:t>
                  </w:r>
                </w:p>
              </w:tc>
              <w:tc>
                <w:tcPr>
                  <w:tcW w:w="545"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2195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60" w:type="pct"/>
                  <w:vMerge w:val="continue"/>
                  <w:tcBorders>
                    <w:tl2br w:val="nil"/>
                    <w:tr2bl w:val="nil"/>
                  </w:tcBorders>
                  <w:vAlign w:val="center"/>
                </w:tcPr>
                <w:p>
                  <w:pPr>
                    <w:adjustRightInd w:val="0"/>
                    <w:snapToGrid w:val="0"/>
                    <w:ind w:right="-63" w:rightChars="-30"/>
                    <w:jc w:val="center"/>
                    <w:rPr>
                      <w:color w:val="00B0F0"/>
                      <w:szCs w:val="21"/>
                    </w:rPr>
                  </w:pPr>
                </w:p>
              </w:tc>
              <w:tc>
                <w:tcPr>
                  <w:tcW w:w="634" w:type="pct"/>
                  <w:tcBorders>
                    <w:tl2br w:val="nil"/>
                    <w:tr2bl w:val="nil"/>
                  </w:tcBorders>
                  <w:vAlign w:val="center"/>
                </w:tcPr>
                <w:p>
                  <w:pPr>
                    <w:adjustRightInd w:val="0"/>
                    <w:snapToGrid w:val="0"/>
                    <w:ind w:right="-63" w:rightChars="-30"/>
                    <w:jc w:val="center"/>
                    <w:rPr>
                      <w:color w:val="00B0F0"/>
                      <w:szCs w:val="21"/>
                    </w:rPr>
                  </w:pPr>
                  <w:r>
                    <w:rPr>
                      <w:rFonts w:hint="eastAsia"/>
                      <w:color w:val="00B0F0"/>
                      <w:szCs w:val="21"/>
                    </w:rPr>
                    <w:t>张安村</w:t>
                  </w:r>
                </w:p>
              </w:tc>
              <w:tc>
                <w:tcPr>
                  <w:tcW w:w="611"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-1084</w:t>
                  </w:r>
                </w:p>
              </w:tc>
              <w:tc>
                <w:tcPr>
                  <w:tcW w:w="75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394</w:t>
                  </w:r>
                </w:p>
              </w:tc>
              <w:tc>
                <w:tcPr>
                  <w:tcW w:w="501"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居住区</w:t>
                  </w:r>
                </w:p>
              </w:tc>
              <w:tc>
                <w:tcPr>
                  <w:tcW w:w="772" w:type="pct"/>
                  <w:tcBorders>
                    <w:tl2br w:val="nil"/>
                    <w:tr2bl w:val="nil"/>
                  </w:tcBorders>
                  <w:vAlign w:val="center"/>
                </w:tcPr>
                <w:p>
                  <w:pPr>
                    <w:jc w:val="center"/>
                    <w:rPr>
                      <w:bCs/>
                      <w:color w:val="00B0F0"/>
                      <w:szCs w:val="21"/>
                    </w:rPr>
                  </w:pPr>
                  <w:r>
                    <w:rPr>
                      <w:rFonts w:hint="eastAsia"/>
                      <w:bCs/>
                      <w:color w:val="00B0F0"/>
                      <w:szCs w:val="21"/>
                    </w:rPr>
                    <w:t>约340人</w:t>
                  </w:r>
                </w:p>
              </w:tc>
              <w:tc>
                <w:tcPr>
                  <w:tcW w:w="409" w:type="pct"/>
                  <w:vMerge w:val="continue"/>
                  <w:tcBorders>
                    <w:tl2br w:val="nil"/>
                    <w:tr2bl w:val="nil"/>
                  </w:tcBorders>
                  <w:vAlign w:val="center"/>
                </w:tcPr>
                <w:p>
                  <w:pPr>
                    <w:adjustRightInd w:val="0"/>
                    <w:snapToGrid w:val="0"/>
                    <w:ind w:right="-63" w:rightChars="-30"/>
                    <w:jc w:val="center"/>
                    <w:rPr>
                      <w:bCs/>
                      <w:color w:val="00B0F0"/>
                      <w:szCs w:val="21"/>
                    </w:rPr>
                  </w:pPr>
                </w:p>
              </w:tc>
              <w:tc>
                <w:tcPr>
                  <w:tcW w:w="40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西北</w:t>
                  </w:r>
                </w:p>
              </w:tc>
              <w:tc>
                <w:tcPr>
                  <w:tcW w:w="545"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1135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60" w:type="pct"/>
                  <w:vMerge w:val="continue"/>
                  <w:tcBorders>
                    <w:tl2br w:val="nil"/>
                    <w:tr2bl w:val="nil"/>
                  </w:tcBorders>
                  <w:vAlign w:val="center"/>
                </w:tcPr>
                <w:p>
                  <w:pPr>
                    <w:adjustRightInd w:val="0"/>
                    <w:snapToGrid w:val="0"/>
                    <w:ind w:right="-63" w:rightChars="-30"/>
                    <w:jc w:val="center"/>
                    <w:rPr>
                      <w:color w:val="00B0F0"/>
                      <w:szCs w:val="21"/>
                    </w:rPr>
                  </w:pPr>
                </w:p>
              </w:tc>
              <w:tc>
                <w:tcPr>
                  <w:tcW w:w="634" w:type="pct"/>
                  <w:tcBorders>
                    <w:tl2br w:val="nil"/>
                    <w:tr2bl w:val="nil"/>
                  </w:tcBorders>
                  <w:vAlign w:val="center"/>
                </w:tcPr>
                <w:p>
                  <w:pPr>
                    <w:adjustRightInd w:val="0"/>
                    <w:snapToGrid w:val="0"/>
                    <w:ind w:right="-63" w:rightChars="-30"/>
                    <w:jc w:val="center"/>
                    <w:rPr>
                      <w:color w:val="00B0F0"/>
                      <w:szCs w:val="21"/>
                    </w:rPr>
                  </w:pPr>
                  <w:r>
                    <w:rPr>
                      <w:rFonts w:hint="eastAsia"/>
                      <w:color w:val="00B0F0"/>
                      <w:szCs w:val="21"/>
                    </w:rPr>
                    <w:t>苏家村</w:t>
                  </w:r>
                </w:p>
              </w:tc>
              <w:tc>
                <w:tcPr>
                  <w:tcW w:w="611"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-1433</w:t>
                  </w:r>
                </w:p>
              </w:tc>
              <w:tc>
                <w:tcPr>
                  <w:tcW w:w="75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827</w:t>
                  </w:r>
                </w:p>
              </w:tc>
              <w:tc>
                <w:tcPr>
                  <w:tcW w:w="501"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居住区</w:t>
                  </w:r>
                </w:p>
              </w:tc>
              <w:tc>
                <w:tcPr>
                  <w:tcW w:w="772" w:type="pct"/>
                  <w:tcBorders>
                    <w:tl2br w:val="nil"/>
                    <w:tr2bl w:val="nil"/>
                  </w:tcBorders>
                  <w:vAlign w:val="center"/>
                </w:tcPr>
                <w:p>
                  <w:pPr>
                    <w:jc w:val="center"/>
                    <w:rPr>
                      <w:bCs/>
                      <w:color w:val="00B0F0"/>
                      <w:szCs w:val="21"/>
                    </w:rPr>
                  </w:pPr>
                  <w:r>
                    <w:rPr>
                      <w:rFonts w:hint="eastAsia"/>
                      <w:bCs/>
                      <w:color w:val="00B0F0"/>
                      <w:szCs w:val="21"/>
                    </w:rPr>
                    <w:t>约510人</w:t>
                  </w:r>
                </w:p>
              </w:tc>
              <w:tc>
                <w:tcPr>
                  <w:tcW w:w="409" w:type="pct"/>
                  <w:vMerge w:val="continue"/>
                  <w:tcBorders>
                    <w:tl2br w:val="nil"/>
                    <w:tr2bl w:val="nil"/>
                  </w:tcBorders>
                  <w:vAlign w:val="center"/>
                </w:tcPr>
                <w:p>
                  <w:pPr>
                    <w:adjustRightInd w:val="0"/>
                    <w:snapToGrid w:val="0"/>
                    <w:ind w:right="-63" w:rightChars="-30"/>
                    <w:jc w:val="center"/>
                    <w:rPr>
                      <w:bCs/>
                      <w:color w:val="00B0F0"/>
                      <w:szCs w:val="21"/>
                    </w:rPr>
                  </w:pPr>
                </w:p>
              </w:tc>
              <w:tc>
                <w:tcPr>
                  <w:tcW w:w="40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西北</w:t>
                  </w:r>
                </w:p>
              </w:tc>
              <w:tc>
                <w:tcPr>
                  <w:tcW w:w="545"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1495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60" w:type="pct"/>
                  <w:vMerge w:val="continue"/>
                  <w:tcBorders>
                    <w:tl2br w:val="nil"/>
                    <w:tr2bl w:val="nil"/>
                  </w:tcBorders>
                  <w:vAlign w:val="center"/>
                </w:tcPr>
                <w:p>
                  <w:pPr>
                    <w:adjustRightInd w:val="0"/>
                    <w:snapToGrid w:val="0"/>
                    <w:ind w:right="-63" w:rightChars="-30"/>
                    <w:jc w:val="center"/>
                    <w:rPr>
                      <w:color w:val="00B0F0"/>
                      <w:szCs w:val="21"/>
                    </w:rPr>
                  </w:pPr>
                </w:p>
              </w:tc>
              <w:tc>
                <w:tcPr>
                  <w:tcW w:w="634" w:type="pct"/>
                  <w:tcBorders>
                    <w:tl2br w:val="nil"/>
                    <w:tr2bl w:val="nil"/>
                  </w:tcBorders>
                  <w:vAlign w:val="center"/>
                </w:tcPr>
                <w:p>
                  <w:pPr>
                    <w:adjustRightInd w:val="0"/>
                    <w:snapToGrid w:val="0"/>
                    <w:ind w:right="-63" w:rightChars="-30"/>
                    <w:jc w:val="center"/>
                    <w:rPr>
                      <w:color w:val="00B0F0"/>
                      <w:szCs w:val="21"/>
                    </w:rPr>
                  </w:pPr>
                  <w:r>
                    <w:rPr>
                      <w:rFonts w:hint="eastAsia"/>
                      <w:color w:val="00B0F0"/>
                      <w:szCs w:val="21"/>
                    </w:rPr>
                    <w:t>庞村</w:t>
                  </w:r>
                </w:p>
              </w:tc>
              <w:tc>
                <w:tcPr>
                  <w:tcW w:w="611"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999</w:t>
                  </w:r>
                </w:p>
              </w:tc>
              <w:tc>
                <w:tcPr>
                  <w:tcW w:w="75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1576</w:t>
                  </w:r>
                </w:p>
              </w:tc>
              <w:tc>
                <w:tcPr>
                  <w:tcW w:w="501" w:type="pct"/>
                  <w:tcBorders>
                    <w:tl2br w:val="nil"/>
                    <w:tr2bl w:val="nil"/>
                  </w:tcBorders>
                  <w:vAlign w:val="center"/>
                </w:tcPr>
                <w:p>
                  <w:pPr>
                    <w:adjustRightInd w:val="0"/>
                    <w:snapToGrid w:val="0"/>
                    <w:ind w:right="-63" w:rightChars="-30"/>
                    <w:jc w:val="center"/>
                    <w:rPr>
                      <w:bCs/>
                      <w:color w:val="00B0F0"/>
                      <w:szCs w:val="21"/>
                    </w:rPr>
                  </w:pPr>
                  <w:r>
                    <w:rPr>
                      <w:bCs/>
                      <w:color w:val="00B0F0"/>
                      <w:szCs w:val="21"/>
                    </w:rPr>
                    <w:t>居住区</w:t>
                  </w:r>
                </w:p>
              </w:tc>
              <w:tc>
                <w:tcPr>
                  <w:tcW w:w="772" w:type="pct"/>
                  <w:tcBorders>
                    <w:tl2br w:val="nil"/>
                    <w:tr2bl w:val="nil"/>
                  </w:tcBorders>
                  <w:vAlign w:val="center"/>
                </w:tcPr>
                <w:p>
                  <w:pPr>
                    <w:jc w:val="center"/>
                    <w:rPr>
                      <w:color w:val="00B0F0"/>
                      <w:szCs w:val="21"/>
                    </w:rPr>
                  </w:pPr>
                  <w:r>
                    <w:rPr>
                      <w:rFonts w:hint="eastAsia"/>
                      <w:color w:val="00B0F0"/>
                      <w:szCs w:val="21"/>
                    </w:rPr>
                    <w:t>约1200人</w:t>
                  </w:r>
                </w:p>
              </w:tc>
              <w:tc>
                <w:tcPr>
                  <w:tcW w:w="409" w:type="pct"/>
                  <w:vMerge w:val="continue"/>
                  <w:tcBorders>
                    <w:tl2br w:val="nil"/>
                    <w:tr2bl w:val="nil"/>
                  </w:tcBorders>
                  <w:vAlign w:val="center"/>
                </w:tcPr>
                <w:p>
                  <w:pPr>
                    <w:adjustRightInd w:val="0"/>
                    <w:snapToGrid w:val="0"/>
                    <w:ind w:right="-63" w:rightChars="-30"/>
                    <w:jc w:val="center"/>
                    <w:rPr>
                      <w:bCs/>
                      <w:color w:val="00B0F0"/>
                      <w:szCs w:val="21"/>
                    </w:rPr>
                  </w:pPr>
                </w:p>
              </w:tc>
              <w:tc>
                <w:tcPr>
                  <w:tcW w:w="40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东北</w:t>
                  </w:r>
                </w:p>
              </w:tc>
              <w:tc>
                <w:tcPr>
                  <w:tcW w:w="545"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1840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60" w:type="pct"/>
                  <w:vMerge w:val="continue"/>
                  <w:tcBorders>
                    <w:tl2br w:val="nil"/>
                    <w:tr2bl w:val="nil"/>
                  </w:tcBorders>
                  <w:vAlign w:val="center"/>
                </w:tcPr>
                <w:p>
                  <w:pPr>
                    <w:adjustRightInd w:val="0"/>
                    <w:snapToGrid w:val="0"/>
                    <w:ind w:right="-63" w:rightChars="-30"/>
                    <w:jc w:val="center"/>
                    <w:rPr>
                      <w:color w:val="00B0F0"/>
                      <w:szCs w:val="21"/>
                    </w:rPr>
                  </w:pPr>
                </w:p>
              </w:tc>
              <w:tc>
                <w:tcPr>
                  <w:tcW w:w="634" w:type="pct"/>
                  <w:tcBorders>
                    <w:tl2br w:val="nil"/>
                    <w:tr2bl w:val="nil"/>
                  </w:tcBorders>
                  <w:vAlign w:val="center"/>
                </w:tcPr>
                <w:p>
                  <w:pPr>
                    <w:adjustRightInd w:val="0"/>
                    <w:snapToGrid w:val="0"/>
                    <w:ind w:right="-63" w:rightChars="-30"/>
                    <w:jc w:val="center"/>
                    <w:rPr>
                      <w:color w:val="00B0F0"/>
                      <w:szCs w:val="21"/>
                    </w:rPr>
                  </w:pPr>
                  <w:r>
                    <w:rPr>
                      <w:rFonts w:hint="eastAsia"/>
                      <w:color w:val="00B0F0"/>
                      <w:szCs w:val="21"/>
                    </w:rPr>
                    <w:t>双照镇大王中心小学</w:t>
                  </w:r>
                </w:p>
              </w:tc>
              <w:tc>
                <w:tcPr>
                  <w:tcW w:w="611"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w:t>
                  </w:r>
                  <w:r>
                    <w:rPr>
                      <w:bCs/>
                      <w:color w:val="00B0F0"/>
                      <w:szCs w:val="21"/>
                    </w:rPr>
                    <w:t>240</w:t>
                  </w:r>
                </w:p>
              </w:tc>
              <w:tc>
                <w:tcPr>
                  <w:tcW w:w="75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w:t>
                  </w:r>
                  <w:r>
                    <w:rPr>
                      <w:bCs/>
                      <w:color w:val="00B0F0"/>
                      <w:szCs w:val="21"/>
                    </w:rPr>
                    <w:t>220</w:t>
                  </w:r>
                </w:p>
              </w:tc>
              <w:tc>
                <w:tcPr>
                  <w:tcW w:w="501"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学校</w:t>
                  </w:r>
                </w:p>
              </w:tc>
              <w:tc>
                <w:tcPr>
                  <w:tcW w:w="772" w:type="pct"/>
                  <w:tcBorders>
                    <w:tl2br w:val="nil"/>
                    <w:tr2bl w:val="nil"/>
                  </w:tcBorders>
                  <w:vAlign w:val="center"/>
                </w:tcPr>
                <w:p>
                  <w:pPr>
                    <w:jc w:val="center"/>
                    <w:rPr>
                      <w:color w:val="00B0F0"/>
                      <w:szCs w:val="21"/>
                    </w:rPr>
                  </w:pPr>
                  <w:r>
                    <w:rPr>
                      <w:rFonts w:hint="eastAsia"/>
                      <w:color w:val="00B0F0"/>
                      <w:szCs w:val="21"/>
                    </w:rPr>
                    <w:t>约</w:t>
                  </w:r>
                  <w:r>
                    <w:rPr>
                      <w:color w:val="00B0F0"/>
                      <w:szCs w:val="21"/>
                    </w:rPr>
                    <w:t>600</w:t>
                  </w:r>
                  <w:r>
                    <w:rPr>
                      <w:rFonts w:hint="eastAsia"/>
                      <w:color w:val="00B0F0"/>
                      <w:szCs w:val="21"/>
                    </w:rPr>
                    <w:t>人</w:t>
                  </w:r>
                </w:p>
              </w:tc>
              <w:tc>
                <w:tcPr>
                  <w:tcW w:w="409" w:type="pct"/>
                  <w:vMerge w:val="continue"/>
                  <w:tcBorders>
                    <w:tl2br w:val="nil"/>
                    <w:tr2bl w:val="nil"/>
                  </w:tcBorders>
                  <w:vAlign w:val="center"/>
                </w:tcPr>
                <w:p>
                  <w:pPr>
                    <w:adjustRightInd w:val="0"/>
                    <w:snapToGrid w:val="0"/>
                    <w:ind w:right="-63" w:rightChars="-30"/>
                    <w:jc w:val="center"/>
                    <w:rPr>
                      <w:bCs/>
                      <w:color w:val="00B0F0"/>
                      <w:szCs w:val="21"/>
                    </w:rPr>
                  </w:pPr>
                </w:p>
              </w:tc>
              <w:tc>
                <w:tcPr>
                  <w:tcW w:w="40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东南</w:t>
                  </w:r>
                </w:p>
              </w:tc>
              <w:tc>
                <w:tcPr>
                  <w:tcW w:w="545"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3</w:t>
                  </w:r>
                  <w:r>
                    <w:rPr>
                      <w:bCs/>
                      <w:color w:val="00B0F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60" w:type="pct"/>
                  <w:vMerge w:val="continue"/>
                  <w:tcBorders>
                    <w:tl2br w:val="nil"/>
                    <w:tr2bl w:val="nil"/>
                  </w:tcBorders>
                  <w:vAlign w:val="center"/>
                </w:tcPr>
                <w:p>
                  <w:pPr>
                    <w:adjustRightInd w:val="0"/>
                    <w:snapToGrid w:val="0"/>
                    <w:ind w:right="-63" w:rightChars="-30"/>
                    <w:jc w:val="center"/>
                    <w:rPr>
                      <w:color w:val="00B0F0"/>
                      <w:szCs w:val="21"/>
                    </w:rPr>
                  </w:pPr>
                </w:p>
              </w:tc>
              <w:tc>
                <w:tcPr>
                  <w:tcW w:w="634" w:type="pct"/>
                  <w:tcBorders>
                    <w:tl2br w:val="nil"/>
                    <w:tr2bl w:val="nil"/>
                  </w:tcBorders>
                  <w:vAlign w:val="center"/>
                </w:tcPr>
                <w:p>
                  <w:pPr>
                    <w:adjustRightInd w:val="0"/>
                    <w:snapToGrid w:val="0"/>
                    <w:ind w:right="-63" w:rightChars="-30"/>
                    <w:jc w:val="center"/>
                    <w:rPr>
                      <w:color w:val="00B0F0"/>
                      <w:szCs w:val="21"/>
                    </w:rPr>
                  </w:pPr>
                  <w:r>
                    <w:rPr>
                      <w:rFonts w:hint="eastAsia"/>
                      <w:color w:val="00B0F0"/>
                      <w:szCs w:val="21"/>
                    </w:rPr>
                    <w:t>平陵中学</w:t>
                  </w:r>
                </w:p>
              </w:tc>
              <w:tc>
                <w:tcPr>
                  <w:tcW w:w="611"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0</w:t>
                  </w:r>
                </w:p>
              </w:tc>
              <w:tc>
                <w:tcPr>
                  <w:tcW w:w="75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w:t>
                  </w:r>
                  <w:r>
                    <w:rPr>
                      <w:bCs/>
                      <w:color w:val="00B0F0"/>
                      <w:szCs w:val="21"/>
                    </w:rPr>
                    <w:t>540</w:t>
                  </w:r>
                </w:p>
              </w:tc>
              <w:tc>
                <w:tcPr>
                  <w:tcW w:w="501"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学校</w:t>
                  </w:r>
                </w:p>
              </w:tc>
              <w:tc>
                <w:tcPr>
                  <w:tcW w:w="772" w:type="pct"/>
                  <w:tcBorders>
                    <w:tl2br w:val="nil"/>
                    <w:tr2bl w:val="nil"/>
                  </w:tcBorders>
                  <w:vAlign w:val="center"/>
                </w:tcPr>
                <w:p>
                  <w:pPr>
                    <w:jc w:val="center"/>
                    <w:rPr>
                      <w:color w:val="00B0F0"/>
                      <w:szCs w:val="21"/>
                    </w:rPr>
                  </w:pPr>
                  <w:r>
                    <w:rPr>
                      <w:rFonts w:hint="eastAsia"/>
                      <w:color w:val="00B0F0"/>
                      <w:szCs w:val="21"/>
                    </w:rPr>
                    <w:t>约8</w:t>
                  </w:r>
                  <w:r>
                    <w:rPr>
                      <w:color w:val="00B0F0"/>
                      <w:szCs w:val="21"/>
                    </w:rPr>
                    <w:t>00</w:t>
                  </w:r>
                  <w:r>
                    <w:rPr>
                      <w:rFonts w:hint="eastAsia"/>
                      <w:color w:val="00B0F0"/>
                      <w:szCs w:val="21"/>
                    </w:rPr>
                    <w:t>人</w:t>
                  </w:r>
                </w:p>
              </w:tc>
              <w:tc>
                <w:tcPr>
                  <w:tcW w:w="409" w:type="pct"/>
                  <w:vMerge w:val="continue"/>
                  <w:tcBorders>
                    <w:tl2br w:val="nil"/>
                    <w:tr2bl w:val="nil"/>
                  </w:tcBorders>
                  <w:vAlign w:val="center"/>
                </w:tcPr>
                <w:p>
                  <w:pPr>
                    <w:adjustRightInd w:val="0"/>
                    <w:snapToGrid w:val="0"/>
                    <w:ind w:right="-63" w:rightChars="-30"/>
                    <w:jc w:val="center"/>
                    <w:rPr>
                      <w:bCs/>
                      <w:color w:val="00B0F0"/>
                      <w:szCs w:val="21"/>
                    </w:rPr>
                  </w:pPr>
                </w:p>
              </w:tc>
              <w:tc>
                <w:tcPr>
                  <w:tcW w:w="409"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南</w:t>
                  </w:r>
                </w:p>
              </w:tc>
              <w:tc>
                <w:tcPr>
                  <w:tcW w:w="545" w:type="pct"/>
                  <w:tcBorders>
                    <w:tl2br w:val="nil"/>
                    <w:tr2bl w:val="nil"/>
                  </w:tcBorders>
                  <w:vAlign w:val="center"/>
                </w:tcPr>
                <w:p>
                  <w:pPr>
                    <w:adjustRightInd w:val="0"/>
                    <w:snapToGrid w:val="0"/>
                    <w:ind w:right="-63" w:rightChars="-30"/>
                    <w:jc w:val="center"/>
                    <w:rPr>
                      <w:bCs/>
                      <w:color w:val="00B0F0"/>
                      <w:szCs w:val="21"/>
                    </w:rPr>
                  </w:pPr>
                  <w:r>
                    <w:rPr>
                      <w:rFonts w:hint="eastAsia"/>
                      <w:bCs/>
                      <w:color w:val="00B0F0"/>
                      <w:szCs w:val="21"/>
                    </w:rPr>
                    <w:t>5</w:t>
                  </w:r>
                  <w:r>
                    <w:rPr>
                      <w:bCs/>
                      <w:color w:val="00B0F0"/>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824" w:hRule="atLeast"/>
                <w:jc w:val="center"/>
              </w:trPr>
              <w:tc>
                <w:tcPr>
                  <w:tcW w:w="360" w:type="pct"/>
                  <w:tcBorders>
                    <w:tl2br w:val="nil"/>
                    <w:tr2bl w:val="nil"/>
                  </w:tcBorders>
                  <w:vAlign w:val="center"/>
                </w:tcPr>
                <w:p>
                  <w:pPr>
                    <w:adjustRightInd w:val="0"/>
                    <w:snapToGrid w:val="0"/>
                    <w:ind w:left="-63" w:leftChars="-30" w:right="-63" w:rightChars="-30"/>
                    <w:jc w:val="center"/>
                    <w:rPr>
                      <w:color w:val="00B0F0"/>
                      <w:szCs w:val="21"/>
                    </w:rPr>
                  </w:pPr>
                  <w:r>
                    <w:rPr>
                      <w:color w:val="00B0F0"/>
                      <w:szCs w:val="21"/>
                    </w:rPr>
                    <w:t>地表水</w:t>
                  </w:r>
                </w:p>
              </w:tc>
              <w:tc>
                <w:tcPr>
                  <w:tcW w:w="2004" w:type="pct"/>
                  <w:gridSpan w:val="3"/>
                  <w:tcBorders>
                    <w:tl2br w:val="nil"/>
                    <w:tr2bl w:val="nil"/>
                  </w:tcBorders>
                  <w:vAlign w:val="center"/>
                </w:tcPr>
                <w:p>
                  <w:pPr>
                    <w:adjustRightInd w:val="0"/>
                    <w:snapToGrid w:val="0"/>
                    <w:jc w:val="center"/>
                    <w:rPr>
                      <w:bCs/>
                      <w:color w:val="00B0F0"/>
                      <w:szCs w:val="21"/>
                    </w:rPr>
                  </w:pPr>
                  <w:r>
                    <w:rPr>
                      <w:bCs/>
                      <w:color w:val="00B0F0"/>
                      <w:szCs w:val="21"/>
                    </w:rPr>
                    <w:t>渭河位于项目区</w:t>
                  </w:r>
                  <w:r>
                    <w:rPr>
                      <w:rFonts w:hint="eastAsia"/>
                      <w:bCs/>
                      <w:color w:val="00B0F0"/>
                      <w:szCs w:val="21"/>
                    </w:rPr>
                    <w:t>南</w:t>
                  </w:r>
                  <w:r>
                    <w:rPr>
                      <w:bCs/>
                      <w:color w:val="00B0F0"/>
                      <w:szCs w:val="21"/>
                    </w:rPr>
                    <w:t>侧</w:t>
                  </w:r>
                  <w:r>
                    <w:rPr>
                      <w:rFonts w:hint="eastAsia"/>
                      <w:bCs/>
                      <w:color w:val="00B0F0"/>
                      <w:szCs w:val="21"/>
                    </w:rPr>
                    <w:t>8.8k</w:t>
                  </w:r>
                  <w:r>
                    <w:rPr>
                      <w:bCs/>
                      <w:color w:val="00B0F0"/>
                      <w:szCs w:val="21"/>
                    </w:rPr>
                    <w:t>m</w:t>
                  </w:r>
                </w:p>
              </w:tc>
              <w:tc>
                <w:tcPr>
                  <w:tcW w:w="501" w:type="pct"/>
                  <w:tcBorders>
                    <w:tl2br w:val="nil"/>
                    <w:tr2bl w:val="nil"/>
                  </w:tcBorders>
                  <w:vAlign w:val="center"/>
                </w:tcPr>
                <w:p>
                  <w:pPr>
                    <w:adjustRightInd w:val="0"/>
                    <w:snapToGrid w:val="0"/>
                    <w:jc w:val="center"/>
                    <w:rPr>
                      <w:bCs/>
                      <w:color w:val="00B0F0"/>
                      <w:szCs w:val="21"/>
                    </w:rPr>
                  </w:pPr>
                  <w:r>
                    <w:rPr>
                      <w:bCs/>
                      <w:color w:val="00B0F0"/>
                      <w:szCs w:val="21"/>
                    </w:rPr>
                    <w:t>水质</w:t>
                  </w:r>
                </w:p>
              </w:tc>
              <w:tc>
                <w:tcPr>
                  <w:tcW w:w="2136" w:type="pct"/>
                  <w:gridSpan w:val="4"/>
                  <w:tcBorders>
                    <w:tl2br w:val="nil"/>
                    <w:tr2bl w:val="nil"/>
                  </w:tcBorders>
                  <w:vAlign w:val="center"/>
                </w:tcPr>
                <w:p>
                  <w:pPr>
                    <w:adjustRightInd w:val="0"/>
                    <w:snapToGrid w:val="0"/>
                    <w:jc w:val="center"/>
                    <w:rPr>
                      <w:bCs/>
                      <w:color w:val="00B0F0"/>
                      <w:szCs w:val="21"/>
                    </w:rPr>
                  </w:pPr>
                  <w:r>
                    <w:rPr>
                      <w:rFonts w:hint="eastAsia"/>
                      <w:bCs/>
                      <w:color w:val="00B0F0"/>
                      <w:szCs w:val="21"/>
                    </w:rPr>
                    <w:t>/</w:t>
                  </w:r>
                </w:p>
              </w:tc>
            </w:tr>
          </w:tbl>
          <w:p>
            <w:pPr>
              <w:jc w:val="center"/>
            </w:pPr>
          </w:p>
        </w:tc>
      </w:tr>
    </w:tbl>
    <w:p>
      <w:pPr>
        <w:sectPr>
          <w:pgSz w:w="11906" w:h="16838"/>
          <w:pgMar w:top="1440" w:right="1800" w:bottom="1440" w:left="1800" w:header="851" w:footer="992" w:gutter="0"/>
          <w:cols w:space="425" w:num="1"/>
          <w:docGrid w:type="lines" w:linePitch="312" w:charSpace="0"/>
        </w:sectPr>
      </w:pPr>
    </w:p>
    <w:p>
      <w:pPr>
        <w:pStyle w:val="2"/>
        <w:rPr>
          <w:color w:val="000000" w:themeColor="text1"/>
          <w14:textFill>
            <w14:solidFill>
              <w14:schemeClr w14:val="tx1"/>
            </w14:solidFill>
          </w14:textFill>
        </w:rPr>
      </w:pPr>
      <w:bookmarkStart w:id="7" w:name="_Hlk46418864"/>
      <w:r>
        <w:rPr>
          <w:color w:val="000000" w:themeColor="text1"/>
          <w14:textFill>
            <w14:solidFill>
              <w14:schemeClr w14:val="tx1"/>
            </w14:solidFill>
          </w14:textFill>
        </w:rPr>
        <w:t>评价适用标准</w:t>
      </w:r>
    </w:p>
    <w:bookmarkEnd w:id="7"/>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3"/>
        <w:gridCol w:w="82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459" w:type="pct"/>
            <w:vAlign w:val="center"/>
          </w:tcPr>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境</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质</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量</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准</w:t>
            </w:r>
          </w:p>
        </w:tc>
        <w:tc>
          <w:tcPr>
            <w:tcW w:w="4541" w:type="pct"/>
            <w:vAlign w:val="center"/>
          </w:tcPr>
          <w:p>
            <w:pPr>
              <w:autoSpaceDE w:val="0"/>
              <w:autoSpaceDN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环境空气质量：</w:t>
            </w:r>
            <w:r>
              <w:rPr>
                <w:color w:val="000000" w:themeColor="text1"/>
                <w:sz w:val="24"/>
                <w14:textFill>
                  <w14:solidFill>
                    <w14:schemeClr w14:val="tx1"/>
                  </w14:solidFill>
                </w14:textFill>
              </w:rPr>
              <w:t>执行《环境空气质量标准》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GB3095-2012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二级标准；</w:t>
            </w:r>
            <w:r>
              <w:rPr>
                <w:rFonts w:hint="eastAsia"/>
                <w:color w:val="000000" w:themeColor="text1"/>
                <w:sz w:val="24"/>
                <w14:textFill>
                  <w14:solidFill>
                    <w14:schemeClr w14:val="tx1"/>
                  </w14:solidFill>
                </w14:textFill>
              </w:rPr>
              <w:t>非甲烷总烃执行《大气污染物综合排放标准 详解》中相关标准；苯乙烯</w:t>
            </w:r>
            <w:r>
              <w:rPr>
                <w:color w:val="000000" w:themeColor="text1"/>
                <w:kern w:val="0"/>
                <w:sz w:val="24"/>
                <w14:textFill>
                  <w14:solidFill>
                    <w14:schemeClr w14:val="tx1"/>
                  </w14:solidFill>
                </w14:textFill>
              </w:rPr>
              <w:t>参照《环境影响评价技术导则 大气环境》（HJ 2.2-2018）附录D.1中浓度限值</w:t>
            </w:r>
            <w:r>
              <w:rPr>
                <w:rFonts w:hint="eastAsia"/>
                <w:color w:val="000000" w:themeColor="text1"/>
                <w:kern w:val="0"/>
                <w:sz w:val="24"/>
                <w14:textFill>
                  <w14:solidFill>
                    <w14:schemeClr w14:val="tx1"/>
                  </w14:solidFill>
                </w14:textFill>
              </w:rPr>
              <w:t>。</w:t>
            </w:r>
          </w:p>
          <w:p>
            <w:pPr>
              <w:autoSpaceDE w:val="0"/>
              <w:autoSpaceDN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地表水质量：</w:t>
            </w:r>
            <w:r>
              <w:rPr>
                <w:color w:val="000000" w:themeColor="text1"/>
                <w:sz w:val="24"/>
                <w14:textFill>
                  <w14:solidFill>
                    <w14:schemeClr w14:val="tx1"/>
                  </w14:solidFill>
                </w14:textFill>
              </w:rPr>
              <w:t>执行《地表水环境质量标准》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GB3838-2002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中</w:t>
            </w:r>
            <w:r>
              <w:rPr>
                <w:sz w:val="24"/>
              </w:rPr>
              <w:t>Ⅳ</w:t>
            </w:r>
            <w:r>
              <w:rPr>
                <w:color w:val="000000" w:themeColor="text1"/>
                <w:sz w:val="24"/>
                <w14:textFill>
                  <w14:solidFill>
                    <w14:schemeClr w14:val="tx1"/>
                  </w14:solidFill>
                </w14:textFill>
              </w:rPr>
              <w:t>类标准</w:t>
            </w:r>
            <w:r>
              <w:rPr>
                <w:rFonts w:hint="eastAsia"/>
                <w:color w:val="000000" w:themeColor="text1"/>
                <w:sz w:val="24"/>
                <w14:textFill>
                  <w14:solidFill>
                    <w14:schemeClr w14:val="tx1"/>
                  </w14:solidFill>
                </w14:textFill>
              </w:rPr>
              <w:t>。</w:t>
            </w:r>
          </w:p>
          <w:p>
            <w:pPr>
              <w:autoSpaceDE w:val="0"/>
              <w:autoSpaceDN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声环境质量：</w:t>
            </w:r>
            <w:r>
              <w:rPr>
                <w:color w:val="000000" w:themeColor="text1"/>
                <w:sz w:val="24"/>
                <w14:textFill>
                  <w14:solidFill>
                    <w14:schemeClr w14:val="tx1"/>
                  </w14:solidFill>
                </w14:textFill>
              </w:rPr>
              <w:t>执行《声环境质量标准》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GB3096-2008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中2类标准</w:t>
            </w:r>
            <w:r>
              <w:rPr>
                <w:rFonts w:hint="eastAsia"/>
                <w:color w:val="000000" w:themeColor="text1"/>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459" w:type="pct"/>
            <w:vAlign w:val="center"/>
          </w:tcPr>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污</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染</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物</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排</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放</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准</w:t>
            </w:r>
          </w:p>
        </w:tc>
        <w:tc>
          <w:tcPr>
            <w:tcW w:w="4541" w:type="pct"/>
          </w:tcPr>
          <w:p>
            <w:pPr>
              <w:adjustRightInd w:val="0"/>
              <w:snapToGrid w:val="0"/>
              <w:spacing w:line="360" w:lineRule="auto"/>
              <w:ind w:firstLine="480" w:firstLineChars="200"/>
              <w:outlineLvl w:val="0"/>
              <w:rPr>
                <w:sz w:val="24"/>
              </w:rPr>
            </w:pPr>
            <w:r>
              <w:rPr>
                <w:color w:val="000000" w:themeColor="text1"/>
                <w:sz w:val="24"/>
                <w14:textFill>
                  <w14:solidFill>
                    <w14:schemeClr w14:val="tx1"/>
                  </w14:solidFill>
                </w14:textFill>
              </w:rPr>
              <w:t>（1）废气：餐饮油烟参照执行《饮食业油烟排放标准（试行）》（GB18483-2001）中相关标准规定；</w:t>
            </w:r>
            <w:r>
              <w:rPr>
                <w:rFonts w:hint="eastAsia"/>
                <w:sz w:val="24"/>
              </w:rPr>
              <w:t>生产废气排放执行《合成树脂工业污染物排放标准》（GB31572-2015）表5中相关标准限值，</w:t>
            </w:r>
            <w:r>
              <w:rPr>
                <w:sz w:val="24"/>
              </w:rPr>
              <w:t>锅炉</w:t>
            </w:r>
            <w:r>
              <w:rPr>
                <w:rFonts w:hint="eastAsia"/>
                <w:sz w:val="24"/>
              </w:rPr>
              <w:t>废气</w:t>
            </w:r>
            <w:r>
              <w:rPr>
                <w:sz w:val="24"/>
              </w:rPr>
              <w:t>执行《锅炉大气污染物排放标准》（</w:t>
            </w:r>
            <w:r>
              <w:rPr>
                <w:rFonts w:hint="eastAsia"/>
                <w:sz w:val="24"/>
              </w:rPr>
              <w:t>D</w:t>
            </w:r>
            <w:r>
              <w:rPr>
                <w:sz w:val="24"/>
              </w:rPr>
              <w:t>B</w:t>
            </w:r>
            <w:r>
              <w:rPr>
                <w:rFonts w:hint="eastAsia"/>
                <w:sz w:val="24"/>
              </w:rPr>
              <w:t>61/1226-2018</w:t>
            </w:r>
            <w:r>
              <w:rPr>
                <w:sz w:val="24"/>
              </w:rPr>
              <w:t>）中表3燃气锅炉标准</w:t>
            </w:r>
            <w:r>
              <w:rPr>
                <w:rFonts w:hint="eastAsia"/>
                <w:sz w:val="24"/>
              </w:rPr>
              <w:t>。</w:t>
            </w:r>
          </w:p>
          <w:p>
            <w:pPr>
              <w:adjustRightInd w:val="0"/>
              <w:snapToGrid w:val="0"/>
              <w:spacing w:line="360" w:lineRule="auto"/>
              <w:ind w:firstLine="480" w:firstLineChars="200"/>
              <w:rPr>
                <w:color w:val="000000" w:themeColor="text1"/>
                <w:kern w:val="24"/>
                <w:sz w:val="24"/>
                <w14:textFill>
                  <w14:solidFill>
                    <w14:schemeClr w14:val="tx1"/>
                  </w14:solidFill>
                </w14:textFill>
              </w:rPr>
            </w:pPr>
            <w:r>
              <w:rPr>
                <w:color w:val="000000" w:themeColor="text1"/>
                <w:sz w:val="24"/>
                <w14:textFill>
                  <w14:solidFill>
                    <w14:schemeClr w14:val="tx1"/>
                  </w14:solidFill>
                </w14:textFill>
              </w:rPr>
              <w:t>（2）废水：</w:t>
            </w:r>
            <w:r>
              <w:rPr>
                <w:rFonts w:hint="eastAsia"/>
                <w:color w:val="000000" w:themeColor="text1"/>
                <w:sz w:val="24"/>
                <w14:textFill>
                  <w14:solidFill>
                    <w14:schemeClr w14:val="tx1"/>
                  </w14:solidFill>
                </w14:textFill>
              </w:rPr>
              <w:t>该项目废水不外排。</w:t>
            </w:r>
          </w:p>
          <w:p>
            <w:pPr>
              <w:autoSpaceDE w:val="0"/>
              <w:autoSpaceDN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（3）噪声：运营期厂界噪声执行《工业企业厂界环境噪声排放标准》（GB12348-2008）中2类</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w:t>
            </w:r>
          </w:p>
          <w:p>
            <w:pPr>
              <w:pStyle w:val="6"/>
              <w:spacing w:line="360" w:lineRule="auto"/>
              <w:ind w:firstLine="480" w:firstLineChars="20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固废：</w:t>
            </w:r>
            <w:r>
              <w:rPr>
                <w:rFonts w:ascii="Times New Roman" w:hAnsi="Times New Roman"/>
                <w:color w:val="000000" w:themeColor="text1"/>
                <w:sz w:val="24"/>
                <w:szCs w:val="24"/>
                <w14:textFill>
                  <w14:solidFill>
                    <w14:schemeClr w14:val="tx1"/>
                  </w14:solidFill>
                </w14:textFill>
              </w:rPr>
              <w:t>一般工业固体废物执行《一般工业固体废物贮存、处置场污染控制标准》</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GB18599-2001</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及其修改单（环境保护部公告2013年第36号）中有关规定</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危险废物执行《危险废物贮存污染控制标准》</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GB 18597-2001</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及其修改单（环境保护部公告2013年第36号）有关规定。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49" w:hRule="atLeast"/>
          <w:jc w:val="center"/>
        </w:trPr>
        <w:tc>
          <w:tcPr>
            <w:tcW w:w="459" w:type="pct"/>
            <w:vAlign w:val="center"/>
          </w:tcPr>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总</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量</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控</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制</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指</w:t>
            </w:r>
          </w:p>
          <w:p>
            <w:pPr>
              <w:spacing w:line="276"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w:t>
            </w:r>
          </w:p>
        </w:tc>
        <w:tc>
          <w:tcPr>
            <w:tcW w:w="4541" w:type="pct"/>
            <w:vAlign w:val="center"/>
          </w:tcPr>
          <w:p>
            <w:pPr>
              <w:spacing w:line="360" w:lineRule="auto"/>
              <w:ind w:firstLine="480" w:firstLineChars="200"/>
              <w:rPr>
                <w:sz w:val="24"/>
              </w:rPr>
            </w:pPr>
            <w:r>
              <w:rPr>
                <w:sz w:val="24"/>
              </w:rPr>
              <w:t>根据国家的相关的法律规范及政策，</w:t>
            </w:r>
            <w:r>
              <w:rPr>
                <w:rFonts w:hint="eastAsia"/>
                <w:sz w:val="24"/>
              </w:rPr>
              <w:t>经结合本项目实际情况，所需申请总量为：SO</w:t>
            </w:r>
            <w:r>
              <w:rPr>
                <w:rFonts w:hint="eastAsia"/>
                <w:sz w:val="24"/>
                <w:vertAlign w:val="subscript"/>
              </w:rPr>
              <w:t>2</w:t>
            </w:r>
            <w:r>
              <w:rPr>
                <w:rFonts w:hint="eastAsia"/>
                <w:sz w:val="24"/>
              </w:rPr>
              <w:t>：0.0</w:t>
            </w:r>
            <w:r>
              <w:rPr>
                <w:sz w:val="24"/>
              </w:rPr>
              <w:t>3</w:t>
            </w:r>
            <w:r>
              <w:rPr>
                <w:rFonts w:hint="eastAsia"/>
                <w:sz w:val="24"/>
              </w:rPr>
              <w:t>t/a；NO</w:t>
            </w:r>
            <w:r>
              <w:rPr>
                <w:rFonts w:hint="eastAsia"/>
                <w:sz w:val="24"/>
                <w:vertAlign w:val="subscript"/>
              </w:rPr>
              <w:t>X</w:t>
            </w:r>
            <w:r>
              <w:rPr>
                <w:rFonts w:hint="eastAsia"/>
                <w:sz w:val="24"/>
              </w:rPr>
              <w:t>：0.</w:t>
            </w:r>
            <w:r>
              <w:rPr>
                <w:sz w:val="24"/>
              </w:rPr>
              <w:t>09</w:t>
            </w:r>
            <w:r>
              <w:rPr>
                <w:rFonts w:hint="eastAsia"/>
                <w:sz w:val="24"/>
              </w:rPr>
              <w:t>t/a；挥发性有机物（苯乙烯+非甲烷总烃）：</w:t>
            </w:r>
            <w:r>
              <w:rPr>
                <w:rFonts w:hint="eastAsia"/>
                <w:color w:val="000000"/>
                <w:sz w:val="24"/>
              </w:rPr>
              <w:t>0</w:t>
            </w:r>
            <w:r>
              <w:rPr>
                <w:color w:val="000000"/>
                <w:sz w:val="24"/>
              </w:rPr>
              <w:t>.618t</w:t>
            </w:r>
            <w:r>
              <w:rPr>
                <w:rFonts w:hint="eastAsia"/>
                <w:sz w:val="24"/>
              </w:rPr>
              <w:t>/a。</w:t>
            </w:r>
          </w:p>
          <w:p>
            <w:pPr>
              <w:ind w:firstLine="480" w:firstLineChars="200"/>
              <w:rPr>
                <w:color w:val="000000" w:themeColor="text1"/>
                <w:sz w:val="24"/>
                <w14:textFill>
                  <w14:solidFill>
                    <w14:schemeClr w14:val="tx1"/>
                  </w14:solidFill>
                </w14:textFill>
              </w:rPr>
            </w:pPr>
            <w:r>
              <w:rPr>
                <w:rStyle w:val="42"/>
                <w:rFonts w:hint="eastAsia" w:cs="宋体"/>
                <w:sz w:val="24"/>
              </w:rPr>
              <w:t>项目具体总量指标以当地环保部门核准的指标为准。</w:t>
            </w:r>
          </w:p>
        </w:tc>
      </w:tr>
    </w:tbl>
    <w:p>
      <w:pPr>
        <w:sectPr>
          <w:pgSz w:w="11906" w:h="16838"/>
          <w:pgMar w:top="1440" w:right="1800" w:bottom="1440" w:left="1800" w:header="851" w:footer="992" w:gutter="0"/>
          <w:cols w:space="425" w:num="1"/>
          <w:docGrid w:type="lines" w:linePitch="312" w:charSpace="0"/>
        </w:sectPr>
      </w:pPr>
    </w:p>
    <w:p>
      <w:pPr>
        <w:pStyle w:val="2"/>
        <w:rPr>
          <w:color w:val="000000" w:themeColor="text1"/>
          <w14:textFill>
            <w14:solidFill>
              <w14:schemeClr w14:val="tx1"/>
            </w14:solidFill>
          </w14:textFill>
        </w:rPr>
      </w:pPr>
      <w:r>
        <w:rPr>
          <w:color w:val="000000" w:themeColor="text1"/>
          <w14:textFill>
            <w14:solidFill>
              <w14:schemeClr w14:val="tx1"/>
            </w14:solidFill>
          </w14:textFill>
        </w:rPr>
        <w:t>建设项目工程分析</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9" w:hRule="atLeast"/>
          <w:jc w:val="center"/>
        </w:trPr>
        <w:tc>
          <w:tcPr>
            <w:tcW w:w="9072" w:type="dxa"/>
            <w:tcBorders>
              <w:bottom w:val="single" w:color="auto" w:sz="12" w:space="0"/>
            </w:tcBorders>
          </w:tcPr>
          <w:p>
            <w:pPr>
              <w:spacing w:line="360" w:lineRule="auto"/>
              <w:rPr>
                <w:b/>
                <w:color w:val="000000" w:themeColor="text1"/>
                <w:kern w:val="0"/>
                <w:sz w:val="28"/>
                <w:szCs w:val="20"/>
                <w14:textFill>
                  <w14:solidFill>
                    <w14:schemeClr w14:val="tx1"/>
                  </w14:solidFill>
                </w14:textFill>
              </w:rPr>
            </w:pPr>
            <w:r>
              <w:rPr>
                <w:b/>
                <w:color w:val="000000" w:themeColor="text1"/>
                <w:kern w:val="0"/>
                <w:sz w:val="28"/>
                <w:szCs w:val="20"/>
                <w14:textFill>
                  <w14:solidFill>
                    <w14:schemeClr w14:val="tx1"/>
                  </w14:solidFill>
                </w14:textFill>
              </w:rPr>
              <w:t>工艺流程简述(图示):</w:t>
            </w:r>
          </w:p>
          <w:p>
            <w:pPr>
              <w:widowControl/>
              <w:autoSpaceDE w:val="0"/>
              <w:autoSpaceDN w:val="0"/>
              <w:spacing w:line="360" w:lineRule="auto"/>
              <w:textAlignment w:val="bottom"/>
              <w:rPr>
                <w:rFonts w:eastAsia="黑体"/>
                <w:color w:val="000000" w:themeColor="text1"/>
                <w:kern w:val="0"/>
                <w:sz w:val="24"/>
                <w:szCs w:val="20"/>
                <w14:textFill>
                  <w14:solidFill>
                    <w14:schemeClr w14:val="tx1"/>
                  </w14:solidFill>
                </w14:textFill>
              </w:rPr>
            </w:pPr>
            <w:r>
              <w:rPr>
                <w:rFonts w:eastAsia="黑体"/>
                <w:color w:val="000000" w:themeColor="text1"/>
                <w:kern w:val="0"/>
                <w:sz w:val="24"/>
                <w:szCs w:val="20"/>
                <w14:textFill>
                  <w14:solidFill>
                    <w14:schemeClr w14:val="tx1"/>
                  </w14:solidFill>
                </w14:textFill>
              </w:rPr>
              <w:t>一、施工期工艺流程及产排污环节：</w:t>
            </w:r>
          </w:p>
          <w:p>
            <w:pPr>
              <w:adjustRightInd w:val="0"/>
              <w:snapToGrid w:val="0"/>
              <w:spacing w:line="360" w:lineRule="auto"/>
              <w:ind w:firstLine="480" w:firstLineChars="200"/>
              <w:rPr>
                <w:b/>
                <w:bCs/>
                <w:kern w:val="0"/>
                <w:sz w:val="24"/>
              </w:rPr>
            </w:pPr>
            <w:r>
              <w:rPr>
                <w:rFonts w:hint="eastAsia"/>
                <w:kern w:val="0"/>
                <w:sz w:val="24"/>
              </w:rPr>
              <w:t>陕西广兴华创材料科技有限公司成立于2020年7月16日。企业租赁咸阳伟杰商贸有限公司已建成的闲置厂房进行本项目建设，经现场踏勘，厂房已由咸阳伟杰商贸有限公司建设完成，施工期仅包括设备的安装调试，施工量较小，故不对施工期影响进行分析。</w:t>
            </w:r>
          </w:p>
          <w:p>
            <w:pPr>
              <w:widowControl/>
              <w:autoSpaceDE w:val="0"/>
              <w:autoSpaceDN w:val="0"/>
              <w:spacing w:line="360" w:lineRule="auto"/>
              <w:textAlignment w:val="bottom"/>
              <w:rPr>
                <w:rFonts w:eastAsia="黑体"/>
                <w:color w:val="000000" w:themeColor="text1"/>
                <w:kern w:val="0"/>
                <w:sz w:val="24"/>
                <w:szCs w:val="20"/>
                <w14:textFill>
                  <w14:solidFill>
                    <w14:schemeClr w14:val="tx1"/>
                  </w14:solidFill>
                </w14:textFill>
              </w:rPr>
            </w:pPr>
            <w:r>
              <w:rPr>
                <w:rFonts w:eastAsia="黑体"/>
                <w:color w:val="000000" w:themeColor="text1"/>
                <w:kern w:val="0"/>
                <w:sz w:val="24"/>
                <w:szCs w:val="20"/>
                <w14:textFill>
                  <w14:solidFill>
                    <w14:schemeClr w14:val="tx1"/>
                  </w14:solidFill>
                </w14:textFill>
              </w:rPr>
              <w:t>二、运营期工艺流程及产排污环节</w:t>
            </w:r>
          </w:p>
          <w:p>
            <w:pPr>
              <w:widowControl/>
              <w:autoSpaceDE w:val="0"/>
              <w:autoSpaceDN w:val="0"/>
              <w:spacing w:line="360" w:lineRule="auto"/>
              <w:ind w:firstLine="480" w:firstLineChars="200"/>
              <w:textAlignment w:val="bottom"/>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1、工艺流程</w:t>
            </w:r>
          </w:p>
          <w:p>
            <w:pPr>
              <w:spacing w:line="360" w:lineRule="auto"/>
              <w:ind w:firstLine="480" w:firstLineChars="200"/>
              <w:rPr>
                <w:kern w:val="0"/>
                <w:sz w:val="24"/>
              </w:rPr>
            </w:pPr>
            <w:r>
              <w:rPr>
                <w:kern w:val="0"/>
                <w:sz w:val="24"/>
              </w:rPr>
              <w:t>本项目包括EPS板生产和XPS板生产，主要工艺流程见图5-1和5-2。</w:t>
            </w:r>
          </w:p>
          <w:p>
            <w:pPr>
              <w:spacing w:line="360" w:lineRule="auto"/>
              <w:ind w:firstLine="480" w:firstLineChars="200"/>
              <w:rPr>
                <w:kern w:val="0"/>
                <w:sz w:val="24"/>
              </w:rPr>
            </w:pPr>
            <w:r>
              <w:rPr>
                <w:kern w:val="0"/>
                <w:sz w:val="24"/>
              </w:rPr>
              <w:t>1）EPS板生产工艺</w:t>
            </w:r>
          </w:p>
          <w:p>
            <w:pPr>
              <w:spacing w:line="360" w:lineRule="auto"/>
              <w:jc w:val="center"/>
              <w:rPr>
                <w:kern w:val="0"/>
                <w:sz w:val="24"/>
              </w:rPr>
            </w:pPr>
            <w:r>
              <w:pict>
                <v:shape id="_x0000_i1027" o:spt="75" type="#_x0000_t75" style="height:381.5pt;width:374.5pt;" filled="f" o:preferrelative="t" stroked="f" coordsize="21600,21600">
                  <v:path/>
                  <v:fill on="f" focussize="0,0"/>
                  <v:stroke on="f" joinstyle="miter"/>
                  <v:imagedata r:id="rId9" o:title=""/>
                  <o:lock v:ext="edit" aspectratio="t"/>
                  <w10:wrap type="none"/>
                  <w10:anchorlock/>
                </v:shape>
              </w:pict>
            </w:r>
          </w:p>
          <w:p>
            <w:pPr>
              <w:spacing w:line="360" w:lineRule="auto"/>
              <w:jc w:val="center"/>
              <w:rPr>
                <w:b/>
                <w:bCs/>
                <w:kern w:val="0"/>
                <w:sz w:val="24"/>
              </w:rPr>
            </w:pPr>
            <w:r>
              <w:rPr>
                <w:b/>
                <w:bCs/>
                <w:kern w:val="0"/>
                <w:sz w:val="24"/>
              </w:rPr>
              <w:t>图5-1   EPS板工艺流程及主要产污环节图</w:t>
            </w:r>
          </w:p>
          <w:p>
            <w:pPr>
              <w:spacing w:line="360" w:lineRule="auto"/>
              <w:ind w:firstLine="482" w:firstLineChars="200"/>
              <w:rPr>
                <w:b/>
                <w:color w:val="000000"/>
                <w:kern w:val="0"/>
                <w:sz w:val="24"/>
              </w:rPr>
            </w:pPr>
            <w:r>
              <w:rPr>
                <w:b/>
                <w:color w:val="000000"/>
                <w:kern w:val="0"/>
                <w:sz w:val="24"/>
              </w:rPr>
              <w:t>工艺流程简述：</w:t>
            </w:r>
          </w:p>
          <w:p>
            <w:pPr>
              <w:spacing w:line="360" w:lineRule="auto"/>
              <w:ind w:firstLine="480" w:firstLineChars="200"/>
              <w:rPr>
                <w:color w:val="000000"/>
                <w:kern w:val="0"/>
                <w:sz w:val="24"/>
              </w:rPr>
            </w:pPr>
            <w:r>
              <w:rPr>
                <w:rFonts w:hint="eastAsia" w:ascii="宋体" w:hAnsi="宋体" w:cs="宋体"/>
                <w:color w:val="000000"/>
                <w:kern w:val="0"/>
                <w:sz w:val="24"/>
              </w:rPr>
              <w:t>①</w:t>
            </w:r>
            <w:r>
              <w:rPr>
                <w:color w:val="000000"/>
                <w:kern w:val="0"/>
                <w:sz w:val="24"/>
              </w:rPr>
              <w:t>投料：本项目所用EPS颗粒通过自动计量装置称量后备用；</w:t>
            </w:r>
          </w:p>
          <w:p>
            <w:pPr>
              <w:spacing w:line="360" w:lineRule="auto"/>
              <w:ind w:firstLine="480" w:firstLineChars="200"/>
              <w:rPr>
                <w:kern w:val="0"/>
                <w:sz w:val="24"/>
              </w:rPr>
            </w:pPr>
            <w:r>
              <w:rPr>
                <w:rFonts w:hint="eastAsia" w:ascii="宋体" w:hAnsi="宋体" w:cs="宋体"/>
                <w:color w:val="000000"/>
                <w:kern w:val="0"/>
                <w:sz w:val="24"/>
              </w:rPr>
              <w:t>②</w:t>
            </w:r>
            <w:r>
              <w:rPr>
                <w:color w:val="000000"/>
                <w:kern w:val="0"/>
                <w:sz w:val="24"/>
              </w:rPr>
              <w:t>发泡：将称量好的EPS颗粒进入EPS预发泡机进行发泡（</w:t>
            </w:r>
            <w:r>
              <w:rPr>
                <w:kern w:val="0"/>
                <w:sz w:val="24"/>
                <w:szCs w:val="20"/>
              </w:rPr>
              <w:t>由厂区2台2t/h燃气锅炉蒸汽对其加热，</w:t>
            </w:r>
            <w:r>
              <w:rPr>
                <w:color w:val="000000"/>
                <w:kern w:val="0"/>
                <w:sz w:val="24"/>
              </w:rPr>
              <w:t>发泡温度为100</w:t>
            </w:r>
            <w:r>
              <w:rPr>
                <w:kern w:val="0"/>
                <w:sz w:val="24"/>
                <w:szCs w:val="20"/>
              </w:rPr>
              <w:t>℃左右</w:t>
            </w:r>
            <w:r>
              <w:rPr>
                <w:color w:val="000000"/>
                <w:kern w:val="0"/>
                <w:sz w:val="24"/>
              </w:rPr>
              <w:t>）。</w:t>
            </w:r>
            <w:r>
              <w:rPr>
                <w:kern w:val="0"/>
                <w:sz w:val="24"/>
              </w:rPr>
              <w:t>发泡过程中产生少量有机废气和噪声，建设单位拟于发泡机上方设置集气罩，将粒料加热过程产生的有机废气进行收集后处理；</w:t>
            </w:r>
          </w:p>
          <w:p>
            <w:pPr>
              <w:spacing w:line="360" w:lineRule="auto"/>
              <w:ind w:firstLine="480" w:firstLineChars="200"/>
              <w:rPr>
                <w:color w:val="000000"/>
                <w:kern w:val="0"/>
                <w:sz w:val="24"/>
              </w:rPr>
            </w:pPr>
            <w:r>
              <w:rPr>
                <w:rFonts w:hint="eastAsia" w:ascii="宋体" w:hAnsi="宋体" w:cs="宋体"/>
                <w:kern w:val="0"/>
                <w:sz w:val="24"/>
              </w:rPr>
              <w:t>③</w:t>
            </w:r>
            <w:r>
              <w:rPr>
                <w:kern w:val="0"/>
                <w:sz w:val="24"/>
              </w:rPr>
              <w:t>冷却熟化：</w:t>
            </w:r>
            <w:r>
              <w:rPr>
                <w:color w:val="000000"/>
                <w:kern w:val="0"/>
                <w:sz w:val="24"/>
              </w:rPr>
              <w:t>发泡完颗粒进入熟化仓进行熟化，该过程为常温；</w:t>
            </w:r>
          </w:p>
          <w:p>
            <w:pPr>
              <w:spacing w:line="360" w:lineRule="auto"/>
              <w:ind w:firstLine="480" w:firstLineChars="200"/>
              <w:rPr>
                <w:kern w:val="0"/>
                <w:sz w:val="24"/>
              </w:rPr>
            </w:pPr>
            <w:r>
              <w:rPr>
                <w:rFonts w:hint="eastAsia" w:ascii="宋体" w:hAnsi="宋体" w:cs="宋体"/>
                <w:color w:val="000000"/>
                <w:kern w:val="0"/>
                <w:sz w:val="24"/>
              </w:rPr>
              <w:t>④</w:t>
            </w:r>
            <w:r>
              <w:rPr>
                <w:color w:val="000000"/>
                <w:kern w:val="0"/>
                <w:sz w:val="24"/>
              </w:rPr>
              <w:t>挤压成型：熟化后的颗粒进入EPS聚苯板成型机挤压成型（</w:t>
            </w:r>
            <w:r>
              <w:rPr>
                <w:kern w:val="0"/>
                <w:sz w:val="24"/>
                <w:szCs w:val="20"/>
              </w:rPr>
              <w:t>由厂区2台2t/h燃气锅炉蒸汽对其加热，</w:t>
            </w:r>
            <w:r>
              <w:rPr>
                <w:color w:val="000000"/>
                <w:kern w:val="0"/>
                <w:sz w:val="24"/>
              </w:rPr>
              <w:t>温度为150-160</w:t>
            </w:r>
            <w:r>
              <w:rPr>
                <w:kern w:val="0"/>
                <w:sz w:val="24"/>
                <w:szCs w:val="20"/>
              </w:rPr>
              <w:t>℃</w:t>
            </w:r>
            <w:r>
              <w:rPr>
                <w:color w:val="000000"/>
                <w:kern w:val="0"/>
                <w:sz w:val="24"/>
              </w:rPr>
              <w:t>）。</w:t>
            </w:r>
            <w:r>
              <w:rPr>
                <w:kern w:val="0"/>
                <w:sz w:val="24"/>
              </w:rPr>
              <w:t>挤压成型过程中产生少量有机废气和噪声，建设单位拟于成型机上方设置集气罩，将粒料挤出过程产生的有机废气进行收集后处理；</w:t>
            </w:r>
          </w:p>
          <w:p>
            <w:pPr>
              <w:spacing w:line="360" w:lineRule="auto"/>
              <w:ind w:firstLine="480" w:firstLineChars="200"/>
              <w:rPr>
                <w:color w:val="000000"/>
                <w:kern w:val="0"/>
                <w:sz w:val="24"/>
              </w:rPr>
            </w:pPr>
            <w:r>
              <w:rPr>
                <w:rFonts w:hint="eastAsia" w:ascii="宋体" w:hAnsi="宋体" w:cs="宋体"/>
                <w:color w:val="000000"/>
                <w:kern w:val="0"/>
                <w:sz w:val="24"/>
              </w:rPr>
              <w:t>⑤</w:t>
            </w:r>
            <w:r>
              <w:rPr>
                <w:color w:val="000000"/>
                <w:kern w:val="0"/>
                <w:sz w:val="24"/>
              </w:rPr>
              <w:t>陈放：将成型后的产品放入陈放室陈放后</w:t>
            </w:r>
            <w:r>
              <w:rPr>
                <w:rFonts w:hint="eastAsia"/>
                <w:color w:val="000000"/>
                <w:kern w:val="0"/>
                <w:sz w:val="24"/>
              </w:rPr>
              <w:t>1-3小时后</w:t>
            </w:r>
            <w:r>
              <w:rPr>
                <w:color w:val="000000"/>
                <w:kern w:val="0"/>
                <w:sz w:val="24"/>
              </w:rPr>
              <w:t>（</w:t>
            </w:r>
            <w:r>
              <w:rPr>
                <w:kern w:val="0"/>
                <w:sz w:val="24"/>
                <w:szCs w:val="20"/>
              </w:rPr>
              <w:t>由厂区2台2t/h燃气锅炉</w:t>
            </w:r>
            <w:r>
              <w:rPr>
                <w:rFonts w:hint="eastAsia"/>
                <w:sz w:val="24"/>
              </w:rPr>
              <w:t>管道余热</w:t>
            </w:r>
            <w:r>
              <w:rPr>
                <w:kern w:val="0"/>
                <w:sz w:val="24"/>
                <w:szCs w:val="20"/>
              </w:rPr>
              <w:t>，</w:t>
            </w:r>
            <w:r>
              <w:rPr>
                <w:color w:val="000000"/>
                <w:kern w:val="0"/>
                <w:sz w:val="24"/>
              </w:rPr>
              <w:t>陈化温度为60-70</w:t>
            </w:r>
            <w:r>
              <w:rPr>
                <w:kern w:val="0"/>
                <w:sz w:val="24"/>
                <w:szCs w:val="20"/>
              </w:rPr>
              <w:t>℃</w:t>
            </w:r>
            <w:r>
              <w:rPr>
                <w:color w:val="000000"/>
                <w:kern w:val="0"/>
                <w:sz w:val="24"/>
              </w:rPr>
              <w:t>），最后即为本项目成品；</w:t>
            </w:r>
          </w:p>
          <w:p>
            <w:pPr>
              <w:spacing w:line="360" w:lineRule="auto"/>
              <w:ind w:firstLine="480" w:firstLineChars="200"/>
              <w:rPr>
                <w:kern w:val="0"/>
                <w:sz w:val="24"/>
              </w:rPr>
            </w:pPr>
            <w:r>
              <w:rPr>
                <w:rFonts w:hint="eastAsia" w:ascii="宋体" w:hAnsi="宋体" w:cs="宋体"/>
                <w:kern w:val="0"/>
                <w:sz w:val="24"/>
              </w:rPr>
              <w:t>⑥</w:t>
            </w:r>
            <w:r>
              <w:rPr>
                <w:kern w:val="0"/>
                <w:sz w:val="24"/>
              </w:rPr>
              <w:t>切割：根据客户需求，使用切割机进行切割。本切割过程为热切，</w:t>
            </w:r>
            <w:r>
              <w:rPr>
                <w:rFonts w:hint="eastAsia"/>
                <w:kern w:val="0"/>
                <w:sz w:val="24"/>
              </w:rPr>
              <w:t>为电钨丝加热切割（温度为1</w:t>
            </w:r>
            <w:r>
              <w:rPr>
                <w:kern w:val="0"/>
                <w:sz w:val="24"/>
              </w:rPr>
              <w:t>50</w:t>
            </w:r>
            <w:r>
              <w:rPr>
                <w:rFonts w:hint="eastAsia"/>
                <w:kern w:val="0"/>
                <w:sz w:val="24"/>
              </w:rPr>
              <w:t>℃左右），</w:t>
            </w:r>
            <w:r>
              <w:rPr>
                <w:kern w:val="0"/>
                <w:sz w:val="24"/>
              </w:rPr>
              <w:t>切割过程中不产生粉尘，但会产生少量的有机废气和边角料。</w:t>
            </w:r>
          </w:p>
          <w:p>
            <w:pPr>
              <w:spacing w:line="360" w:lineRule="auto"/>
              <w:ind w:firstLine="480" w:firstLineChars="200"/>
              <w:rPr>
                <w:kern w:val="0"/>
                <w:sz w:val="24"/>
              </w:rPr>
            </w:pPr>
            <w:r>
              <w:rPr>
                <w:kern w:val="0"/>
                <w:sz w:val="24"/>
              </w:rPr>
              <w:t>建设单位拟于切割机上方设置集气罩，将热切过程中产生的有机废气进行收集后处理：边角料由破碎机加工后投入熔化机进行熔化，熔融料外售。该过程会产生破碎过程粉尘、熔融过程有机废气、噪声和熔融废料，建设单位拟于破碎机上方设置集气罩，将破碎产生的粉尘进行收集后处理；在熔化机上方设置集气罩，将熔融产生的有机废气进行收集后处理；</w:t>
            </w:r>
          </w:p>
          <w:p>
            <w:pPr>
              <w:spacing w:line="360" w:lineRule="auto"/>
              <w:ind w:firstLine="480" w:firstLineChars="200"/>
              <w:rPr>
                <w:kern w:val="0"/>
                <w:sz w:val="24"/>
              </w:rPr>
            </w:pPr>
            <w:r>
              <w:rPr>
                <w:rFonts w:hint="eastAsia" w:ascii="宋体" w:hAnsi="宋体" w:cs="宋体"/>
                <w:kern w:val="0"/>
                <w:sz w:val="24"/>
              </w:rPr>
              <w:t>⑦</w:t>
            </w:r>
            <w:r>
              <w:rPr>
                <w:kern w:val="0"/>
                <w:sz w:val="24"/>
              </w:rPr>
              <w:t>包装入库。</w:t>
            </w:r>
          </w:p>
          <w:p>
            <w:pPr>
              <w:spacing w:line="360" w:lineRule="auto"/>
              <w:ind w:firstLine="480" w:firstLineChars="200"/>
              <w:rPr>
                <w:kern w:val="0"/>
                <w:sz w:val="24"/>
              </w:rPr>
            </w:pPr>
            <w:r>
              <w:rPr>
                <w:kern w:val="0"/>
                <w:sz w:val="24"/>
              </w:rPr>
              <w:t>2）XPS板生产工艺</w:t>
            </w:r>
          </w:p>
          <w:p>
            <w:pPr>
              <w:spacing w:line="360" w:lineRule="auto"/>
              <w:rPr>
                <w:kern w:val="0"/>
                <w:sz w:val="24"/>
              </w:rPr>
            </w:pPr>
            <w:r>
              <w:pict>
                <v:shape id="_x0000_i1028" o:spt="75" type="#_x0000_t75" style="height:403.5pt;width:396pt;" filled="f" o:preferrelative="t" stroked="f" coordsize="21600,21600">
                  <v:path/>
                  <v:fill on="f" focussize="0,0"/>
                  <v:stroke on="f" joinstyle="miter"/>
                  <v:imagedata r:id="rId10" o:title=""/>
                  <o:lock v:ext="edit" aspectratio="t"/>
                  <w10:wrap type="none"/>
                  <w10:anchorlock/>
                </v:shape>
              </w:pict>
            </w:r>
          </w:p>
          <w:p>
            <w:pPr>
              <w:spacing w:line="360" w:lineRule="auto"/>
              <w:jc w:val="center"/>
              <w:rPr>
                <w:b/>
                <w:bCs/>
                <w:kern w:val="0"/>
                <w:sz w:val="24"/>
              </w:rPr>
            </w:pPr>
            <w:r>
              <w:rPr>
                <w:b/>
                <w:bCs/>
                <w:kern w:val="0"/>
                <w:sz w:val="24"/>
              </w:rPr>
              <w:t>图5-2   XPS板工艺流程及主要产污环节图</w:t>
            </w:r>
          </w:p>
          <w:p>
            <w:pPr>
              <w:spacing w:line="360" w:lineRule="auto"/>
              <w:ind w:firstLine="482" w:firstLineChars="200"/>
              <w:rPr>
                <w:b/>
                <w:color w:val="000000"/>
                <w:kern w:val="0"/>
                <w:sz w:val="24"/>
              </w:rPr>
            </w:pPr>
            <w:r>
              <w:rPr>
                <w:b/>
                <w:color w:val="000000"/>
                <w:kern w:val="0"/>
                <w:sz w:val="24"/>
              </w:rPr>
              <w:t>工艺流程简述：</w:t>
            </w:r>
          </w:p>
          <w:p>
            <w:pPr>
              <w:spacing w:line="360" w:lineRule="auto"/>
              <w:ind w:firstLine="480" w:firstLineChars="200"/>
              <w:rPr>
                <w:color w:val="000000"/>
                <w:kern w:val="0"/>
                <w:sz w:val="24"/>
              </w:rPr>
            </w:pPr>
            <w:r>
              <w:rPr>
                <w:rFonts w:hint="eastAsia" w:ascii="宋体" w:hAnsi="宋体" w:cs="宋体"/>
                <w:bCs/>
                <w:color w:val="000000"/>
                <w:kern w:val="0"/>
                <w:sz w:val="24"/>
              </w:rPr>
              <w:t>①</w:t>
            </w:r>
            <w:r>
              <w:rPr>
                <w:bCs/>
                <w:color w:val="000000"/>
                <w:kern w:val="0"/>
                <w:sz w:val="24"/>
              </w:rPr>
              <w:t>投料：</w:t>
            </w:r>
            <w:r>
              <w:rPr>
                <w:color w:val="000000"/>
                <w:kern w:val="0"/>
                <w:sz w:val="24"/>
              </w:rPr>
              <w:t>本项目所用EPS颗粒通过自动计量装置称量后备用；</w:t>
            </w:r>
          </w:p>
          <w:p>
            <w:pPr>
              <w:spacing w:line="360" w:lineRule="auto"/>
              <w:ind w:firstLine="480" w:firstLineChars="200"/>
              <w:rPr>
                <w:kern w:val="0"/>
                <w:sz w:val="24"/>
              </w:rPr>
            </w:pPr>
            <w:r>
              <w:rPr>
                <w:rFonts w:hint="eastAsia" w:ascii="宋体" w:hAnsi="宋体" w:cs="宋体"/>
                <w:bCs/>
                <w:color w:val="000000"/>
                <w:kern w:val="0"/>
                <w:sz w:val="24"/>
              </w:rPr>
              <w:t>②</w:t>
            </w:r>
            <w:r>
              <w:rPr>
                <w:bCs/>
                <w:color w:val="000000"/>
                <w:kern w:val="0"/>
                <w:sz w:val="24"/>
              </w:rPr>
              <w:t>发泡、挤出：</w:t>
            </w:r>
            <w:r>
              <w:rPr>
                <w:color w:val="000000"/>
                <w:kern w:val="0"/>
                <w:sz w:val="24"/>
              </w:rPr>
              <w:t>搅拌均匀后通过密闭管道打入挤出螺杆机，螺杆挤出机采用电加热，加热温度为210</w:t>
            </w:r>
            <w:r>
              <w:rPr>
                <w:kern w:val="0"/>
                <w:sz w:val="24"/>
                <w:szCs w:val="20"/>
              </w:rPr>
              <w:t>℃左右，当温度达到210℃时将</w:t>
            </w:r>
            <w:r>
              <w:rPr>
                <w:kern w:val="0"/>
                <w:sz w:val="24"/>
              </w:rPr>
              <w:t>CO</w:t>
            </w:r>
            <w:r>
              <w:rPr>
                <w:kern w:val="0"/>
                <w:sz w:val="24"/>
                <w:vertAlign w:val="subscript"/>
              </w:rPr>
              <w:t>2</w:t>
            </w:r>
            <w:r>
              <w:rPr>
                <w:kern w:val="0"/>
                <w:sz w:val="24"/>
              </w:rPr>
              <w:t>发泡剂注入螺杆机，在密闭系统进行发泡。发泡、挤出过程中产生少量有机废气和噪声，建设单位拟于</w:t>
            </w:r>
            <w:r>
              <w:rPr>
                <w:color w:val="000000"/>
                <w:kern w:val="0"/>
                <w:sz w:val="24"/>
              </w:rPr>
              <w:t>挤出螺杆机</w:t>
            </w:r>
            <w:r>
              <w:rPr>
                <w:kern w:val="0"/>
                <w:sz w:val="24"/>
              </w:rPr>
              <w:t>上方设置集气罩，将粒料加热、挤出过程产生的有机废气进行收集后处理；</w:t>
            </w:r>
          </w:p>
          <w:p>
            <w:pPr>
              <w:spacing w:line="360" w:lineRule="auto"/>
              <w:ind w:left="420" w:leftChars="200"/>
              <w:rPr>
                <w:color w:val="000000"/>
                <w:kern w:val="0"/>
                <w:sz w:val="24"/>
              </w:rPr>
            </w:pPr>
            <w:r>
              <w:rPr>
                <w:rFonts w:hint="eastAsia" w:ascii="宋体" w:hAnsi="宋体" w:cs="宋体"/>
                <w:bCs/>
                <w:color w:val="000000"/>
                <w:kern w:val="0"/>
                <w:sz w:val="24"/>
              </w:rPr>
              <w:t>③</w:t>
            </w:r>
            <w:r>
              <w:rPr>
                <w:bCs/>
                <w:color w:val="000000"/>
                <w:kern w:val="0"/>
                <w:sz w:val="24"/>
              </w:rPr>
              <w:t>冷却成型：</w:t>
            </w:r>
            <w:r>
              <w:rPr>
                <w:color w:val="000000"/>
                <w:kern w:val="0"/>
                <w:sz w:val="24"/>
              </w:rPr>
              <w:t>将挤出的板材运入成型机，配套使用循环冷却水系统冷却；</w:t>
            </w:r>
          </w:p>
          <w:p>
            <w:pPr>
              <w:spacing w:line="360" w:lineRule="auto"/>
              <w:ind w:firstLine="480" w:firstLineChars="200"/>
              <w:rPr>
                <w:kern w:val="0"/>
                <w:sz w:val="24"/>
                <w:szCs w:val="20"/>
              </w:rPr>
            </w:pPr>
            <w:r>
              <w:rPr>
                <w:rFonts w:hint="eastAsia" w:ascii="宋体" w:hAnsi="宋体" w:cs="宋体"/>
                <w:bCs/>
                <w:color w:val="000000"/>
                <w:kern w:val="0"/>
                <w:sz w:val="24"/>
              </w:rPr>
              <w:t>④</w:t>
            </w:r>
            <w:r>
              <w:rPr>
                <w:bCs/>
                <w:color w:val="000000"/>
                <w:kern w:val="0"/>
                <w:sz w:val="24"/>
              </w:rPr>
              <w:t>修整：</w:t>
            </w:r>
            <w:r>
              <w:rPr>
                <w:color w:val="000000"/>
                <w:kern w:val="0"/>
                <w:sz w:val="24"/>
              </w:rPr>
              <w:t>定型完成后用刀片将两侧不规则部分进行修整切割，该过程会产生修整过程粉尘和边角料；</w:t>
            </w:r>
          </w:p>
          <w:p>
            <w:pPr>
              <w:spacing w:line="360" w:lineRule="auto"/>
              <w:ind w:firstLine="480" w:firstLineChars="200"/>
              <w:rPr>
                <w:kern w:val="0"/>
                <w:sz w:val="24"/>
                <w:szCs w:val="20"/>
              </w:rPr>
            </w:pPr>
            <w:r>
              <w:rPr>
                <w:rFonts w:hint="eastAsia" w:ascii="宋体" w:hAnsi="宋体" w:cs="宋体"/>
                <w:bCs/>
                <w:color w:val="000000"/>
                <w:kern w:val="0"/>
                <w:sz w:val="24"/>
              </w:rPr>
              <w:t>⑤</w:t>
            </w:r>
            <w:r>
              <w:rPr>
                <w:bCs/>
                <w:color w:val="000000"/>
                <w:kern w:val="0"/>
                <w:sz w:val="24"/>
              </w:rPr>
              <w:t>开槽、压花、切割：</w:t>
            </w:r>
            <w:r>
              <w:rPr>
                <w:kern w:val="0"/>
                <w:sz w:val="24"/>
                <w:szCs w:val="20"/>
              </w:rPr>
              <w:t>根据客户需要选择是否开槽，之后进入压花机压花，然后用双向三切机对产品切割（冷切）成所需尺寸；</w:t>
            </w:r>
            <w:r>
              <w:rPr>
                <w:color w:val="000000"/>
                <w:kern w:val="0"/>
                <w:sz w:val="24"/>
              </w:rPr>
              <w:t>该过程会产生开槽、切割过程产生粉尘、设备噪声、边角料。</w:t>
            </w:r>
          </w:p>
          <w:p>
            <w:pPr>
              <w:spacing w:line="360" w:lineRule="auto"/>
              <w:ind w:firstLine="480" w:firstLineChars="200"/>
              <w:rPr>
                <w:b/>
                <w:bCs/>
                <w:kern w:val="0"/>
                <w:sz w:val="24"/>
              </w:rPr>
            </w:pPr>
            <w:r>
              <w:rPr>
                <w:color w:val="000000"/>
                <w:kern w:val="0"/>
                <w:sz w:val="24"/>
              </w:rPr>
              <w:t>修整、开槽和切割过程中产生的边角料经破碎机进入熔化机（与EPS板生产线共用1台破碎机和2台熔化机），电加热至</w:t>
            </w:r>
            <w:r>
              <w:rPr>
                <w:kern w:val="0"/>
                <w:sz w:val="24"/>
                <w:szCs w:val="20"/>
              </w:rPr>
              <w:t>210℃左右，成为熔融状态，然后熔融料外售。</w:t>
            </w:r>
            <w:r>
              <w:rPr>
                <w:kern w:val="0"/>
                <w:sz w:val="24"/>
              </w:rPr>
              <w:t>该</w:t>
            </w:r>
            <w:r>
              <w:rPr>
                <w:color w:val="000000"/>
                <w:kern w:val="0"/>
                <w:sz w:val="24"/>
              </w:rPr>
              <w:t>过程会产生破碎过程粉尘、熔融过程有机废气、设备噪声和</w:t>
            </w:r>
            <w:r>
              <w:rPr>
                <w:kern w:val="0"/>
                <w:sz w:val="24"/>
                <w:szCs w:val="20"/>
              </w:rPr>
              <w:t>熔融废</w:t>
            </w:r>
            <w:r>
              <w:rPr>
                <w:color w:val="000000"/>
                <w:kern w:val="0"/>
                <w:sz w:val="24"/>
              </w:rPr>
              <w:t>料。</w:t>
            </w:r>
          </w:p>
          <w:p>
            <w:pPr>
              <w:spacing w:line="360" w:lineRule="auto"/>
              <w:ind w:firstLine="480" w:firstLineChars="200"/>
              <w:rPr>
                <w:kern w:val="0"/>
                <w:sz w:val="24"/>
              </w:rPr>
            </w:pPr>
            <w:r>
              <w:rPr>
                <w:kern w:val="0"/>
                <w:sz w:val="24"/>
              </w:rPr>
              <w:t>2、污染工序及污染因子</w:t>
            </w:r>
          </w:p>
          <w:p>
            <w:pPr>
              <w:spacing w:line="360" w:lineRule="auto"/>
              <w:jc w:val="center"/>
              <w:rPr>
                <w:b/>
                <w:bCs/>
                <w:kern w:val="0"/>
                <w:sz w:val="24"/>
              </w:rPr>
            </w:pPr>
            <w:r>
              <w:rPr>
                <w:b/>
                <w:bCs/>
                <w:kern w:val="0"/>
                <w:sz w:val="24"/>
              </w:rPr>
              <w:t>表5-1   项目运营期污染因子</w:t>
            </w:r>
            <w:r>
              <w:rPr>
                <w:rFonts w:hint="eastAsia"/>
                <w:b/>
                <w:bCs/>
                <w:kern w:val="0"/>
                <w:sz w:val="24"/>
              </w:rPr>
              <w:t>及去向</w:t>
            </w:r>
            <w:r>
              <w:rPr>
                <w:b/>
                <w:bCs/>
                <w:kern w:val="0"/>
                <w:sz w:val="24"/>
              </w:rPr>
              <w:t>汇总表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696"/>
              <w:gridCol w:w="2199"/>
              <w:gridCol w:w="1714"/>
              <w:gridCol w:w="24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shd w:val="clear" w:color="auto" w:fill="auto"/>
                  <w:vAlign w:val="center"/>
                </w:tcPr>
                <w:p>
                  <w:pPr>
                    <w:adjustRightInd w:val="0"/>
                    <w:snapToGrid w:val="0"/>
                    <w:jc w:val="center"/>
                    <w:rPr>
                      <w:bCs/>
                      <w:szCs w:val="21"/>
                    </w:rPr>
                  </w:pPr>
                  <w:r>
                    <w:rPr>
                      <w:bCs/>
                      <w:szCs w:val="21"/>
                    </w:rPr>
                    <w:t>类别</w:t>
                  </w:r>
                </w:p>
              </w:tc>
              <w:tc>
                <w:tcPr>
                  <w:tcW w:w="2207" w:type="pct"/>
                  <w:gridSpan w:val="2"/>
                  <w:shd w:val="clear" w:color="auto" w:fill="auto"/>
                  <w:vAlign w:val="center"/>
                </w:tcPr>
                <w:p>
                  <w:pPr>
                    <w:adjustRightInd w:val="0"/>
                    <w:snapToGrid w:val="0"/>
                    <w:jc w:val="center"/>
                    <w:rPr>
                      <w:bCs/>
                      <w:szCs w:val="21"/>
                    </w:rPr>
                  </w:pPr>
                  <w:r>
                    <w:rPr>
                      <w:bCs/>
                      <w:szCs w:val="21"/>
                    </w:rPr>
                    <w:t>污染源/工序</w:t>
                  </w:r>
                </w:p>
              </w:tc>
              <w:tc>
                <w:tcPr>
                  <w:tcW w:w="971" w:type="pct"/>
                  <w:shd w:val="clear" w:color="auto" w:fill="auto"/>
                  <w:vAlign w:val="center"/>
                </w:tcPr>
                <w:p>
                  <w:pPr>
                    <w:adjustRightInd w:val="0"/>
                    <w:snapToGrid w:val="0"/>
                    <w:jc w:val="center"/>
                    <w:rPr>
                      <w:bCs/>
                      <w:szCs w:val="21"/>
                    </w:rPr>
                  </w:pPr>
                  <w:r>
                    <w:rPr>
                      <w:bCs/>
                      <w:szCs w:val="21"/>
                    </w:rPr>
                    <w:t>主要污染因子</w:t>
                  </w:r>
                </w:p>
              </w:tc>
              <w:tc>
                <w:tcPr>
                  <w:tcW w:w="1380" w:type="pct"/>
                </w:tcPr>
                <w:p>
                  <w:pPr>
                    <w:adjustRightInd w:val="0"/>
                    <w:snapToGrid w:val="0"/>
                    <w:jc w:val="center"/>
                    <w:rPr>
                      <w:bCs/>
                      <w:szCs w:val="21"/>
                    </w:rPr>
                  </w:pPr>
                  <w:r>
                    <w:rPr>
                      <w:rFonts w:hint="eastAsia"/>
                      <w:bCs/>
                      <w:szCs w:val="21"/>
                    </w:rPr>
                    <w:t>治理措施及排放去向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443" w:type="pct"/>
                  <w:vMerge w:val="restart"/>
                  <w:vAlign w:val="center"/>
                </w:tcPr>
                <w:p>
                  <w:pPr>
                    <w:adjustRightInd w:val="0"/>
                    <w:snapToGrid w:val="0"/>
                    <w:jc w:val="center"/>
                    <w:rPr>
                      <w:kern w:val="0"/>
                      <w:szCs w:val="21"/>
                    </w:rPr>
                  </w:pPr>
                  <w:r>
                    <w:rPr>
                      <w:kern w:val="0"/>
                      <w:szCs w:val="21"/>
                    </w:rPr>
                    <w:t>废气</w:t>
                  </w:r>
                </w:p>
              </w:tc>
              <w:tc>
                <w:tcPr>
                  <w:tcW w:w="961" w:type="pct"/>
                  <w:vAlign w:val="center"/>
                </w:tcPr>
                <w:p>
                  <w:pPr>
                    <w:adjustRightInd w:val="0"/>
                    <w:snapToGrid w:val="0"/>
                    <w:jc w:val="center"/>
                    <w:rPr>
                      <w:kern w:val="0"/>
                      <w:szCs w:val="21"/>
                    </w:rPr>
                  </w:pPr>
                  <w:r>
                    <w:rPr>
                      <w:kern w:val="0"/>
                      <w:szCs w:val="21"/>
                    </w:rPr>
                    <w:t>EPS板生产线</w:t>
                  </w:r>
                </w:p>
              </w:tc>
              <w:tc>
                <w:tcPr>
                  <w:tcW w:w="1246" w:type="pct"/>
                  <w:vAlign w:val="center"/>
                </w:tcPr>
                <w:p>
                  <w:pPr>
                    <w:adjustRightInd w:val="0"/>
                    <w:snapToGrid w:val="0"/>
                    <w:rPr>
                      <w:kern w:val="0"/>
                      <w:szCs w:val="21"/>
                    </w:rPr>
                  </w:pPr>
                  <w:r>
                    <w:rPr>
                      <w:kern w:val="0"/>
                      <w:szCs w:val="21"/>
                    </w:rPr>
                    <w:t>发泡、挤出成型、切割</w:t>
                  </w:r>
                </w:p>
              </w:tc>
              <w:tc>
                <w:tcPr>
                  <w:tcW w:w="971" w:type="pct"/>
                  <w:vAlign w:val="center"/>
                </w:tcPr>
                <w:p>
                  <w:pPr>
                    <w:jc w:val="center"/>
                    <w:rPr>
                      <w:kern w:val="0"/>
                      <w:szCs w:val="21"/>
                    </w:rPr>
                  </w:pPr>
                  <w:r>
                    <w:rPr>
                      <w:kern w:val="0"/>
                      <w:szCs w:val="21"/>
                    </w:rPr>
                    <w:t>有机废气</w:t>
                  </w:r>
                </w:p>
              </w:tc>
              <w:tc>
                <w:tcPr>
                  <w:tcW w:w="1380" w:type="pct"/>
                  <w:vMerge w:val="restart"/>
                  <w:vAlign w:val="center"/>
                </w:tcPr>
                <w:p>
                  <w:pPr>
                    <w:jc w:val="center"/>
                    <w:rPr>
                      <w:kern w:val="0"/>
                      <w:szCs w:val="21"/>
                    </w:rPr>
                  </w:pPr>
                  <w:r>
                    <w:rPr>
                      <w:rFonts w:hint="eastAsia"/>
                      <w:kern w:val="0"/>
                      <w:szCs w:val="21"/>
                    </w:rPr>
                    <w:t>集气罩+二级活性炭吸附+</w:t>
                  </w:r>
                  <w:r>
                    <w:rPr>
                      <w:kern w:val="0"/>
                      <w:szCs w:val="21"/>
                    </w:rPr>
                    <w:t>15m</w:t>
                  </w:r>
                  <w:r>
                    <w:rPr>
                      <w:rFonts w:hint="eastAsia"/>
                      <w:kern w:val="0"/>
                      <w:szCs w:val="21"/>
                    </w:rPr>
                    <w:t>排气筒（P</w:t>
                  </w:r>
                  <w:r>
                    <w:rPr>
                      <w:kern w:val="0"/>
                      <w:szCs w:val="21"/>
                    </w:rPr>
                    <w:t>1</w:t>
                  </w: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961" w:type="pct"/>
                  <w:vAlign w:val="center"/>
                </w:tcPr>
                <w:p>
                  <w:pPr>
                    <w:adjustRightInd w:val="0"/>
                    <w:snapToGrid w:val="0"/>
                    <w:jc w:val="center"/>
                    <w:rPr>
                      <w:kern w:val="0"/>
                      <w:szCs w:val="21"/>
                    </w:rPr>
                  </w:pPr>
                  <w:r>
                    <w:rPr>
                      <w:kern w:val="0"/>
                      <w:szCs w:val="21"/>
                    </w:rPr>
                    <w:t>XPS板生产线</w:t>
                  </w:r>
                </w:p>
              </w:tc>
              <w:tc>
                <w:tcPr>
                  <w:tcW w:w="1246" w:type="pct"/>
                  <w:vAlign w:val="center"/>
                </w:tcPr>
                <w:p>
                  <w:pPr>
                    <w:adjustRightInd w:val="0"/>
                    <w:snapToGrid w:val="0"/>
                    <w:jc w:val="center"/>
                    <w:rPr>
                      <w:kern w:val="0"/>
                      <w:szCs w:val="21"/>
                    </w:rPr>
                  </w:pPr>
                  <w:r>
                    <w:rPr>
                      <w:kern w:val="0"/>
                      <w:szCs w:val="21"/>
                    </w:rPr>
                    <w:t>发泡挤出</w:t>
                  </w:r>
                </w:p>
              </w:tc>
              <w:tc>
                <w:tcPr>
                  <w:tcW w:w="971" w:type="pct"/>
                  <w:vAlign w:val="center"/>
                </w:tcPr>
                <w:p>
                  <w:pPr>
                    <w:jc w:val="center"/>
                    <w:rPr>
                      <w:kern w:val="0"/>
                      <w:szCs w:val="21"/>
                    </w:rPr>
                  </w:pPr>
                  <w:r>
                    <w:rPr>
                      <w:kern w:val="0"/>
                      <w:szCs w:val="21"/>
                    </w:rPr>
                    <w:t>有机废气</w:t>
                  </w:r>
                </w:p>
              </w:tc>
              <w:tc>
                <w:tcPr>
                  <w:tcW w:w="1380" w:type="pct"/>
                  <w:vMerge w:val="continue"/>
                </w:tcPr>
                <w:p>
                  <w:pPr>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961" w:type="pct"/>
                  <w:vMerge w:val="restart"/>
                  <w:vAlign w:val="center"/>
                </w:tcPr>
                <w:p>
                  <w:pPr>
                    <w:adjustRightInd w:val="0"/>
                    <w:snapToGrid w:val="0"/>
                    <w:jc w:val="center"/>
                    <w:rPr>
                      <w:kern w:val="0"/>
                      <w:szCs w:val="21"/>
                    </w:rPr>
                  </w:pPr>
                  <w:r>
                    <w:rPr>
                      <w:kern w:val="0"/>
                      <w:szCs w:val="21"/>
                    </w:rPr>
                    <w:t>EPS板/XPS板生产线</w:t>
                  </w:r>
                </w:p>
              </w:tc>
              <w:tc>
                <w:tcPr>
                  <w:tcW w:w="1246" w:type="pct"/>
                  <w:vAlign w:val="center"/>
                </w:tcPr>
                <w:p>
                  <w:pPr>
                    <w:adjustRightInd w:val="0"/>
                    <w:snapToGrid w:val="0"/>
                    <w:jc w:val="center"/>
                    <w:rPr>
                      <w:kern w:val="0"/>
                      <w:szCs w:val="21"/>
                    </w:rPr>
                  </w:pPr>
                  <w:r>
                    <w:rPr>
                      <w:kern w:val="0"/>
                      <w:szCs w:val="21"/>
                    </w:rPr>
                    <w:t>边角料熔融</w:t>
                  </w:r>
                </w:p>
              </w:tc>
              <w:tc>
                <w:tcPr>
                  <w:tcW w:w="971" w:type="pct"/>
                  <w:vAlign w:val="center"/>
                </w:tcPr>
                <w:p>
                  <w:pPr>
                    <w:jc w:val="center"/>
                    <w:rPr>
                      <w:kern w:val="0"/>
                      <w:szCs w:val="21"/>
                    </w:rPr>
                  </w:pPr>
                  <w:r>
                    <w:rPr>
                      <w:kern w:val="0"/>
                      <w:szCs w:val="21"/>
                    </w:rPr>
                    <w:t>有机废气</w:t>
                  </w:r>
                </w:p>
              </w:tc>
              <w:tc>
                <w:tcPr>
                  <w:tcW w:w="1380" w:type="pct"/>
                  <w:vMerge w:val="continue"/>
                </w:tcPr>
                <w:p>
                  <w:pPr>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961" w:type="pct"/>
                  <w:vMerge w:val="continue"/>
                  <w:vAlign w:val="center"/>
                </w:tcPr>
                <w:p>
                  <w:pPr>
                    <w:adjustRightInd w:val="0"/>
                    <w:snapToGrid w:val="0"/>
                    <w:jc w:val="center"/>
                    <w:rPr>
                      <w:kern w:val="0"/>
                      <w:szCs w:val="21"/>
                    </w:rPr>
                  </w:pPr>
                </w:p>
              </w:tc>
              <w:tc>
                <w:tcPr>
                  <w:tcW w:w="1246" w:type="pct"/>
                  <w:vAlign w:val="center"/>
                </w:tcPr>
                <w:p>
                  <w:pPr>
                    <w:adjustRightInd w:val="0"/>
                    <w:snapToGrid w:val="0"/>
                    <w:jc w:val="center"/>
                    <w:rPr>
                      <w:kern w:val="0"/>
                      <w:szCs w:val="21"/>
                    </w:rPr>
                  </w:pPr>
                  <w:r>
                    <w:rPr>
                      <w:kern w:val="0"/>
                      <w:szCs w:val="21"/>
                    </w:rPr>
                    <w:t>边角料粉碎</w:t>
                  </w:r>
                </w:p>
              </w:tc>
              <w:tc>
                <w:tcPr>
                  <w:tcW w:w="971" w:type="pct"/>
                  <w:vAlign w:val="center"/>
                </w:tcPr>
                <w:p>
                  <w:pPr>
                    <w:jc w:val="center"/>
                    <w:rPr>
                      <w:kern w:val="0"/>
                      <w:szCs w:val="21"/>
                    </w:rPr>
                  </w:pPr>
                  <w:r>
                    <w:rPr>
                      <w:kern w:val="0"/>
                      <w:szCs w:val="21"/>
                    </w:rPr>
                    <w:t>粉尘</w:t>
                  </w:r>
                </w:p>
              </w:tc>
              <w:tc>
                <w:tcPr>
                  <w:tcW w:w="1380" w:type="pct"/>
                  <w:vMerge w:val="restart"/>
                </w:tcPr>
                <w:p>
                  <w:pPr>
                    <w:jc w:val="center"/>
                    <w:rPr>
                      <w:kern w:val="0"/>
                      <w:szCs w:val="21"/>
                    </w:rPr>
                  </w:pPr>
                  <w:r>
                    <w:rPr>
                      <w:rFonts w:hint="eastAsia"/>
                      <w:kern w:val="0"/>
                      <w:szCs w:val="21"/>
                    </w:rPr>
                    <w:t>集气罩+布袋除尘器+</w:t>
                  </w:r>
                  <w:r>
                    <w:rPr>
                      <w:kern w:val="0"/>
                      <w:szCs w:val="21"/>
                    </w:rPr>
                    <w:t>15m</w:t>
                  </w:r>
                  <w:r>
                    <w:rPr>
                      <w:rFonts w:hint="eastAsia"/>
                      <w:kern w:val="0"/>
                      <w:szCs w:val="21"/>
                    </w:rPr>
                    <w:t>排气筒（P</w:t>
                  </w:r>
                  <w:r>
                    <w:rPr>
                      <w:kern w:val="0"/>
                      <w:szCs w:val="21"/>
                    </w:rPr>
                    <w:t>2</w:t>
                  </w: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961" w:type="pct"/>
                  <w:vAlign w:val="center"/>
                </w:tcPr>
                <w:p>
                  <w:pPr>
                    <w:adjustRightInd w:val="0"/>
                    <w:snapToGrid w:val="0"/>
                    <w:jc w:val="center"/>
                    <w:rPr>
                      <w:kern w:val="0"/>
                      <w:szCs w:val="21"/>
                    </w:rPr>
                  </w:pPr>
                  <w:r>
                    <w:rPr>
                      <w:kern w:val="0"/>
                      <w:szCs w:val="21"/>
                    </w:rPr>
                    <w:t>XPS板生产线</w:t>
                  </w:r>
                </w:p>
              </w:tc>
              <w:tc>
                <w:tcPr>
                  <w:tcW w:w="1246" w:type="pct"/>
                  <w:vAlign w:val="center"/>
                </w:tcPr>
                <w:p>
                  <w:pPr>
                    <w:adjustRightInd w:val="0"/>
                    <w:snapToGrid w:val="0"/>
                    <w:jc w:val="center"/>
                    <w:rPr>
                      <w:kern w:val="0"/>
                      <w:szCs w:val="21"/>
                    </w:rPr>
                  </w:pPr>
                  <w:r>
                    <w:rPr>
                      <w:kern w:val="0"/>
                      <w:szCs w:val="21"/>
                    </w:rPr>
                    <w:t>修整、开凿、切割</w:t>
                  </w:r>
                </w:p>
              </w:tc>
              <w:tc>
                <w:tcPr>
                  <w:tcW w:w="971" w:type="pct"/>
                  <w:vAlign w:val="center"/>
                </w:tcPr>
                <w:p>
                  <w:pPr>
                    <w:jc w:val="center"/>
                    <w:rPr>
                      <w:kern w:val="0"/>
                      <w:szCs w:val="21"/>
                    </w:rPr>
                  </w:pPr>
                  <w:r>
                    <w:rPr>
                      <w:kern w:val="0"/>
                      <w:szCs w:val="21"/>
                    </w:rPr>
                    <w:t>粉尘</w:t>
                  </w:r>
                </w:p>
              </w:tc>
              <w:tc>
                <w:tcPr>
                  <w:tcW w:w="1380" w:type="pct"/>
                  <w:vMerge w:val="continue"/>
                </w:tcPr>
                <w:p>
                  <w:pPr>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961" w:type="pct"/>
                  <w:vAlign w:val="center"/>
                </w:tcPr>
                <w:p>
                  <w:pPr>
                    <w:adjustRightInd w:val="0"/>
                    <w:snapToGrid w:val="0"/>
                    <w:jc w:val="center"/>
                    <w:rPr>
                      <w:kern w:val="0"/>
                      <w:szCs w:val="21"/>
                    </w:rPr>
                  </w:pPr>
                  <w:r>
                    <w:rPr>
                      <w:kern w:val="0"/>
                      <w:szCs w:val="21"/>
                    </w:rPr>
                    <w:t>天然气锅炉</w:t>
                  </w:r>
                </w:p>
              </w:tc>
              <w:tc>
                <w:tcPr>
                  <w:tcW w:w="1246" w:type="pct"/>
                  <w:vAlign w:val="center"/>
                </w:tcPr>
                <w:p>
                  <w:pPr>
                    <w:adjustRightInd w:val="0"/>
                    <w:snapToGrid w:val="0"/>
                    <w:jc w:val="center"/>
                    <w:rPr>
                      <w:kern w:val="0"/>
                      <w:szCs w:val="21"/>
                    </w:rPr>
                  </w:pPr>
                  <w:r>
                    <w:rPr>
                      <w:kern w:val="0"/>
                      <w:szCs w:val="21"/>
                    </w:rPr>
                    <w:t>锅炉尾气</w:t>
                  </w:r>
                </w:p>
              </w:tc>
              <w:tc>
                <w:tcPr>
                  <w:tcW w:w="971" w:type="pct"/>
                  <w:vAlign w:val="center"/>
                </w:tcPr>
                <w:p>
                  <w:pPr>
                    <w:jc w:val="center"/>
                    <w:rPr>
                      <w:kern w:val="0"/>
                      <w:szCs w:val="21"/>
                    </w:rPr>
                  </w:pPr>
                  <w:r>
                    <w:rPr>
                      <w:rFonts w:hint="eastAsia"/>
                      <w:szCs w:val="21"/>
                    </w:rPr>
                    <w:t>颗粒物</w:t>
                  </w:r>
                  <w:r>
                    <w:rPr>
                      <w:szCs w:val="21"/>
                    </w:rPr>
                    <w:t>、SO</w:t>
                  </w:r>
                  <w:r>
                    <w:rPr>
                      <w:szCs w:val="21"/>
                      <w:vertAlign w:val="subscript"/>
                    </w:rPr>
                    <w:t>2</w:t>
                  </w:r>
                  <w:r>
                    <w:rPr>
                      <w:szCs w:val="21"/>
                    </w:rPr>
                    <w:t>、NO</w:t>
                  </w:r>
                  <w:r>
                    <w:rPr>
                      <w:szCs w:val="21"/>
                      <w:vertAlign w:val="subscript"/>
                    </w:rPr>
                    <w:t>X</w:t>
                  </w:r>
                </w:p>
              </w:tc>
              <w:tc>
                <w:tcPr>
                  <w:tcW w:w="1380" w:type="pct"/>
                </w:tcPr>
                <w:p>
                  <w:pPr>
                    <w:jc w:val="center"/>
                    <w:rPr>
                      <w:szCs w:val="21"/>
                    </w:rPr>
                  </w:pPr>
                  <w:r>
                    <w:rPr>
                      <w:rFonts w:hint="eastAsia"/>
                      <w:szCs w:val="21"/>
                    </w:rPr>
                    <w:t>低氮燃烧器+</w:t>
                  </w:r>
                  <w:r>
                    <w:rPr>
                      <w:kern w:val="0"/>
                      <w:szCs w:val="21"/>
                    </w:rPr>
                    <w:t>15m</w:t>
                  </w:r>
                  <w:r>
                    <w:rPr>
                      <w:rFonts w:hint="eastAsia"/>
                      <w:kern w:val="0"/>
                      <w:szCs w:val="21"/>
                    </w:rPr>
                    <w:t>排气筒（P</w:t>
                  </w:r>
                  <w:r>
                    <w:rPr>
                      <w:kern w:val="0"/>
                      <w:szCs w:val="21"/>
                    </w:rPr>
                    <w:t>3</w:t>
                  </w:r>
                  <w:r>
                    <w:rPr>
                      <w:rFonts w:hint="eastAsia"/>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961" w:type="pct"/>
                  <w:vAlign w:val="center"/>
                </w:tcPr>
                <w:p>
                  <w:pPr>
                    <w:adjustRightInd w:val="0"/>
                    <w:snapToGrid w:val="0"/>
                    <w:jc w:val="center"/>
                    <w:rPr>
                      <w:kern w:val="0"/>
                      <w:szCs w:val="21"/>
                    </w:rPr>
                  </w:pPr>
                  <w:r>
                    <w:rPr>
                      <w:kern w:val="0"/>
                      <w:szCs w:val="21"/>
                    </w:rPr>
                    <w:t>员工食堂</w:t>
                  </w:r>
                </w:p>
              </w:tc>
              <w:tc>
                <w:tcPr>
                  <w:tcW w:w="1246" w:type="pct"/>
                  <w:vAlign w:val="center"/>
                </w:tcPr>
                <w:p>
                  <w:pPr>
                    <w:adjustRightInd w:val="0"/>
                    <w:snapToGrid w:val="0"/>
                    <w:jc w:val="center"/>
                    <w:rPr>
                      <w:kern w:val="0"/>
                      <w:szCs w:val="21"/>
                    </w:rPr>
                  </w:pPr>
                  <w:r>
                    <w:rPr>
                      <w:kern w:val="0"/>
                      <w:szCs w:val="21"/>
                    </w:rPr>
                    <w:t>食堂油烟</w:t>
                  </w:r>
                </w:p>
              </w:tc>
              <w:tc>
                <w:tcPr>
                  <w:tcW w:w="971" w:type="pct"/>
                  <w:vAlign w:val="center"/>
                </w:tcPr>
                <w:p>
                  <w:pPr>
                    <w:adjustRightInd w:val="0"/>
                    <w:snapToGrid w:val="0"/>
                    <w:jc w:val="center"/>
                    <w:rPr>
                      <w:kern w:val="0"/>
                      <w:szCs w:val="21"/>
                    </w:rPr>
                  </w:pPr>
                  <w:r>
                    <w:rPr>
                      <w:kern w:val="0"/>
                      <w:szCs w:val="21"/>
                    </w:rPr>
                    <w:t>油烟</w:t>
                  </w:r>
                </w:p>
              </w:tc>
              <w:tc>
                <w:tcPr>
                  <w:tcW w:w="1380" w:type="pct"/>
                  <w:vAlign w:val="center"/>
                </w:tcPr>
                <w:p>
                  <w:pPr>
                    <w:adjustRightInd w:val="0"/>
                    <w:snapToGrid w:val="0"/>
                    <w:rPr>
                      <w:rFonts w:ascii="宋体" w:hAnsi="宋体"/>
                      <w:kern w:val="0"/>
                      <w:szCs w:val="21"/>
                    </w:rPr>
                  </w:pPr>
                  <w:r>
                    <w:rPr>
                      <w:rFonts w:ascii="宋体" w:hAnsi="宋体"/>
                      <w:color w:val="000000" w:themeColor="text1"/>
                      <w:kern w:val="0"/>
                      <w:szCs w:val="21"/>
                      <w14:textFill>
                        <w14:solidFill>
                          <w14:schemeClr w14:val="tx1"/>
                        </w14:solidFill>
                      </w14:textFill>
                    </w:rPr>
                    <w:t>油烟净化器+屋顶烟囱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restart"/>
                  <w:vAlign w:val="center"/>
                </w:tcPr>
                <w:p>
                  <w:pPr>
                    <w:adjustRightInd w:val="0"/>
                    <w:snapToGrid w:val="0"/>
                    <w:jc w:val="center"/>
                    <w:rPr>
                      <w:kern w:val="0"/>
                      <w:szCs w:val="21"/>
                    </w:rPr>
                  </w:pPr>
                  <w:r>
                    <w:rPr>
                      <w:kern w:val="0"/>
                      <w:szCs w:val="21"/>
                    </w:rPr>
                    <w:t>废水</w:t>
                  </w:r>
                </w:p>
              </w:tc>
              <w:tc>
                <w:tcPr>
                  <w:tcW w:w="961" w:type="pct"/>
                  <w:vAlign w:val="center"/>
                </w:tcPr>
                <w:p>
                  <w:pPr>
                    <w:adjustRightInd w:val="0"/>
                    <w:snapToGrid w:val="0"/>
                    <w:jc w:val="center"/>
                    <w:rPr>
                      <w:kern w:val="0"/>
                    </w:rPr>
                  </w:pPr>
                  <w:r>
                    <w:rPr>
                      <w:kern w:val="0"/>
                    </w:rPr>
                    <w:t>生活污水</w:t>
                  </w:r>
                </w:p>
              </w:tc>
              <w:tc>
                <w:tcPr>
                  <w:tcW w:w="1246" w:type="pct"/>
                  <w:vAlign w:val="center"/>
                </w:tcPr>
                <w:p>
                  <w:pPr>
                    <w:adjustRightInd w:val="0"/>
                    <w:snapToGrid w:val="0"/>
                    <w:jc w:val="center"/>
                    <w:rPr>
                      <w:kern w:val="0"/>
                      <w:szCs w:val="21"/>
                    </w:rPr>
                  </w:pPr>
                  <w:r>
                    <w:rPr>
                      <w:kern w:val="0"/>
                    </w:rPr>
                    <w:t>办公、餐饮废水</w:t>
                  </w:r>
                </w:p>
              </w:tc>
              <w:tc>
                <w:tcPr>
                  <w:tcW w:w="971" w:type="pct"/>
                  <w:vAlign w:val="center"/>
                </w:tcPr>
                <w:p>
                  <w:pPr>
                    <w:adjustRightInd w:val="0"/>
                    <w:snapToGrid w:val="0"/>
                    <w:jc w:val="center"/>
                    <w:rPr>
                      <w:kern w:val="0"/>
                      <w:szCs w:val="21"/>
                    </w:rPr>
                  </w:pPr>
                  <w:r>
                    <w:rPr>
                      <w:kern w:val="0"/>
                    </w:rPr>
                    <w:t>BOD</w:t>
                  </w:r>
                  <w:r>
                    <w:rPr>
                      <w:kern w:val="0"/>
                      <w:vertAlign w:val="subscript"/>
                    </w:rPr>
                    <w:t>5</w:t>
                  </w:r>
                  <w:r>
                    <w:rPr>
                      <w:kern w:val="0"/>
                    </w:rPr>
                    <w:t>、COD、SS、动植物油</w:t>
                  </w:r>
                </w:p>
              </w:tc>
              <w:tc>
                <w:tcPr>
                  <w:tcW w:w="1380" w:type="pct"/>
                </w:tcPr>
                <w:p>
                  <w:pPr>
                    <w:adjustRightInd w:val="0"/>
                    <w:snapToGrid w:val="0"/>
                    <w:rPr>
                      <w:rFonts w:ascii="宋体" w:hAnsi="宋体"/>
                      <w:kern w:val="0"/>
                    </w:rPr>
                  </w:pPr>
                  <w:r>
                    <w:rPr>
                      <w:rFonts w:ascii="宋体" w:hAnsi="宋体"/>
                      <w:color w:val="000000" w:themeColor="text1"/>
                      <w:kern w:val="0"/>
                      <w:szCs w:val="21"/>
                      <w14:textFill>
                        <w14:solidFill>
                          <w14:schemeClr w14:val="tx1"/>
                        </w14:solidFill>
                      </w14:textFill>
                    </w:rPr>
                    <w:t>餐饮废水经隔油池处理后与生活污水一起</w:t>
                  </w:r>
                  <w:r>
                    <w:rPr>
                      <w:rFonts w:hint="eastAsia" w:ascii="宋体" w:hAnsi="宋体"/>
                      <w:color w:val="000000" w:themeColor="text1"/>
                      <w:kern w:val="0"/>
                      <w:szCs w:val="21"/>
                      <w14:textFill>
                        <w14:solidFill>
                          <w14:schemeClr w14:val="tx1"/>
                        </w14:solidFill>
                      </w14:textFill>
                    </w:rPr>
                    <w:t>排入</w:t>
                  </w:r>
                  <w:r>
                    <w:rPr>
                      <w:rFonts w:ascii="宋体" w:hAnsi="宋体"/>
                      <w:color w:val="000000" w:themeColor="text1"/>
                      <w:kern w:val="0"/>
                      <w:szCs w:val="21"/>
                      <w14:textFill>
                        <w14:solidFill>
                          <w14:schemeClr w14:val="tx1"/>
                        </w14:solidFill>
                      </w14:textFill>
                    </w:rPr>
                    <w:t>化粪池</w:t>
                  </w:r>
                  <w:r>
                    <w:rPr>
                      <w:rFonts w:hint="eastAsia" w:ascii="宋体" w:hAnsi="宋体"/>
                      <w:color w:val="000000" w:themeColor="text1"/>
                      <w:kern w:val="0"/>
                      <w:szCs w:val="21"/>
                      <w14:textFill>
                        <w14:solidFill>
                          <w14:schemeClr w14:val="tx1"/>
                        </w14:solidFill>
                      </w14:textFill>
                    </w:rPr>
                    <w:t>，项目废水不外排，对化粪池进行定期清掏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961" w:type="pct"/>
                  <w:vAlign w:val="center"/>
                </w:tcPr>
                <w:p>
                  <w:pPr>
                    <w:adjustRightInd w:val="0"/>
                    <w:snapToGrid w:val="0"/>
                    <w:jc w:val="center"/>
                    <w:rPr>
                      <w:kern w:val="0"/>
                    </w:rPr>
                  </w:pPr>
                  <w:r>
                    <w:rPr>
                      <w:kern w:val="0"/>
                    </w:rPr>
                    <w:t>锅炉排水</w:t>
                  </w:r>
                </w:p>
              </w:tc>
              <w:tc>
                <w:tcPr>
                  <w:tcW w:w="1246" w:type="pct"/>
                  <w:vAlign w:val="center"/>
                </w:tcPr>
                <w:p>
                  <w:pPr>
                    <w:adjustRightInd w:val="0"/>
                    <w:snapToGrid w:val="0"/>
                    <w:jc w:val="center"/>
                    <w:rPr>
                      <w:kern w:val="0"/>
                      <w:szCs w:val="21"/>
                    </w:rPr>
                  </w:pPr>
                  <w:r>
                    <w:rPr>
                      <w:kern w:val="0"/>
                      <w:szCs w:val="21"/>
                    </w:rPr>
                    <w:t>锅炉废水</w:t>
                  </w:r>
                </w:p>
              </w:tc>
              <w:tc>
                <w:tcPr>
                  <w:tcW w:w="971" w:type="pct"/>
                  <w:vAlign w:val="center"/>
                </w:tcPr>
                <w:p>
                  <w:pPr>
                    <w:adjustRightInd w:val="0"/>
                    <w:snapToGrid w:val="0"/>
                    <w:jc w:val="center"/>
                    <w:rPr>
                      <w:kern w:val="0"/>
                      <w:szCs w:val="21"/>
                    </w:rPr>
                  </w:pPr>
                  <w:r>
                    <w:rPr>
                      <w:kern w:val="0"/>
                      <w:szCs w:val="21"/>
                    </w:rPr>
                    <w:t>SS等</w:t>
                  </w:r>
                </w:p>
              </w:tc>
              <w:tc>
                <w:tcPr>
                  <w:tcW w:w="1380" w:type="pct"/>
                </w:tcPr>
                <w:p>
                  <w:pPr>
                    <w:adjustRightInd w:val="0"/>
                    <w:snapToGrid w:val="0"/>
                    <w:jc w:val="center"/>
                    <w:rPr>
                      <w:kern w:val="0"/>
                      <w:szCs w:val="21"/>
                    </w:rPr>
                  </w:pPr>
                  <w:r>
                    <w:rPr>
                      <w:rFonts w:ascii="宋体" w:hAnsi="宋体"/>
                      <w:color w:val="000000" w:themeColor="text1"/>
                      <w:kern w:val="0"/>
                      <w:szCs w:val="21"/>
                      <w14:textFill>
                        <w14:solidFill>
                          <w14:schemeClr w14:val="tx1"/>
                        </w14:solidFill>
                      </w14:textFill>
                    </w:rPr>
                    <w:t>排入</w:t>
                  </w:r>
                  <w:r>
                    <w:rPr>
                      <w:rFonts w:hint="eastAsia" w:ascii="宋体" w:hAnsi="宋体"/>
                      <w:color w:val="000000" w:themeColor="text1"/>
                      <w:kern w:val="0"/>
                      <w:szCs w:val="21"/>
                      <w14:textFill>
                        <w14:solidFill>
                          <w14:schemeClr w14:val="tx1"/>
                        </w14:solidFill>
                      </w14:textFill>
                    </w:rPr>
                    <w:t>化粪池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Align w:val="center"/>
                </w:tcPr>
                <w:p>
                  <w:pPr>
                    <w:adjustRightInd w:val="0"/>
                    <w:snapToGrid w:val="0"/>
                    <w:jc w:val="center"/>
                    <w:rPr>
                      <w:kern w:val="0"/>
                      <w:szCs w:val="21"/>
                    </w:rPr>
                  </w:pPr>
                  <w:r>
                    <w:rPr>
                      <w:kern w:val="0"/>
                      <w:szCs w:val="21"/>
                    </w:rPr>
                    <w:t>噪声</w:t>
                  </w:r>
                </w:p>
              </w:tc>
              <w:tc>
                <w:tcPr>
                  <w:tcW w:w="961" w:type="pct"/>
                  <w:vAlign w:val="center"/>
                </w:tcPr>
                <w:p>
                  <w:pPr>
                    <w:adjustRightInd w:val="0"/>
                    <w:snapToGrid w:val="0"/>
                    <w:jc w:val="center"/>
                    <w:rPr>
                      <w:kern w:val="0"/>
                      <w:szCs w:val="21"/>
                    </w:rPr>
                  </w:pPr>
                  <w:r>
                    <w:rPr>
                      <w:kern w:val="0"/>
                      <w:szCs w:val="21"/>
                    </w:rPr>
                    <w:t>生产运营</w:t>
                  </w:r>
                </w:p>
              </w:tc>
              <w:tc>
                <w:tcPr>
                  <w:tcW w:w="1246" w:type="pct"/>
                  <w:vAlign w:val="center"/>
                </w:tcPr>
                <w:p>
                  <w:pPr>
                    <w:adjustRightInd w:val="0"/>
                    <w:snapToGrid w:val="0"/>
                    <w:jc w:val="center"/>
                    <w:rPr>
                      <w:kern w:val="0"/>
                      <w:szCs w:val="21"/>
                    </w:rPr>
                  </w:pPr>
                  <w:r>
                    <w:rPr>
                      <w:kern w:val="0"/>
                      <w:szCs w:val="21"/>
                    </w:rPr>
                    <w:t>设备、风机噪声</w:t>
                  </w:r>
                </w:p>
              </w:tc>
              <w:tc>
                <w:tcPr>
                  <w:tcW w:w="971" w:type="pct"/>
                  <w:vAlign w:val="center"/>
                </w:tcPr>
                <w:p>
                  <w:pPr>
                    <w:adjustRightInd w:val="0"/>
                    <w:snapToGrid w:val="0"/>
                    <w:rPr>
                      <w:kern w:val="0"/>
                      <w:szCs w:val="21"/>
                    </w:rPr>
                  </w:pPr>
                  <w:r>
                    <w:rPr>
                      <w:kern w:val="0"/>
                      <w:szCs w:val="21"/>
                    </w:rPr>
                    <w:t>等效连续A声级（dB）</w:t>
                  </w:r>
                </w:p>
              </w:tc>
              <w:tc>
                <w:tcPr>
                  <w:tcW w:w="1380" w:type="pct"/>
                </w:tcPr>
                <w:p>
                  <w:pPr>
                    <w:adjustRightInd w:val="0"/>
                    <w:snapToGrid w:val="0"/>
                    <w:rPr>
                      <w:kern w:val="0"/>
                      <w:szCs w:val="21"/>
                    </w:rPr>
                  </w:pPr>
                  <w:r>
                    <w:rPr>
                      <w:rFonts w:hint="eastAsia"/>
                      <w:kern w:val="0"/>
                      <w:szCs w:val="21"/>
                    </w:rPr>
                    <w:t>生产车间隔声降噪措施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restart"/>
                  <w:vAlign w:val="center"/>
                </w:tcPr>
                <w:p>
                  <w:pPr>
                    <w:adjustRightInd w:val="0"/>
                    <w:snapToGrid w:val="0"/>
                    <w:jc w:val="center"/>
                    <w:rPr>
                      <w:kern w:val="0"/>
                      <w:szCs w:val="21"/>
                    </w:rPr>
                  </w:pPr>
                  <w:r>
                    <w:rPr>
                      <w:kern w:val="0"/>
                      <w:szCs w:val="21"/>
                    </w:rPr>
                    <w:t>固体</w:t>
                  </w:r>
                </w:p>
                <w:p>
                  <w:pPr>
                    <w:adjustRightInd w:val="0"/>
                    <w:snapToGrid w:val="0"/>
                    <w:jc w:val="center"/>
                    <w:rPr>
                      <w:kern w:val="0"/>
                      <w:szCs w:val="21"/>
                    </w:rPr>
                  </w:pPr>
                  <w:r>
                    <w:rPr>
                      <w:kern w:val="0"/>
                      <w:szCs w:val="21"/>
                    </w:rPr>
                    <w:t>废物</w:t>
                  </w:r>
                </w:p>
              </w:tc>
              <w:tc>
                <w:tcPr>
                  <w:tcW w:w="2207" w:type="pct"/>
                  <w:gridSpan w:val="2"/>
                  <w:vAlign w:val="center"/>
                </w:tcPr>
                <w:p>
                  <w:pPr>
                    <w:adjustRightInd w:val="0"/>
                    <w:snapToGrid w:val="0"/>
                    <w:jc w:val="center"/>
                    <w:rPr>
                      <w:kern w:val="0"/>
                      <w:szCs w:val="21"/>
                    </w:rPr>
                  </w:pPr>
                  <w:r>
                    <w:rPr>
                      <w:rFonts w:hint="eastAsia"/>
                      <w:kern w:val="0"/>
                      <w:szCs w:val="21"/>
                    </w:rPr>
                    <w:t>生活垃圾</w:t>
                  </w:r>
                </w:p>
              </w:tc>
              <w:tc>
                <w:tcPr>
                  <w:tcW w:w="971" w:type="pct"/>
                  <w:vAlign w:val="center"/>
                </w:tcPr>
                <w:p>
                  <w:pPr>
                    <w:adjustRightInd w:val="0"/>
                    <w:snapToGrid w:val="0"/>
                    <w:jc w:val="center"/>
                    <w:rPr>
                      <w:kern w:val="0"/>
                      <w:szCs w:val="21"/>
                    </w:rPr>
                  </w:pPr>
                  <w:r>
                    <w:rPr>
                      <w:rFonts w:hint="eastAsia"/>
                      <w:kern w:val="0"/>
                      <w:szCs w:val="21"/>
                    </w:rPr>
                    <w:t>生活垃圾</w:t>
                  </w:r>
                </w:p>
              </w:tc>
              <w:tc>
                <w:tcPr>
                  <w:tcW w:w="1380" w:type="pct"/>
                </w:tcPr>
                <w:p>
                  <w:pPr>
                    <w:adjustRightInd w:val="0"/>
                    <w:snapToGrid w:val="0"/>
                    <w:jc w:val="center"/>
                    <w:rPr>
                      <w:kern w:val="0"/>
                      <w:szCs w:val="21"/>
                    </w:rPr>
                  </w:pPr>
                  <w:r>
                    <w:rPr>
                      <w:rFonts w:hint="eastAsia"/>
                      <w:kern w:val="0"/>
                      <w:szCs w:val="21"/>
                    </w:rPr>
                    <w:t>分类收集，交由环卫部门处置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2207" w:type="pct"/>
                  <w:gridSpan w:val="2"/>
                  <w:vMerge w:val="restart"/>
                  <w:vAlign w:val="center"/>
                </w:tcPr>
                <w:p>
                  <w:pPr>
                    <w:adjustRightInd w:val="0"/>
                    <w:snapToGrid w:val="0"/>
                    <w:jc w:val="center"/>
                    <w:rPr>
                      <w:rFonts w:ascii="宋体" w:hAnsi="宋体"/>
                      <w:kern w:val="0"/>
                      <w:szCs w:val="21"/>
                    </w:rPr>
                  </w:pPr>
                  <w:r>
                    <w:rPr>
                      <w:rFonts w:hint="eastAsia"/>
                      <w:kern w:val="0"/>
                      <w:szCs w:val="21"/>
                    </w:rPr>
                    <w:t>一般固废</w:t>
                  </w:r>
                </w:p>
              </w:tc>
              <w:tc>
                <w:tcPr>
                  <w:tcW w:w="971" w:type="pct"/>
                  <w:vAlign w:val="center"/>
                </w:tcPr>
                <w:p>
                  <w:pPr>
                    <w:adjustRightInd w:val="0"/>
                    <w:snapToGrid w:val="0"/>
                    <w:jc w:val="center"/>
                    <w:rPr>
                      <w:kern w:val="0"/>
                      <w:szCs w:val="21"/>
                    </w:rPr>
                  </w:pPr>
                  <w:r>
                    <w:rPr>
                      <w:rFonts w:hint="eastAsia" w:ascii="宋体" w:hAnsi="宋体"/>
                      <w:szCs w:val="21"/>
                    </w:rPr>
                    <w:t>边角料</w:t>
                  </w:r>
                </w:p>
              </w:tc>
              <w:tc>
                <w:tcPr>
                  <w:tcW w:w="1380" w:type="pct"/>
                </w:tcPr>
                <w:p>
                  <w:pPr>
                    <w:adjustRightInd w:val="0"/>
                    <w:snapToGrid w:val="0"/>
                    <w:jc w:val="center"/>
                    <w:rPr>
                      <w:kern w:val="0"/>
                      <w:szCs w:val="21"/>
                    </w:rPr>
                  </w:pPr>
                  <w:r>
                    <w:rPr>
                      <w:rFonts w:hint="eastAsia"/>
                      <w:kern w:val="0"/>
                      <w:szCs w:val="21"/>
                    </w:rPr>
                    <w:t>回收熔融后外售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2207" w:type="pct"/>
                  <w:gridSpan w:val="2"/>
                  <w:vMerge w:val="continue"/>
                  <w:vAlign w:val="center"/>
                </w:tcPr>
                <w:p>
                  <w:pPr>
                    <w:adjustRightInd w:val="0"/>
                    <w:snapToGrid w:val="0"/>
                    <w:jc w:val="center"/>
                    <w:rPr>
                      <w:rFonts w:ascii="宋体" w:hAnsi="宋体"/>
                      <w:kern w:val="0"/>
                      <w:szCs w:val="21"/>
                    </w:rPr>
                  </w:pPr>
                </w:p>
              </w:tc>
              <w:tc>
                <w:tcPr>
                  <w:tcW w:w="971" w:type="pct"/>
                  <w:vAlign w:val="center"/>
                </w:tcPr>
                <w:p>
                  <w:pPr>
                    <w:adjustRightInd w:val="0"/>
                    <w:snapToGrid w:val="0"/>
                    <w:jc w:val="center"/>
                    <w:rPr>
                      <w:kern w:val="0"/>
                      <w:szCs w:val="21"/>
                    </w:rPr>
                  </w:pPr>
                  <w:r>
                    <w:rPr>
                      <w:rFonts w:hint="eastAsia" w:ascii="宋体" w:hAnsi="宋体"/>
                      <w:szCs w:val="21"/>
                    </w:rPr>
                    <w:t>粉尘</w:t>
                  </w:r>
                </w:p>
              </w:tc>
              <w:tc>
                <w:tcPr>
                  <w:tcW w:w="1380" w:type="pct"/>
                </w:tcPr>
                <w:p>
                  <w:pPr>
                    <w:adjustRightInd w:val="0"/>
                    <w:snapToGrid w:val="0"/>
                    <w:jc w:val="center"/>
                    <w:rPr>
                      <w:kern w:val="0"/>
                      <w:szCs w:val="21"/>
                    </w:rPr>
                  </w:pPr>
                  <w:r>
                    <w:rPr>
                      <w:rFonts w:hint="eastAsia"/>
                      <w:kern w:val="0"/>
                      <w:szCs w:val="21"/>
                    </w:rPr>
                    <w:t>收集后外售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2207" w:type="pct"/>
                  <w:gridSpan w:val="2"/>
                  <w:vMerge w:val="continue"/>
                  <w:vAlign w:val="center"/>
                </w:tcPr>
                <w:p>
                  <w:pPr>
                    <w:adjustRightInd w:val="0"/>
                    <w:snapToGrid w:val="0"/>
                    <w:jc w:val="center"/>
                    <w:rPr>
                      <w:rFonts w:ascii="宋体" w:hAnsi="宋体"/>
                      <w:kern w:val="0"/>
                      <w:szCs w:val="21"/>
                    </w:rPr>
                  </w:pPr>
                </w:p>
              </w:tc>
              <w:tc>
                <w:tcPr>
                  <w:tcW w:w="971" w:type="pct"/>
                  <w:vAlign w:val="center"/>
                </w:tcPr>
                <w:p>
                  <w:pPr>
                    <w:adjustRightInd w:val="0"/>
                    <w:snapToGrid w:val="0"/>
                    <w:jc w:val="center"/>
                    <w:rPr>
                      <w:kern w:val="0"/>
                      <w:szCs w:val="21"/>
                    </w:rPr>
                  </w:pPr>
                  <w:r>
                    <w:rPr>
                      <w:rFonts w:hint="eastAsia" w:ascii="宋体" w:hAnsi="宋体"/>
                      <w:szCs w:val="21"/>
                    </w:rPr>
                    <w:t>废包材</w:t>
                  </w:r>
                </w:p>
              </w:tc>
              <w:tc>
                <w:tcPr>
                  <w:tcW w:w="1380" w:type="pct"/>
                </w:tcPr>
                <w:p>
                  <w:pPr>
                    <w:adjustRightInd w:val="0"/>
                    <w:snapToGrid w:val="0"/>
                    <w:jc w:val="center"/>
                    <w:rPr>
                      <w:kern w:val="0"/>
                      <w:szCs w:val="21"/>
                    </w:rPr>
                  </w:pPr>
                  <w:r>
                    <w:rPr>
                      <w:rFonts w:hint="eastAsia"/>
                      <w:kern w:val="0"/>
                      <w:szCs w:val="21"/>
                    </w:rPr>
                    <w:t>定点收集，环卫清运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2207" w:type="pct"/>
                  <w:gridSpan w:val="2"/>
                  <w:vMerge w:val="continue"/>
                  <w:vAlign w:val="center"/>
                </w:tcPr>
                <w:p>
                  <w:pPr>
                    <w:adjustRightInd w:val="0"/>
                    <w:snapToGrid w:val="0"/>
                    <w:jc w:val="center"/>
                    <w:rPr>
                      <w:rFonts w:ascii="宋体" w:hAnsi="宋体"/>
                      <w:kern w:val="0"/>
                      <w:szCs w:val="21"/>
                    </w:rPr>
                  </w:pPr>
                </w:p>
              </w:tc>
              <w:tc>
                <w:tcPr>
                  <w:tcW w:w="971" w:type="pct"/>
                  <w:vAlign w:val="center"/>
                </w:tcPr>
                <w:p>
                  <w:pPr>
                    <w:adjustRightInd w:val="0"/>
                    <w:snapToGrid w:val="0"/>
                    <w:jc w:val="center"/>
                    <w:rPr>
                      <w:kern w:val="0"/>
                      <w:szCs w:val="21"/>
                    </w:rPr>
                  </w:pPr>
                  <w:r>
                    <w:rPr>
                      <w:rFonts w:hint="eastAsia" w:ascii="宋体" w:hAnsi="宋体"/>
                      <w:szCs w:val="21"/>
                    </w:rPr>
                    <w:t>废滤芯</w:t>
                  </w:r>
                </w:p>
              </w:tc>
              <w:tc>
                <w:tcPr>
                  <w:tcW w:w="1380" w:type="pct"/>
                  <w:vMerge w:val="restart"/>
                  <w:vAlign w:val="center"/>
                </w:tcPr>
                <w:p>
                  <w:pPr>
                    <w:adjustRightInd w:val="0"/>
                    <w:snapToGrid w:val="0"/>
                    <w:jc w:val="center"/>
                    <w:rPr>
                      <w:kern w:val="0"/>
                      <w:szCs w:val="21"/>
                    </w:rPr>
                  </w:pPr>
                  <w:r>
                    <w:rPr>
                      <w:rFonts w:hint="eastAsia"/>
                      <w:kern w:val="0"/>
                      <w:szCs w:val="21"/>
                    </w:rPr>
                    <w:t>交厂家回收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2207" w:type="pct"/>
                  <w:gridSpan w:val="2"/>
                  <w:vMerge w:val="continue"/>
                  <w:vAlign w:val="center"/>
                </w:tcPr>
                <w:p>
                  <w:pPr>
                    <w:adjustRightInd w:val="0"/>
                    <w:snapToGrid w:val="0"/>
                    <w:jc w:val="center"/>
                    <w:rPr>
                      <w:rFonts w:ascii="宋体" w:hAnsi="宋体"/>
                      <w:kern w:val="0"/>
                      <w:szCs w:val="21"/>
                    </w:rPr>
                  </w:pPr>
                </w:p>
              </w:tc>
              <w:tc>
                <w:tcPr>
                  <w:tcW w:w="971" w:type="pct"/>
                  <w:vAlign w:val="center"/>
                </w:tcPr>
                <w:p>
                  <w:pPr>
                    <w:adjustRightInd w:val="0"/>
                    <w:snapToGrid w:val="0"/>
                    <w:jc w:val="center"/>
                    <w:rPr>
                      <w:kern w:val="0"/>
                      <w:szCs w:val="21"/>
                    </w:rPr>
                  </w:pPr>
                  <w:r>
                    <w:rPr>
                      <w:rFonts w:hint="eastAsia" w:ascii="宋体" w:hAnsi="宋体"/>
                      <w:szCs w:val="21"/>
                    </w:rPr>
                    <w:t>废反渗透膜</w:t>
                  </w:r>
                </w:p>
              </w:tc>
              <w:tc>
                <w:tcPr>
                  <w:tcW w:w="1380" w:type="pct"/>
                  <w:vMerge w:val="continue"/>
                  <w:vAlign w:val="center"/>
                </w:tcPr>
                <w:p>
                  <w:pPr>
                    <w:adjustRightInd w:val="0"/>
                    <w:snapToGrid w:val="0"/>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2207" w:type="pct"/>
                  <w:gridSpan w:val="2"/>
                  <w:vMerge w:val="restart"/>
                  <w:vAlign w:val="center"/>
                </w:tcPr>
                <w:p>
                  <w:pPr>
                    <w:adjustRightInd w:val="0"/>
                    <w:snapToGrid w:val="0"/>
                    <w:jc w:val="center"/>
                    <w:rPr>
                      <w:kern w:val="0"/>
                      <w:szCs w:val="21"/>
                    </w:rPr>
                  </w:pPr>
                  <w:r>
                    <w:rPr>
                      <w:rFonts w:hint="eastAsia"/>
                      <w:kern w:val="0"/>
                      <w:szCs w:val="21"/>
                    </w:rPr>
                    <w:t>危险废物</w:t>
                  </w:r>
                </w:p>
              </w:tc>
              <w:tc>
                <w:tcPr>
                  <w:tcW w:w="971" w:type="pct"/>
                  <w:vAlign w:val="center"/>
                </w:tcPr>
                <w:p>
                  <w:pPr>
                    <w:adjustRightInd w:val="0"/>
                    <w:snapToGrid w:val="0"/>
                    <w:jc w:val="center"/>
                    <w:rPr>
                      <w:kern w:val="0"/>
                      <w:szCs w:val="21"/>
                    </w:rPr>
                  </w:pPr>
                  <w:r>
                    <w:rPr>
                      <w:rFonts w:hint="eastAsia"/>
                      <w:kern w:val="0"/>
                      <w:szCs w:val="21"/>
                    </w:rPr>
                    <w:t>废活性炭</w:t>
                  </w:r>
                </w:p>
              </w:tc>
              <w:tc>
                <w:tcPr>
                  <w:tcW w:w="1380" w:type="pct"/>
                  <w:vMerge w:val="restart"/>
                  <w:vAlign w:val="center"/>
                </w:tcPr>
                <w:p>
                  <w:pPr>
                    <w:adjustRightInd w:val="0"/>
                    <w:snapToGrid w:val="0"/>
                    <w:jc w:val="center"/>
                    <w:rPr>
                      <w:kern w:val="0"/>
                      <w:szCs w:val="21"/>
                    </w:rPr>
                  </w:pPr>
                  <w:r>
                    <w:rPr>
                      <w:rFonts w:hint="eastAsia"/>
                      <w:kern w:val="0"/>
                      <w:szCs w:val="21"/>
                    </w:rPr>
                    <w:t>危废暂存间存放，交由有资质单位处置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2207" w:type="pct"/>
                  <w:gridSpan w:val="2"/>
                  <w:vMerge w:val="continue"/>
                  <w:vAlign w:val="center"/>
                </w:tcPr>
                <w:p>
                  <w:pPr>
                    <w:adjustRightInd w:val="0"/>
                    <w:snapToGrid w:val="0"/>
                    <w:jc w:val="center"/>
                    <w:rPr>
                      <w:kern w:val="0"/>
                      <w:szCs w:val="21"/>
                    </w:rPr>
                  </w:pPr>
                </w:p>
              </w:tc>
              <w:tc>
                <w:tcPr>
                  <w:tcW w:w="971" w:type="pct"/>
                  <w:vAlign w:val="center"/>
                </w:tcPr>
                <w:p>
                  <w:pPr>
                    <w:adjustRightInd w:val="0"/>
                    <w:snapToGrid w:val="0"/>
                    <w:jc w:val="center"/>
                    <w:rPr>
                      <w:kern w:val="0"/>
                      <w:szCs w:val="21"/>
                    </w:rPr>
                  </w:pPr>
                  <w:r>
                    <w:rPr>
                      <w:rFonts w:hint="eastAsia"/>
                      <w:kern w:val="0"/>
                      <w:szCs w:val="21"/>
                    </w:rPr>
                    <w:t>废机油</w:t>
                  </w:r>
                </w:p>
              </w:tc>
              <w:tc>
                <w:tcPr>
                  <w:tcW w:w="1380" w:type="pct"/>
                  <w:vMerge w:val="continue"/>
                </w:tcPr>
                <w:p>
                  <w:pPr>
                    <w:adjustRightInd w:val="0"/>
                    <w:snapToGrid w:val="0"/>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43" w:type="pct"/>
                  <w:vMerge w:val="continue"/>
                  <w:vAlign w:val="center"/>
                </w:tcPr>
                <w:p>
                  <w:pPr>
                    <w:adjustRightInd w:val="0"/>
                    <w:snapToGrid w:val="0"/>
                    <w:jc w:val="center"/>
                    <w:rPr>
                      <w:kern w:val="0"/>
                      <w:szCs w:val="21"/>
                    </w:rPr>
                  </w:pPr>
                </w:p>
              </w:tc>
              <w:tc>
                <w:tcPr>
                  <w:tcW w:w="2207" w:type="pct"/>
                  <w:gridSpan w:val="2"/>
                  <w:vMerge w:val="continue"/>
                  <w:vAlign w:val="center"/>
                </w:tcPr>
                <w:p>
                  <w:pPr>
                    <w:adjustRightInd w:val="0"/>
                    <w:snapToGrid w:val="0"/>
                    <w:jc w:val="center"/>
                    <w:rPr>
                      <w:kern w:val="0"/>
                      <w:szCs w:val="21"/>
                    </w:rPr>
                  </w:pPr>
                </w:p>
              </w:tc>
              <w:tc>
                <w:tcPr>
                  <w:tcW w:w="971" w:type="pct"/>
                  <w:vAlign w:val="center"/>
                </w:tcPr>
                <w:p>
                  <w:pPr>
                    <w:adjustRightInd w:val="0"/>
                    <w:snapToGrid w:val="0"/>
                    <w:jc w:val="center"/>
                    <w:rPr>
                      <w:kern w:val="0"/>
                      <w:szCs w:val="21"/>
                    </w:rPr>
                  </w:pPr>
                  <w:r>
                    <w:rPr>
                      <w:rFonts w:hint="eastAsia"/>
                      <w:kern w:val="0"/>
                      <w:szCs w:val="21"/>
                    </w:rPr>
                    <w:t>废油抹布</w:t>
                  </w:r>
                </w:p>
              </w:tc>
              <w:tc>
                <w:tcPr>
                  <w:tcW w:w="1380" w:type="pct"/>
                  <w:vMerge w:val="continue"/>
                </w:tcPr>
                <w:p>
                  <w:pPr>
                    <w:adjustRightInd w:val="0"/>
                    <w:snapToGrid w:val="0"/>
                    <w:jc w:val="center"/>
                    <w:rPr>
                      <w:kern w:val="0"/>
                      <w:szCs w:val="21"/>
                    </w:rPr>
                  </w:pPr>
                </w:p>
              </w:tc>
            </w:tr>
          </w:tbl>
          <w:p>
            <w:pPr>
              <w:spacing w:line="360" w:lineRule="auto"/>
              <w:ind w:firstLine="480" w:firstLineChars="200"/>
              <w:rPr>
                <w:kern w:val="0"/>
                <w:sz w:val="24"/>
              </w:rPr>
            </w:pPr>
            <w:r>
              <w:rPr>
                <w:rFonts w:hint="eastAsia"/>
                <w:kern w:val="0"/>
                <w:sz w:val="24"/>
              </w:rPr>
              <w:t>3、物料平衡</w:t>
            </w:r>
          </w:p>
          <w:p>
            <w:pPr>
              <w:spacing w:line="360" w:lineRule="auto"/>
              <w:ind w:firstLine="420" w:firstLineChars="200"/>
            </w:pPr>
            <w:r>
              <w:object>
                <v:shape id="_x0000_i1029" o:spt="75" type="#_x0000_t75" style="height:108pt;width:417.5pt;" o:ole="t" filled="f" o:preferrelative="t" stroked="f" coordsize="21600,21600">
                  <v:path/>
                  <v:fill on="f" focussize="0,0"/>
                  <v:stroke on="f" joinstyle="miter"/>
                  <v:imagedata r:id="rId12" o:title=""/>
                  <o:lock v:ext="edit" aspectratio="t"/>
                  <w10:wrap type="none"/>
                  <w10:anchorlock/>
                </v:shape>
                <o:OLEObject Type="Embed" ProgID="Visio.Drawing.15" ShapeID="_x0000_i1029" DrawAspect="Content" ObjectID="_1468075727" r:id="rId11">
                  <o:LockedField>false</o:LockedField>
                </o:OLEObject>
              </w:object>
            </w:r>
          </w:p>
          <w:p>
            <w:pPr>
              <w:spacing w:line="360" w:lineRule="auto"/>
              <w:jc w:val="center"/>
              <w:rPr>
                <w:b/>
                <w:bCs/>
                <w:color w:val="00B0F0"/>
                <w:kern w:val="0"/>
                <w:sz w:val="24"/>
              </w:rPr>
            </w:pPr>
            <w:r>
              <w:rPr>
                <w:b/>
                <w:bCs/>
                <w:color w:val="00B0F0"/>
                <w:kern w:val="0"/>
                <w:sz w:val="24"/>
              </w:rPr>
              <w:t>图5-3   EPS板</w:t>
            </w:r>
            <w:r>
              <w:rPr>
                <w:rFonts w:hint="eastAsia"/>
                <w:b/>
                <w:bCs/>
                <w:color w:val="00B0F0"/>
                <w:kern w:val="0"/>
                <w:sz w:val="24"/>
              </w:rPr>
              <w:t xml:space="preserve">物料平衡图 </w:t>
            </w:r>
            <w:r>
              <w:rPr>
                <w:b/>
                <w:bCs/>
                <w:color w:val="00B0F0"/>
                <w:kern w:val="0"/>
                <w:sz w:val="24"/>
              </w:rPr>
              <w:t xml:space="preserve">  </w:t>
            </w:r>
            <w:r>
              <w:rPr>
                <w:rFonts w:hint="eastAsia"/>
                <w:b/>
                <w:bCs/>
                <w:color w:val="00B0F0"/>
                <w:kern w:val="0"/>
                <w:sz w:val="24"/>
              </w:rPr>
              <w:t>t</w:t>
            </w:r>
            <w:r>
              <w:rPr>
                <w:b/>
                <w:bCs/>
                <w:color w:val="00B0F0"/>
                <w:kern w:val="0"/>
                <w:sz w:val="24"/>
              </w:rPr>
              <w:t>/a</w:t>
            </w:r>
          </w:p>
          <w:p>
            <w:pPr>
              <w:spacing w:line="360" w:lineRule="auto"/>
              <w:ind w:firstLine="480" w:firstLineChars="200"/>
              <w:rPr>
                <w:color w:val="000000"/>
                <w:kern w:val="0"/>
                <w:sz w:val="24"/>
              </w:rPr>
            </w:pPr>
          </w:p>
          <w:p>
            <w:pPr>
              <w:spacing w:line="360" w:lineRule="auto"/>
              <w:ind w:firstLine="420" w:firstLineChars="200"/>
            </w:pPr>
            <w:r>
              <w:object>
                <v:shape id="_x0000_i1030" o:spt="75" type="#_x0000_t75" style="height:101pt;width:417.5pt;" o:ole="t" filled="f" o:preferrelative="t" stroked="f" coordsize="21600,21600">
                  <v:path/>
                  <v:fill on="f" focussize="0,0"/>
                  <v:stroke on="f" joinstyle="miter"/>
                  <v:imagedata r:id="rId14" o:title=""/>
                  <o:lock v:ext="edit" aspectratio="t"/>
                  <w10:wrap type="none"/>
                  <w10:anchorlock/>
                </v:shape>
                <o:OLEObject Type="Embed" ProgID="Visio.Drawing.15" ShapeID="_x0000_i1030" DrawAspect="Content" ObjectID="_1468075728" r:id="rId13">
                  <o:LockedField>false</o:LockedField>
                </o:OLEObject>
              </w:object>
            </w:r>
          </w:p>
          <w:p>
            <w:pPr>
              <w:spacing w:line="360" w:lineRule="auto"/>
              <w:jc w:val="center"/>
              <w:rPr>
                <w:b/>
                <w:bCs/>
                <w:color w:val="00B0F0"/>
                <w:kern w:val="0"/>
                <w:sz w:val="24"/>
              </w:rPr>
            </w:pPr>
            <w:r>
              <w:rPr>
                <w:b/>
                <w:bCs/>
                <w:color w:val="00B0F0"/>
                <w:kern w:val="0"/>
                <w:sz w:val="24"/>
              </w:rPr>
              <w:t>图5-4   XPS板</w:t>
            </w:r>
            <w:r>
              <w:rPr>
                <w:rFonts w:hint="eastAsia"/>
                <w:b/>
                <w:bCs/>
                <w:color w:val="00B0F0"/>
                <w:kern w:val="0"/>
                <w:sz w:val="24"/>
              </w:rPr>
              <w:t xml:space="preserve">物料平衡图 </w:t>
            </w:r>
            <w:r>
              <w:rPr>
                <w:b/>
                <w:bCs/>
                <w:color w:val="00B0F0"/>
                <w:kern w:val="0"/>
                <w:sz w:val="24"/>
              </w:rPr>
              <w:t xml:space="preserve">  </w:t>
            </w:r>
            <w:r>
              <w:rPr>
                <w:rFonts w:hint="eastAsia"/>
                <w:b/>
                <w:bCs/>
                <w:color w:val="00B0F0"/>
                <w:kern w:val="0"/>
                <w:sz w:val="24"/>
              </w:rPr>
              <w:t>t</w:t>
            </w:r>
            <w:r>
              <w:rPr>
                <w:b/>
                <w:bCs/>
                <w:color w:val="00B0F0"/>
                <w:kern w:val="0"/>
                <w:sz w:val="24"/>
              </w:rPr>
              <w:t>/a</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b/>
                <w:bCs/>
                <w:color w:val="00B0F0"/>
                <w:kern w:val="0"/>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9072" w:type="dxa"/>
            <w:tcBorders>
              <w:top w:val="single" w:color="auto" w:sz="12" w:space="0"/>
            </w:tcBorders>
          </w:tcPr>
          <w:p>
            <w:pPr>
              <w:autoSpaceDE w:val="0"/>
              <w:autoSpaceDN w:val="0"/>
              <w:adjustRightInd w:val="0"/>
              <w:spacing w:line="360" w:lineRule="auto"/>
              <w:rPr>
                <w:b/>
                <w:bCs/>
                <w:color w:val="000000" w:themeColor="text1"/>
                <w:kern w:val="0"/>
                <w:sz w:val="24"/>
                <w:szCs w:val="20"/>
                <w14:textFill>
                  <w14:solidFill>
                    <w14:schemeClr w14:val="tx1"/>
                  </w14:solidFill>
                </w14:textFill>
              </w:rPr>
            </w:pPr>
            <w:r>
              <w:rPr>
                <w:b/>
                <w:bCs/>
                <w:color w:val="000000" w:themeColor="text1"/>
                <w:kern w:val="0"/>
                <w:sz w:val="24"/>
                <w:szCs w:val="20"/>
                <w14:textFill>
                  <w14:solidFill>
                    <w14:schemeClr w14:val="tx1"/>
                  </w14:solidFill>
                </w14:textFill>
              </w:rPr>
              <w:t>主要污染工序：</w:t>
            </w:r>
          </w:p>
          <w:p>
            <w:pPr>
              <w:autoSpaceDE w:val="0"/>
              <w:autoSpaceDN w:val="0"/>
              <w:adjustRightInd w:val="0"/>
              <w:spacing w:line="360" w:lineRule="auto"/>
              <w:rPr>
                <w:b/>
                <w:bCs/>
                <w:color w:val="000000" w:themeColor="text1"/>
                <w:kern w:val="0"/>
                <w:sz w:val="24"/>
                <w:szCs w:val="20"/>
                <w14:textFill>
                  <w14:solidFill>
                    <w14:schemeClr w14:val="tx1"/>
                  </w14:solidFill>
                </w14:textFill>
              </w:rPr>
            </w:pPr>
            <w:r>
              <w:rPr>
                <w:b/>
                <w:bCs/>
                <w:color w:val="000000" w:themeColor="text1"/>
                <w:kern w:val="0"/>
                <w:sz w:val="24"/>
                <w:szCs w:val="20"/>
                <w14:textFill>
                  <w14:solidFill>
                    <w14:schemeClr w14:val="tx1"/>
                  </w14:solidFill>
                </w14:textFill>
              </w:rPr>
              <w:t>一、施工期污染分析</w:t>
            </w:r>
          </w:p>
          <w:p>
            <w:pPr>
              <w:spacing w:line="360" w:lineRule="auto"/>
              <w:ind w:firstLine="480" w:firstLineChars="200"/>
              <w:rPr>
                <w:rFonts w:hAnsi="宋体"/>
                <w:kern w:val="0"/>
                <w:sz w:val="24"/>
              </w:rPr>
            </w:pPr>
            <w:r>
              <w:rPr>
                <w:rFonts w:hint="eastAsia"/>
                <w:kern w:val="0"/>
                <w:sz w:val="24"/>
              </w:rPr>
              <w:t>陕西广兴华创材料科技有限公司成立于2020年7月16日。企业租赁咸阳伟杰商贸有限公司已建成的闲置厂房进行本项目建设，经现场踏勘，厂房已由咸阳伟杰商贸有限公司建设完成，施工期仅包括设备的安装调试，施工量较小，不对施工期影响进行分析。</w:t>
            </w:r>
          </w:p>
          <w:p>
            <w:pPr>
              <w:autoSpaceDE w:val="0"/>
              <w:autoSpaceDN w:val="0"/>
              <w:adjustRightInd w:val="0"/>
              <w:spacing w:line="360" w:lineRule="auto"/>
              <w:rPr>
                <w:b/>
                <w:bCs/>
                <w:color w:val="000000" w:themeColor="text1"/>
                <w:kern w:val="0"/>
                <w:sz w:val="24"/>
                <w:szCs w:val="20"/>
                <w14:textFill>
                  <w14:solidFill>
                    <w14:schemeClr w14:val="tx1"/>
                  </w14:solidFill>
                </w14:textFill>
              </w:rPr>
            </w:pPr>
            <w:r>
              <w:rPr>
                <w:b/>
                <w:bCs/>
                <w:color w:val="000000" w:themeColor="text1"/>
                <w:kern w:val="0"/>
                <w:sz w:val="24"/>
                <w:szCs w:val="20"/>
                <w14:textFill>
                  <w14:solidFill>
                    <w14:schemeClr w14:val="tx1"/>
                  </w14:solidFill>
                </w14:textFill>
              </w:rPr>
              <w:t>二、运营期污染分析</w:t>
            </w:r>
          </w:p>
          <w:p>
            <w:pPr>
              <w:autoSpaceDE w:val="0"/>
              <w:autoSpaceDN w:val="0"/>
              <w:adjustRightInd w:val="0"/>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1、废气</w:t>
            </w:r>
          </w:p>
          <w:p>
            <w:pPr>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拟建项目建成后，废气污染源主要包括有机废气、粉尘、锅炉废气和食堂油烟。</w:t>
            </w:r>
          </w:p>
          <w:p>
            <w:pPr>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（1）有机废气</w:t>
            </w:r>
          </w:p>
          <w:p>
            <w:pPr>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本项目有机废气包括EPS板生产线发泡、挤出成型和切割过程，XPS板生产线发泡挤出过程，EPS板和XPS板生产线边角料的熔融过程。</w:t>
            </w:r>
          </w:p>
          <w:p>
            <w:pPr>
              <w:spacing w:line="360" w:lineRule="auto"/>
              <w:ind w:firstLine="480" w:firstLineChars="200"/>
              <w:rPr>
                <w:bCs/>
                <w:kern w:val="0"/>
                <w:sz w:val="24"/>
              </w:rPr>
            </w:pPr>
            <w:r>
              <w:rPr>
                <w:color w:val="000000" w:themeColor="text1"/>
                <w:kern w:val="0"/>
                <w:sz w:val="24"/>
                <w:szCs w:val="20"/>
                <w14:textFill>
                  <w14:solidFill>
                    <w14:schemeClr w14:val="tx1"/>
                  </w14:solidFill>
                </w14:textFill>
              </w:rPr>
              <w:t>EPS颗粒由苯乙烯单体，通过悬浮聚合反应，并加入戊烷（约5%）发泡剂的可发性聚苯乙烯颗粒。聚苯乙烯在75</w:t>
            </w:r>
            <w:r>
              <w:rPr>
                <w:bCs/>
                <w:kern w:val="0"/>
                <w:sz w:val="24"/>
              </w:rPr>
              <w:t>℃开始软化收缩，164℃开始熔融成液体，316℃开始氧化，高分子解聚为低分子聚合物，576℃开始裂解燃烧。</w:t>
            </w:r>
            <w:r>
              <w:rPr>
                <w:color w:val="000000" w:themeColor="text1"/>
                <w:kern w:val="0"/>
                <w:sz w:val="24"/>
                <w:szCs w:val="20"/>
                <w14:textFill>
                  <w14:solidFill>
                    <w14:schemeClr w14:val="tx1"/>
                  </w14:solidFill>
                </w14:textFill>
              </w:rPr>
              <w:t>本项目各生产线涉及原料（EPS颗粒）发泡、挤出等工序加热温度均</w:t>
            </w:r>
            <w:r>
              <w:rPr>
                <w:kern w:val="0"/>
                <w:sz w:val="24"/>
              </w:rPr>
              <w:t>≤210</w:t>
            </w:r>
            <w:r>
              <w:rPr>
                <w:bCs/>
                <w:kern w:val="0"/>
                <w:sz w:val="24"/>
              </w:rPr>
              <w:t>℃，原材料不会发生分解，不会产生大量有机废气，仅原材料中残存的未聚合的反应单体或原料生产过程中加入的少量加工助剂。</w:t>
            </w:r>
            <w:r>
              <w:rPr>
                <w:rFonts w:hint="eastAsia"/>
                <w:bCs/>
                <w:kern w:val="0"/>
                <w:sz w:val="24"/>
              </w:rPr>
              <w:t xml:space="preserve"> </w:t>
            </w:r>
            <w:r>
              <w:rPr>
                <w:bCs/>
                <w:kern w:val="0"/>
                <w:sz w:val="24"/>
              </w:rPr>
              <w:t xml:space="preserve">      </w:t>
            </w:r>
            <w:r>
              <w:rPr>
                <w:rFonts w:hint="eastAsia"/>
                <w:bCs/>
                <w:kern w:val="0"/>
                <w:sz w:val="24"/>
              </w:rPr>
              <w:t xml:space="preserve"> </w:t>
            </w:r>
          </w:p>
          <w:p>
            <w:pPr>
              <w:spacing w:line="360" w:lineRule="auto"/>
              <w:ind w:firstLine="480" w:firstLineChars="200"/>
              <w:rPr>
                <w:kern w:val="0"/>
                <w:sz w:val="24"/>
              </w:rPr>
            </w:pPr>
            <w:r>
              <w:rPr>
                <w:rFonts w:hint="eastAsia" w:ascii="宋体" w:hAnsi="宋体" w:cs="宋体"/>
                <w:kern w:val="0"/>
                <w:sz w:val="24"/>
              </w:rPr>
              <w:t>①</w:t>
            </w:r>
            <w:r>
              <w:rPr>
                <w:color w:val="000000" w:themeColor="text1"/>
                <w:kern w:val="0"/>
                <w:sz w:val="24"/>
                <w:szCs w:val="20"/>
                <w14:textFill>
                  <w14:solidFill>
                    <w14:schemeClr w14:val="tx1"/>
                  </w14:solidFill>
                </w14:textFill>
              </w:rPr>
              <w:t>EPS板发泡、挤出成型和切割与XPS板发泡挤出工序的有机废气</w:t>
            </w:r>
          </w:p>
          <w:p>
            <w:pPr>
              <w:spacing w:line="360" w:lineRule="auto"/>
              <w:ind w:firstLine="480" w:firstLineChars="200"/>
              <w:rPr>
                <w:kern w:val="0"/>
                <w:sz w:val="24"/>
              </w:rPr>
            </w:pPr>
            <w:r>
              <w:rPr>
                <w:kern w:val="0"/>
                <w:sz w:val="24"/>
              </w:rPr>
              <w:t>根据《第二次全国污染源普查产排污核算系数手册（试用版）》中2924泡沫塑料制造行业使用树脂、助剂进行混合配料-挤出-发泡过程时，挥发性有机物产物系数为1.5kg/t-产品</w:t>
            </w:r>
            <w:r>
              <w:rPr>
                <w:rFonts w:hint="eastAsia"/>
                <w:kern w:val="0"/>
                <w:sz w:val="24"/>
              </w:rPr>
              <w:t>。其中，对于生产过程中原料损失量较小的工段，可以直接以塑料制品所用的树脂及助剂原料量替代产品产量进行产物量核算，本项目以</w:t>
            </w:r>
            <w:r>
              <w:rPr>
                <w:color w:val="000000" w:themeColor="text1"/>
                <w:kern w:val="0"/>
                <w:sz w:val="24"/>
                <w:szCs w:val="20"/>
                <w14:textFill>
                  <w14:solidFill>
                    <w14:schemeClr w14:val="tx1"/>
                  </w14:solidFill>
                </w14:textFill>
              </w:rPr>
              <w:t>EPS颗粒</w:t>
            </w:r>
            <w:r>
              <w:rPr>
                <w:rFonts w:hint="eastAsia"/>
                <w:color w:val="000000" w:themeColor="text1"/>
                <w:kern w:val="0"/>
                <w:sz w:val="24"/>
                <w:szCs w:val="20"/>
                <w14:textFill>
                  <w14:solidFill>
                    <w14:schemeClr w14:val="tx1"/>
                  </w14:solidFill>
                </w14:textFill>
              </w:rPr>
              <w:t>使用量来计算。</w:t>
            </w:r>
          </w:p>
          <w:p>
            <w:pPr>
              <w:spacing w:line="360" w:lineRule="auto"/>
              <w:ind w:firstLine="480" w:firstLineChars="200"/>
              <w:rPr>
                <w:kern w:val="0"/>
                <w:sz w:val="24"/>
              </w:rPr>
            </w:pPr>
            <w:r>
              <w:rPr>
                <w:kern w:val="0"/>
                <w:sz w:val="24"/>
              </w:rPr>
              <w:t>同时根据《EPS铸造行业浇筑过程有机废气产生量估算及处置措施》（李英，郭志明，2012年5月）表2.2-1：各种温度下EPS热解产生物的组成WB%（%）中数据，200℃</w:t>
            </w:r>
            <w:r>
              <w:rPr>
                <w:rFonts w:hint="eastAsia"/>
                <w:kern w:val="0"/>
                <w:sz w:val="24"/>
              </w:rPr>
              <w:t>左右</w:t>
            </w:r>
            <w:r>
              <w:rPr>
                <w:kern w:val="0"/>
                <w:sz w:val="24"/>
              </w:rPr>
              <w:t>时，EPS热解废气中，苯乙烯含量约8%。环评中除苯乙烯之外，其他有机废气按非甲烷总烃计。</w:t>
            </w:r>
          </w:p>
          <w:p>
            <w:pPr>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本项目EPS板消耗EPS颗粒800t/a，XPS板消耗EPS颗粒2000t/a，共计消耗2800t/a。项目EPS板发泡、挤出成型和切割与XPS板发泡挤出工序产生的挥发性有机物为4.2t/a，其中苯乙烯产生量为0.336t/a，非甲烷总烃</w:t>
            </w:r>
            <w:r>
              <w:rPr>
                <w:rFonts w:hint="eastAsia"/>
                <w:color w:val="000000" w:themeColor="text1"/>
                <w:kern w:val="0"/>
                <w:sz w:val="24"/>
                <w:szCs w:val="20"/>
                <w14:textFill>
                  <w14:solidFill>
                    <w14:schemeClr w14:val="tx1"/>
                  </w14:solidFill>
                </w14:textFill>
              </w:rPr>
              <w:t>产生量为</w:t>
            </w:r>
            <w:r>
              <w:rPr>
                <w:color w:val="000000" w:themeColor="text1"/>
                <w:kern w:val="0"/>
                <w:sz w:val="24"/>
                <w:szCs w:val="20"/>
                <w14:textFill>
                  <w14:solidFill>
                    <w14:schemeClr w14:val="tx1"/>
                  </w14:solidFill>
                </w14:textFill>
              </w:rPr>
              <w:t>3.864t/a。</w:t>
            </w:r>
          </w:p>
          <w:p>
            <w:pPr>
              <w:spacing w:line="360" w:lineRule="auto"/>
              <w:ind w:firstLine="480" w:firstLineChars="200"/>
              <w:rPr>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②</w:t>
            </w:r>
            <w:r>
              <w:rPr>
                <w:color w:val="000000" w:themeColor="text1"/>
                <w:kern w:val="0"/>
                <w:sz w:val="24"/>
                <w:szCs w:val="20"/>
                <w14:textFill>
                  <w14:solidFill>
                    <w14:schemeClr w14:val="tx1"/>
                  </w14:solidFill>
                </w14:textFill>
              </w:rPr>
              <w:t>EPS板和XPS板生产线边角料熔融工序的有机废气</w:t>
            </w:r>
          </w:p>
          <w:p>
            <w:pPr>
              <w:spacing w:line="360" w:lineRule="auto"/>
              <w:ind w:firstLine="480" w:firstLineChars="200"/>
              <w:rPr>
                <w:color w:val="00B0F0"/>
                <w:kern w:val="0"/>
                <w:sz w:val="24"/>
              </w:rPr>
            </w:pPr>
            <w:r>
              <w:rPr>
                <w:rFonts w:hint="eastAsia"/>
                <w:color w:val="00B0F0"/>
                <w:kern w:val="0"/>
                <w:sz w:val="24"/>
                <w:szCs w:val="20"/>
              </w:rPr>
              <w:t>本项目</w:t>
            </w:r>
            <w:r>
              <w:rPr>
                <w:color w:val="00B0F0"/>
                <w:kern w:val="0"/>
                <w:sz w:val="24"/>
                <w:szCs w:val="20"/>
              </w:rPr>
              <w:t>参考</w:t>
            </w:r>
            <w:r>
              <w:rPr>
                <w:color w:val="00B0F0"/>
                <w:kern w:val="0"/>
                <w:sz w:val="24"/>
              </w:rPr>
              <w:t>《第二次全国污染源普查产排污核算系数手册（试用版）》中2929塑料零件及其他塑料制品制造使用树脂、助剂进行造粒（对树脂进行加热熔融工段等）过程时，挥发性有机物产物系数为4.6kg/t-产品；同时根据《EPS铸造行业浇筑过程有机废气产生量估算及处置措施》（李英，郭志明，2012年5月）表2.2-1：各种温度下EPS热解产生物的组成WB%（%）中数据，200℃左右时，EPS热解废气中，苯乙烯含量约8%。环评中除苯乙烯之外，其他有机废气按非甲烷总烃计。</w:t>
            </w:r>
          </w:p>
          <w:p>
            <w:pPr>
              <w:spacing w:line="360" w:lineRule="auto"/>
              <w:ind w:firstLine="480" w:firstLineChars="200"/>
              <w:rPr>
                <w:color w:val="00B0F0"/>
                <w:kern w:val="0"/>
                <w:sz w:val="24"/>
                <w:szCs w:val="20"/>
              </w:rPr>
            </w:pPr>
            <w:r>
              <w:rPr>
                <w:rFonts w:hint="eastAsia"/>
                <w:color w:val="00B0F0"/>
                <w:kern w:val="0"/>
                <w:sz w:val="24"/>
                <w:szCs w:val="20"/>
              </w:rPr>
              <w:t>根据企业提供资料，本项目</w:t>
            </w:r>
            <w:r>
              <w:rPr>
                <w:color w:val="00B0F0"/>
                <w:kern w:val="0"/>
                <w:sz w:val="24"/>
                <w:szCs w:val="20"/>
              </w:rPr>
              <w:t>EPS板和XPS板生产线</w:t>
            </w:r>
            <w:r>
              <w:rPr>
                <w:rFonts w:hint="eastAsia"/>
                <w:color w:val="00B0F0"/>
                <w:kern w:val="0"/>
                <w:sz w:val="24"/>
                <w:szCs w:val="20"/>
              </w:rPr>
              <w:t>边角料产生量为原材料用量的</w:t>
            </w:r>
            <w:r>
              <w:rPr>
                <w:color w:val="00B0F0"/>
                <w:kern w:val="0"/>
                <w:sz w:val="24"/>
                <w:szCs w:val="20"/>
              </w:rPr>
              <w:t>0.05%，产生量为14t/a</w:t>
            </w:r>
            <w:r>
              <w:rPr>
                <w:rFonts w:hint="eastAsia"/>
                <w:color w:val="00B0F0"/>
                <w:kern w:val="0"/>
                <w:sz w:val="24"/>
                <w:szCs w:val="20"/>
              </w:rPr>
              <w:t>。经物料平衡核算破碎边角料时粉尘的产生量为</w:t>
            </w:r>
            <w:r>
              <w:rPr>
                <w:color w:val="00B0F0"/>
                <w:kern w:val="0"/>
                <w:sz w:val="24"/>
                <w:szCs w:val="20"/>
              </w:rPr>
              <w:t>0.14t/a</w:t>
            </w:r>
            <w:r>
              <w:rPr>
                <w:rFonts w:hint="eastAsia"/>
                <w:color w:val="00B0F0"/>
                <w:kern w:val="0"/>
                <w:sz w:val="24"/>
                <w:szCs w:val="20"/>
              </w:rPr>
              <w:t>，得到的边角细料共</w:t>
            </w:r>
            <w:r>
              <w:rPr>
                <w:color w:val="00B0F0"/>
                <w:kern w:val="0"/>
                <w:sz w:val="24"/>
                <w:szCs w:val="20"/>
              </w:rPr>
              <w:t>13.86t/a，即需要加工</w:t>
            </w:r>
            <w:r>
              <w:rPr>
                <w:rFonts w:hint="eastAsia"/>
                <w:color w:val="00B0F0"/>
                <w:kern w:val="0"/>
                <w:sz w:val="24"/>
                <w:szCs w:val="20"/>
              </w:rPr>
              <w:t>熔融的</w:t>
            </w:r>
            <w:r>
              <w:rPr>
                <w:color w:val="00B0F0"/>
                <w:kern w:val="0"/>
                <w:sz w:val="24"/>
                <w:szCs w:val="20"/>
              </w:rPr>
              <w:t>废料量约为13.86t/a</w:t>
            </w:r>
            <w:r>
              <w:rPr>
                <w:rFonts w:hint="eastAsia"/>
                <w:color w:val="00B0F0"/>
                <w:kern w:val="0"/>
                <w:sz w:val="24"/>
                <w:szCs w:val="20"/>
              </w:rPr>
              <w:t>。项目</w:t>
            </w:r>
            <w:r>
              <w:rPr>
                <w:color w:val="00B0F0"/>
                <w:kern w:val="0"/>
                <w:sz w:val="24"/>
                <w:szCs w:val="20"/>
              </w:rPr>
              <w:t>EPS板和XPS板生产线边角料熔融工序</w:t>
            </w:r>
            <w:r>
              <w:rPr>
                <w:rFonts w:hint="eastAsia"/>
                <w:color w:val="00B0F0"/>
                <w:kern w:val="0"/>
                <w:sz w:val="24"/>
                <w:szCs w:val="20"/>
              </w:rPr>
              <w:t>产生的挥发性有机物为0</w:t>
            </w:r>
            <w:r>
              <w:rPr>
                <w:color w:val="00B0F0"/>
                <w:kern w:val="0"/>
                <w:sz w:val="24"/>
                <w:szCs w:val="20"/>
              </w:rPr>
              <w:t>.064t/a</w:t>
            </w:r>
            <w:r>
              <w:rPr>
                <w:rFonts w:hint="eastAsia"/>
                <w:color w:val="00B0F0"/>
                <w:kern w:val="0"/>
                <w:sz w:val="24"/>
                <w:szCs w:val="20"/>
              </w:rPr>
              <w:t>，</w:t>
            </w:r>
            <w:r>
              <w:rPr>
                <w:color w:val="00B0F0"/>
                <w:kern w:val="0"/>
                <w:sz w:val="24"/>
                <w:szCs w:val="20"/>
              </w:rPr>
              <w:t>其中苯乙烯产生量为0.005t/a，非甲烷总烃</w:t>
            </w:r>
            <w:r>
              <w:rPr>
                <w:rFonts w:hint="eastAsia"/>
                <w:color w:val="00B0F0"/>
                <w:kern w:val="0"/>
                <w:sz w:val="24"/>
                <w:szCs w:val="20"/>
              </w:rPr>
              <w:t>产生量为</w:t>
            </w:r>
            <w:r>
              <w:rPr>
                <w:color w:val="00B0F0"/>
                <w:kern w:val="0"/>
                <w:sz w:val="24"/>
                <w:szCs w:val="20"/>
              </w:rPr>
              <w:t>0.059t/a。</w:t>
            </w:r>
          </w:p>
          <w:p>
            <w:pPr>
              <w:spacing w:line="360" w:lineRule="auto"/>
              <w:ind w:firstLine="480" w:firstLineChars="200"/>
              <w:rPr>
                <w:color w:val="00B0F0"/>
                <w:kern w:val="0"/>
                <w:sz w:val="24"/>
                <w:szCs w:val="20"/>
              </w:rPr>
            </w:pPr>
            <w:r>
              <w:rPr>
                <w:rFonts w:hint="eastAsia"/>
                <w:color w:val="00B0F0"/>
                <w:kern w:val="0"/>
                <w:sz w:val="24"/>
                <w:szCs w:val="20"/>
              </w:rPr>
              <w:t>以上共计挥发性有机物产生量为4</w:t>
            </w:r>
            <w:r>
              <w:rPr>
                <w:color w:val="00B0F0"/>
                <w:kern w:val="0"/>
                <w:sz w:val="24"/>
                <w:szCs w:val="20"/>
              </w:rPr>
              <w:t>.264t/a</w:t>
            </w:r>
            <w:r>
              <w:rPr>
                <w:rFonts w:hint="eastAsia"/>
                <w:color w:val="00B0F0"/>
                <w:kern w:val="0"/>
                <w:sz w:val="24"/>
                <w:szCs w:val="20"/>
              </w:rPr>
              <w:t>，其中苯乙烯产生量为0</w:t>
            </w:r>
            <w:r>
              <w:rPr>
                <w:color w:val="00B0F0"/>
                <w:kern w:val="0"/>
                <w:sz w:val="24"/>
                <w:szCs w:val="20"/>
              </w:rPr>
              <w:t>.341t/a</w:t>
            </w:r>
            <w:r>
              <w:rPr>
                <w:rFonts w:hint="eastAsia"/>
                <w:color w:val="00B0F0"/>
                <w:kern w:val="0"/>
                <w:sz w:val="24"/>
                <w:szCs w:val="20"/>
              </w:rPr>
              <w:t>，非甲烷总烃产生量为3</w:t>
            </w:r>
            <w:r>
              <w:rPr>
                <w:color w:val="00B0F0"/>
                <w:kern w:val="0"/>
                <w:sz w:val="24"/>
                <w:szCs w:val="20"/>
              </w:rPr>
              <w:t>.923t/a</w:t>
            </w:r>
            <w:r>
              <w:rPr>
                <w:rFonts w:hint="eastAsia"/>
                <w:color w:val="00B0F0"/>
                <w:kern w:val="0"/>
                <w:sz w:val="24"/>
                <w:szCs w:val="20"/>
              </w:rPr>
              <w:t>。</w:t>
            </w:r>
          </w:p>
          <w:p>
            <w:pPr>
              <w:widowControl/>
              <w:adjustRightInd w:val="0"/>
              <w:snapToGrid w:val="0"/>
              <w:spacing w:line="360" w:lineRule="auto"/>
              <w:ind w:firstLine="480" w:firstLineChars="200"/>
              <w:rPr>
                <w:kern w:val="0"/>
                <w:sz w:val="24"/>
              </w:rPr>
            </w:pPr>
            <w:r>
              <w:rPr>
                <w:rFonts w:hint="eastAsia"/>
                <w:color w:val="000000" w:themeColor="text1"/>
                <w:kern w:val="0"/>
                <w:sz w:val="24"/>
                <w:szCs w:val="20"/>
                <w14:textFill>
                  <w14:solidFill>
                    <w14:schemeClr w14:val="tx1"/>
                  </w14:solidFill>
                </w14:textFill>
              </w:rPr>
              <w:t>项目</w:t>
            </w:r>
            <w:r>
              <w:rPr>
                <w:color w:val="000000" w:themeColor="text1"/>
                <w:kern w:val="0"/>
                <w:sz w:val="24"/>
                <w:szCs w:val="20"/>
                <w14:textFill>
                  <w14:solidFill>
                    <w14:schemeClr w14:val="tx1"/>
                  </w14:solidFill>
                </w14:textFill>
              </w:rPr>
              <w:t>EPS板生产线发泡、挤出成型和切割过程，XPS板生产线发泡挤出过程，EPS板和XPS板生产线边角料的熔融过程</w:t>
            </w:r>
            <w:r>
              <w:rPr>
                <w:rFonts w:hint="eastAsia"/>
                <w:color w:val="000000" w:themeColor="text1"/>
                <w:kern w:val="0"/>
                <w:sz w:val="24"/>
                <w:szCs w:val="20"/>
                <w14:textFill>
                  <w14:solidFill>
                    <w14:schemeClr w14:val="tx1"/>
                  </w14:solidFill>
                </w14:textFill>
              </w:rPr>
              <w:t>产生的有机废气均由集气装置收集（收集效率按</w:t>
            </w:r>
            <w:r>
              <w:rPr>
                <w:color w:val="000000" w:themeColor="text1"/>
                <w:kern w:val="0"/>
                <w:sz w:val="24"/>
                <w:szCs w:val="20"/>
                <w14:textFill>
                  <w14:solidFill>
                    <w14:schemeClr w14:val="tx1"/>
                  </w14:solidFill>
                </w14:textFill>
              </w:rPr>
              <w:t>95</w:t>
            </w:r>
            <w:r>
              <w:rPr>
                <w:rFonts w:hint="eastAsia"/>
                <w:color w:val="000000" w:themeColor="text1"/>
                <w:kern w:val="0"/>
                <w:sz w:val="24"/>
                <w:szCs w:val="20"/>
                <w14:textFill>
                  <w14:solidFill>
                    <w14:schemeClr w14:val="tx1"/>
                  </w14:solidFill>
                </w14:textFill>
              </w:rPr>
              <w:t>%计，风机风量按</w:t>
            </w:r>
            <w:r>
              <w:rPr>
                <w:color w:val="000000" w:themeColor="text1"/>
                <w:kern w:val="0"/>
                <w:sz w:val="24"/>
                <w:szCs w:val="20"/>
                <w14:textFill>
                  <w14:solidFill>
                    <w14:schemeClr w14:val="tx1"/>
                  </w14:solidFill>
                </w14:textFill>
              </w:rPr>
              <w:t>10000m</w:t>
            </w:r>
            <w:r>
              <w:rPr>
                <w:color w:val="000000" w:themeColor="text1"/>
                <w:kern w:val="0"/>
                <w:sz w:val="24"/>
                <w:szCs w:val="20"/>
                <w:vertAlign w:val="superscript"/>
                <w14:textFill>
                  <w14:solidFill>
                    <w14:schemeClr w14:val="tx1"/>
                  </w14:solidFill>
                </w14:textFill>
              </w:rPr>
              <w:t>3</w:t>
            </w:r>
            <w:r>
              <w:rPr>
                <w:color w:val="000000" w:themeColor="text1"/>
                <w:kern w:val="0"/>
                <w:sz w:val="24"/>
                <w:szCs w:val="20"/>
                <w14:textFill>
                  <w14:solidFill>
                    <w14:schemeClr w14:val="tx1"/>
                  </w14:solidFill>
                </w14:textFill>
              </w:rPr>
              <w:t>/h</w:t>
            </w:r>
            <w:r>
              <w:rPr>
                <w:rFonts w:hint="eastAsia"/>
                <w:color w:val="000000" w:themeColor="text1"/>
                <w:kern w:val="0"/>
                <w:sz w:val="24"/>
                <w:szCs w:val="20"/>
                <w14:textFill>
                  <w14:solidFill>
                    <w14:schemeClr w14:val="tx1"/>
                  </w14:solidFill>
                </w14:textFill>
              </w:rPr>
              <w:t>），经二级活性炭箱（处理效率为9</w:t>
            </w:r>
            <w:r>
              <w:rPr>
                <w:color w:val="000000" w:themeColor="text1"/>
                <w:kern w:val="0"/>
                <w:sz w:val="24"/>
                <w:szCs w:val="20"/>
                <w14:textFill>
                  <w14:solidFill>
                    <w14:schemeClr w14:val="tx1"/>
                  </w14:solidFill>
                </w14:textFill>
              </w:rPr>
              <w:t>0</w:t>
            </w:r>
            <w:r>
              <w:rPr>
                <w:rFonts w:hint="eastAsia"/>
                <w:color w:val="000000" w:themeColor="text1"/>
                <w:kern w:val="0"/>
                <w:sz w:val="24"/>
                <w:szCs w:val="20"/>
                <w14:textFill>
                  <w14:solidFill>
                    <w14:schemeClr w14:val="tx1"/>
                  </w14:solidFill>
                </w14:textFill>
              </w:rPr>
              <w:t>%）处理后，经1根1</w:t>
            </w:r>
            <w:r>
              <w:rPr>
                <w:color w:val="000000" w:themeColor="text1"/>
                <w:kern w:val="0"/>
                <w:sz w:val="24"/>
                <w:szCs w:val="20"/>
                <w14:textFill>
                  <w14:solidFill>
                    <w14:schemeClr w14:val="tx1"/>
                  </w14:solidFill>
                </w14:textFill>
              </w:rPr>
              <w:t>5m</w:t>
            </w:r>
            <w:r>
              <w:rPr>
                <w:rFonts w:hint="eastAsia"/>
                <w:color w:val="000000" w:themeColor="text1"/>
                <w:kern w:val="0"/>
                <w:sz w:val="24"/>
                <w:szCs w:val="20"/>
                <w14:textFill>
                  <w14:solidFill>
                    <w14:schemeClr w14:val="tx1"/>
                  </w14:solidFill>
                </w14:textFill>
              </w:rPr>
              <w:t>高的排气筒P</w:t>
            </w:r>
            <w:r>
              <w:rPr>
                <w:color w:val="000000" w:themeColor="text1"/>
                <w:kern w:val="0"/>
                <w:sz w:val="24"/>
                <w:szCs w:val="20"/>
                <w14:textFill>
                  <w14:solidFill>
                    <w14:schemeClr w14:val="tx1"/>
                  </w14:solidFill>
                </w14:textFill>
              </w:rPr>
              <w:t>1</w:t>
            </w:r>
            <w:r>
              <w:rPr>
                <w:rFonts w:hint="eastAsia"/>
                <w:color w:val="000000" w:themeColor="text1"/>
                <w:kern w:val="0"/>
                <w:sz w:val="24"/>
                <w:szCs w:val="20"/>
                <w14:textFill>
                  <w14:solidFill>
                    <w14:schemeClr w14:val="tx1"/>
                  </w14:solidFill>
                </w14:textFill>
              </w:rPr>
              <w:t>排放。本项目</w:t>
            </w:r>
            <w:r>
              <w:rPr>
                <w:rFonts w:hint="eastAsia"/>
                <w:kern w:val="0"/>
                <w:sz w:val="24"/>
              </w:rPr>
              <w:t>有组织排放浓度满足《合成树脂工业污染物排放标准》（GB31572-2015）表5中相关标准限值（苯乙烯≤2</w:t>
            </w:r>
            <w:r>
              <w:rPr>
                <w:kern w:val="0"/>
                <w:sz w:val="24"/>
              </w:rPr>
              <w:t>0mg/m</w:t>
            </w:r>
            <w:r>
              <w:rPr>
                <w:kern w:val="0"/>
                <w:sz w:val="24"/>
                <w:vertAlign w:val="superscript"/>
              </w:rPr>
              <w:t>3</w:t>
            </w:r>
            <w:r>
              <w:rPr>
                <w:rFonts w:hint="eastAsia"/>
                <w:kern w:val="0"/>
                <w:sz w:val="24"/>
              </w:rPr>
              <w:t>，非甲烷总烃≤60</w:t>
            </w:r>
            <w:r>
              <w:rPr>
                <w:kern w:val="0"/>
                <w:sz w:val="24"/>
              </w:rPr>
              <w:t>mg/m</w:t>
            </w:r>
            <w:r>
              <w:rPr>
                <w:kern w:val="0"/>
                <w:sz w:val="24"/>
                <w:vertAlign w:val="superscript"/>
              </w:rPr>
              <w:t>3</w:t>
            </w:r>
            <w:r>
              <w:rPr>
                <w:rFonts w:hint="eastAsia"/>
                <w:kern w:val="0"/>
                <w:sz w:val="24"/>
              </w:rPr>
              <w:t>）。</w:t>
            </w:r>
          </w:p>
          <w:p>
            <w:pPr>
              <w:widowControl/>
              <w:adjustRightInd w:val="0"/>
              <w:snapToGrid w:val="0"/>
              <w:spacing w:line="360" w:lineRule="auto"/>
              <w:rPr>
                <w:kern w:val="0"/>
                <w:sz w:val="24"/>
              </w:rPr>
            </w:pPr>
            <w:r>
              <w:pict>
                <v:shape id="_x0000_i1031" o:spt="75" type="#_x0000_t75" style="height:165.5pt;width:417.5pt;" filled="f" o:preferrelative="t" stroked="f" coordsize="21600,21600">
                  <v:path/>
                  <v:fill on="f" focussize="0,0"/>
                  <v:stroke on="f" joinstyle="miter"/>
                  <v:imagedata r:id="rId15" o:title=""/>
                  <o:lock v:ext="edit" aspectratio="t"/>
                  <w10:wrap type="none"/>
                  <w10:anchorlock/>
                </v:shape>
              </w:pict>
            </w:r>
          </w:p>
          <w:p>
            <w:pPr>
              <w:adjustRightInd w:val="0"/>
              <w:snapToGrid w:val="0"/>
              <w:spacing w:line="300" w:lineRule="auto"/>
              <w:jc w:val="center"/>
              <w:rPr>
                <w:b/>
                <w:bCs/>
                <w:kern w:val="0"/>
                <w:sz w:val="24"/>
              </w:rPr>
            </w:pPr>
            <w:r>
              <w:rPr>
                <w:rFonts w:hint="eastAsia"/>
                <w:b/>
                <w:bCs/>
                <w:kern w:val="0"/>
                <w:sz w:val="24"/>
              </w:rPr>
              <w:t>图5-</w:t>
            </w:r>
            <w:r>
              <w:rPr>
                <w:b/>
                <w:bCs/>
                <w:kern w:val="0"/>
                <w:sz w:val="24"/>
              </w:rPr>
              <w:t xml:space="preserve">3   </w:t>
            </w:r>
            <w:r>
              <w:rPr>
                <w:rFonts w:hint="eastAsia"/>
                <w:b/>
                <w:bCs/>
                <w:kern w:val="0"/>
                <w:sz w:val="24"/>
              </w:rPr>
              <w:t>有机废气收集处理走向示意图</w:t>
            </w:r>
          </w:p>
          <w:p>
            <w:pPr>
              <w:adjustRightInd w:val="0"/>
              <w:snapToGrid w:val="0"/>
              <w:spacing w:line="300" w:lineRule="auto"/>
              <w:jc w:val="center"/>
              <w:rPr>
                <w:b/>
                <w:bCs/>
                <w:kern w:val="0"/>
                <w:sz w:val="24"/>
              </w:rPr>
            </w:pPr>
            <w:r>
              <w:rPr>
                <w:b/>
                <w:bCs/>
                <w:kern w:val="0"/>
                <w:sz w:val="24"/>
              </w:rPr>
              <w:t>表5-2   正常情况下本项目工艺有组织</w:t>
            </w:r>
            <w:r>
              <w:rPr>
                <w:rFonts w:hint="eastAsia"/>
                <w:b/>
                <w:bCs/>
                <w:kern w:val="0"/>
                <w:sz w:val="24"/>
              </w:rPr>
              <w:t>有机废气</w:t>
            </w:r>
            <w:r>
              <w:rPr>
                <w:b/>
                <w:bCs/>
                <w:kern w:val="0"/>
                <w:sz w:val="24"/>
              </w:rPr>
              <w:t>产生及排放状况表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77"/>
              <w:gridCol w:w="931"/>
              <w:gridCol w:w="489"/>
              <w:gridCol w:w="876"/>
              <w:gridCol w:w="878"/>
              <w:gridCol w:w="865"/>
              <w:gridCol w:w="892"/>
              <w:gridCol w:w="878"/>
              <w:gridCol w:w="1031"/>
              <w:gridCol w:w="708"/>
              <w:gridCol w:w="5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40" w:type="pct"/>
                  <w:vMerge w:val="restart"/>
                  <w:vAlign w:val="center"/>
                </w:tcPr>
                <w:p>
                  <w:pPr>
                    <w:jc w:val="center"/>
                    <w:rPr>
                      <w:color w:val="00B0F0"/>
                      <w:szCs w:val="21"/>
                    </w:rPr>
                  </w:pPr>
                  <w:r>
                    <w:rPr>
                      <w:color w:val="00B0F0"/>
                      <w:szCs w:val="21"/>
                    </w:rPr>
                    <w:t>产生点</w:t>
                  </w:r>
                </w:p>
              </w:tc>
              <w:tc>
                <w:tcPr>
                  <w:tcW w:w="527" w:type="pct"/>
                  <w:vMerge w:val="restart"/>
                  <w:vAlign w:val="center"/>
                </w:tcPr>
                <w:p>
                  <w:pPr>
                    <w:jc w:val="center"/>
                    <w:rPr>
                      <w:color w:val="00B0F0"/>
                      <w:szCs w:val="21"/>
                    </w:rPr>
                  </w:pPr>
                  <w:r>
                    <w:rPr>
                      <w:color w:val="00B0F0"/>
                      <w:szCs w:val="21"/>
                    </w:rPr>
                    <w:t>废气量Nm</w:t>
                  </w:r>
                  <w:r>
                    <w:rPr>
                      <w:color w:val="00B0F0"/>
                      <w:szCs w:val="21"/>
                      <w:vertAlign w:val="superscript"/>
                    </w:rPr>
                    <w:t>3</w:t>
                  </w:r>
                  <w:r>
                    <w:rPr>
                      <w:color w:val="00B0F0"/>
                      <w:szCs w:val="21"/>
                    </w:rPr>
                    <w:t>/h</w:t>
                  </w:r>
                </w:p>
              </w:tc>
              <w:tc>
                <w:tcPr>
                  <w:tcW w:w="277" w:type="pct"/>
                  <w:vMerge w:val="restart"/>
                  <w:vAlign w:val="center"/>
                </w:tcPr>
                <w:p>
                  <w:pPr>
                    <w:ind w:right="-101" w:rightChars="-48"/>
                    <w:jc w:val="center"/>
                    <w:rPr>
                      <w:color w:val="00B0F0"/>
                      <w:szCs w:val="21"/>
                    </w:rPr>
                  </w:pPr>
                  <w:r>
                    <w:rPr>
                      <w:color w:val="00B0F0"/>
                      <w:szCs w:val="21"/>
                    </w:rPr>
                    <w:t>污染物</w:t>
                  </w:r>
                </w:p>
                <w:p>
                  <w:pPr>
                    <w:ind w:right="-101" w:rightChars="-48"/>
                    <w:jc w:val="center"/>
                    <w:rPr>
                      <w:color w:val="00B0F0"/>
                      <w:szCs w:val="21"/>
                    </w:rPr>
                  </w:pPr>
                  <w:r>
                    <w:rPr>
                      <w:color w:val="00B0F0"/>
                      <w:szCs w:val="21"/>
                    </w:rPr>
                    <w:t>名称</w:t>
                  </w:r>
                </w:p>
              </w:tc>
              <w:tc>
                <w:tcPr>
                  <w:tcW w:w="1483" w:type="pct"/>
                  <w:gridSpan w:val="3"/>
                  <w:vAlign w:val="center"/>
                </w:tcPr>
                <w:p>
                  <w:pPr>
                    <w:jc w:val="center"/>
                    <w:rPr>
                      <w:color w:val="00B0F0"/>
                      <w:szCs w:val="21"/>
                    </w:rPr>
                  </w:pPr>
                  <w:r>
                    <w:rPr>
                      <w:color w:val="00B0F0"/>
                      <w:szCs w:val="21"/>
                    </w:rPr>
                    <w:t>产生状况</w:t>
                  </w:r>
                </w:p>
              </w:tc>
              <w:tc>
                <w:tcPr>
                  <w:tcW w:w="1586" w:type="pct"/>
                  <w:gridSpan w:val="3"/>
                  <w:vAlign w:val="center"/>
                </w:tcPr>
                <w:p>
                  <w:pPr>
                    <w:ind w:right="-101" w:rightChars="-48"/>
                    <w:jc w:val="center"/>
                    <w:rPr>
                      <w:color w:val="00B0F0"/>
                      <w:szCs w:val="21"/>
                    </w:rPr>
                  </w:pPr>
                  <w:r>
                    <w:rPr>
                      <w:color w:val="00B0F0"/>
                      <w:szCs w:val="21"/>
                    </w:rPr>
                    <w:t>排放状况</w:t>
                  </w:r>
                </w:p>
              </w:tc>
              <w:tc>
                <w:tcPr>
                  <w:tcW w:w="401" w:type="pct"/>
                  <w:vMerge w:val="restart"/>
                  <w:vAlign w:val="center"/>
                </w:tcPr>
                <w:p>
                  <w:pPr>
                    <w:ind w:right="-101" w:rightChars="-48"/>
                    <w:jc w:val="center"/>
                    <w:rPr>
                      <w:color w:val="00B0F0"/>
                      <w:szCs w:val="21"/>
                    </w:rPr>
                  </w:pPr>
                  <w:r>
                    <w:rPr>
                      <w:color w:val="00B0F0"/>
                      <w:szCs w:val="21"/>
                    </w:rPr>
                    <w:t>排放</w:t>
                  </w:r>
                </w:p>
                <w:p>
                  <w:pPr>
                    <w:ind w:right="-101" w:rightChars="-48"/>
                    <w:jc w:val="center"/>
                    <w:rPr>
                      <w:color w:val="00B0F0"/>
                      <w:szCs w:val="21"/>
                    </w:rPr>
                  </w:pPr>
                  <w:r>
                    <w:rPr>
                      <w:color w:val="00B0F0"/>
                      <w:szCs w:val="21"/>
                    </w:rPr>
                    <w:t>时间</w:t>
                  </w:r>
                </w:p>
                <w:p>
                  <w:pPr>
                    <w:ind w:right="-101" w:rightChars="-48"/>
                    <w:jc w:val="center"/>
                    <w:rPr>
                      <w:color w:val="00B0F0"/>
                      <w:szCs w:val="21"/>
                    </w:rPr>
                  </w:pPr>
                  <w:r>
                    <w:rPr>
                      <w:rFonts w:hint="eastAsia"/>
                      <w:color w:val="00B0F0"/>
                      <w:szCs w:val="21"/>
                    </w:rPr>
                    <w:t>（h）</w:t>
                  </w:r>
                </w:p>
              </w:tc>
              <w:tc>
                <w:tcPr>
                  <w:tcW w:w="283" w:type="pct"/>
                  <w:vMerge w:val="restart"/>
                  <w:vAlign w:val="center"/>
                </w:tcPr>
                <w:p>
                  <w:pPr>
                    <w:ind w:right="-101" w:rightChars="-48"/>
                    <w:jc w:val="center"/>
                    <w:rPr>
                      <w:color w:val="00B0F0"/>
                      <w:szCs w:val="21"/>
                    </w:rPr>
                  </w:pPr>
                  <w:r>
                    <w:rPr>
                      <w:color w:val="00B0F0"/>
                      <w:szCs w:val="21"/>
                    </w:rPr>
                    <w:t>排气筒编号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440" w:type="pct"/>
                  <w:vMerge w:val="continue"/>
                  <w:vAlign w:val="center"/>
                </w:tcPr>
                <w:p>
                  <w:pPr>
                    <w:ind w:firstLine="420"/>
                    <w:jc w:val="center"/>
                    <w:rPr>
                      <w:color w:val="00B0F0"/>
                      <w:szCs w:val="21"/>
                    </w:rPr>
                  </w:pPr>
                </w:p>
              </w:tc>
              <w:tc>
                <w:tcPr>
                  <w:tcW w:w="527" w:type="pct"/>
                  <w:vMerge w:val="continue"/>
                  <w:vAlign w:val="center"/>
                </w:tcPr>
                <w:p>
                  <w:pPr>
                    <w:ind w:firstLine="420"/>
                    <w:jc w:val="center"/>
                    <w:rPr>
                      <w:color w:val="00B0F0"/>
                      <w:szCs w:val="21"/>
                    </w:rPr>
                  </w:pPr>
                </w:p>
              </w:tc>
              <w:tc>
                <w:tcPr>
                  <w:tcW w:w="277" w:type="pct"/>
                  <w:vMerge w:val="continue"/>
                  <w:vAlign w:val="center"/>
                </w:tcPr>
                <w:p>
                  <w:pPr>
                    <w:ind w:firstLine="420"/>
                    <w:jc w:val="center"/>
                    <w:rPr>
                      <w:color w:val="00B0F0"/>
                      <w:szCs w:val="21"/>
                    </w:rPr>
                  </w:pPr>
                </w:p>
              </w:tc>
              <w:tc>
                <w:tcPr>
                  <w:tcW w:w="496" w:type="pct"/>
                  <w:vAlign w:val="center"/>
                </w:tcPr>
                <w:p>
                  <w:pPr>
                    <w:jc w:val="center"/>
                    <w:rPr>
                      <w:color w:val="00B0F0"/>
                      <w:szCs w:val="21"/>
                    </w:rPr>
                  </w:pPr>
                  <w:r>
                    <w:rPr>
                      <w:color w:val="00B0F0"/>
                      <w:szCs w:val="21"/>
                    </w:rPr>
                    <w:t>浓度mg/m</w:t>
                  </w:r>
                  <w:r>
                    <w:rPr>
                      <w:color w:val="00B0F0"/>
                      <w:szCs w:val="21"/>
                      <w:vertAlign w:val="superscript"/>
                    </w:rPr>
                    <w:t>3</w:t>
                  </w:r>
                </w:p>
              </w:tc>
              <w:tc>
                <w:tcPr>
                  <w:tcW w:w="497" w:type="pct"/>
                  <w:vAlign w:val="center"/>
                </w:tcPr>
                <w:p>
                  <w:pPr>
                    <w:jc w:val="center"/>
                    <w:rPr>
                      <w:color w:val="00B0F0"/>
                      <w:szCs w:val="21"/>
                    </w:rPr>
                  </w:pPr>
                  <w:r>
                    <w:rPr>
                      <w:color w:val="00B0F0"/>
                      <w:szCs w:val="21"/>
                    </w:rPr>
                    <w:t>速率kg/h</w:t>
                  </w:r>
                </w:p>
              </w:tc>
              <w:tc>
                <w:tcPr>
                  <w:tcW w:w="490" w:type="pct"/>
                  <w:vAlign w:val="center"/>
                </w:tcPr>
                <w:p>
                  <w:pPr>
                    <w:jc w:val="center"/>
                    <w:rPr>
                      <w:color w:val="00B0F0"/>
                      <w:szCs w:val="21"/>
                    </w:rPr>
                  </w:pPr>
                  <w:r>
                    <w:rPr>
                      <w:color w:val="00B0F0"/>
                      <w:szCs w:val="21"/>
                    </w:rPr>
                    <w:t>产生量t/a</w:t>
                  </w:r>
                </w:p>
              </w:tc>
              <w:tc>
                <w:tcPr>
                  <w:tcW w:w="505" w:type="pct"/>
                  <w:vAlign w:val="center"/>
                </w:tcPr>
                <w:p>
                  <w:pPr>
                    <w:ind w:right="-101" w:rightChars="-48"/>
                    <w:jc w:val="center"/>
                    <w:rPr>
                      <w:color w:val="00B0F0"/>
                      <w:szCs w:val="21"/>
                    </w:rPr>
                  </w:pPr>
                  <w:r>
                    <w:rPr>
                      <w:color w:val="00B0F0"/>
                      <w:szCs w:val="21"/>
                    </w:rPr>
                    <w:t>浓度</w:t>
                  </w:r>
                </w:p>
                <w:p>
                  <w:pPr>
                    <w:ind w:right="-101" w:rightChars="-48"/>
                    <w:jc w:val="center"/>
                    <w:rPr>
                      <w:color w:val="00B0F0"/>
                      <w:szCs w:val="21"/>
                    </w:rPr>
                  </w:pPr>
                  <w:r>
                    <w:rPr>
                      <w:color w:val="00B0F0"/>
                      <w:szCs w:val="21"/>
                    </w:rPr>
                    <w:t>mg/m</w:t>
                  </w:r>
                  <w:r>
                    <w:rPr>
                      <w:color w:val="00B0F0"/>
                      <w:szCs w:val="21"/>
                      <w:vertAlign w:val="superscript"/>
                    </w:rPr>
                    <w:t>3</w:t>
                  </w:r>
                </w:p>
              </w:tc>
              <w:tc>
                <w:tcPr>
                  <w:tcW w:w="497" w:type="pct"/>
                  <w:vAlign w:val="center"/>
                </w:tcPr>
                <w:p>
                  <w:pPr>
                    <w:ind w:right="-101" w:rightChars="-48"/>
                    <w:jc w:val="center"/>
                    <w:rPr>
                      <w:color w:val="00B0F0"/>
                      <w:szCs w:val="21"/>
                    </w:rPr>
                  </w:pPr>
                  <w:r>
                    <w:rPr>
                      <w:color w:val="00B0F0"/>
                      <w:szCs w:val="21"/>
                    </w:rPr>
                    <w:t>速率</w:t>
                  </w:r>
                </w:p>
                <w:p>
                  <w:pPr>
                    <w:ind w:right="-101" w:rightChars="-48"/>
                    <w:jc w:val="center"/>
                    <w:rPr>
                      <w:color w:val="00B0F0"/>
                      <w:szCs w:val="21"/>
                    </w:rPr>
                  </w:pPr>
                  <w:r>
                    <w:rPr>
                      <w:color w:val="00B0F0"/>
                      <w:szCs w:val="21"/>
                    </w:rPr>
                    <w:t>kg/h</w:t>
                  </w:r>
                </w:p>
              </w:tc>
              <w:tc>
                <w:tcPr>
                  <w:tcW w:w="584" w:type="pct"/>
                  <w:vAlign w:val="center"/>
                </w:tcPr>
                <w:p>
                  <w:pPr>
                    <w:ind w:right="-101" w:rightChars="-48"/>
                    <w:jc w:val="center"/>
                    <w:rPr>
                      <w:color w:val="00B0F0"/>
                      <w:szCs w:val="21"/>
                    </w:rPr>
                  </w:pPr>
                  <w:r>
                    <w:rPr>
                      <w:color w:val="00B0F0"/>
                      <w:szCs w:val="21"/>
                    </w:rPr>
                    <w:t>排放量t/a</w:t>
                  </w:r>
                </w:p>
              </w:tc>
              <w:tc>
                <w:tcPr>
                  <w:tcW w:w="401" w:type="pct"/>
                  <w:vMerge w:val="continue"/>
                  <w:vAlign w:val="center"/>
                </w:tcPr>
                <w:p>
                  <w:pPr>
                    <w:ind w:firstLine="420"/>
                    <w:jc w:val="center"/>
                    <w:rPr>
                      <w:color w:val="00B0F0"/>
                      <w:szCs w:val="21"/>
                    </w:rPr>
                  </w:pPr>
                </w:p>
              </w:tc>
              <w:tc>
                <w:tcPr>
                  <w:tcW w:w="283" w:type="pct"/>
                  <w:vMerge w:val="continue"/>
                  <w:vAlign w:val="center"/>
                </w:tcPr>
                <w:p>
                  <w:pPr>
                    <w:ind w:firstLine="420"/>
                    <w:jc w:val="center"/>
                    <w:rPr>
                      <w:color w:val="00B0F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6" w:hRule="atLeast"/>
                <w:jc w:val="center"/>
              </w:trPr>
              <w:tc>
                <w:tcPr>
                  <w:tcW w:w="440" w:type="pct"/>
                  <w:vMerge w:val="restart"/>
                  <w:vAlign w:val="center"/>
                </w:tcPr>
                <w:p>
                  <w:pPr>
                    <w:rPr>
                      <w:color w:val="00B0F0"/>
                      <w:szCs w:val="21"/>
                    </w:rPr>
                  </w:pPr>
                  <w:r>
                    <w:rPr>
                      <w:rFonts w:hint="eastAsia"/>
                      <w:color w:val="00B0F0"/>
                      <w:szCs w:val="21"/>
                    </w:rPr>
                    <w:t>发泡</w:t>
                  </w:r>
                </w:p>
                <w:p>
                  <w:pPr>
                    <w:rPr>
                      <w:color w:val="00B0F0"/>
                      <w:szCs w:val="21"/>
                    </w:rPr>
                  </w:pPr>
                  <w:r>
                    <w:rPr>
                      <w:rFonts w:hint="eastAsia"/>
                      <w:color w:val="00B0F0"/>
                      <w:szCs w:val="21"/>
                    </w:rPr>
                    <w:t>挤出</w:t>
                  </w:r>
                </w:p>
                <w:p>
                  <w:pPr>
                    <w:rPr>
                      <w:color w:val="00B0F0"/>
                      <w:szCs w:val="21"/>
                    </w:rPr>
                  </w:pPr>
                  <w:r>
                    <w:rPr>
                      <w:rFonts w:hint="eastAsia"/>
                      <w:color w:val="00B0F0"/>
                      <w:szCs w:val="21"/>
                    </w:rPr>
                    <w:t>热切</w:t>
                  </w:r>
                </w:p>
                <w:p>
                  <w:pPr>
                    <w:rPr>
                      <w:color w:val="00B0F0"/>
                      <w:szCs w:val="21"/>
                    </w:rPr>
                  </w:pPr>
                  <w:r>
                    <w:rPr>
                      <w:rFonts w:hint="eastAsia"/>
                      <w:color w:val="00B0F0"/>
                      <w:szCs w:val="21"/>
                    </w:rPr>
                    <w:t>熔边工序</w:t>
                  </w:r>
                </w:p>
              </w:tc>
              <w:tc>
                <w:tcPr>
                  <w:tcW w:w="527" w:type="pct"/>
                  <w:vMerge w:val="restart"/>
                  <w:vAlign w:val="center"/>
                </w:tcPr>
                <w:p>
                  <w:pPr>
                    <w:jc w:val="center"/>
                    <w:rPr>
                      <w:color w:val="00B0F0"/>
                      <w:szCs w:val="21"/>
                    </w:rPr>
                  </w:pPr>
                  <w:r>
                    <w:rPr>
                      <w:color w:val="00B0F0"/>
                      <w:szCs w:val="21"/>
                    </w:rPr>
                    <w:t>10000</w:t>
                  </w:r>
                </w:p>
              </w:tc>
              <w:tc>
                <w:tcPr>
                  <w:tcW w:w="277" w:type="pct"/>
                  <w:vAlign w:val="center"/>
                </w:tcPr>
                <w:p>
                  <w:pPr>
                    <w:jc w:val="center"/>
                    <w:rPr>
                      <w:color w:val="00B0F0"/>
                      <w:szCs w:val="21"/>
                    </w:rPr>
                  </w:pPr>
                  <w:r>
                    <w:rPr>
                      <w:rFonts w:hint="eastAsia"/>
                      <w:color w:val="00B0F0"/>
                      <w:szCs w:val="21"/>
                    </w:rPr>
                    <w:t>苯乙烯</w:t>
                  </w:r>
                </w:p>
              </w:tc>
              <w:tc>
                <w:tcPr>
                  <w:tcW w:w="496" w:type="pct"/>
                  <w:vAlign w:val="center"/>
                </w:tcPr>
                <w:p>
                  <w:pPr>
                    <w:jc w:val="center"/>
                    <w:rPr>
                      <w:color w:val="00B0F0"/>
                      <w:szCs w:val="21"/>
                    </w:rPr>
                  </w:pPr>
                  <w:r>
                    <w:rPr>
                      <w:rFonts w:hint="eastAsia"/>
                      <w:color w:val="00B0F0"/>
                      <w:szCs w:val="21"/>
                    </w:rPr>
                    <w:t>4</w:t>
                  </w:r>
                  <w:r>
                    <w:rPr>
                      <w:color w:val="00B0F0"/>
                      <w:szCs w:val="21"/>
                    </w:rPr>
                    <w:t>.501</w:t>
                  </w:r>
                </w:p>
              </w:tc>
              <w:tc>
                <w:tcPr>
                  <w:tcW w:w="497" w:type="pct"/>
                  <w:vAlign w:val="center"/>
                </w:tcPr>
                <w:p>
                  <w:pPr>
                    <w:jc w:val="center"/>
                    <w:rPr>
                      <w:color w:val="00B0F0"/>
                      <w:szCs w:val="21"/>
                    </w:rPr>
                  </w:pPr>
                  <w:r>
                    <w:rPr>
                      <w:rFonts w:hint="eastAsia"/>
                      <w:color w:val="00B0F0"/>
                      <w:szCs w:val="21"/>
                    </w:rPr>
                    <w:t>0</w:t>
                  </w:r>
                  <w:r>
                    <w:rPr>
                      <w:color w:val="00B0F0"/>
                      <w:szCs w:val="21"/>
                    </w:rPr>
                    <w:t>.045</w:t>
                  </w:r>
                </w:p>
              </w:tc>
              <w:tc>
                <w:tcPr>
                  <w:tcW w:w="490" w:type="pct"/>
                  <w:vAlign w:val="center"/>
                </w:tcPr>
                <w:p>
                  <w:pPr>
                    <w:jc w:val="center"/>
                    <w:rPr>
                      <w:color w:val="00B0F0"/>
                      <w:szCs w:val="21"/>
                    </w:rPr>
                  </w:pPr>
                  <w:r>
                    <w:rPr>
                      <w:rFonts w:hint="eastAsia"/>
                      <w:color w:val="00B0F0"/>
                      <w:szCs w:val="21"/>
                    </w:rPr>
                    <w:t>0</w:t>
                  </w:r>
                  <w:r>
                    <w:rPr>
                      <w:color w:val="00B0F0"/>
                      <w:szCs w:val="21"/>
                    </w:rPr>
                    <w:t>.324</w:t>
                  </w:r>
                </w:p>
              </w:tc>
              <w:tc>
                <w:tcPr>
                  <w:tcW w:w="505" w:type="pct"/>
                  <w:vAlign w:val="center"/>
                </w:tcPr>
                <w:p>
                  <w:pPr>
                    <w:jc w:val="center"/>
                    <w:rPr>
                      <w:color w:val="00B0F0"/>
                      <w:szCs w:val="21"/>
                    </w:rPr>
                  </w:pPr>
                  <w:r>
                    <w:rPr>
                      <w:rFonts w:hint="eastAsia"/>
                      <w:color w:val="00B0F0"/>
                      <w:szCs w:val="21"/>
                    </w:rPr>
                    <w:t>0</w:t>
                  </w:r>
                  <w:r>
                    <w:rPr>
                      <w:color w:val="00B0F0"/>
                      <w:szCs w:val="21"/>
                    </w:rPr>
                    <w:t>.450</w:t>
                  </w:r>
                </w:p>
              </w:tc>
              <w:tc>
                <w:tcPr>
                  <w:tcW w:w="497" w:type="pct"/>
                  <w:vAlign w:val="center"/>
                </w:tcPr>
                <w:p>
                  <w:pPr>
                    <w:jc w:val="center"/>
                    <w:rPr>
                      <w:color w:val="00B0F0"/>
                      <w:szCs w:val="21"/>
                    </w:rPr>
                  </w:pPr>
                  <w:r>
                    <w:rPr>
                      <w:rFonts w:hint="eastAsia"/>
                      <w:color w:val="00B0F0"/>
                      <w:szCs w:val="21"/>
                    </w:rPr>
                    <w:t>0</w:t>
                  </w:r>
                  <w:r>
                    <w:rPr>
                      <w:color w:val="00B0F0"/>
                      <w:szCs w:val="21"/>
                    </w:rPr>
                    <w:t>.005</w:t>
                  </w:r>
                </w:p>
              </w:tc>
              <w:tc>
                <w:tcPr>
                  <w:tcW w:w="584" w:type="pct"/>
                  <w:vAlign w:val="center"/>
                </w:tcPr>
                <w:p>
                  <w:pPr>
                    <w:jc w:val="center"/>
                    <w:rPr>
                      <w:color w:val="00B0F0"/>
                      <w:szCs w:val="21"/>
                    </w:rPr>
                  </w:pPr>
                  <w:r>
                    <w:rPr>
                      <w:rFonts w:hint="eastAsia"/>
                      <w:color w:val="00B0F0"/>
                      <w:szCs w:val="21"/>
                    </w:rPr>
                    <w:t>0</w:t>
                  </w:r>
                  <w:r>
                    <w:rPr>
                      <w:color w:val="00B0F0"/>
                      <w:szCs w:val="21"/>
                    </w:rPr>
                    <w:t>.032</w:t>
                  </w:r>
                </w:p>
              </w:tc>
              <w:tc>
                <w:tcPr>
                  <w:tcW w:w="401" w:type="pct"/>
                  <w:vMerge w:val="restart"/>
                  <w:vAlign w:val="center"/>
                </w:tcPr>
                <w:p>
                  <w:pPr>
                    <w:jc w:val="center"/>
                    <w:rPr>
                      <w:color w:val="00B0F0"/>
                      <w:szCs w:val="21"/>
                    </w:rPr>
                  </w:pPr>
                  <w:r>
                    <w:rPr>
                      <w:rFonts w:hint="eastAsia"/>
                      <w:color w:val="00B0F0"/>
                      <w:szCs w:val="21"/>
                    </w:rPr>
                    <w:t>连续</w:t>
                  </w:r>
                  <w:r>
                    <w:rPr>
                      <w:color w:val="00B0F0"/>
                      <w:szCs w:val="21"/>
                    </w:rPr>
                    <w:t>7200</w:t>
                  </w:r>
                </w:p>
              </w:tc>
              <w:tc>
                <w:tcPr>
                  <w:tcW w:w="283" w:type="pct"/>
                  <w:vMerge w:val="restart"/>
                  <w:vAlign w:val="center"/>
                </w:tcPr>
                <w:p>
                  <w:pPr>
                    <w:jc w:val="center"/>
                    <w:rPr>
                      <w:color w:val="00B0F0"/>
                      <w:szCs w:val="21"/>
                    </w:rPr>
                  </w:pPr>
                  <w:r>
                    <w:rPr>
                      <w:color w:val="00B0F0"/>
                      <w:szCs w:val="21"/>
                    </w:rPr>
                    <w:t>P1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6" w:hRule="atLeast"/>
                <w:jc w:val="center"/>
              </w:trPr>
              <w:tc>
                <w:tcPr>
                  <w:tcW w:w="440" w:type="pct"/>
                  <w:vMerge w:val="continue"/>
                  <w:vAlign w:val="center"/>
                </w:tcPr>
                <w:p>
                  <w:pPr>
                    <w:jc w:val="center"/>
                    <w:rPr>
                      <w:color w:val="00B0F0"/>
                      <w:szCs w:val="21"/>
                    </w:rPr>
                  </w:pPr>
                </w:p>
              </w:tc>
              <w:tc>
                <w:tcPr>
                  <w:tcW w:w="527" w:type="pct"/>
                  <w:vMerge w:val="continue"/>
                  <w:vAlign w:val="center"/>
                </w:tcPr>
                <w:p>
                  <w:pPr>
                    <w:jc w:val="center"/>
                    <w:rPr>
                      <w:color w:val="00B0F0"/>
                      <w:szCs w:val="21"/>
                    </w:rPr>
                  </w:pPr>
                </w:p>
              </w:tc>
              <w:tc>
                <w:tcPr>
                  <w:tcW w:w="277" w:type="pct"/>
                  <w:vAlign w:val="center"/>
                </w:tcPr>
                <w:p>
                  <w:pPr>
                    <w:jc w:val="center"/>
                    <w:rPr>
                      <w:color w:val="00B0F0"/>
                      <w:szCs w:val="21"/>
                    </w:rPr>
                  </w:pPr>
                  <w:r>
                    <w:rPr>
                      <w:rFonts w:hint="eastAsia"/>
                      <w:color w:val="00B0F0"/>
                      <w:szCs w:val="21"/>
                    </w:rPr>
                    <w:t>非甲烷总烃</w:t>
                  </w:r>
                </w:p>
              </w:tc>
              <w:tc>
                <w:tcPr>
                  <w:tcW w:w="496" w:type="pct"/>
                  <w:vAlign w:val="center"/>
                </w:tcPr>
                <w:p>
                  <w:pPr>
                    <w:jc w:val="center"/>
                    <w:rPr>
                      <w:color w:val="00B0F0"/>
                      <w:szCs w:val="21"/>
                    </w:rPr>
                  </w:pPr>
                  <w:r>
                    <w:rPr>
                      <w:rFonts w:hint="eastAsia"/>
                      <w:color w:val="00B0F0"/>
                      <w:szCs w:val="21"/>
                    </w:rPr>
                    <w:t>5</w:t>
                  </w:r>
                  <w:r>
                    <w:rPr>
                      <w:color w:val="00B0F0"/>
                      <w:szCs w:val="21"/>
                    </w:rPr>
                    <w:t>1.757</w:t>
                  </w:r>
                </w:p>
              </w:tc>
              <w:tc>
                <w:tcPr>
                  <w:tcW w:w="497" w:type="pct"/>
                  <w:vAlign w:val="center"/>
                </w:tcPr>
                <w:p>
                  <w:pPr>
                    <w:jc w:val="center"/>
                    <w:rPr>
                      <w:color w:val="00B0F0"/>
                      <w:szCs w:val="21"/>
                    </w:rPr>
                  </w:pPr>
                  <w:r>
                    <w:rPr>
                      <w:rFonts w:hint="eastAsia"/>
                      <w:color w:val="00B0F0"/>
                      <w:szCs w:val="21"/>
                    </w:rPr>
                    <w:t>0</w:t>
                  </w:r>
                  <w:r>
                    <w:rPr>
                      <w:color w:val="00B0F0"/>
                      <w:szCs w:val="21"/>
                    </w:rPr>
                    <w:t>.518</w:t>
                  </w:r>
                </w:p>
              </w:tc>
              <w:tc>
                <w:tcPr>
                  <w:tcW w:w="490" w:type="pct"/>
                  <w:vAlign w:val="center"/>
                </w:tcPr>
                <w:p>
                  <w:pPr>
                    <w:jc w:val="center"/>
                    <w:rPr>
                      <w:color w:val="00B0F0"/>
                      <w:szCs w:val="21"/>
                    </w:rPr>
                  </w:pPr>
                  <w:r>
                    <w:rPr>
                      <w:rFonts w:hint="eastAsia"/>
                      <w:color w:val="00B0F0"/>
                      <w:szCs w:val="21"/>
                    </w:rPr>
                    <w:t>3</w:t>
                  </w:r>
                  <w:r>
                    <w:rPr>
                      <w:color w:val="00B0F0"/>
                      <w:szCs w:val="21"/>
                    </w:rPr>
                    <w:t>.727</w:t>
                  </w:r>
                </w:p>
              </w:tc>
              <w:tc>
                <w:tcPr>
                  <w:tcW w:w="505" w:type="pct"/>
                  <w:vAlign w:val="center"/>
                </w:tcPr>
                <w:p>
                  <w:pPr>
                    <w:jc w:val="center"/>
                    <w:rPr>
                      <w:color w:val="00B0F0"/>
                      <w:szCs w:val="21"/>
                    </w:rPr>
                  </w:pPr>
                  <w:r>
                    <w:rPr>
                      <w:rFonts w:hint="eastAsia"/>
                      <w:color w:val="00B0F0"/>
                      <w:szCs w:val="21"/>
                    </w:rPr>
                    <w:t>5</w:t>
                  </w:r>
                  <w:r>
                    <w:rPr>
                      <w:color w:val="00B0F0"/>
                      <w:szCs w:val="21"/>
                    </w:rPr>
                    <w:t>.176</w:t>
                  </w:r>
                </w:p>
              </w:tc>
              <w:tc>
                <w:tcPr>
                  <w:tcW w:w="497" w:type="pct"/>
                  <w:vAlign w:val="center"/>
                </w:tcPr>
                <w:p>
                  <w:pPr>
                    <w:jc w:val="center"/>
                    <w:rPr>
                      <w:color w:val="00B0F0"/>
                      <w:szCs w:val="21"/>
                    </w:rPr>
                  </w:pPr>
                  <w:r>
                    <w:rPr>
                      <w:rFonts w:hint="eastAsia"/>
                      <w:color w:val="00B0F0"/>
                      <w:szCs w:val="21"/>
                    </w:rPr>
                    <w:t>0</w:t>
                  </w:r>
                  <w:r>
                    <w:rPr>
                      <w:color w:val="00B0F0"/>
                      <w:szCs w:val="21"/>
                    </w:rPr>
                    <w:t>.052</w:t>
                  </w:r>
                </w:p>
              </w:tc>
              <w:tc>
                <w:tcPr>
                  <w:tcW w:w="584" w:type="pct"/>
                  <w:vAlign w:val="center"/>
                </w:tcPr>
                <w:p>
                  <w:pPr>
                    <w:jc w:val="center"/>
                    <w:rPr>
                      <w:color w:val="00B0F0"/>
                      <w:szCs w:val="21"/>
                    </w:rPr>
                  </w:pPr>
                  <w:r>
                    <w:rPr>
                      <w:rFonts w:hint="eastAsia"/>
                      <w:color w:val="00B0F0"/>
                      <w:szCs w:val="21"/>
                    </w:rPr>
                    <w:t>0</w:t>
                  </w:r>
                  <w:r>
                    <w:rPr>
                      <w:color w:val="00B0F0"/>
                      <w:szCs w:val="21"/>
                    </w:rPr>
                    <w:t>.373</w:t>
                  </w:r>
                </w:p>
              </w:tc>
              <w:tc>
                <w:tcPr>
                  <w:tcW w:w="401" w:type="pct"/>
                  <w:vMerge w:val="continue"/>
                  <w:vAlign w:val="center"/>
                </w:tcPr>
                <w:p>
                  <w:pPr>
                    <w:jc w:val="center"/>
                    <w:rPr>
                      <w:color w:val="00B0F0"/>
                      <w:szCs w:val="21"/>
                    </w:rPr>
                  </w:pPr>
                </w:p>
              </w:tc>
              <w:tc>
                <w:tcPr>
                  <w:tcW w:w="283" w:type="pct"/>
                  <w:vMerge w:val="continue"/>
                  <w:vAlign w:val="center"/>
                </w:tcPr>
                <w:p>
                  <w:pPr>
                    <w:jc w:val="center"/>
                    <w:rPr>
                      <w:color w:val="00B0F0"/>
                      <w:szCs w:val="21"/>
                    </w:rPr>
                  </w:pPr>
                </w:p>
              </w:tc>
            </w:tr>
          </w:tbl>
          <w:p>
            <w:pPr>
              <w:adjustRightInd w:val="0"/>
              <w:snapToGrid w:val="0"/>
              <w:spacing w:line="300" w:lineRule="auto"/>
              <w:jc w:val="center"/>
              <w:rPr>
                <w:b/>
                <w:bCs/>
                <w:kern w:val="0"/>
                <w:sz w:val="24"/>
              </w:rPr>
            </w:pPr>
            <w:r>
              <w:rPr>
                <w:b/>
                <w:bCs/>
                <w:kern w:val="0"/>
                <w:sz w:val="24"/>
              </w:rPr>
              <w:t>表5-3   本项目无组织有机废气产生和排放情况一览表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403"/>
              <w:gridCol w:w="983"/>
              <w:gridCol w:w="1059"/>
              <w:gridCol w:w="1813"/>
              <w:gridCol w:w="913"/>
              <w:gridCol w:w="1096"/>
              <w:gridCol w:w="7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43" w:type="pct"/>
                  <w:vAlign w:val="center"/>
                </w:tcPr>
                <w:p>
                  <w:pPr>
                    <w:jc w:val="center"/>
                    <w:rPr>
                      <w:color w:val="00B0F0"/>
                      <w:szCs w:val="21"/>
                    </w:rPr>
                  </w:pPr>
                  <w:r>
                    <w:rPr>
                      <w:color w:val="00B0F0"/>
                      <w:szCs w:val="21"/>
                    </w:rPr>
                    <w:t>面源</w:t>
                  </w:r>
                </w:p>
                <w:p>
                  <w:pPr>
                    <w:jc w:val="center"/>
                    <w:rPr>
                      <w:color w:val="00B0F0"/>
                      <w:szCs w:val="21"/>
                    </w:rPr>
                  </w:pPr>
                  <w:r>
                    <w:rPr>
                      <w:color w:val="00B0F0"/>
                      <w:szCs w:val="21"/>
                    </w:rPr>
                    <w:t>名称</w:t>
                  </w:r>
                </w:p>
              </w:tc>
              <w:tc>
                <w:tcPr>
                  <w:tcW w:w="795" w:type="pct"/>
                  <w:vAlign w:val="center"/>
                </w:tcPr>
                <w:p>
                  <w:pPr>
                    <w:jc w:val="center"/>
                    <w:rPr>
                      <w:color w:val="00B0F0"/>
                      <w:szCs w:val="21"/>
                    </w:rPr>
                  </w:pPr>
                  <w:r>
                    <w:rPr>
                      <w:color w:val="00B0F0"/>
                      <w:szCs w:val="21"/>
                    </w:rPr>
                    <w:t>污染物</w:t>
                  </w:r>
                </w:p>
              </w:tc>
              <w:tc>
                <w:tcPr>
                  <w:tcW w:w="557" w:type="pct"/>
                  <w:vAlign w:val="center"/>
                </w:tcPr>
                <w:p>
                  <w:pPr>
                    <w:jc w:val="center"/>
                    <w:rPr>
                      <w:color w:val="00B0F0"/>
                      <w:szCs w:val="21"/>
                    </w:rPr>
                  </w:pPr>
                  <w:r>
                    <w:rPr>
                      <w:color w:val="00B0F0"/>
                      <w:szCs w:val="21"/>
                    </w:rPr>
                    <w:t>排放速率kg/h</w:t>
                  </w:r>
                </w:p>
              </w:tc>
              <w:tc>
                <w:tcPr>
                  <w:tcW w:w="600" w:type="pct"/>
                  <w:vAlign w:val="center"/>
                </w:tcPr>
                <w:p>
                  <w:pPr>
                    <w:jc w:val="center"/>
                    <w:rPr>
                      <w:color w:val="00B0F0"/>
                      <w:szCs w:val="21"/>
                    </w:rPr>
                  </w:pPr>
                  <w:r>
                    <w:rPr>
                      <w:color w:val="00B0F0"/>
                      <w:szCs w:val="21"/>
                    </w:rPr>
                    <w:t>排放量t/a</w:t>
                  </w:r>
                </w:p>
              </w:tc>
              <w:tc>
                <w:tcPr>
                  <w:tcW w:w="1027" w:type="pct"/>
                  <w:vAlign w:val="center"/>
                </w:tcPr>
                <w:p>
                  <w:pPr>
                    <w:jc w:val="center"/>
                    <w:rPr>
                      <w:color w:val="00B0F0"/>
                      <w:szCs w:val="21"/>
                    </w:rPr>
                  </w:pPr>
                  <w:r>
                    <w:rPr>
                      <w:rFonts w:hint="eastAsia"/>
                      <w:color w:val="00B0F0"/>
                      <w:szCs w:val="21"/>
                    </w:rPr>
                    <w:t>面源面积m</w:t>
                  </w:r>
                  <w:r>
                    <w:rPr>
                      <w:color w:val="00B0F0"/>
                      <w:szCs w:val="21"/>
                      <w:vertAlign w:val="superscript"/>
                    </w:rPr>
                    <w:t>2</w:t>
                  </w:r>
                </w:p>
              </w:tc>
              <w:tc>
                <w:tcPr>
                  <w:tcW w:w="517" w:type="pct"/>
                  <w:vAlign w:val="center"/>
                </w:tcPr>
                <w:p>
                  <w:pPr>
                    <w:jc w:val="center"/>
                    <w:rPr>
                      <w:color w:val="00B0F0"/>
                      <w:szCs w:val="21"/>
                    </w:rPr>
                  </w:pPr>
                  <w:r>
                    <w:rPr>
                      <w:color w:val="00B0F0"/>
                      <w:szCs w:val="21"/>
                    </w:rPr>
                    <w:t>面源高度</w:t>
                  </w:r>
                </w:p>
                <w:p>
                  <w:pPr>
                    <w:jc w:val="center"/>
                    <w:rPr>
                      <w:color w:val="00B0F0"/>
                      <w:szCs w:val="21"/>
                    </w:rPr>
                  </w:pPr>
                  <w:r>
                    <w:rPr>
                      <w:color w:val="00B0F0"/>
                      <w:szCs w:val="21"/>
                    </w:rPr>
                    <w:t>m</w:t>
                  </w:r>
                </w:p>
              </w:tc>
              <w:tc>
                <w:tcPr>
                  <w:tcW w:w="621" w:type="pct"/>
                  <w:vAlign w:val="center"/>
                </w:tcPr>
                <w:p>
                  <w:pPr>
                    <w:jc w:val="center"/>
                    <w:rPr>
                      <w:color w:val="00B0F0"/>
                      <w:szCs w:val="21"/>
                    </w:rPr>
                  </w:pPr>
                  <w:r>
                    <w:rPr>
                      <w:color w:val="00B0F0"/>
                      <w:szCs w:val="21"/>
                    </w:rPr>
                    <w:t>年排放小时数h</w:t>
                  </w:r>
                </w:p>
              </w:tc>
              <w:tc>
                <w:tcPr>
                  <w:tcW w:w="440" w:type="pct"/>
                  <w:vAlign w:val="center"/>
                </w:tcPr>
                <w:p>
                  <w:pPr>
                    <w:jc w:val="center"/>
                    <w:rPr>
                      <w:color w:val="00B0F0"/>
                      <w:szCs w:val="21"/>
                    </w:rPr>
                  </w:pPr>
                  <w:r>
                    <w:rPr>
                      <w:color w:val="00B0F0"/>
                      <w:szCs w:val="21"/>
                    </w:rPr>
                    <w:t>排放</w:t>
                  </w:r>
                </w:p>
                <w:p>
                  <w:pPr>
                    <w:jc w:val="center"/>
                    <w:rPr>
                      <w:color w:val="00B0F0"/>
                      <w:szCs w:val="21"/>
                    </w:rPr>
                  </w:pPr>
                  <w:r>
                    <w:rPr>
                      <w:color w:val="00B0F0"/>
                      <w:szCs w:val="21"/>
                    </w:rPr>
                    <w:t>工况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43" w:type="pct"/>
                  <w:vMerge w:val="restart"/>
                  <w:vAlign w:val="center"/>
                </w:tcPr>
                <w:p>
                  <w:pPr>
                    <w:jc w:val="center"/>
                    <w:rPr>
                      <w:color w:val="00B0F0"/>
                      <w:szCs w:val="21"/>
                    </w:rPr>
                  </w:pPr>
                  <w:r>
                    <w:rPr>
                      <w:rFonts w:hint="eastAsia"/>
                      <w:color w:val="00B0F0"/>
                      <w:szCs w:val="21"/>
                    </w:rPr>
                    <w:t>车间</w:t>
                  </w:r>
                </w:p>
              </w:tc>
              <w:tc>
                <w:tcPr>
                  <w:tcW w:w="795" w:type="pct"/>
                  <w:vAlign w:val="center"/>
                </w:tcPr>
                <w:p>
                  <w:pPr>
                    <w:jc w:val="center"/>
                    <w:rPr>
                      <w:color w:val="00B0F0"/>
                      <w:szCs w:val="21"/>
                    </w:rPr>
                  </w:pPr>
                  <w:r>
                    <w:rPr>
                      <w:rFonts w:hint="eastAsia"/>
                      <w:color w:val="00B0F0"/>
                      <w:szCs w:val="21"/>
                    </w:rPr>
                    <w:t>苯乙烯</w:t>
                  </w:r>
                </w:p>
              </w:tc>
              <w:tc>
                <w:tcPr>
                  <w:tcW w:w="557" w:type="pct"/>
                  <w:vAlign w:val="center"/>
                </w:tcPr>
                <w:p>
                  <w:pPr>
                    <w:jc w:val="center"/>
                    <w:rPr>
                      <w:color w:val="00B0F0"/>
                      <w:szCs w:val="21"/>
                    </w:rPr>
                  </w:pPr>
                  <w:r>
                    <w:rPr>
                      <w:rFonts w:hint="eastAsia"/>
                      <w:color w:val="00B0F0"/>
                      <w:szCs w:val="21"/>
                    </w:rPr>
                    <w:t>0</w:t>
                  </w:r>
                  <w:r>
                    <w:rPr>
                      <w:color w:val="00B0F0"/>
                      <w:szCs w:val="21"/>
                    </w:rPr>
                    <w:t>.002</w:t>
                  </w:r>
                </w:p>
              </w:tc>
              <w:tc>
                <w:tcPr>
                  <w:tcW w:w="600" w:type="pct"/>
                  <w:vAlign w:val="center"/>
                </w:tcPr>
                <w:p>
                  <w:pPr>
                    <w:jc w:val="center"/>
                    <w:rPr>
                      <w:color w:val="00B0F0"/>
                      <w:szCs w:val="21"/>
                    </w:rPr>
                  </w:pPr>
                  <w:r>
                    <w:rPr>
                      <w:rFonts w:hint="eastAsia"/>
                      <w:color w:val="00B0F0"/>
                      <w:szCs w:val="21"/>
                    </w:rPr>
                    <w:t>0</w:t>
                  </w:r>
                  <w:r>
                    <w:rPr>
                      <w:color w:val="00B0F0"/>
                      <w:szCs w:val="21"/>
                    </w:rPr>
                    <w:t>.017</w:t>
                  </w:r>
                </w:p>
              </w:tc>
              <w:tc>
                <w:tcPr>
                  <w:tcW w:w="1027" w:type="pct"/>
                  <w:vMerge w:val="restart"/>
                  <w:vAlign w:val="center"/>
                </w:tcPr>
                <w:p>
                  <w:pPr>
                    <w:jc w:val="center"/>
                    <w:rPr>
                      <w:color w:val="00B0F0"/>
                      <w:szCs w:val="21"/>
                    </w:rPr>
                  </w:pPr>
                  <w:r>
                    <w:rPr>
                      <w:rFonts w:hint="eastAsia"/>
                      <w:color w:val="00B0F0"/>
                      <w:szCs w:val="21"/>
                    </w:rPr>
                    <w:t>3</w:t>
                  </w:r>
                  <w:r>
                    <w:rPr>
                      <w:color w:val="00B0F0"/>
                      <w:szCs w:val="21"/>
                    </w:rPr>
                    <w:t>500</w:t>
                  </w:r>
                </w:p>
              </w:tc>
              <w:tc>
                <w:tcPr>
                  <w:tcW w:w="517" w:type="pct"/>
                  <w:vMerge w:val="restart"/>
                  <w:vAlign w:val="center"/>
                </w:tcPr>
                <w:p>
                  <w:pPr>
                    <w:jc w:val="center"/>
                    <w:rPr>
                      <w:color w:val="00B0F0"/>
                      <w:szCs w:val="21"/>
                    </w:rPr>
                  </w:pPr>
                  <w:r>
                    <w:rPr>
                      <w:color w:val="00B0F0"/>
                      <w:szCs w:val="21"/>
                    </w:rPr>
                    <w:t>12</w:t>
                  </w:r>
                </w:p>
              </w:tc>
              <w:tc>
                <w:tcPr>
                  <w:tcW w:w="621" w:type="pct"/>
                  <w:vMerge w:val="restart"/>
                  <w:vAlign w:val="center"/>
                </w:tcPr>
                <w:p>
                  <w:pPr>
                    <w:jc w:val="center"/>
                    <w:rPr>
                      <w:color w:val="00B0F0"/>
                      <w:szCs w:val="21"/>
                    </w:rPr>
                  </w:pPr>
                  <w:r>
                    <w:rPr>
                      <w:color w:val="00B0F0"/>
                      <w:szCs w:val="21"/>
                    </w:rPr>
                    <w:t>7200</w:t>
                  </w:r>
                </w:p>
              </w:tc>
              <w:tc>
                <w:tcPr>
                  <w:tcW w:w="440" w:type="pct"/>
                  <w:vMerge w:val="restart"/>
                  <w:vAlign w:val="center"/>
                </w:tcPr>
                <w:p>
                  <w:pPr>
                    <w:jc w:val="center"/>
                    <w:rPr>
                      <w:color w:val="00B0F0"/>
                      <w:szCs w:val="21"/>
                    </w:rPr>
                  </w:pPr>
                  <w:r>
                    <w:rPr>
                      <w:rFonts w:hint="eastAsia"/>
                      <w:color w:val="00B0F0"/>
                      <w:szCs w:val="21"/>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43" w:type="pct"/>
                  <w:vMerge w:val="continue"/>
                  <w:vAlign w:val="center"/>
                </w:tcPr>
                <w:p>
                  <w:pPr>
                    <w:jc w:val="center"/>
                    <w:rPr>
                      <w:color w:val="00B0F0"/>
                      <w:szCs w:val="21"/>
                    </w:rPr>
                  </w:pPr>
                </w:p>
              </w:tc>
              <w:tc>
                <w:tcPr>
                  <w:tcW w:w="795" w:type="pct"/>
                  <w:vAlign w:val="center"/>
                </w:tcPr>
                <w:p>
                  <w:pPr>
                    <w:jc w:val="center"/>
                    <w:rPr>
                      <w:rFonts w:ascii="宋体" w:hAnsi="Courier New"/>
                      <w:color w:val="00B0F0"/>
                      <w:szCs w:val="21"/>
                    </w:rPr>
                  </w:pPr>
                  <w:r>
                    <w:rPr>
                      <w:rFonts w:hint="eastAsia" w:ascii="宋体" w:hAnsi="Courier New"/>
                      <w:color w:val="00B0F0"/>
                      <w:szCs w:val="21"/>
                    </w:rPr>
                    <w:t>非甲烷总烃</w:t>
                  </w:r>
                </w:p>
              </w:tc>
              <w:tc>
                <w:tcPr>
                  <w:tcW w:w="557" w:type="pct"/>
                  <w:vAlign w:val="center"/>
                </w:tcPr>
                <w:p>
                  <w:pPr>
                    <w:jc w:val="center"/>
                    <w:rPr>
                      <w:color w:val="00B0F0"/>
                      <w:szCs w:val="21"/>
                    </w:rPr>
                  </w:pPr>
                  <w:r>
                    <w:rPr>
                      <w:rFonts w:hint="eastAsia"/>
                      <w:color w:val="00B0F0"/>
                      <w:szCs w:val="21"/>
                    </w:rPr>
                    <w:t>0</w:t>
                  </w:r>
                  <w:r>
                    <w:rPr>
                      <w:color w:val="00B0F0"/>
                      <w:szCs w:val="21"/>
                    </w:rPr>
                    <w:t>.027</w:t>
                  </w:r>
                </w:p>
              </w:tc>
              <w:tc>
                <w:tcPr>
                  <w:tcW w:w="600" w:type="pct"/>
                  <w:vAlign w:val="center"/>
                </w:tcPr>
                <w:p>
                  <w:pPr>
                    <w:jc w:val="center"/>
                    <w:rPr>
                      <w:color w:val="00B0F0"/>
                      <w:szCs w:val="21"/>
                    </w:rPr>
                  </w:pPr>
                  <w:r>
                    <w:rPr>
                      <w:rFonts w:hint="eastAsia"/>
                      <w:color w:val="00B0F0"/>
                      <w:szCs w:val="21"/>
                    </w:rPr>
                    <w:t>0</w:t>
                  </w:r>
                  <w:r>
                    <w:rPr>
                      <w:color w:val="00B0F0"/>
                      <w:szCs w:val="21"/>
                    </w:rPr>
                    <w:t>.196</w:t>
                  </w:r>
                </w:p>
              </w:tc>
              <w:tc>
                <w:tcPr>
                  <w:tcW w:w="1027" w:type="pct"/>
                  <w:vMerge w:val="continue"/>
                  <w:vAlign w:val="center"/>
                </w:tcPr>
                <w:p>
                  <w:pPr>
                    <w:jc w:val="center"/>
                    <w:rPr>
                      <w:color w:val="00B0F0"/>
                      <w:szCs w:val="21"/>
                    </w:rPr>
                  </w:pPr>
                </w:p>
              </w:tc>
              <w:tc>
                <w:tcPr>
                  <w:tcW w:w="517" w:type="pct"/>
                  <w:vMerge w:val="continue"/>
                  <w:vAlign w:val="center"/>
                </w:tcPr>
                <w:p>
                  <w:pPr>
                    <w:jc w:val="center"/>
                    <w:rPr>
                      <w:color w:val="00B0F0"/>
                      <w:szCs w:val="21"/>
                    </w:rPr>
                  </w:pPr>
                </w:p>
              </w:tc>
              <w:tc>
                <w:tcPr>
                  <w:tcW w:w="621" w:type="pct"/>
                  <w:vMerge w:val="continue"/>
                  <w:vAlign w:val="center"/>
                </w:tcPr>
                <w:p>
                  <w:pPr>
                    <w:jc w:val="center"/>
                    <w:rPr>
                      <w:color w:val="00B0F0"/>
                      <w:szCs w:val="21"/>
                    </w:rPr>
                  </w:pPr>
                </w:p>
              </w:tc>
              <w:tc>
                <w:tcPr>
                  <w:tcW w:w="440" w:type="pct"/>
                  <w:vMerge w:val="continue"/>
                  <w:vAlign w:val="center"/>
                </w:tcPr>
                <w:p>
                  <w:pPr>
                    <w:jc w:val="center"/>
                    <w:rPr>
                      <w:color w:val="00B0F0"/>
                      <w:szCs w:val="21"/>
                    </w:rPr>
                  </w:pPr>
                </w:p>
              </w:tc>
            </w:tr>
          </w:tbl>
          <w:p>
            <w:pPr>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（2）</w:t>
            </w:r>
            <w:r>
              <w:rPr>
                <w:rFonts w:hint="eastAsia"/>
                <w:color w:val="000000" w:themeColor="text1"/>
                <w:kern w:val="0"/>
                <w:sz w:val="24"/>
                <w:szCs w:val="20"/>
                <w14:textFill>
                  <w14:solidFill>
                    <w14:schemeClr w14:val="tx1"/>
                  </w14:solidFill>
                </w14:textFill>
              </w:rPr>
              <w:t>粉尘</w:t>
            </w:r>
          </w:p>
          <w:p>
            <w:pPr>
              <w:spacing w:line="360" w:lineRule="auto"/>
              <w:ind w:firstLine="480" w:firstLineChars="200"/>
              <w:rPr>
                <w:color w:val="000000" w:themeColor="text1"/>
                <w:kern w:val="0"/>
                <w:sz w:val="24"/>
                <w:szCs w:val="20"/>
                <w14:textFill>
                  <w14:solidFill>
                    <w14:schemeClr w14:val="tx1"/>
                  </w14:solidFill>
                </w14:textFill>
              </w:rPr>
            </w:pPr>
            <w:r>
              <w:rPr>
                <w:rFonts w:hint="eastAsia"/>
                <w:color w:val="000000" w:themeColor="text1"/>
                <w:kern w:val="0"/>
                <w:sz w:val="24"/>
                <w:szCs w:val="20"/>
                <w14:textFill>
                  <w14:solidFill>
                    <w14:schemeClr w14:val="tx1"/>
                  </w14:solidFill>
                </w14:textFill>
              </w:rPr>
              <w:t>本项目粉尘包括</w:t>
            </w:r>
            <w:r>
              <w:rPr>
                <w:color w:val="000000" w:themeColor="text1"/>
                <w:kern w:val="0"/>
                <w:sz w:val="24"/>
                <w:szCs w:val="20"/>
                <w14:textFill>
                  <w14:solidFill>
                    <w14:schemeClr w14:val="tx1"/>
                  </w14:solidFill>
                </w14:textFill>
              </w:rPr>
              <w:t>XPS板生产线</w:t>
            </w:r>
            <w:r>
              <w:rPr>
                <w:rFonts w:hint="eastAsia"/>
                <w:color w:val="000000" w:themeColor="text1"/>
                <w:kern w:val="0"/>
                <w:sz w:val="24"/>
                <w:szCs w:val="20"/>
                <w14:textFill>
                  <w14:solidFill>
                    <w14:schemeClr w14:val="tx1"/>
                  </w14:solidFill>
                </w14:textFill>
              </w:rPr>
              <w:t>修整、开凿、切割工序产生的粉尘，</w:t>
            </w:r>
            <w:r>
              <w:rPr>
                <w:color w:val="000000" w:themeColor="text1"/>
                <w:kern w:val="0"/>
                <w:sz w:val="24"/>
                <w:szCs w:val="20"/>
                <w14:textFill>
                  <w14:solidFill>
                    <w14:schemeClr w14:val="tx1"/>
                  </w14:solidFill>
                </w14:textFill>
              </w:rPr>
              <w:t>EPS板</w:t>
            </w:r>
            <w:r>
              <w:rPr>
                <w:rFonts w:hint="eastAsia"/>
                <w:color w:val="000000" w:themeColor="text1"/>
                <w:kern w:val="0"/>
                <w:sz w:val="24"/>
                <w:szCs w:val="20"/>
                <w14:textFill>
                  <w14:solidFill>
                    <w14:schemeClr w14:val="tx1"/>
                  </w14:solidFill>
                </w14:textFill>
              </w:rPr>
              <w:t>和</w:t>
            </w:r>
            <w:r>
              <w:rPr>
                <w:color w:val="000000" w:themeColor="text1"/>
                <w:kern w:val="0"/>
                <w:sz w:val="24"/>
                <w:szCs w:val="20"/>
                <w14:textFill>
                  <w14:solidFill>
                    <w14:schemeClr w14:val="tx1"/>
                  </w14:solidFill>
                </w14:textFill>
              </w:rPr>
              <w:t>XPS板生产线</w:t>
            </w:r>
            <w:r>
              <w:rPr>
                <w:rFonts w:hint="eastAsia"/>
                <w:color w:val="000000" w:themeColor="text1"/>
                <w:kern w:val="0"/>
                <w:sz w:val="24"/>
                <w:szCs w:val="20"/>
                <w14:textFill>
                  <w14:solidFill>
                    <w14:schemeClr w14:val="tx1"/>
                  </w14:solidFill>
                </w14:textFill>
              </w:rPr>
              <w:t>边角料破碎时产生的粉尘。</w:t>
            </w:r>
          </w:p>
          <w:p>
            <w:pPr>
              <w:spacing w:line="360" w:lineRule="auto"/>
              <w:ind w:firstLine="480" w:firstLineChars="200"/>
              <w:rPr>
                <w:color w:val="000000" w:themeColor="text1"/>
                <w:kern w:val="0"/>
                <w:sz w:val="24"/>
                <w:szCs w:val="20"/>
                <w14:textFill>
                  <w14:solidFill>
                    <w14:schemeClr w14:val="tx1"/>
                  </w14:solidFill>
                </w14:textFill>
              </w:rPr>
            </w:pPr>
            <w:r>
              <w:rPr>
                <w:rFonts w:hint="eastAsia"/>
                <w:color w:val="000000" w:themeColor="text1"/>
                <w:kern w:val="0"/>
                <w:sz w:val="24"/>
                <w:szCs w:val="20"/>
                <w14:textFill>
                  <w14:solidFill>
                    <w14:schemeClr w14:val="tx1"/>
                  </w14:solidFill>
                </w14:textFill>
              </w:rPr>
              <w:t>①</w:t>
            </w:r>
            <w:r>
              <w:rPr>
                <w:color w:val="000000" w:themeColor="text1"/>
                <w:kern w:val="0"/>
                <w:sz w:val="24"/>
                <w:szCs w:val="20"/>
                <w14:textFill>
                  <w14:solidFill>
                    <w14:schemeClr w14:val="tx1"/>
                  </w14:solidFill>
                </w14:textFill>
              </w:rPr>
              <w:t>XPS板</w:t>
            </w:r>
            <w:r>
              <w:rPr>
                <w:rFonts w:hint="eastAsia"/>
                <w:color w:val="000000" w:themeColor="text1"/>
                <w:kern w:val="0"/>
                <w:sz w:val="24"/>
                <w:szCs w:val="20"/>
                <w14:textFill>
                  <w14:solidFill>
                    <w14:schemeClr w14:val="tx1"/>
                  </w14:solidFill>
                </w14:textFill>
              </w:rPr>
              <w:t>修整、开凿、切割工序的粉尘</w:t>
            </w:r>
          </w:p>
          <w:p>
            <w:pPr>
              <w:spacing w:line="360" w:lineRule="auto"/>
              <w:ind w:firstLine="480" w:firstLineChars="200"/>
              <w:rPr>
                <w:color w:val="000000" w:themeColor="text1"/>
                <w:kern w:val="0"/>
                <w:sz w:val="24"/>
                <w:szCs w:val="20"/>
                <w14:textFill>
                  <w14:solidFill>
                    <w14:schemeClr w14:val="tx1"/>
                  </w14:solidFill>
                </w14:textFill>
              </w:rPr>
            </w:pPr>
            <w:r>
              <w:rPr>
                <w:rFonts w:hint="eastAsia"/>
                <w:color w:val="000000" w:themeColor="text1"/>
                <w:kern w:val="0"/>
                <w:sz w:val="24"/>
                <w:szCs w:val="20"/>
                <w14:textFill>
                  <w14:solidFill>
                    <w14:schemeClr w14:val="tx1"/>
                  </w14:solidFill>
                </w14:textFill>
              </w:rPr>
              <w:t>本项目</w:t>
            </w:r>
            <w:r>
              <w:rPr>
                <w:color w:val="000000" w:themeColor="text1"/>
                <w:kern w:val="0"/>
                <w:sz w:val="24"/>
                <w:szCs w:val="20"/>
                <w14:textFill>
                  <w14:solidFill>
                    <w14:schemeClr w14:val="tx1"/>
                  </w14:solidFill>
                </w14:textFill>
              </w:rPr>
              <w:t>XPS板生产线消耗EPS颗粒2000t/a</w:t>
            </w:r>
            <w:r>
              <w:rPr>
                <w:rFonts w:hint="eastAsia"/>
                <w:color w:val="000000" w:themeColor="text1"/>
                <w:kern w:val="0"/>
                <w:sz w:val="24"/>
                <w:szCs w:val="20"/>
                <w14:textFill>
                  <w14:solidFill>
                    <w14:schemeClr w14:val="tx1"/>
                  </w14:solidFill>
                </w14:textFill>
              </w:rPr>
              <w:t>，根据同类型工艺《</w:t>
            </w:r>
            <w:r>
              <w:rPr>
                <w:rFonts w:hint="eastAsia" w:hAnsi="宋体"/>
                <w:color w:val="000000"/>
                <w:kern w:val="0"/>
                <w:sz w:val="24"/>
              </w:rPr>
              <w:t>涿州市顺协发建材有限公司聚苯板生产项目环境影响报告表</w:t>
            </w:r>
            <w:r>
              <w:rPr>
                <w:rFonts w:hint="eastAsia"/>
                <w:color w:val="000000" w:themeColor="text1"/>
                <w:kern w:val="0"/>
                <w:sz w:val="24"/>
                <w:szCs w:val="20"/>
                <w14:textFill>
                  <w14:solidFill>
                    <w14:schemeClr w14:val="tx1"/>
                  </w14:solidFill>
                </w14:textFill>
              </w:rPr>
              <w:t>》，切割、开槽工序颗粒物的产生量按生产量的</w:t>
            </w:r>
            <w:r>
              <w:rPr>
                <w:color w:val="000000" w:themeColor="text1"/>
                <w:kern w:val="0"/>
                <w:sz w:val="24"/>
                <w:szCs w:val="20"/>
                <w14:textFill>
                  <w14:solidFill>
                    <w14:schemeClr w14:val="tx1"/>
                  </w14:solidFill>
                </w14:textFill>
              </w:rPr>
              <w:t>0.3%计，则</w:t>
            </w:r>
            <w:r>
              <w:rPr>
                <w:rFonts w:hint="eastAsia"/>
                <w:color w:val="000000" w:themeColor="text1"/>
                <w:kern w:val="0"/>
                <w:sz w:val="24"/>
                <w:szCs w:val="20"/>
                <w14:textFill>
                  <w14:solidFill>
                    <w14:schemeClr w14:val="tx1"/>
                  </w14:solidFill>
                </w14:textFill>
              </w:rPr>
              <w:t>粉尘</w:t>
            </w:r>
            <w:r>
              <w:rPr>
                <w:color w:val="000000" w:themeColor="text1"/>
                <w:kern w:val="0"/>
                <w:sz w:val="24"/>
                <w:szCs w:val="20"/>
                <w14:textFill>
                  <w14:solidFill>
                    <w14:schemeClr w14:val="tx1"/>
                  </w14:solidFill>
                </w14:textFill>
              </w:rPr>
              <w:t>产生量为6t/a</w:t>
            </w:r>
            <w:r>
              <w:rPr>
                <w:rFonts w:hint="eastAsia"/>
                <w:color w:val="000000" w:themeColor="text1"/>
                <w:kern w:val="0"/>
                <w:sz w:val="24"/>
                <w:szCs w:val="20"/>
                <w14:textFill>
                  <w14:solidFill>
                    <w14:schemeClr w14:val="tx1"/>
                  </w14:solidFill>
                </w14:textFill>
              </w:rPr>
              <w:t>。</w:t>
            </w:r>
          </w:p>
          <w:p>
            <w:pPr>
              <w:spacing w:line="360" w:lineRule="auto"/>
              <w:ind w:firstLine="480" w:firstLineChars="200"/>
              <w:rPr>
                <w:color w:val="000000" w:themeColor="text1"/>
                <w:kern w:val="0"/>
                <w:sz w:val="24"/>
                <w:szCs w:val="20"/>
                <w14:textFill>
                  <w14:solidFill>
                    <w14:schemeClr w14:val="tx1"/>
                  </w14:solidFill>
                </w14:textFill>
              </w:rPr>
            </w:pPr>
            <w:r>
              <w:rPr>
                <w:rFonts w:hint="eastAsia"/>
                <w:color w:val="000000" w:themeColor="text1"/>
                <w:kern w:val="0"/>
                <w:sz w:val="24"/>
                <w:szCs w:val="20"/>
                <w14:textFill>
                  <w14:solidFill>
                    <w14:schemeClr w14:val="tx1"/>
                  </w14:solidFill>
                </w14:textFill>
              </w:rPr>
              <w:t>②</w:t>
            </w:r>
            <w:r>
              <w:rPr>
                <w:color w:val="000000" w:themeColor="text1"/>
                <w:kern w:val="0"/>
                <w:sz w:val="24"/>
                <w:szCs w:val="20"/>
                <w14:textFill>
                  <w14:solidFill>
                    <w14:schemeClr w14:val="tx1"/>
                  </w14:solidFill>
                </w14:textFill>
              </w:rPr>
              <w:t>EPS板和XPS板边角料破碎</w:t>
            </w:r>
            <w:r>
              <w:rPr>
                <w:rFonts w:hint="eastAsia"/>
                <w:color w:val="000000" w:themeColor="text1"/>
                <w:kern w:val="0"/>
                <w:sz w:val="24"/>
                <w:szCs w:val="20"/>
                <w14:textFill>
                  <w14:solidFill>
                    <w14:schemeClr w14:val="tx1"/>
                  </w14:solidFill>
                </w14:textFill>
              </w:rPr>
              <w:t>工序</w:t>
            </w:r>
            <w:r>
              <w:rPr>
                <w:color w:val="000000" w:themeColor="text1"/>
                <w:kern w:val="0"/>
                <w:sz w:val="24"/>
                <w:szCs w:val="20"/>
                <w14:textFill>
                  <w14:solidFill>
                    <w14:schemeClr w14:val="tx1"/>
                  </w14:solidFill>
                </w14:textFill>
              </w:rPr>
              <w:t>的粉尘</w:t>
            </w:r>
          </w:p>
          <w:p>
            <w:pPr>
              <w:spacing w:line="360" w:lineRule="auto"/>
              <w:ind w:firstLine="480" w:firstLineChars="200"/>
              <w:rPr>
                <w:color w:val="000000" w:themeColor="text1"/>
                <w:kern w:val="0"/>
                <w:sz w:val="24"/>
                <w:szCs w:val="20"/>
                <w14:textFill>
                  <w14:solidFill>
                    <w14:schemeClr w14:val="tx1"/>
                  </w14:solidFill>
                </w14:textFill>
              </w:rPr>
            </w:pPr>
            <w:r>
              <w:rPr>
                <w:rFonts w:hint="eastAsia"/>
                <w:color w:val="000000" w:themeColor="text1"/>
                <w:kern w:val="0"/>
                <w:sz w:val="24"/>
                <w:szCs w:val="20"/>
                <w14:textFill>
                  <w14:solidFill>
                    <w14:schemeClr w14:val="tx1"/>
                  </w14:solidFill>
                </w14:textFill>
              </w:rPr>
              <w:t>根据企业提供资料，本项目</w:t>
            </w:r>
            <w:r>
              <w:rPr>
                <w:color w:val="000000" w:themeColor="text1"/>
                <w:kern w:val="0"/>
                <w:sz w:val="24"/>
                <w:szCs w:val="20"/>
                <w14:textFill>
                  <w14:solidFill>
                    <w14:schemeClr w14:val="tx1"/>
                  </w14:solidFill>
                </w14:textFill>
              </w:rPr>
              <w:t>EPS板和XPS板生产线</w:t>
            </w:r>
            <w:r>
              <w:rPr>
                <w:rFonts w:hint="eastAsia"/>
                <w:color w:val="000000" w:themeColor="text1"/>
                <w:kern w:val="0"/>
                <w:sz w:val="24"/>
                <w:szCs w:val="20"/>
                <w14:textFill>
                  <w14:solidFill>
                    <w14:schemeClr w14:val="tx1"/>
                  </w14:solidFill>
                </w14:textFill>
              </w:rPr>
              <w:t>边角料产生量为原材料用量的</w:t>
            </w:r>
            <w:r>
              <w:rPr>
                <w:color w:val="000000" w:themeColor="text1"/>
                <w:kern w:val="0"/>
                <w:sz w:val="24"/>
                <w:szCs w:val="20"/>
                <w14:textFill>
                  <w14:solidFill>
                    <w14:schemeClr w14:val="tx1"/>
                  </w14:solidFill>
                </w14:textFill>
              </w:rPr>
              <w:t>0.5%，产生量为14t/a</w:t>
            </w:r>
            <w:r>
              <w:rPr>
                <w:rFonts w:hint="eastAsia"/>
                <w:color w:val="000000" w:themeColor="text1"/>
                <w:kern w:val="0"/>
                <w:sz w:val="24"/>
                <w:szCs w:val="20"/>
                <w14:textFill>
                  <w14:solidFill>
                    <w14:schemeClr w14:val="tx1"/>
                  </w14:solidFill>
                </w14:textFill>
              </w:rPr>
              <w:t>。边角料需经破碎机处理后再加工，破碎粒径约</w:t>
            </w:r>
            <w:r>
              <w:rPr>
                <w:color w:val="000000" w:themeColor="text1"/>
                <w:kern w:val="0"/>
                <w:sz w:val="24"/>
                <w:szCs w:val="20"/>
                <w14:textFill>
                  <w14:solidFill>
                    <w14:schemeClr w14:val="tx1"/>
                  </w14:solidFill>
                </w14:textFill>
              </w:rPr>
              <w:t>3-5mm，破碎料较小，粒径较大，</w:t>
            </w:r>
            <w:r>
              <w:rPr>
                <w:rFonts w:hint="eastAsia"/>
                <w:color w:val="000000" w:themeColor="text1"/>
                <w:kern w:val="0"/>
                <w:sz w:val="24"/>
                <w:szCs w:val="20"/>
                <w14:textFill>
                  <w14:solidFill>
                    <w14:schemeClr w14:val="tx1"/>
                  </w14:solidFill>
                </w14:textFill>
              </w:rPr>
              <w:t>根据同类型工艺《</w:t>
            </w:r>
            <w:r>
              <w:rPr>
                <w:rFonts w:hint="eastAsia" w:hAnsi="宋体"/>
                <w:color w:val="000000"/>
                <w:kern w:val="0"/>
                <w:sz w:val="24"/>
              </w:rPr>
              <w:t>年产2</w:t>
            </w:r>
            <w:r>
              <w:rPr>
                <w:rFonts w:hAnsi="宋体"/>
                <w:color w:val="000000"/>
                <w:kern w:val="0"/>
                <w:sz w:val="24"/>
              </w:rPr>
              <w:t>0</w:t>
            </w:r>
            <w:r>
              <w:rPr>
                <w:rFonts w:hint="eastAsia" w:hAnsi="宋体"/>
                <w:color w:val="000000"/>
                <w:kern w:val="0"/>
                <w:sz w:val="24"/>
              </w:rPr>
              <w:t>万立方米X</w:t>
            </w:r>
            <w:r>
              <w:rPr>
                <w:rFonts w:hAnsi="宋体"/>
                <w:color w:val="000000"/>
                <w:kern w:val="0"/>
                <w:sz w:val="24"/>
              </w:rPr>
              <w:t>PS</w:t>
            </w:r>
            <w:r>
              <w:rPr>
                <w:rFonts w:hint="eastAsia" w:hAnsi="宋体"/>
                <w:color w:val="000000"/>
                <w:kern w:val="0"/>
                <w:sz w:val="24"/>
              </w:rPr>
              <w:t>挤塑板项目环境影响报告表</w:t>
            </w:r>
            <w:r>
              <w:rPr>
                <w:rFonts w:hint="eastAsia"/>
                <w:color w:val="000000" w:themeColor="text1"/>
                <w:kern w:val="0"/>
                <w:sz w:val="24"/>
                <w:szCs w:val="20"/>
                <w14:textFill>
                  <w14:solidFill>
                    <w14:schemeClr w14:val="tx1"/>
                  </w14:solidFill>
                </w14:textFill>
              </w:rPr>
              <w:t>》，按照最不利因素考虑，粉尘产生量约占破碎量的</w:t>
            </w:r>
            <w:r>
              <w:rPr>
                <w:color w:val="000000" w:themeColor="text1"/>
                <w:kern w:val="0"/>
                <w:sz w:val="24"/>
                <w:szCs w:val="20"/>
                <w14:textFill>
                  <w14:solidFill>
                    <w14:schemeClr w14:val="tx1"/>
                  </w14:solidFill>
                </w14:textFill>
              </w:rPr>
              <w:t>1%左右，则本项目破碎粉尘产生量共0.14t/a</w:t>
            </w:r>
            <w:r>
              <w:rPr>
                <w:rFonts w:hint="eastAsia"/>
                <w:color w:val="000000" w:themeColor="text1"/>
                <w:kern w:val="0"/>
                <w:sz w:val="24"/>
                <w:szCs w:val="20"/>
                <w14:textFill>
                  <w14:solidFill>
                    <w14:schemeClr w14:val="tx1"/>
                  </w14:solidFill>
                </w14:textFill>
              </w:rPr>
              <w:t>。</w:t>
            </w:r>
          </w:p>
          <w:p>
            <w:pPr>
              <w:spacing w:line="360" w:lineRule="auto"/>
              <w:ind w:firstLine="480" w:firstLineChars="200"/>
              <w:rPr>
                <w:kern w:val="0"/>
                <w:sz w:val="24"/>
              </w:rPr>
            </w:pPr>
            <w:r>
              <w:rPr>
                <w:rFonts w:hint="eastAsia"/>
                <w:color w:val="000000" w:themeColor="text1"/>
                <w:kern w:val="0"/>
                <w:sz w:val="24"/>
                <w:szCs w:val="20"/>
                <w14:textFill>
                  <w14:solidFill>
                    <w14:schemeClr w14:val="tx1"/>
                  </w14:solidFill>
                </w14:textFill>
              </w:rPr>
              <w:t>本项目粉尘包括</w:t>
            </w:r>
            <w:r>
              <w:rPr>
                <w:color w:val="000000" w:themeColor="text1"/>
                <w:kern w:val="0"/>
                <w:sz w:val="24"/>
                <w:szCs w:val="20"/>
                <w14:textFill>
                  <w14:solidFill>
                    <w14:schemeClr w14:val="tx1"/>
                  </w14:solidFill>
                </w14:textFill>
              </w:rPr>
              <w:t>XPS板生产线</w:t>
            </w:r>
            <w:r>
              <w:rPr>
                <w:rFonts w:hint="eastAsia"/>
                <w:color w:val="000000" w:themeColor="text1"/>
                <w:kern w:val="0"/>
                <w:sz w:val="24"/>
                <w:szCs w:val="20"/>
                <w14:textFill>
                  <w14:solidFill>
                    <w14:schemeClr w14:val="tx1"/>
                  </w14:solidFill>
                </w14:textFill>
              </w:rPr>
              <w:t>修整、开凿、切割工序，</w:t>
            </w:r>
            <w:r>
              <w:rPr>
                <w:color w:val="000000" w:themeColor="text1"/>
                <w:kern w:val="0"/>
                <w:sz w:val="24"/>
                <w:szCs w:val="20"/>
                <w14:textFill>
                  <w14:solidFill>
                    <w14:schemeClr w14:val="tx1"/>
                  </w14:solidFill>
                </w14:textFill>
              </w:rPr>
              <w:t>EPS板</w:t>
            </w:r>
            <w:r>
              <w:rPr>
                <w:rFonts w:hint="eastAsia"/>
                <w:color w:val="000000" w:themeColor="text1"/>
                <w:kern w:val="0"/>
                <w:sz w:val="24"/>
                <w:szCs w:val="20"/>
                <w14:textFill>
                  <w14:solidFill>
                    <w14:schemeClr w14:val="tx1"/>
                  </w14:solidFill>
                </w14:textFill>
              </w:rPr>
              <w:t>和</w:t>
            </w:r>
            <w:r>
              <w:rPr>
                <w:color w:val="000000" w:themeColor="text1"/>
                <w:kern w:val="0"/>
                <w:sz w:val="24"/>
                <w:szCs w:val="20"/>
                <w14:textFill>
                  <w14:solidFill>
                    <w14:schemeClr w14:val="tx1"/>
                  </w14:solidFill>
                </w14:textFill>
              </w:rPr>
              <w:t>XPS板生产线</w:t>
            </w:r>
            <w:r>
              <w:rPr>
                <w:rFonts w:hint="eastAsia"/>
                <w:color w:val="000000" w:themeColor="text1"/>
                <w:kern w:val="0"/>
                <w:sz w:val="24"/>
                <w:szCs w:val="20"/>
                <w14:textFill>
                  <w14:solidFill>
                    <w14:schemeClr w14:val="tx1"/>
                  </w14:solidFill>
                </w14:textFill>
              </w:rPr>
              <w:t>边角料破碎时产生的粉尘，均由集气装置收集（收集效率按</w:t>
            </w:r>
            <w:r>
              <w:rPr>
                <w:color w:val="000000" w:themeColor="text1"/>
                <w:kern w:val="0"/>
                <w:sz w:val="24"/>
                <w:szCs w:val="20"/>
                <w14:textFill>
                  <w14:solidFill>
                    <w14:schemeClr w14:val="tx1"/>
                  </w14:solidFill>
                </w14:textFill>
              </w:rPr>
              <w:t>95</w:t>
            </w:r>
            <w:r>
              <w:rPr>
                <w:rFonts w:hint="eastAsia"/>
                <w:color w:val="000000" w:themeColor="text1"/>
                <w:kern w:val="0"/>
                <w:sz w:val="24"/>
                <w:szCs w:val="20"/>
                <w14:textFill>
                  <w14:solidFill>
                    <w14:schemeClr w14:val="tx1"/>
                  </w14:solidFill>
                </w14:textFill>
              </w:rPr>
              <w:t>%计，风机风量按</w:t>
            </w:r>
            <w:r>
              <w:rPr>
                <w:color w:val="000000" w:themeColor="text1"/>
                <w:kern w:val="0"/>
                <w:sz w:val="24"/>
                <w:szCs w:val="20"/>
                <w14:textFill>
                  <w14:solidFill>
                    <w14:schemeClr w14:val="tx1"/>
                  </w14:solidFill>
                </w14:textFill>
              </w:rPr>
              <w:t>10000m</w:t>
            </w:r>
            <w:r>
              <w:rPr>
                <w:color w:val="000000" w:themeColor="text1"/>
                <w:kern w:val="0"/>
                <w:sz w:val="24"/>
                <w:szCs w:val="20"/>
                <w:vertAlign w:val="superscript"/>
                <w14:textFill>
                  <w14:solidFill>
                    <w14:schemeClr w14:val="tx1"/>
                  </w14:solidFill>
                </w14:textFill>
              </w:rPr>
              <w:t>3</w:t>
            </w:r>
            <w:r>
              <w:rPr>
                <w:color w:val="000000" w:themeColor="text1"/>
                <w:kern w:val="0"/>
                <w:sz w:val="24"/>
                <w:szCs w:val="20"/>
                <w14:textFill>
                  <w14:solidFill>
                    <w14:schemeClr w14:val="tx1"/>
                  </w14:solidFill>
                </w14:textFill>
              </w:rPr>
              <w:t>/h</w:t>
            </w:r>
            <w:r>
              <w:rPr>
                <w:rFonts w:hint="eastAsia"/>
                <w:color w:val="000000" w:themeColor="text1"/>
                <w:kern w:val="0"/>
                <w:sz w:val="24"/>
                <w:szCs w:val="20"/>
                <w14:textFill>
                  <w14:solidFill>
                    <w14:schemeClr w14:val="tx1"/>
                  </w14:solidFill>
                </w14:textFill>
              </w:rPr>
              <w:t>），经布袋除尘器（处理效率为9</w:t>
            </w:r>
            <w:r>
              <w:rPr>
                <w:color w:val="000000" w:themeColor="text1"/>
                <w:kern w:val="0"/>
                <w:sz w:val="24"/>
                <w:szCs w:val="20"/>
                <w14:textFill>
                  <w14:solidFill>
                    <w14:schemeClr w14:val="tx1"/>
                  </w14:solidFill>
                </w14:textFill>
              </w:rPr>
              <w:t>9</w:t>
            </w:r>
            <w:r>
              <w:rPr>
                <w:rFonts w:hint="eastAsia"/>
                <w:color w:val="000000" w:themeColor="text1"/>
                <w:kern w:val="0"/>
                <w:sz w:val="24"/>
                <w:szCs w:val="20"/>
                <w14:textFill>
                  <w14:solidFill>
                    <w14:schemeClr w14:val="tx1"/>
                  </w14:solidFill>
                </w14:textFill>
              </w:rPr>
              <w:t>%）处理后，经1根1</w:t>
            </w:r>
            <w:r>
              <w:rPr>
                <w:color w:val="000000" w:themeColor="text1"/>
                <w:kern w:val="0"/>
                <w:sz w:val="24"/>
                <w:szCs w:val="20"/>
                <w14:textFill>
                  <w14:solidFill>
                    <w14:schemeClr w14:val="tx1"/>
                  </w14:solidFill>
                </w14:textFill>
              </w:rPr>
              <w:t>5m</w:t>
            </w:r>
            <w:r>
              <w:rPr>
                <w:rFonts w:hint="eastAsia"/>
                <w:color w:val="000000" w:themeColor="text1"/>
                <w:kern w:val="0"/>
                <w:sz w:val="24"/>
                <w:szCs w:val="20"/>
                <w14:textFill>
                  <w14:solidFill>
                    <w14:schemeClr w14:val="tx1"/>
                  </w14:solidFill>
                </w14:textFill>
              </w:rPr>
              <w:t>高的排气筒P</w:t>
            </w:r>
            <w:r>
              <w:rPr>
                <w:color w:val="000000" w:themeColor="text1"/>
                <w:kern w:val="0"/>
                <w:sz w:val="24"/>
                <w:szCs w:val="20"/>
                <w14:textFill>
                  <w14:solidFill>
                    <w14:schemeClr w14:val="tx1"/>
                  </w14:solidFill>
                </w14:textFill>
              </w:rPr>
              <w:t>2</w:t>
            </w:r>
            <w:r>
              <w:rPr>
                <w:rFonts w:hint="eastAsia"/>
                <w:color w:val="000000" w:themeColor="text1"/>
                <w:kern w:val="0"/>
                <w:sz w:val="24"/>
                <w:szCs w:val="20"/>
                <w14:textFill>
                  <w14:solidFill>
                    <w14:schemeClr w14:val="tx1"/>
                  </w14:solidFill>
                </w14:textFill>
              </w:rPr>
              <w:t>排放。本项目粉尘有组织排放量为</w:t>
            </w:r>
            <w:r>
              <w:rPr>
                <w:color w:val="000000" w:themeColor="text1"/>
                <w:kern w:val="0"/>
                <w:sz w:val="24"/>
                <w:szCs w:val="20"/>
                <w14:textFill>
                  <w14:solidFill>
                    <w14:schemeClr w14:val="tx1"/>
                  </w14:solidFill>
                </w14:textFill>
              </w:rPr>
              <w:t>0.058t/a，</w:t>
            </w:r>
            <w:r>
              <w:rPr>
                <w:rFonts w:hint="eastAsia"/>
                <w:kern w:val="0"/>
                <w:sz w:val="24"/>
              </w:rPr>
              <w:t>有组织排放浓度为</w:t>
            </w:r>
            <w:r>
              <w:rPr>
                <w:kern w:val="0"/>
                <w:sz w:val="24"/>
              </w:rPr>
              <w:t>0.810mg/m</w:t>
            </w:r>
            <w:r>
              <w:rPr>
                <w:kern w:val="0"/>
                <w:sz w:val="24"/>
                <w:vertAlign w:val="superscript"/>
              </w:rPr>
              <w:t>3</w:t>
            </w:r>
            <w:r>
              <w:rPr>
                <w:rFonts w:hint="eastAsia"/>
                <w:kern w:val="0"/>
                <w:sz w:val="24"/>
              </w:rPr>
              <w:t>，满足《合成树脂工业污染物排放标准》（GB31572-2015）表5中相关标准限值（颗粒物≤</w:t>
            </w:r>
            <w:r>
              <w:rPr>
                <w:kern w:val="0"/>
                <w:sz w:val="24"/>
              </w:rPr>
              <w:t>2</w:t>
            </w:r>
            <w:r>
              <w:rPr>
                <w:rFonts w:hint="eastAsia"/>
                <w:kern w:val="0"/>
                <w:sz w:val="24"/>
              </w:rPr>
              <w:t>0</w:t>
            </w:r>
            <w:r>
              <w:rPr>
                <w:kern w:val="0"/>
                <w:sz w:val="24"/>
              </w:rPr>
              <w:t>mg/m</w:t>
            </w:r>
            <w:r>
              <w:rPr>
                <w:kern w:val="0"/>
                <w:sz w:val="24"/>
                <w:vertAlign w:val="superscript"/>
              </w:rPr>
              <w:t>3</w:t>
            </w:r>
            <w:r>
              <w:rPr>
                <w:rFonts w:hint="eastAsia"/>
                <w:kern w:val="0"/>
                <w:sz w:val="24"/>
              </w:rPr>
              <w:t>）。</w:t>
            </w:r>
          </w:p>
          <w:p>
            <w:pPr>
              <w:adjustRightInd w:val="0"/>
              <w:snapToGrid w:val="0"/>
              <w:spacing w:line="300" w:lineRule="auto"/>
              <w:jc w:val="center"/>
              <w:rPr>
                <w:b/>
                <w:bCs/>
                <w:kern w:val="0"/>
                <w:sz w:val="24"/>
              </w:rPr>
            </w:pPr>
            <w:r>
              <w:pict>
                <v:shape id="_x0000_i1032" o:spt="75" type="#_x0000_t75" style="height:122.5pt;width:418pt;" filled="f" o:preferrelative="t" stroked="f" coordsize="21600,21600">
                  <v:path/>
                  <v:fill on="f" focussize="0,0"/>
                  <v:stroke on="f" joinstyle="miter"/>
                  <v:imagedata r:id="rId16" o:title=""/>
                  <o:lock v:ext="edit" aspectratio="t"/>
                  <w10:wrap type="none"/>
                  <w10:anchorlock/>
                </v:shape>
              </w:pict>
            </w:r>
          </w:p>
          <w:p>
            <w:pPr>
              <w:adjustRightInd w:val="0"/>
              <w:snapToGrid w:val="0"/>
              <w:spacing w:line="300" w:lineRule="auto"/>
              <w:jc w:val="center"/>
              <w:rPr>
                <w:b/>
                <w:bCs/>
                <w:kern w:val="0"/>
                <w:sz w:val="24"/>
              </w:rPr>
            </w:pPr>
            <w:r>
              <w:rPr>
                <w:rFonts w:hint="eastAsia"/>
                <w:b/>
                <w:bCs/>
                <w:kern w:val="0"/>
                <w:sz w:val="24"/>
              </w:rPr>
              <w:t>图5-</w:t>
            </w:r>
            <w:r>
              <w:rPr>
                <w:b/>
                <w:bCs/>
                <w:kern w:val="0"/>
                <w:sz w:val="24"/>
              </w:rPr>
              <w:t xml:space="preserve">3   </w:t>
            </w:r>
            <w:r>
              <w:rPr>
                <w:rFonts w:hint="eastAsia"/>
                <w:b/>
                <w:bCs/>
                <w:kern w:val="0"/>
                <w:sz w:val="24"/>
              </w:rPr>
              <w:t>粉尘收集处理走向示意图</w:t>
            </w:r>
          </w:p>
          <w:p>
            <w:pPr>
              <w:adjustRightInd w:val="0"/>
              <w:snapToGrid w:val="0"/>
              <w:spacing w:line="300" w:lineRule="auto"/>
              <w:jc w:val="center"/>
              <w:rPr>
                <w:b/>
                <w:bCs/>
                <w:kern w:val="0"/>
                <w:sz w:val="24"/>
              </w:rPr>
            </w:pPr>
            <w:r>
              <w:rPr>
                <w:b/>
                <w:bCs/>
                <w:kern w:val="0"/>
                <w:sz w:val="24"/>
              </w:rPr>
              <w:t>表5-4   正常情况下本项目工艺有组织粉尘产生及排放状况表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636"/>
              <w:gridCol w:w="830"/>
              <w:gridCol w:w="686"/>
              <w:gridCol w:w="979"/>
              <w:gridCol w:w="747"/>
              <w:gridCol w:w="816"/>
              <w:gridCol w:w="845"/>
              <w:gridCol w:w="980"/>
              <w:gridCol w:w="863"/>
              <w:gridCol w:w="920"/>
              <w:gridCol w:w="52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06" w:type="pct"/>
                  <w:vMerge w:val="restart"/>
                  <w:vAlign w:val="center"/>
                </w:tcPr>
                <w:p>
                  <w:pPr>
                    <w:jc w:val="center"/>
                    <w:rPr>
                      <w:szCs w:val="21"/>
                    </w:rPr>
                  </w:pPr>
                  <w:r>
                    <w:rPr>
                      <w:szCs w:val="21"/>
                    </w:rPr>
                    <w:t>产生点</w:t>
                  </w:r>
                </w:p>
              </w:tc>
              <w:tc>
                <w:tcPr>
                  <w:tcW w:w="476" w:type="pct"/>
                  <w:vMerge w:val="restart"/>
                  <w:vAlign w:val="center"/>
                </w:tcPr>
                <w:p>
                  <w:pPr>
                    <w:jc w:val="center"/>
                    <w:rPr>
                      <w:szCs w:val="21"/>
                    </w:rPr>
                  </w:pPr>
                  <w:r>
                    <w:rPr>
                      <w:szCs w:val="21"/>
                    </w:rPr>
                    <w:t>废气量Nm</w:t>
                  </w:r>
                  <w:r>
                    <w:rPr>
                      <w:szCs w:val="21"/>
                      <w:vertAlign w:val="superscript"/>
                    </w:rPr>
                    <w:t>3</w:t>
                  </w:r>
                  <w:r>
                    <w:rPr>
                      <w:szCs w:val="21"/>
                    </w:rPr>
                    <w:t>/h</w:t>
                  </w:r>
                </w:p>
              </w:tc>
              <w:tc>
                <w:tcPr>
                  <w:tcW w:w="394" w:type="pct"/>
                  <w:vMerge w:val="restart"/>
                  <w:vAlign w:val="center"/>
                </w:tcPr>
                <w:p>
                  <w:pPr>
                    <w:ind w:right="-101" w:rightChars="-48"/>
                    <w:jc w:val="center"/>
                    <w:rPr>
                      <w:szCs w:val="21"/>
                    </w:rPr>
                  </w:pPr>
                  <w:r>
                    <w:rPr>
                      <w:szCs w:val="21"/>
                    </w:rPr>
                    <w:t>污染物</w:t>
                  </w:r>
                </w:p>
                <w:p>
                  <w:pPr>
                    <w:ind w:right="-101" w:rightChars="-48"/>
                    <w:jc w:val="center"/>
                    <w:rPr>
                      <w:szCs w:val="21"/>
                    </w:rPr>
                  </w:pPr>
                  <w:r>
                    <w:rPr>
                      <w:szCs w:val="21"/>
                    </w:rPr>
                    <w:t>名称</w:t>
                  </w:r>
                </w:p>
              </w:tc>
              <w:tc>
                <w:tcPr>
                  <w:tcW w:w="1457" w:type="pct"/>
                  <w:gridSpan w:val="3"/>
                  <w:vAlign w:val="center"/>
                </w:tcPr>
                <w:p>
                  <w:pPr>
                    <w:jc w:val="center"/>
                    <w:rPr>
                      <w:szCs w:val="21"/>
                    </w:rPr>
                  </w:pPr>
                  <w:r>
                    <w:rPr>
                      <w:szCs w:val="21"/>
                    </w:rPr>
                    <w:t>产生状况</w:t>
                  </w:r>
                </w:p>
              </w:tc>
              <w:tc>
                <w:tcPr>
                  <w:tcW w:w="1538" w:type="pct"/>
                  <w:gridSpan w:val="3"/>
                  <w:vAlign w:val="center"/>
                </w:tcPr>
                <w:p>
                  <w:pPr>
                    <w:ind w:right="-101" w:rightChars="-48"/>
                    <w:jc w:val="center"/>
                    <w:rPr>
                      <w:szCs w:val="21"/>
                    </w:rPr>
                  </w:pPr>
                  <w:r>
                    <w:rPr>
                      <w:szCs w:val="21"/>
                    </w:rPr>
                    <w:t>排放状况</w:t>
                  </w:r>
                </w:p>
              </w:tc>
              <w:tc>
                <w:tcPr>
                  <w:tcW w:w="526" w:type="pct"/>
                  <w:vMerge w:val="restart"/>
                  <w:vAlign w:val="center"/>
                </w:tcPr>
                <w:p>
                  <w:pPr>
                    <w:ind w:right="-101" w:rightChars="-48"/>
                    <w:jc w:val="center"/>
                    <w:rPr>
                      <w:szCs w:val="21"/>
                    </w:rPr>
                  </w:pPr>
                  <w:r>
                    <w:rPr>
                      <w:szCs w:val="21"/>
                    </w:rPr>
                    <w:t>排放时间</w:t>
                  </w:r>
                </w:p>
              </w:tc>
              <w:tc>
                <w:tcPr>
                  <w:tcW w:w="302" w:type="pct"/>
                  <w:vMerge w:val="restart"/>
                  <w:vAlign w:val="center"/>
                </w:tcPr>
                <w:p>
                  <w:pPr>
                    <w:ind w:right="-101" w:rightChars="-48"/>
                    <w:jc w:val="center"/>
                    <w:rPr>
                      <w:szCs w:val="21"/>
                    </w:rPr>
                  </w:pPr>
                  <w:r>
                    <w:rPr>
                      <w:szCs w:val="21"/>
                    </w:rPr>
                    <w:t>排气筒编号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306" w:type="pct"/>
                  <w:vMerge w:val="continue"/>
                  <w:vAlign w:val="center"/>
                </w:tcPr>
                <w:p>
                  <w:pPr>
                    <w:ind w:firstLine="420"/>
                    <w:jc w:val="center"/>
                    <w:rPr>
                      <w:szCs w:val="21"/>
                    </w:rPr>
                  </w:pPr>
                </w:p>
              </w:tc>
              <w:tc>
                <w:tcPr>
                  <w:tcW w:w="476" w:type="pct"/>
                  <w:vMerge w:val="continue"/>
                  <w:vAlign w:val="center"/>
                </w:tcPr>
                <w:p>
                  <w:pPr>
                    <w:ind w:firstLine="420"/>
                    <w:jc w:val="center"/>
                    <w:rPr>
                      <w:szCs w:val="21"/>
                    </w:rPr>
                  </w:pPr>
                </w:p>
              </w:tc>
              <w:tc>
                <w:tcPr>
                  <w:tcW w:w="394" w:type="pct"/>
                  <w:vMerge w:val="continue"/>
                  <w:vAlign w:val="center"/>
                </w:tcPr>
                <w:p>
                  <w:pPr>
                    <w:ind w:firstLine="420"/>
                    <w:jc w:val="center"/>
                    <w:rPr>
                      <w:szCs w:val="21"/>
                    </w:rPr>
                  </w:pPr>
                </w:p>
              </w:tc>
              <w:tc>
                <w:tcPr>
                  <w:tcW w:w="560" w:type="pct"/>
                  <w:vAlign w:val="center"/>
                </w:tcPr>
                <w:p>
                  <w:pPr>
                    <w:jc w:val="center"/>
                    <w:rPr>
                      <w:szCs w:val="21"/>
                    </w:rPr>
                  </w:pPr>
                  <w:r>
                    <w:rPr>
                      <w:szCs w:val="21"/>
                    </w:rPr>
                    <w:t>浓度mg/m</w:t>
                  </w:r>
                  <w:r>
                    <w:rPr>
                      <w:szCs w:val="21"/>
                      <w:vertAlign w:val="superscript"/>
                    </w:rPr>
                    <w:t>3</w:t>
                  </w:r>
                </w:p>
              </w:tc>
              <w:tc>
                <w:tcPr>
                  <w:tcW w:w="429" w:type="pct"/>
                  <w:vAlign w:val="center"/>
                </w:tcPr>
                <w:p>
                  <w:pPr>
                    <w:jc w:val="center"/>
                    <w:rPr>
                      <w:szCs w:val="21"/>
                    </w:rPr>
                  </w:pPr>
                  <w:r>
                    <w:rPr>
                      <w:szCs w:val="21"/>
                    </w:rPr>
                    <w:t>速率kg/h</w:t>
                  </w:r>
                </w:p>
              </w:tc>
              <w:tc>
                <w:tcPr>
                  <w:tcW w:w="468" w:type="pct"/>
                  <w:vAlign w:val="center"/>
                </w:tcPr>
                <w:p>
                  <w:pPr>
                    <w:jc w:val="center"/>
                    <w:rPr>
                      <w:szCs w:val="21"/>
                    </w:rPr>
                  </w:pPr>
                  <w:r>
                    <w:rPr>
                      <w:szCs w:val="21"/>
                    </w:rPr>
                    <w:t>产生量t/a</w:t>
                  </w:r>
                </w:p>
              </w:tc>
              <w:tc>
                <w:tcPr>
                  <w:tcW w:w="484" w:type="pct"/>
                  <w:vAlign w:val="center"/>
                </w:tcPr>
                <w:p>
                  <w:pPr>
                    <w:ind w:right="-101" w:rightChars="-48"/>
                    <w:jc w:val="center"/>
                    <w:rPr>
                      <w:szCs w:val="21"/>
                    </w:rPr>
                  </w:pPr>
                  <w:r>
                    <w:rPr>
                      <w:szCs w:val="21"/>
                    </w:rPr>
                    <w:t>浓度</w:t>
                  </w:r>
                </w:p>
                <w:p>
                  <w:pPr>
                    <w:ind w:right="-101" w:rightChars="-48"/>
                    <w:jc w:val="center"/>
                    <w:rPr>
                      <w:szCs w:val="21"/>
                    </w:rPr>
                  </w:pPr>
                  <w:r>
                    <w:rPr>
                      <w:szCs w:val="21"/>
                    </w:rPr>
                    <w:t>mg/m</w:t>
                  </w:r>
                  <w:r>
                    <w:rPr>
                      <w:szCs w:val="21"/>
                      <w:vertAlign w:val="superscript"/>
                    </w:rPr>
                    <w:t>3</w:t>
                  </w:r>
                </w:p>
              </w:tc>
              <w:tc>
                <w:tcPr>
                  <w:tcW w:w="560" w:type="pct"/>
                  <w:vAlign w:val="center"/>
                </w:tcPr>
                <w:p>
                  <w:pPr>
                    <w:ind w:right="-101" w:rightChars="-48"/>
                    <w:jc w:val="center"/>
                    <w:rPr>
                      <w:szCs w:val="21"/>
                    </w:rPr>
                  </w:pPr>
                  <w:r>
                    <w:rPr>
                      <w:szCs w:val="21"/>
                    </w:rPr>
                    <w:t>速率</w:t>
                  </w:r>
                </w:p>
                <w:p>
                  <w:pPr>
                    <w:ind w:right="-101" w:rightChars="-48"/>
                    <w:jc w:val="center"/>
                    <w:rPr>
                      <w:szCs w:val="21"/>
                    </w:rPr>
                  </w:pPr>
                  <w:r>
                    <w:rPr>
                      <w:szCs w:val="21"/>
                    </w:rPr>
                    <w:t>kg/h</w:t>
                  </w:r>
                </w:p>
              </w:tc>
              <w:tc>
                <w:tcPr>
                  <w:tcW w:w="494" w:type="pct"/>
                  <w:vAlign w:val="center"/>
                </w:tcPr>
                <w:p>
                  <w:pPr>
                    <w:ind w:right="-101" w:rightChars="-48"/>
                    <w:jc w:val="center"/>
                    <w:rPr>
                      <w:szCs w:val="21"/>
                    </w:rPr>
                  </w:pPr>
                  <w:r>
                    <w:rPr>
                      <w:szCs w:val="21"/>
                    </w:rPr>
                    <w:t>排放量t/a</w:t>
                  </w:r>
                </w:p>
              </w:tc>
              <w:tc>
                <w:tcPr>
                  <w:tcW w:w="526" w:type="pct"/>
                  <w:vMerge w:val="continue"/>
                  <w:vAlign w:val="center"/>
                </w:tcPr>
                <w:p>
                  <w:pPr>
                    <w:ind w:firstLine="420"/>
                    <w:jc w:val="center"/>
                    <w:rPr>
                      <w:szCs w:val="21"/>
                    </w:rPr>
                  </w:pPr>
                </w:p>
              </w:tc>
              <w:tc>
                <w:tcPr>
                  <w:tcW w:w="302" w:type="pct"/>
                  <w:vMerge w:val="continue"/>
                  <w:vAlign w:val="center"/>
                </w:tcPr>
                <w:p>
                  <w:pPr>
                    <w:ind w:firstLine="42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6" w:hRule="atLeast"/>
                <w:jc w:val="center"/>
              </w:trPr>
              <w:tc>
                <w:tcPr>
                  <w:tcW w:w="306" w:type="pct"/>
                  <w:vAlign w:val="center"/>
                </w:tcPr>
                <w:p>
                  <w:pPr>
                    <w:rPr>
                      <w:szCs w:val="21"/>
                    </w:rPr>
                  </w:pPr>
                  <w:r>
                    <w:rPr>
                      <w:rFonts w:hint="eastAsia"/>
                      <w:szCs w:val="21"/>
                    </w:rPr>
                    <w:t>修整、开凿、切割、破碎</w:t>
                  </w:r>
                </w:p>
              </w:tc>
              <w:tc>
                <w:tcPr>
                  <w:tcW w:w="476" w:type="pct"/>
                  <w:vAlign w:val="center"/>
                </w:tcPr>
                <w:p>
                  <w:pPr>
                    <w:jc w:val="center"/>
                    <w:rPr>
                      <w:szCs w:val="21"/>
                    </w:rPr>
                  </w:pPr>
                  <w:r>
                    <w:rPr>
                      <w:szCs w:val="21"/>
                    </w:rPr>
                    <w:t>10000</w:t>
                  </w:r>
                </w:p>
              </w:tc>
              <w:tc>
                <w:tcPr>
                  <w:tcW w:w="394" w:type="pct"/>
                  <w:vAlign w:val="center"/>
                </w:tcPr>
                <w:p>
                  <w:pPr>
                    <w:jc w:val="center"/>
                    <w:rPr>
                      <w:szCs w:val="21"/>
                    </w:rPr>
                  </w:pPr>
                  <w:r>
                    <w:rPr>
                      <w:szCs w:val="21"/>
                    </w:rPr>
                    <w:t>颗粒物</w:t>
                  </w:r>
                </w:p>
              </w:tc>
              <w:tc>
                <w:tcPr>
                  <w:tcW w:w="560" w:type="pct"/>
                  <w:vAlign w:val="center"/>
                </w:tcPr>
                <w:p>
                  <w:pPr>
                    <w:jc w:val="center"/>
                    <w:rPr>
                      <w:szCs w:val="21"/>
                    </w:rPr>
                  </w:pPr>
                  <w:r>
                    <w:rPr>
                      <w:rFonts w:hint="eastAsia"/>
                      <w:szCs w:val="21"/>
                    </w:rPr>
                    <w:t>8</w:t>
                  </w:r>
                  <w:r>
                    <w:rPr>
                      <w:szCs w:val="21"/>
                    </w:rPr>
                    <w:t>1.014</w:t>
                  </w:r>
                </w:p>
              </w:tc>
              <w:tc>
                <w:tcPr>
                  <w:tcW w:w="429" w:type="pct"/>
                  <w:vAlign w:val="center"/>
                </w:tcPr>
                <w:p>
                  <w:pPr>
                    <w:jc w:val="center"/>
                    <w:rPr>
                      <w:szCs w:val="21"/>
                    </w:rPr>
                  </w:pPr>
                  <w:r>
                    <w:rPr>
                      <w:rFonts w:hint="eastAsia"/>
                      <w:szCs w:val="21"/>
                    </w:rPr>
                    <w:t>0</w:t>
                  </w:r>
                  <w:r>
                    <w:rPr>
                      <w:szCs w:val="21"/>
                    </w:rPr>
                    <w:t>.810</w:t>
                  </w:r>
                </w:p>
              </w:tc>
              <w:tc>
                <w:tcPr>
                  <w:tcW w:w="468" w:type="pct"/>
                  <w:vAlign w:val="center"/>
                </w:tcPr>
                <w:p>
                  <w:pPr>
                    <w:jc w:val="center"/>
                    <w:rPr>
                      <w:szCs w:val="21"/>
                    </w:rPr>
                  </w:pPr>
                  <w:r>
                    <w:rPr>
                      <w:rFonts w:hint="eastAsia"/>
                      <w:szCs w:val="21"/>
                    </w:rPr>
                    <w:t>5</w:t>
                  </w:r>
                  <w:r>
                    <w:rPr>
                      <w:szCs w:val="21"/>
                    </w:rPr>
                    <w:t>.833</w:t>
                  </w:r>
                </w:p>
              </w:tc>
              <w:tc>
                <w:tcPr>
                  <w:tcW w:w="484" w:type="pct"/>
                  <w:vAlign w:val="center"/>
                </w:tcPr>
                <w:p>
                  <w:pPr>
                    <w:jc w:val="center"/>
                    <w:rPr>
                      <w:szCs w:val="21"/>
                    </w:rPr>
                  </w:pPr>
                  <w:r>
                    <w:rPr>
                      <w:rFonts w:hint="eastAsia"/>
                      <w:szCs w:val="21"/>
                    </w:rPr>
                    <w:t>0</w:t>
                  </w:r>
                  <w:r>
                    <w:rPr>
                      <w:szCs w:val="21"/>
                    </w:rPr>
                    <w:t>.810</w:t>
                  </w:r>
                </w:p>
              </w:tc>
              <w:tc>
                <w:tcPr>
                  <w:tcW w:w="560" w:type="pct"/>
                  <w:vAlign w:val="center"/>
                </w:tcPr>
                <w:p>
                  <w:pPr>
                    <w:jc w:val="center"/>
                    <w:rPr>
                      <w:szCs w:val="21"/>
                    </w:rPr>
                  </w:pPr>
                  <w:r>
                    <w:rPr>
                      <w:rFonts w:hint="eastAsia"/>
                      <w:szCs w:val="21"/>
                    </w:rPr>
                    <w:t>0</w:t>
                  </w:r>
                  <w:r>
                    <w:rPr>
                      <w:szCs w:val="21"/>
                    </w:rPr>
                    <w:t>.008</w:t>
                  </w:r>
                </w:p>
              </w:tc>
              <w:tc>
                <w:tcPr>
                  <w:tcW w:w="494" w:type="pct"/>
                  <w:vAlign w:val="center"/>
                </w:tcPr>
                <w:p>
                  <w:pPr>
                    <w:jc w:val="center"/>
                    <w:rPr>
                      <w:szCs w:val="21"/>
                    </w:rPr>
                  </w:pPr>
                  <w:r>
                    <w:rPr>
                      <w:rFonts w:hint="eastAsia"/>
                      <w:szCs w:val="21"/>
                    </w:rPr>
                    <w:t>0</w:t>
                  </w:r>
                  <w:r>
                    <w:rPr>
                      <w:szCs w:val="21"/>
                    </w:rPr>
                    <w:t>.058</w:t>
                  </w:r>
                </w:p>
              </w:tc>
              <w:tc>
                <w:tcPr>
                  <w:tcW w:w="526" w:type="pct"/>
                  <w:vAlign w:val="center"/>
                </w:tcPr>
                <w:p>
                  <w:pPr>
                    <w:jc w:val="center"/>
                    <w:rPr>
                      <w:szCs w:val="21"/>
                    </w:rPr>
                  </w:pPr>
                  <w:r>
                    <w:rPr>
                      <w:rFonts w:hint="eastAsia"/>
                      <w:szCs w:val="21"/>
                    </w:rPr>
                    <w:t>连续7</w:t>
                  </w:r>
                  <w:r>
                    <w:rPr>
                      <w:szCs w:val="21"/>
                    </w:rPr>
                    <w:t>200</w:t>
                  </w:r>
                  <w:r>
                    <w:rPr>
                      <w:rFonts w:hint="eastAsia"/>
                      <w:szCs w:val="21"/>
                    </w:rPr>
                    <w:t>h</w:t>
                  </w:r>
                </w:p>
              </w:tc>
              <w:tc>
                <w:tcPr>
                  <w:tcW w:w="302" w:type="pct"/>
                  <w:vAlign w:val="center"/>
                </w:tcPr>
                <w:p>
                  <w:pPr>
                    <w:jc w:val="center"/>
                    <w:rPr>
                      <w:szCs w:val="21"/>
                    </w:rPr>
                  </w:pPr>
                  <w:r>
                    <w:rPr>
                      <w:szCs w:val="21"/>
                    </w:rPr>
                    <w:t>P2</w:t>
                  </w:r>
                </w:p>
              </w:tc>
            </w:tr>
          </w:tbl>
          <w:p>
            <w:pPr>
              <w:adjustRightInd w:val="0"/>
              <w:snapToGrid w:val="0"/>
              <w:spacing w:line="300" w:lineRule="auto"/>
              <w:jc w:val="center"/>
              <w:rPr>
                <w:b/>
                <w:bCs/>
                <w:kern w:val="0"/>
                <w:sz w:val="24"/>
              </w:rPr>
            </w:pPr>
            <w:r>
              <w:rPr>
                <w:b/>
                <w:bCs/>
                <w:kern w:val="0"/>
                <w:sz w:val="24"/>
              </w:rPr>
              <w:t>表5-5   本项目无组织</w:t>
            </w:r>
            <w:r>
              <w:rPr>
                <w:rFonts w:hint="eastAsia"/>
                <w:b/>
                <w:bCs/>
                <w:kern w:val="0"/>
                <w:sz w:val="24"/>
              </w:rPr>
              <w:t>粉尘</w:t>
            </w:r>
            <w:r>
              <w:rPr>
                <w:b/>
                <w:bCs/>
                <w:kern w:val="0"/>
                <w:sz w:val="24"/>
              </w:rPr>
              <w:t>产生和排放情况一览表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403"/>
              <w:gridCol w:w="983"/>
              <w:gridCol w:w="1059"/>
              <w:gridCol w:w="1813"/>
              <w:gridCol w:w="913"/>
              <w:gridCol w:w="1096"/>
              <w:gridCol w:w="7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56" w:hRule="atLeast"/>
                <w:jc w:val="center"/>
              </w:trPr>
              <w:tc>
                <w:tcPr>
                  <w:tcW w:w="443" w:type="pct"/>
                  <w:vAlign w:val="center"/>
                </w:tcPr>
                <w:p>
                  <w:pPr>
                    <w:jc w:val="center"/>
                    <w:rPr>
                      <w:szCs w:val="21"/>
                    </w:rPr>
                  </w:pPr>
                  <w:r>
                    <w:rPr>
                      <w:szCs w:val="21"/>
                    </w:rPr>
                    <w:t>面源</w:t>
                  </w:r>
                </w:p>
                <w:p>
                  <w:pPr>
                    <w:jc w:val="center"/>
                    <w:rPr>
                      <w:szCs w:val="21"/>
                    </w:rPr>
                  </w:pPr>
                  <w:r>
                    <w:rPr>
                      <w:szCs w:val="21"/>
                    </w:rPr>
                    <w:t>名称</w:t>
                  </w:r>
                </w:p>
              </w:tc>
              <w:tc>
                <w:tcPr>
                  <w:tcW w:w="795" w:type="pct"/>
                  <w:vAlign w:val="center"/>
                </w:tcPr>
                <w:p>
                  <w:pPr>
                    <w:jc w:val="center"/>
                    <w:rPr>
                      <w:szCs w:val="21"/>
                    </w:rPr>
                  </w:pPr>
                  <w:r>
                    <w:rPr>
                      <w:szCs w:val="21"/>
                    </w:rPr>
                    <w:t>污染物</w:t>
                  </w:r>
                </w:p>
              </w:tc>
              <w:tc>
                <w:tcPr>
                  <w:tcW w:w="557" w:type="pct"/>
                  <w:vAlign w:val="center"/>
                </w:tcPr>
                <w:p>
                  <w:pPr>
                    <w:jc w:val="center"/>
                    <w:rPr>
                      <w:szCs w:val="21"/>
                    </w:rPr>
                  </w:pPr>
                  <w:r>
                    <w:rPr>
                      <w:szCs w:val="21"/>
                    </w:rPr>
                    <w:t>排放速率kg/h</w:t>
                  </w:r>
                </w:p>
              </w:tc>
              <w:tc>
                <w:tcPr>
                  <w:tcW w:w="600" w:type="pct"/>
                  <w:vAlign w:val="center"/>
                </w:tcPr>
                <w:p>
                  <w:pPr>
                    <w:jc w:val="center"/>
                    <w:rPr>
                      <w:szCs w:val="21"/>
                    </w:rPr>
                  </w:pPr>
                  <w:r>
                    <w:rPr>
                      <w:szCs w:val="21"/>
                    </w:rPr>
                    <w:t>排放量t/a</w:t>
                  </w:r>
                </w:p>
              </w:tc>
              <w:tc>
                <w:tcPr>
                  <w:tcW w:w="1027" w:type="pct"/>
                  <w:vAlign w:val="center"/>
                </w:tcPr>
                <w:p>
                  <w:pPr>
                    <w:jc w:val="center"/>
                    <w:rPr>
                      <w:szCs w:val="21"/>
                    </w:rPr>
                  </w:pPr>
                  <w:r>
                    <w:rPr>
                      <w:rFonts w:hint="eastAsia"/>
                    </w:rPr>
                    <w:t>面源面积m</w:t>
                  </w:r>
                  <w:r>
                    <w:rPr>
                      <w:rFonts w:hint="eastAsia"/>
                      <w:vertAlign w:val="superscript"/>
                    </w:rPr>
                    <w:t>2</w:t>
                  </w:r>
                </w:p>
              </w:tc>
              <w:tc>
                <w:tcPr>
                  <w:tcW w:w="517" w:type="pct"/>
                  <w:vAlign w:val="center"/>
                </w:tcPr>
                <w:p>
                  <w:pPr>
                    <w:jc w:val="center"/>
                    <w:rPr>
                      <w:szCs w:val="21"/>
                    </w:rPr>
                  </w:pPr>
                  <w:r>
                    <w:rPr>
                      <w:szCs w:val="21"/>
                    </w:rPr>
                    <w:t>面源高度</w:t>
                  </w:r>
                </w:p>
                <w:p>
                  <w:pPr>
                    <w:jc w:val="center"/>
                    <w:rPr>
                      <w:szCs w:val="21"/>
                    </w:rPr>
                  </w:pPr>
                  <w:r>
                    <w:rPr>
                      <w:szCs w:val="21"/>
                    </w:rPr>
                    <w:t>m</w:t>
                  </w:r>
                </w:p>
              </w:tc>
              <w:tc>
                <w:tcPr>
                  <w:tcW w:w="621" w:type="pct"/>
                  <w:vAlign w:val="center"/>
                </w:tcPr>
                <w:p>
                  <w:pPr>
                    <w:jc w:val="center"/>
                    <w:rPr>
                      <w:szCs w:val="21"/>
                    </w:rPr>
                  </w:pPr>
                  <w:r>
                    <w:rPr>
                      <w:szCs w:val="21"/>
                    </w:rPr>
                    <w:t>年排放小时数h</w:t>
                  </w:r>
                </w:p>
              </w:tc>
              <w:tc>
                <w:tcPr>
                  <w:tcW w:w="440" w:type="pct"/>
                  <w:vAlign w:val="center"/>
                </w:tcPr>
                <w:p>
                  <w:pPr>
                    <w:jc w:val="center"/>
                    <w:rPr>
                      <w:szCs w:val="21"/>
                    </w:rPr>
                  </w:pPr>
                  <w:r>
                    <w:rPr>
                      <w:szCs w:val="21"/>
                    </w:rPr>
                    <w:t>排放</w:t>
                  </w:r>
                </w:p>
                <w:p>
                  <w:pPr>
                    <w:jc w:val="center"/>
                    <w:rPr>
                      <w:szCs w:val="21"/>
                    </w:rPr>
                  </w:pPr>
                  <w:r>
                    <w:rPr>
                      <w:szCs w:val="21"/>
                    </w:rPr>
                    <w:t>工况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43" w:type="pct"/>
                  <w:vAlign w:val="center"/>
                </w:tcPr>
                <w:p>
                  <w:pPr>
                    <w:jc w:val="center"/>
                    <w:rPr>
                      <w:szCs w:val="21"/>
                    </w:rPr>
                  </w:pPr>
                  <w:r>
                    <w:rPr>
                      <w:rFonts w:hint="eastAsia"/>
                      <w:szCs w:val="21"/>
                    </w:rPr>
                    <w:t>车间</w:t>
                  </w:r>
                </w:p>
              </w:tc>
              <w:tc>
                <w:tcPr>
                  <w:tcW w:w="795" w:type="pct"/>
                  <w:vAlign w:val="center"/>
                </w:tcPr>
                <w:p>
                  <w:pPr>
                    <w:jc w:val="center"/>
                    <w:rPr>
                      <w:szCs w:val="21"/>
                    </w:rPr>
                  </w:pPr>
                  <w:r>
                    <w:rPr>
                      <w:rFonts w:hint="eastAsia"/>
                      <w:szCs w:val="21"/>
                    </w:rPr>
                    <w:t>颗粒物</w:t>
                  </w:r>
                </w:p>
              </w:tc>
              <w:tc>
                <w:tcPr>
                  <w:tcW w:w="557" w:type="pct"/>
                  <w:vAlign w:val="center"/>
                </w:tcPr>
                <w:p>
                  <w:pPr>
                    <w:jc w:val="center"/>
                    <w:rPr>
                      <w:szCs w:val="21"/>
                    </w:rPr>
                  </w:pPr>
                  <w:r>
                    <w:rPr>
                      <w:rFonts w:hint="eastAsia"/>
                      <w:szCs w:val="21"/>
                    </w:rPr>
                    <w:t>0</w:t>
                  </w:r>
                  <w:r>
                    <w:rPr>
                      <w:szCs w:val="21"/>
                    </w:rPr>
                    <w:t>.043</w:t>
                  </w:r>
                </w:p>
              </w:tc>
              <w:tc>
                <w:tcPr>
                  <w:tcW w:w="600" w:type="pct"/>
                  <w:vAlign w:val="center"/>
                </w:tcPr>
                <w:p>
                  <w:pPr>
                    <w:jc w:val="center"/>
                    <w:rPr>
                      <w:szCs w:val="21"/>
                    </w:rPr>
                  </w:pPr>
                  <w:r>
                    <w:rPr>
                      <w:rFonts w:hint="eastAsia"/>
                      <w:szCs w:val="21"/>
                    </w:rPr>
                    <w:t>0</w:t>
                  </w:r>
                  <w:r>
                    <w:rPr>
                      <w:szCs w:val="21"/>
                    </w:rPr>
                    <w:t>.307</w:t>
                  </w:r>
                </w:p>
              </w:tc>
              <w:tc>
                <w:tcPr>
                  <w:tcW w:w="1027" w:type="pct"/>
                </w:tcPr>
                <w:p>
                  <w:pPr>
                    <w:jc w:val="center"/>
                    <w:rPr>
                      <w:szCs w:val="21"/>
                    </w:rPr>
                  </w:pPr>
                  <w:r>
                    <w:t>3500</w:t>
                  </w:r>
                </w:p>
              </w:tc>
              <w:tc>
                <w:tcPr>
                  <w:tcW w:w="517" w:type="pct"/>
                  <w:vAlign w:val="center"/>
                </w:tcPr>
                <w:p>
                  <w:pPr>
                    <w:jc w:val="center"/>
                    <w:rPr>
                      <w:szCs w:val="21"/>
                    </w:rPr>
                  </w:pPr>
                  <w:r>
                    <w:rPr>
                      <w:szCs w:val="21"/>
                    </w:rPr>
                    <w:t>12</w:t>
                  </w:r>
                </w:p>
              </w:tc>
              <w:tc>
                <w:tcPr>
                  <w:tcW w:w="621" w:type="pct"/>
                  <w:vAlign w:val="center"/>
                </w:tcPr>
                <w:p>
                  <w:pPr>
                    <w:jc w:val="center"/>
                    <w:rPr>
                      <w:szCs w:val="21"/>
                    </w:rPr>
                  </w:pPr>
                  <w:r>
                    <w:rPr>
                      <w:szCs w:val="21"/>
                    </w:rPr>
                    <w:t>7200</w:t>
                  </w:r>
                </w:p>
              </w:tc>
              <w:tc>
                <w:tcPr>
                  <w:tcW w:w="440" w:type="pct"/>
                  <w:vAlign w:val="center"/>
                </w:tcPr>
                <w:p>
                  <w:pPr>
                    <w:jc w:val="center"/>
                    <w:rPr>
                      <w:szCs w:val="21"/>
                    </w:rPr>
                  </w:pPr>
                  <w:r>
                    <w:rPr>
                      <w:rFonts w:hint="eastAsia"/>
                      <w:szCs w:val="21"/>
                    </w:rPr>
                    <w:t>连续</w:t>
                  </w:r>
                </w:p>
              </w:tc>
            </w:tr>
          </w:tbl>
          <w:p>
            <w:pPr>
              <w:spacing w:line="360" w:lineRule="auto"/>
              <w:ind w:firstLine="480" w:firstLineChars="200"/>
              <w:rPr>
                <w:color w:val="000000" w:themeColor="text1"/>
                <w:kern w:val="0"/>
                <w:sz w:val="24"/>
                <w:szCs w:val="20"/>
                <w14:textFill>
                  <w14:solidFill>
                    <w14:schemeClr w14:val="tx1"/>
                  </w14:solidFill>
                </w14:textFill>
              </w:rPr>
            </w:pPr>
            <w:r>
              <w:rPr>
                <w:rFonts w:hint="eastAsia"/>
                <w:color w:val="000000" w:themeColor="text1"/>
                <w:kern w:val="0"/>
                <w:sz w:val="24"/>
                <w:szCs w:val="20"/>
                <w14:textFill>
                  <w14:solidFill>
                    <w14:schemeClr w14:val="tx1"/>
                  </w14:solidFill>
                </w14:textFill>
              </w:rPr>
              <w:t>（3）锅炉废气</w:t>
            </w:r>
          </w:p>
          <w:p>
            <w:pPr>
              <w:spacing w:line="360" w:lineRule="auto"/>
              <w:ind w:firstLine="480" w:firstLineChars="200"/>
              <w:rPr>
                <w:color w:val="000000"/>
                <w:kern w:val="0"/>
                <w:sz w:val="24"/>
                <w:szCs w:val="20"/>
              </w:rPr>
            </w:pPr>
            <w:r>
              <w:rPr>
                <w:rFonts w:hint="eastAsia"/>
                <w:color w:val="000000"/>
                <w:kern w:val="0"/>
                <w:sz w:val="24"/>
              </w:rPr>
              <w:t>本项目生产用热由厂区</w:t>
            </w:r>
            <w:r>
              <w:rPr>
                <w:color w:val="000000"/>
                <w:kern w:val="0"/>
                <w:sz w:val="24"/>
              </w:rPr>
              <w:t>2</w:t>
            </w:r>
            <w:r>
              <w:rPr>
                <w:rFonts w:hint="eastAsia"/>
                <w:color w:val="000000"/>
                <w:kern w:val="0"/>
                <w:sz w:val="24"/>
              </w:rPr>
              <w:t>台2t/h天然气锅炉供给，</w:t>
            </w:r>
            <w:r>
              <w:rPr>
                <w:rFonts w:hint="eastAsia"/>
                <w:color w:val="000000"/>
                <w:sz w:val="24"/>
              </w:rPr>
              <w:t>锅炉年运行9</w:t>
            </w:r>
            <w:r>
              <w:rPr>
                <w:color w:val="000000"/>
                <w:sz w:val="24"/>
              </w:rPr>
              <w:t>00</w:t>
            </w:r>
            <w:r>
              <w:rPr>
                <w:rFonts w:hint="eastAsia"/>
                <w:color w:val="000000"/>
                <w:sz w:val="24"/>
              </w:rPr>
              <w:t>小时</w:t>
            </w:r>
            <w:r>
              <w:rPr>
                <w:rFonts w:hint="eastAsia"/>
                <w:color w:val="000000"/>
                <w:kern w:val="0"/>
                <w:sz w:val="24"/>
              </w:rPr>
              <w:t>，</w:t>
            </w:r>
            <w:r>
              <w:rPr>
                <w:color w:val="000000"/>
                <w:kern w:val="0"/>
                <w:sz w:val="24"/>
                <w:szCs w:val="20"/>
              </w:rPr>
              <w:t>年使用天然气</w:t>
            </w:r>
            <w:r>
              <w:rPr>
                <w:rFonts w:hint="eastAsia"/>
                <w:color w:val="000000"/>
                <w:kern w:val="0"/>
                <w:sz w:val="24"/>
                <w:szCs w:val="20"/>
              </w:rPr>
              <w:t>2</w:t>
            </w:r>
            <w:r>
              <w:rPr>
                <w:color w:val="000000"/>
                <w:kern w:val="0"/>
                <w:sz w:val="24"/>
                <w:szCs w:val="20"/>
              </w:rPr>
              <w:t>70000m</w:t>
            </w:r>
            <w:r>
              <w:rPr>
                <w:color w:val="000000"/>
                <w:kern w:val="0"/>
                <w:sz w:val="24"/>
                <w:szCs w:val="20"/>
                <w:vertAlign w:val="superscript"/>
              </w:rPr>
              <w:t>3</w:t>
            </w:r>
            <w:r>
              <w:rPr>
                <w:color w:val="000000"/>
                <w:kern w:val="0"/>
                <w:sz w:val="24"/>
                <w:szCs w:val="20"/>
              </w:rPr>
              <w:t>，天然气锅炉安装低氮燃烧器，产生的锅炉烟气经1根15m高排气筒</w:t>
            </w:r>
            <w:r>
              <w:rPr>
                <w:rFonts w:hint="eastAsia"/>
                <w:color w:val="000000"/>
                <w:kern w:val="0"/>
                <w:sz w:val="24"/>
                <w:szCs w:val="20"/>
              </w:rPr>
              <w:t>P</w:t>
            </w:r>
            <w:r>
              <w:rPr>
                <w:color w:val="000000"/>
                <w:kern w:val="0"/>
                <w:sz w:val="24"/>
                <w:szCs w:val="20"/>
              </w:rPr>
              <w:t>3排放。</w:t>
            </w:r>
          </w:p>
          <w:p>
            <w:pPr>
              <w:spacing w:line="360" w:lineRule="auto"/>
              <w:ind w:firstLine="480" w:firstLineChars="200"/>
              <w:rPr>
                <w:color w:val="000000"/>
                <w:kern w:val="0"/>
                <w:sz w:val="24"/>
                <w:szCs w:val="20"/>
              </w:rPr>
            </w:pPr>
            <w:r>
              <w:rPr>
                <w:color w:val="000000"/>
                <w:kern w:val="0"/>
                <w:sz w:val="24"/>
                <w:szCs w:val="20"/>
              </w:rPr>
              <w:t>根据</w:t>
            </w:r>
            <w:r>
              <w:rPr>
                <w:kern w:val="0"/>
                <w:sz w:val="24"/>
              </w:rPr>
              <w:t>《第二次全国污染源普查产排污核算系数手册（试用版）》</w:t>
            </w:r>
            <w:r>
              <w:rPr>
                <w:color w:val="000000"/>
                <w:kern w:val="0"/>
                <w:sz w:val="24"/>
                <w:szCs w:val="20"/>
              </w:rPr>
              <w:t>中</w:t>
            </w:r>
            <w:r>
              <w:rPr>
                <w:rFonts w:hint="eastAsia"/>
                <w:color w:val="000000"/>
                <w:kern w:val="0"/>
                <w:sz w:val="24"/>
                <w:szCs w:val="20"/>
              </w:rPr>
              <w:t>4</w:t>
            </w:r>
            <w:r>
              <w:rPr>
                <w:color w:val="000000"/>
                <w:kern w:val="0"/>
                <w:sz w:val="24"/>
                <w:szCs w:val="20"/>
              </w:rPr>
              <w:t>430</w:t>
            </w:r>
            <w:r>
              <w:rPr>
                <w:rFonts w:hint="eastAsia"/>
                <w:color w:val="000000"/>
                <w:kern w:val="0"/>
                <w:sz w:val="24"/>
                <w:szCs w:val="20"/>
              </w:rPr>
              <w:t>工业锅炉（热力生产和供应行业）产污系数表-燃气工业锅炉中使用天然气作为原料的锅炉，经过低氮燃烧器处理后</w:t>
            </w:r>
            <w:r>
              <w:rPr>
                <w:color w:val="000000"/>
                <w:kern w:val="0"/>
                <w:sz w:val="24"/>
                <w:szCs w:val="20"/>
              </w:rPr>
              <w:t>工业废气量为107753Nm</w:t>
            </w:r>
            <w:r>
              <w:rPr>
                <w:color w:val="000000"/>
                <w:kern w:val="0"/>
                <w:sz w:val="24"/>
                <w:szCs w:val="20"/>
                <w:vertAlign w:val="superscript"/>
              </w:rPr>
              <w:t>3</w:t>
            </w:r>
            <w:r>
              <w:rPr>
                <w:color w:val="000000"/>
                <w:kern w:val="0"/>
                <w:sz w:val="24"/>
                <w:szCs w:val="20"/>
              </w:rPr>
              <w:t>/万原料、SO</w:t>
            </w:r>
            <w:r>
              <w:rPr>
                <w:color w:val="000000"/>
                <w:kern w:val="0"/>
                <w:sz w:val="24"/>
                <w:szCs w:val="20"/>
                <w:vertAlign w:val="subscript"/>
              </w:rPr>
              <w:t>2</w:t>
            </w:r>
            <w:r>
              <w:rPr>
                <w:color w:val="000000"/>
                <w:kern w:val="0"/>
                <w:sz w:val="24"/>
                <w:szCs w:val="20"/>
              </w:rPr>
              <w:t>产污系数为0.02Skg/万m</w:t>
            </w:r>
            <w:r>
              <w:rPr>
                <w:color w:val="000000"/>
                <w:kern w:val="0"/>
                <w:sz w:val="24"/>
                <w:szCs w:val="20"/>
                <w:vertAlign w:val="superscript"/>
              </w:rPr>
              <w:t>3</w:t>
            </w:r>
            <w:r>
              <w:rPr>
                <w:color w:val="000000"/>
                <w:kern w:val="0"/>
                <w:sz w:val="24"/>
                <w:szCs w:val="20"/>
              </w:rPr>
              <w:t>·原料（S为收到基含硫量，单位为mg/m</w:t>
            </w:r>
            <w:r>
              <w:rPr>
                <w:color w:val="000000"/>
                <w:kern w:val="0"/>
                <w:sz w:val="24"/>
                <w:szCs w:val="20"/>
                <w:vertAlign w:val="superscript"/>
              </w:rPr>
              <w:t>3</w:t>
            </w:r>
            <w:r>
              <w:rPr>
                <w:color w:val="000000"/>
                <w:kern w:val="0"/>
                <w:sz w:val="24"/>
                <w:szCs w:val="20"/>
              </w:rPr>
              <w:t>，本项目S=50）、NO</w:t>
            </w:r>
            <w:r>
              <w:rPr>
                <w:color w:val="000000"/>
                <w:kern w:val="0"/>
                <w:sz w:val="24"/>
                <w:szCs w:val="20"/>
                <w:vertAlign w:val="subscript"/>
              </w:rPr>
              <w:t>X</w:t>
            </w:r>
            <w:r>
              <w:rPr>
                <w:color w:val="000000"/>
                <w:kern w:val="0"/>
                <w:sz w:val="24"/>
                <w:szCs w:val="20"/>
              </w:rPr>
              <w:t>产污系数为3.03kg/万m</w:t>
            </w:r>
            <w:r>
              <w:rPr>
                <w:color w:val="000000"/>
                <w:kern w:val="0"/>
                <w:sz w:val="24"/>
                <w:szCs w:val="20"/>
                <w:vertAlign w:val="superscript"/>
              </w:rPr>
              <w:t>3</w:t>
            </w:r>
            <w:r>
              <w:rPr>
                <w:color w:val="000000"/>
                <w:kern w:val="0"/>
                <w:sz w:val="24"/>
                <w:szCs w:val="20"/>
              </w:rPr>
              <w:t>·原料；根据天然气厂家提供数据资料，每完全燃烧10000m</w:t>
            </w:r>
            <w:r>
              <w:rPr>
                <w:color w:val="000000"/>
                <w:kern w:val="0"/>
                <w:sz w:val="24"/>
                <w:szCs w:val="20"/>
                <w:vertAlign w:val="superscript"/>
              </w:rPr>
              <w:t>3</w:t>
            </w:r>
            <w:r>
              <w:rPr>
                <w:color w:val="000000"/>
                <w:kern w:val="0"/>
                <w:sz w:val="24"/>
                <w:szCs w:val="20"/>
              </w:rPr>
              <w:t>天然气产生颗粒物0.6kg。根据企业提供数据资料，燃气锅炉总天然气用量为270000m</w:t>
            </w:r>
            <w:r>
              <w:rPr>
                <w:color w:val="000000"/>
                <w:kern w:val="0"/>
                <w:sz w:val="24"/>
                <w:szCs w:val="20"/>
                <w:vertAlign w:val="superscript"/>
              </w:rPr>
              <w:t>3</w:t>
            </w:r>
            <w:r>
              <w:rPr>
                <w:color w:val="000000"/>
                <w:kern w:val="0"/>
                <w:sz w:val="24"/>
                <w:szCs w:val="20"/>
              </w:rPr>
              <w:t>/a，据此计算，</w:t>
            </w:r>
            <w:r>
              <w:rPr>
                <w:color w:val="000000" w:themeColor="text1"/>
                <w:kern w:val="0"/>
                <w:sz w:val="24"/>
                <w:szCs w:val="20"/>
                <w14:textFill>
                  <w14:solidFill>
                    <w14:schemeClr w14:val="tx1"/>
                  </w14:solidFill>
                </w14:textFill>
              </w:rPr>
              <w:t>该项目锅炉烟气</w:t>
            </w:r>
            <w:r>
              <w:rPr>
                <w:rFonts w:hint="eastAsia"/>
                <w:color w:val="000000" w:themeColor="text1"/>
                <w:kern w:val="0"/>
                <w:sz w:val="24"/>
                <w:szCs w:val="20"/>
                <w14:textFill>
                  <w14:solidFill>
                    <w14:schemeClr w14:val="tx1"/>
                  </w14:solidFill>
                </w14:textFill>
              </w:rPr>
              <w:t>排放</w:t>
            </w:r>
            <w:r>
              <w:rPr>
                <w:color w:val="000000" w:themeColor="text1"/>
                <w:kern w:val="0"/>
                <w:sz w:val="24"/>
                <w:szCs w:val="20"/>
                <w14:textFill>
                  <w14:solidFill>
                    <w14:schemeClr w14:val="tx1"/>
                  </w14:solidFill>
                </w14:textFill>
              </w:rPr>
              <w:t>量为</w:t>
            </w:r>
            <w:r>
              <w:rPr>
                <w:rFonts w:hint="eastAsia"/>
                <w:color w:val="000000" w:themeColor="text1"/>
                <w:kern w:val="0"/>
                <w:sz w:val="24"/>
                <w:szCs w:val="20"/>
                <w14:textFill>
                  <w14:solidFill>
                    <w14:schemeClr w14:val="tx1"/>
                  </w14:solidFill>
                </w14:textFill>
              </w:rPr>
              <w:t>2</w:t>
            </w:r>
            <w:r>
              <w:rPr>
                <w:color w:val="000000" w:themeColor="text1"/>
                <w:kern w:val="0"/>
                <w:sz w:val="24"/>
                <w:szCs w:val="20"/>
                <w14:textFill>
                  <w14:solidFill>
                    <w14:schemeClr w14:val="tx1"/>
                  </w14:solidFill>
                </w14:textFill>
              </w:rPr>
              <w:t>9×10</w:t>
            </w:r>
            <w:r>
              <w:rPr>
                <w:rFonts w:hint="eastAsia"/>
                <w:color w:val="000000" w:themeColor="text1"/>
                <w:kern w:val="0"/>
                <w:sz w:val="24"/>
                <w:szCs w:val="20"/>
                <w:vertAlign w:val="superscript"/>
                <w14:textFill>
                  <w14:solidFill>
                    <w14:schemeClr w14:val="tx1"/>
                  </w14:solidFill>
                </w14:textFill>
              </w:rPr>
              <w:t>5</w:t>
            </w:r>
            <w:r>
              <w:rPr>
                <w:color w:val="000000" w:themeColor="text1"/>
                <w:kern w:val="0"/>
                <w:sz w:val="24"/>
                <w:szCs w:val="20"/>
                <w14:textFill>
                  <w14:solidFill>
                    <w14:schemeClr w14:val="tx1"/>
                  </w14:solidFill>
                </w14:textFill>
              </w:rPr>
              <w:t>m</w:t>
            </w:r>
            <w:r>
              <w:rPr>
                <w:color w:val="000000" w:themeColor="text1"/>
                <w:kern w:val="0"/>
                <w:sz w:val="24"/>
                <w:szCs w:val="20"/>
                <w:vertAlign w:val="superscript"/>
                <w14:textFill>
                  <w14:solidFill>
                    <w14:schemeClr w14:val="tx1"/>
                  </w14:solidFill>
                </w14:textFill>
              </w:rPr>
              <w:t>3</w:t>
            </w:r>
            <w:r>
              <w:rPr>
                <w:color w:val="000000" w:themeColor="text1"/>
                <w:kern w:val="0"/>
                <w:sz w:val="24"/>
                <w:szCs w:val="20"/>
                <w14:textFill>
                  <w14:solidFill>
                    <w14:schemeClr w14:val="tx1"/>
                  </w14:solidFill>
                </w14:textFill>
              </w:rPr>
              <w:t>/a。废气污染物产生量分别为SO</w:t>
            </w:r>
            <w:r>
              <w:rPr>
                <w:color w:val="000000" w:themeColor="text1"/>
                <w:kern w:val="0"/>
                <w:sz w:val="24"/>
                <w:szCs w:val="20"/>
                <w:vertAlign w:val="subscript"/>
                <w14:textFill>
                  <w14:solidFill>
                    <w14:schemeClr w14:val="tx1"/>
                  </w14:solidFill>
                </w14:textFill>
              </w:rPr>
              <w:t>2</w:t>
            </w:r>
            <w:r>
              <w:rPr>
                <w:color w:val="000000" w:themeColor="text1"/>
                <w:kern w:val="0"/>
                <w:sz w:val="24"/>
                <w:szCs w:val="20"/>
                <w14:textFill>
                  <w14:solidFill>
                    <w14:schemeClr w14:val="tx1"/>
                  </w14:solidFill>
                </w14:textFill>
              </w:rPr>
              <w:t>0.0</w:t>
            </w:r>
            <w:r>
              <w:rPr>
                <w:rFonts w:hint="eastAsia"/>
                <w:color w:val="000000" w:themeColor="text1"/>
                <w:kern w:val="0"/>
                <w:sz w:val="24"/>
                <w:szCs w:val="20"/>
                <w14:textFill>
                  <w14:solidFill>
                    <w14:schemeClr w14:val="tx1"/>
                  </w14:solidFill>
                </w14:textFill>
              </w:rPr>
              <w:t>2</w:t>
            </w:r>
            <w:r>
              <w:rPr>
                <w:color w:val="000000" w:themeColor="text1"/>
                <w:kern w:val="0"/>
                <w:sz w:val="24"/>
                <w:szCs w:val="20"/>
                <w14:textFill>
                  <w14:solidFill>
                    <w14:schemeClr w14:val="tx1"/>
                  </w14:solidFill>
                </w14:textFill>
              </w:rPr>
              <w:t>7t/a、NO</w:t>
            </w:r>
            <w:r>
              <w:rPr>
                <w:color w:val="000000" w:themeColor="text1"/>
                <w:kern w:val="0"/>
                <w:sz w:val="24"/>
                <w:szCs w:val="20"/>
                <w:vertAlign w:val="subscript"/>
                <w14:textFill>
                  <w14:solidFill>
                    <w14:schemeClr w14:val="tx1"/>
                  </w14:solidFill>
                </w14:textFill>
              </w:rPr>
              <w:t>X</w:t>
            </w:r>
            <w:r>
              <w:rPr>
                <w:color w:val="000000" w:themeColor="text1"/>
                <w:kern w:val="0"/>
                <w:sz w:val="24"/>
                <w:szCs w:val="20"/>
                <w14:textFill>
                  <w14:solidFill>
                    <w14:schemeClr w14:val="tx1"/>
                  </w14:solidFill>
                </w14:textFill>
              </w:rPr>
              <w:t>0.</w:t>
            </w:r>
            <w:r>
              <w:rPr>
                <w:rFonts w:hint="eastAsia"/>
                <w:color w:val="000000" w:themeColor="text1"/>
                <w:kern w:val="0"/>
                <w:sz w:val="24"/>
                <w:szCs w:val="20"/>
                <w14:textFill>
                  <w14:solidFill>
                    <w14:schemeClr w14:val="tx1"/>
                  </w14:solidFill>
                </w14:textFill>
              </w:rPr>
              <w:t>0</w:t>
            </w:r>
            <w:r>
              <w:rPr>
                <w:color w:val="000000" w:themeColor="text1"/>
                <w:kern w:val="0"/>
                <w:sz w:val="24"/>
                <w:szCs w:val="20"/>
                <w14:textFill>
                  <w14:solidFill>
                    <w14:schemeClr w14:val="tx1"/>
                  </w14:solidFill>
                </w14:textFill>
              </w:rPr>
              <w:t>8181t/a、颗粒物0.0162t/a，废气污染物排放浓度分别为SO</w:t>
            </w:r>
            <w:r>
              <w:rPr>
                <w:color w:val="000000" w:themeColor="text1"/>
                <w:kern w:val="0"/>
                <w:sz w:val="24"/>
                <w:szCs w:val="20"/>
                <w:vertAlign w:val="subscript"/>
                <w14:textFill>
                  <w14:solidFill>
                    <w14:schemeClr w14:val="tx1"/>
                  </w14:solidFill>
                </w14:textFill>
              </w:rPr>
              <w:t>2</w:t>
            </w:r>
            <w:r>
              <w:rPr>
                <w:color w:val="000000" w:themeColor="text1"/>
                <w:kern w:val="0"/>
                <w:sz w:val="24"/>
                <w:szCs w:val="20"/>
                <w14:textFill>
                  <w14:solidFill>
                    <w14:schemeClr w14:val="tx1"/>
                  </w14:solidFill>
                </w14:textFill>
              </w:rPr>
              <w:t>9.28mg/m</w:t>
            </w:r>
            <w:r>
              <w:rPr>
                <w:color w:val="000000" w:themeColor="text1"/>
                <w:kern w:val="0"/>
                <w:sz w:val="24"/>
                <w:szCs w:val="20"/>
                <w:vertAlign w:val="superscript"/>
                <w14:textFill>
                  <w14:solidFill>
                    <w14:schemeClr w14:val="tx1"/>
                  </w14:solidFill>
                </w14:textFill>
              </w:rPr>
              <w:t>3</w:t>
            </w:r>
            <w:r>
              <w:rPr>
                <w:color w:val="000000" w:themeColor="text1"/>
                <w:kern w:val="0"/>
                <w:sz w:val="24"/>
                <w:szCs w:val="20"/>
                <w14:textFill>
                  <w14:solidFill>
                    <w14:schemeClr w14:val="tx1"/>
                  </w14:solidFill>
                </w14:textFill>
              </w:rPr>
              <w:t>、NO</w:t>
            </w:r>
            <w:r>
              <w:rPr>
                <w:color w:val="000000" w:themeColor="text1"/>
                <w:kern w:val="0"/>
                <w:sz w:val="24"/>
                <w:szCs w:val="20"/>
                <w:vertAlign w:val="subscript"/>
                <w14:textFill>
                  <w14:solidFill>
                    <w14:schemeClr w14:val="tx1"/>
                  </w14:solidFill>
                </w14:textFill>
              </w:rPr>
              <w:t>X</w:t>
            </w:r>
            <w:r>
              <w:rPr>
                <w:color w:val="000000" w:themeColor="text1"/>
                <w:kern w:val="0"/>
                <w:sz w:val="24"/>
                <w:szCs w:val="20"/>
                <w14:textFill>
                  <w14:solidFill>
                    <w14:schemeClr w14:val="tx1"/>
                  </w14:solidFill>
                </w14:textFill>
              </w:rPr>
              <w:t>28.12mg/m</w:t>
            </w:r>
            <w:r>
              <w:rPr>
                <w:color w:val="000000" w:themeColor="text1"/>
                <w:kern w:val="0"/>
                <w:sz w:val="24"/>
                <w:szCs w:val="20"/>
                <w:vertAlign w:val="superscript"/>
                <w14:textFill>
                  <w14:solidFill>
                    <w14:schemeClr w14:val="tx1"/>
                  </w14:solidFill>
                </w14:textFill>
              </w:rPr>
              <w:t>3</w:t>
            </w:r>
            <w:r>
              <w:rPr>
                <w:color w:val="000000" w:themeColor="text1"/>
                <w:kern w:val="0"/>
                <w:sz w:val="24"/>
                <w:szCs w:val="20"/>
                <w14:textFill>
                  <w14:solidFill>
                    <w14:schemeClr w14:val="tx1"/>
                  </w14:solidFill>
                </w14:textFill>
              </w:rPr>
              <w:t>、颗粒物5.568mg/m</w:t>
            </w:r>
            <w:r>
              <w:rPr>
                <w:color w:val="000000" w:themeColor="text1"/>
                <w:kern w:val="0"/>
                <w:sz w:val="24"/>
                <w:szCs w:val="20"/>
                <w:vertAlign w:val="superscript"/>
                <w14:textFill>
                  <w14:solidFill>
                    <w14:schemeClr w14:val="tx1"/>
                  </w14:solidFill>
                </w14:textFill>
              </w:rPr>
              <w:t>3</w:t>
            </w:r>
            <w:r>
              <w:rPr>
                <w:color w:val="000000" w:themeColor="text1"/>
                <w:kern w:val="0"/>
                <w:sz w:val="24"/>
                <w:szCs w:val="20"/>
                <w14:textFill>
                  <w14:solidFill>
                    <w14:schemeClr w14:val="tx1"/>
                  </w14:solidFill>
                </w14:textFill>
              </w:rPr>
              <w:t>，</w:t>
            </w:r>
            <w:r>
              <w:rPr>
                <w:color w:val="000000"/>
                <w:kern w:val="0"/>
                <w:sz w:val="24"/>
                <w:szCs w:val="20"/>
              </w:rPr>
              <w:t>均能</w:t>
            </w:r>
            <w:r>
              <w:rPr>
                <w:rFonts w:hint="eastAsia"/>
                <w:color w:val="000000"/>
                <w:kern w:val="0"/>
                <w:sz w:val="24"/>
                <w:szCs w:val="20"/>
              </w:rPr>
              <w:t>满足《锅炉大气污染物排放标准</w:t>
            </w:r>
            <w:r>
              <w:rPr>
                <w:color w:val="000000"/>
                <w:kern w:val="0"/>
                <w:sz w:val="24"/>
                <w:szCs w:val="20"/>
              </w:rPr>
              <w:t>DB61/1226-2018》中表3燃气锅炉大气污染物排放浓度限值（颗粒物≤10mg/m</w:t>
            </w:r>
            <w:r>
              <w:rPr>
                <w:color w:val="000000"/>
                <w:kern w:val="0"/>
                <w:sz w:val="24"/>
                <w:szCs w:val="20"/>
                <w:vertAlign w:val="superscript"/>
              </w:rPr>
              <w:t>3</w:t>
            </w:r>
            <w:r>
              <w:rPr>
                <w:color w:val="000000"/>
                <w:kern w:val="0"/>
                <w:sz w:val="24"/>
                <w:szCs w:val="20"/>
              </w:rPr>
              <w:t>、SO</w:t>
            </w:r>
            <w:r>
              <w:rPr>
                <w:color w:val="000000"/>
                <w:kern w:val="0"/>
                <w:sz w:val="24"/>
                <w:szCs w:val="20"/>
                <w:vertAlign w:val="subscript"/>
              </w:rPr>
              <w:t>2</w:t>
            </w:r>
            <w:r>
              <w:rPr>
                <w:color w:val="000000"/>
                <w:kern w:val="0"/>
                <w:sz w:val="24"/>
                <w:szCs w:val="20"/>
              </w:rPr>
              <w:t>≤20mg/m</w:t>
            </w:r>
            <w:r>
              <w:rPr>
                <w:color w:val="000000"/>
                <w:kern w:val="0"/>
                <w:sz w:val="24"/>
                <w:szCs w:val="20"/>
                <w:vertAlign w:val="superscript"/>
              </w:rPr>
              <w:t>3</w:t>
            </w:r>
            <w:r>
              <w:rPr>
                <w:color w:val="000000"/>
                <w:kern w:val="0"/>
                <w:sz w:val="24"/>
                <w:szCs w:val="20"/>
              </w:rPr>
              <w:t>、NO</w:t>
            </w:r>
            <w:r>
              <w:rPr>
                <w:color w:val="000000"/>
                <w:kern w:val="0"/>
                <w:sz w:val="24"/>
                <w:szCs w:val="20"/>
                <w:vertAlign w:val="subscript"/>
              </w:rPr>
              <w:t>X</w:t>
            </w:r>
            <w:r>
              <w:rPr>
                <w:color w:val="000000"/>
                <w:kern w:val="0"/>
                <w:sz w:val="24"/>
                <w:szCs w:val="20"/>
              </w:rPr>
              <w:t>≤50mg/m</w:t>
            </w:r>
            <w:r>
              <w:rPr>
                <w:color w:val="000000"/>
                <w:kern w:val="0"/>
                <w:sz w:val="24"/>
                <w:szCs w:val="20"/>
                <w:vertAlign w:val="superscript"/>
              </w:rPr>
              <w:t>3</w:t>
            </w:r>
            <w:r>
              <w:rPr>
                <w:color w:val="000000"/>
                <w:kern w:val="0"/>
                <w:sz w:val="24"/>
                <w:szCs w:val="20"/>
              </w:rPr>
              <w:t>）。</w:t>
            </w:r>
          </w:p>
          <w:p>
            <w:pPr>
              <w:spacing w:line="360" w:lineRule="auto"/>
              <w:ind w:firstLine="480" w:firstLineChars="200"/>
              <w:rPr>
                <w:color w:val="000000" w:themeColor="text1"/>
                <w:kern w:val="0"/>
                <w:sz w:val="24"/>
                <w:szCs w:val="20"/>
                <w14:textFill>
                  <w14:solidFill>
                    <w14:schemeClr w14:val="tx1"/>
                  </w14:solidFill>
                </w14:textFill>
              </w:rPr>
            </w:pPr>
            <w:r>
              <w:rPr>
                <w:rFonts w:hint="eastAsia"/>
                <w:color w:val="000000" w:themeColor="text1"/>
                <w:kern w:val="0"/>
                <w:sz w:val="24"/>
                <w:szCs w:val="20"/>
                <w14:textFill>
                  <w14:solidFill>
                    <w14:schemeClr w14:val="tx1"/>
                  </w14:solidFill>
                </w14:textFill>
              </w:rPr>
              <w:t>（4）食堂油烟</w:t>
            </w:r>
          </w:p>
          <w:p>
            <w:pPr>
              <w:tabs>
                <w:tab w:val="left" w:pos="360"/>
              </w:tabs>
              <w:spacing w:line="360" w:lineRule="auto"/>
              <w:ind w:firstLine="480" w:firstLineChars="200"/>
              <w:rPr>
                <w:color w:val="000000"/>
                <w:kern w:val="0"/>
                <w:sz w:val="24"/>
              </w:rPr>
            </w:pPr>
            <w:r>
              <w:rPr>
                <w:kern w:val="0"/>
                <w:sz w:val="24"/>
              </w:rPr>
              <w:t>食堂位于</w:t>
            </w:r>
            <w:r>
              <w:rPr>
                <w:rFonts w:hint="eastAsia"/>
                <w:kern w:val="0"/>
                <w:sz w:val="24"/>
              </w:rPr>
              <w:t>厂</w:t>
            </w:r>
            <w:r>
              <w:rPr>
                <w:kern w:val="0"/>
                <w:sz w:val="24"/>
              </w:rPr>
              <w:t>区西北角，在综合楼1楼。员工就餐人数按20人/d计</w:t>
            </w:r>
            <w:r>
              <w:rPr>
                <w:rFonts w:hint="eastAsia"/>
                <w:kern w:val="0"/>
                <w:sz w:val="24"/>
              </w:rPr>
              <w:t>，</w:t>
            </w:r>
            <w:r>
              <w:rPr>
                <w:kern w:val="0"/>
                <w:sz w:val="24"/>
              </w:rPr>
              <w:t>每人每天耗食用油量约为30g。</w:t>
            </w:r>
            <w:r>
              <w:rPr>
                <w:color w:val="000000"/>
                <w:kern w:val="0"/>
                <w:sz w:val="24"/>
              </w:rPr>
              <w:t>食堂设2个灶头（</w:t>
            </w:r>
            <w:r>
              <w:rPr>
                <w:kern w:val="0"/>
                <w:sz w:val="24"/>
              </w:rPr>
              <w:t>基准灶头数小于3个，属于</w:t>
            </w:r>
            <w:r>
              <w:rPr>
                <w:rFonts w:hint="eastAsia"/>
                <w:kern w:val="0"/>
                <w:sz w:val="24"/>
              </w:rPr>
              <w:t>小</w:t>
            </w:r>
            <w:r>
              <w:rPr>
                <w:kern w:val="0"/>
                <w:sz w:val="24"/>
              </w:rPr>
              <w:t>型餐饮单位</w:t>
            </w:r>
            <w:r>
              <w:rPr>
                <w:color w:val="000000"/>
                <w:kern w:val="0"/>
                <w:sz w:val="24"/>
              </w:rPr>
              <w:t>），单个灶头排风量以2000m</w:t>
            </w:r>
            <w:r>
              <w:rPr>
                <w:color w:val="000000"/>
                <w:kern w:val="0"/>
                <w:sz w:val="24"/>
                <w:vertAlign w:val="superscript"/>
              </w:rPr>
              <w:t>3</w:t>
            </w:r>
            <w:r>
              <w:rPr>
                <w:color w:val="000000"/>
                <w:kern w:val="0"/>
                <w:sz w:val="24"/>
              </w:rPr>
              <w:t>/h计，每个灶头日煎炒时间约为3h，年运营300d。食堂工作中会产生少量油烟。</w:t>
            </w:r>
            <w:r>
              <w:rPr>
                <w:color w:val="000000" w:themeColor="text1"/>
                <w:kern w:val="0"/>
                <w:sz w:val="24"/>
                <w:szCs w:val="20"/>
                <w14:textFill>
                  <w14:solidFill>
                    <w14:schemeClr w14:val="tx1"/>
                  </w14:solidFill>
                </w14:textFill>
              </w:rPr>
              <w:t>烹饪过程中油烟挥发损失约8%，则食堂油烟产生量约180kg/a、产生浓度约4mg/m</w:t>
            </w:r>
            <w:r>
              <w:rPr>
                <w:color w:val="000000" w:themeColor="text1"/>
                <w:kern w:val="0"/>
                <w:sz w:val="24"/>
                <w:szCs w:val="20"/>
                <w:vertAlign w:val="superscript"/>
                <w14:textFill>
                  <w14:solidFill>
                    <w14:schemeClr w14:val="tx1"/>
                  </w14:solidFill>
                </w14:textFill>
              </w:rPr>
              <w:t>3</w:t>
            </w:r>
            <w:r>
              <w:rPr>
                <w:kern w:val="0"/>
                <w:sz w:val="24"/>
              </w:rPr>
              <w:t>，食堂设置一套</w:t>
            </w:r>
            <w:r>
              <w:rPr>
                <w:color w:val="000000"/>
                <w:kern w:val="0"/>
                <w:sz w:val="24"/>
              </w:rPr>
              <w:t>油烟废气经油烟净化器（处理效率为60%）处理后，由专用烟道引至楼顶排放。项目食堂油烟产生及排放情况见表5-6。</w:t>
            </w:r>
          </w:p>
          <w:p>
            <w:pPr>
              <w:spacing w:line="360" w:lineRule="auto"/>
              <w:ind w:firstLine="482" w:firstLineChars="200"/>
              <w:jc w:val="center"/>
              <w:rPr>
                <w:b/>
                <w:color w:val="000000"/>
                <w:kern w:val="0"/>
                <w:sz w:val="24"/>
              </w:rPr>
            </w:pPr>
            <w:r>
              <w:rPr>
                <w:b/>
                <w:color w:val="000000"/>
                <w:kern w:val="0"/>
                <w:sz w:val="24"/>
              </w:rPr>
              <w:t>表5-6   项目食堂油烟废气产排情况一览表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280"/>
              <w:gridCol w:w="1370"/>
              <w:gridCol w:w="1405"/>
              <w:gridCol w:w="1142"/>
              <w:gridCol w:w="1387"/>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pct"/>
                  <w:shd w:val="clear" w:color="auto" w:fill="auto"/>
                  <w:vAlign w:val="center"/>
                </w:tcPr>
                <w:p>
                  <w:pPr>
                    <w:autoSpaceDE w:val="0"/>
                    <w:autoSpaceDN w:val="0"/>
                    <w:adjustRightInd w:val="0"/>
                    <w:snapToGrid w:val="0"/>
                    <w:jc w:val="center"/>
                    <w:rPr>
                      <w:color w:val="000000"/>
                    </w:rPr>
                  </w:pPr>
                  <w:r>
                    <w:rPr>
                      <w:color w:val="000000"/>
                    </w:rPr>
                    <w:t>规模</w:t>
                  </w:r>
                </w:p>
              </w:tc>
              <w:tc>
                <w:tcPr>
                  <w:tcW w:w="725" w:type="pct"/>
                  <w:shd w:val="clear" w:color="auto" w:fill="auto"/>
                  <w:vAlign w:val="center"/>
                </w:tcPr>
                <w:p>
                  <w:pPr>
                    <w:autoSpaceDE w:val="0"/>
                    <w:autoSpaceDN w:val="0"/>
                    <w:adjustRightInd w:val="0"/>
                    <w:snapToGrid w:val="0"/>
                    <w:jc w:val="center"/>
                    <w:rPr>
                      <w:color w:val="000000"/>
                    </w:rPr>
                  </w:pPr>
                  <w:r>
                    <w:rPr>
                      <w:color w:val="000000"/>
                    </w:rPr>
                    <w:t>产生量（kg/a）</w:t>
                  </w:r>
                </w:p>
              </w:tc>
              <w:tc>
                <w:tcPr>
                  <w:tcW w:w="776" w:type="pct"/>
                  <w:shd w:val="clear" w:color="auto" w:fill="auto"/>
                  <w:vAlign w:val="center"/>
                </w:tcPr>
                <w:p>
                  <w:pPr>
                    <w:autoSpaceDE w:val="0"/>
                    <w:autoSpaceDN w:val="0"/>
                    <w:adjustRightInd w:val="0"/>
                    <w:snapToGrid w:val="0"/>
                    <w:jc w:val="center"/>
                    <w:rPr>
                      <w:color w:val="000000"/>
                    </w:rPr>
                  </w:pPr>
                  <w:r>
                    <w:rPr>
                      <w:color w:val="000000"/>
                    </w:rPr>
                    <w:t>产生浓度（mg/m</w:t>
                  </w:r>
                  <w:r>
                    <w:rPr>
                      <w:color w:val="000000"/>
                      <w:vertAlign w:val="superscript"/>
                    </w:rPr>
                    <w:t>3</w:t>
                  </w:r>
                  <w:r>
                    <w:rPr>
                      <w:color w:val="000000"/>
                    </w:rPr>
                    <w:t>）</w:t>
                  </w:r>
                </w:p>
              </w:tc>
              <w:tc>
                <w:tcPr>
                  <w:tcW w:w="796" w:type="pct"/>
                  <w:shd w:val="clear" w:color="auto" w:fill="auto"/>
                  <w:vAlign w:val="center"/>
                </w:tcPr>
                <w:p>
                  <w:pPr>
                    <w:autoSpaceDE w:val="0"/>
                    <w:autoSpaceDN w:val="0"/>
                    <w:adjustRightInd w:val="0"/>
                    <w:snapToGrid w:val="0"/>
                    <w:jc w:val="center"/>
                    <w:rPr>
                      <w:color w:val="000000"/>
                    </w:rPr>
                  </w:pPr>
                  <w:r>
                    <w:rPr>
                      <w:color w:val="000000"/>
                      <w:kern w:val="0"/>
                    </w:rPr>
                    <w:t>处理</w:t>
                  </w:r>
                  <w:r>
                    <w:rPr>
                      <w:color w:val="000000"/>
                    </w:rPr>
                    <w:t>效率（%）</w:t>
                  </w:r>
                </w:p>
              </w:tc>
              <w:tc>
                <w:tcPr>
                  <w:tcW w:w="647" w:type="pct"/>
                  <w:shd w:val="clear" w:color="auto" w:fill="auto"/>
                  <w:vAlign w:val="center"/>
                </w:tcPr>
                <w:p>
                  <w:pPr>
                    <w:autoSpaceDE w:val="0"/>
                    <w:autoSpaceDN w:val="0"/>
                    <w:adjustRightInd w:val="0"/>
                    <w:snapToGrid w:val="0"/>
                    <w:jc w:val="center"/>
                    <w:rPr>
                      <w:color w:val="000000"/>
                    </w:rPr>
                  </w:pPr>
                  <w:r>
                    <w:rPr>
                      <w:color w:val="000000"/>
                      <w:kern w:val="0"/>
                    </w:rPr>
                    <w:t>排放量</w:t>
                  </w:r>
                  <w:r>
                    <w:rPr>
                      <w:color w:val="000000"/>
                    </w:rPr>
                    <w:t>（kg/a）</w:t>
                  </w:r>
                </w:p>
              </w:tc>
              <w:tc>
                <w:tcPr>
                  <w:tcW w:w="786" w:type="pct"/>
                  <w:shd w:val="clear" w:color="auto" w:fill="auto"/>
                  <w:vAlign w:val="center"/>
                </w:tcPr>
                <w:p>
                  <w:pPr>
                    <w:autoSpaceDE w:val="0"/>
                    <w:autoSpaceDN w:val="0"/>
                    <w:adjustRightInd w:val="0"/>
                    <w:snapToGrid w:val="0"/>
                    <w:jc w:val="center"/>
                    <w:rPr>
                      <w:color w:val="000000"/>
                    </w:rPr>
                  </w:pPr>
                  <w:r>
                    <w:rPr>
                      <w:color w:val="000000"/>
                    </w:rPr>
                    <w:t>排放浓度（mg/m</w:t>
                  </w:r>
                  <w:r>
                    <w:rPr>
                      <w:color w:val="000000"/>
                      <w:vertAlign w:val="superscript"/>
                    </w:rPr>
                    <w:t>3</w:t>
                  </w:r>
                  <w:r>
                    <w:rPr>
                      <w:color w:val="000000"/>
                    </w:rPr>
                    <w:t>）</w:t>
                  </w:r>
                </w:p>
              </w:tc>
              <w:tc>
                <w:tcPr>
                  <w:tcW w:w="810" w:type="pct"/>
                  <w:shd w:val="clear" w:color="auto" w:fill="auto"/>
                  <w:vAlign w:val="center"/>
                </w:tcPr>
                <w:p>
                  <w:pPr>
                    <w:autoSpaceDE w:val="0"/>
                    <w:autoSpaceDN w:val="0"/>
                    <w:adjustRightInd w:val="0"/>
                    <w:snapToGrid w:val="0"/>
                    <w:jc w:val="center"/>
                    <w:rPr>
                      <w:color w:val="000000"/>
                    </w:rPr>
                  </w:pPr>
                  <w:r>
                    <w:rPr>
                      <w:color w:val="000000"/>
                    </w:rPr>
                    <w:t>风量（m</w:t>
                  </w:r>
                  <w:r>
                    <w:rPr>
                      <w:color w:val="000000"/>
                      <w:vertAlign w:val="superscript"/>
                    </w:rPr>
                    <w:t>3</w:t>
                  </w:r>
                  <w:r>
                    <w:rPr>
                      <w:color w:val="000000"/>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pct"/>
                  <w:shd w:val="clear" w:color="auto" w:fill="auto"/>
                  <w:vAlign w:val="center"/>
                </w:tcPr>
                <w:p>
                  <w:pPr>
                    <w:spacing w:line="360" w:lineRule="exact"/>
                    <w:jc w:val="center"/>
                    <w:rPr>
                      <w:color w:val="000000"/>
                    </w:rPr>
                  </w:pPr>
                  <w:r>
                    <w:rPr>
                      <w:rFonts w:hint="eastAsia"/>
                      <w:color w:val="000000"/>
                    </w:rPr>
                    <w:t>小</w:t>
                  </w:r>
                  <w:r>
                    <w:rPr>
                      <w:color w:val="000000"/>
                    </w:rPr>
                    <w:t>型</w:t>
                  </w:r>
                </w:p>
              </w:tc>
              <w:tc>
                <w:tcPr>
                  <w:tcW w:w="725" w:type="pct"/>
                  <w:shd w:val="clear" w:color="auto" w:fill="auto"/>
                  <w:vAlign w:val="center"/>
                </w:tcPr>
                <w:p>
                  <w:pPr>
                    <w:spacing w:line="360" w:lineRule="exact"/>
                    <w:jc w:val="center"/>
                    <w:rPr>
                      <w:color w:val="000000"/>
                    </w:rPr>
                  </w:pPr>
                  <w:r>
                    <w:rPr>
                      <w:color w:val="000000"/>
                    </w:rPr>
                    <w:t>180</w:t>
                  </w:r>
                </w:p>
              </w:tc>
              <w:tc>
                <w:tcPr>
                  <w:tcW w:w="776" w:type="pct"/>
                  <w:shd w:val="clear" w:color="auto" w:fill="auto"/>
                  <w:vAlign w:val="center"/>
                </w:tcPr>
                <w:p>
                  <w:pPr>
                    <w:spacing w:line="360" w:lineRule="exact"/>
                    <w:jc w:val="center"/>
                    <w:rPr>
                      <w:color w:val="000000"/>
                    </w:rPr>
                  </w:pPr>
                  <w:r>
                    <w:rPr>
                      <w:color w:val="000000"/>
                    </w:rPr>
                    <w:t>4</w:t>
                  </w:r>
                </w:p>
              </w:tc>
              <w:tc>
                <w:tcPr>
                  <w:tcW w:w="796" w:type="pct"/>
                  <w:shd w:val="clear" w:color="auto" w:fill="auto"/>
                  <w:vAlign w:val="center"/>
                </w:tcPr>
                <w:p>
                  <w:pPr>
                    <w:spacing w:line="360" w:lineRule="exact"/>
                    <w:jc w:val="center"/>
                    <w:rPr>
                      <w:color w:val="000000"/>
                    </w:rPr>
                  </w:pPr>
                  <w:r>
                    <w:rPr>
                      <w:color w:val="000000"/>
                    </w:rPr>
                    <w:t>60</w:t>
                  </w:r>
                </w:p>
              </w:tc>
              <w:tc>
                <w:tcPr>
                  <w:tcW w:w="647" w:type="pct"/>
                  <w:shd w:val="clear" w:color="auto" w:fill="auto"/>
                  <w:vAlign w:val="center"/>
                </w:tcPr>
                <w:p>
                  <w:pPr>
                    <w:spacing w:line="360" w:lineRule="exact"/>
                    <w:jc w:val="center"/>
                    <w:rPr>
                      <w:color w:val="000000"/>
                    </w:rPr>
                  </w:pPr>
                  <w:r>
                    <w:rPr>
                      <w:rFonts w:hint="eastAsia"/>
                      <w:color w:val="000000"/>
                    </w:rPr>
                    <w:t>9</w:t>
                  </w:r>
                  <w:r>
                    <w:rPr>
                      <w:color w:val="000000"/>
                    </w:rPr>
                    <w:t>2</w:t>
                  </w:r>
                </w:p>
              </w:tc>
              <w:tc>
                <w:tcPr>
                  <w:tcW w:w="786" w:type="pct"/>
                  <w:shd w:val="clear" w:color="auto" w:fill="auto"/>
                  <w:vAlign w:val="center"/>
                </w:tcPr>
                <w:p>
                  <w:pPr>
                    <w:spacing w:line="360" w:lineRule="exact"/>
                    <w:jc w:val="center"/>
                    <w:rPr>
                      <w:color w:val="000000"/>
                    </w:rPr>
                  </w:pPr>
                  <w:r>
                    <w:rPr>
                      <w:rFonts w:hint="eastAsia"/>
                      <w:color w:val="000000"/>
                    </w:rPr>
                    <w:t>1</w:t>
                  </w:r>
                  <w:r>
                    <w:rPr>
                      <w:color w:val="000000"/>
                    </w:rPr>
                    <w:t>.6</w:t>
                  </w:r>
                </w:p>
              </w:tc>
              <w:tc>
                <w:tcPr>
                  <w:tcW w:w="810" w:type="pct"/>
                  <w:shd w:val="clear" w:color="auto" w:fill="auto"/>
                  <w:vAlign w:val="center"/>
                </w:tcPr>
                <w:p>
                  <w:pPr>
                    <w:spacing w:line="360" w:lineRule="exact"/>
                    <w:jc w:val="center"/>
                    <w:rPr>
                      <w:color w:val="000000"/>
                    </w:rPr>
                  </w:pPr>
                  <w:r>
                    <w:rPr>
                      <w:color w:val="000000"/>
                    </w:rPr>
                    <w:t>4000</w:t>
                  </w:r>
                </w:p>
              </w:tc>
            </w:tr>
          </w:tbl>
          <w:p>
            <w:pPr>
              <w:autoSpaceDE w:val="0"/>
              <w:autoSpaceDN w:val="0"/>
              <w:adjustRightInd w:val="0"/>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2、废</w:t>
            </w:r>
            <w:r>
              <w:rPr>
                <w:rFonts w:hint="eastAsia"/>
                <w:color w:val="000000" w:themeColor="text1"/>
                <w:kern w:val="0"/>
                <w:sz w:val="24"/>
                <w:szCs w:val="20"/>
                <w14:textFill>
                  <w14:solidFill>
                    <w14:schemeClr w14:val="tx1"/>
                  </w14:solidFill>
                </w14:textFill>
              </w:rPr>
              <w:t>水</w:t>
            </w:r>
          </w:p>
          <w:p>
            <w:pPr>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拟建项目建成后，废</w:t>
            </w:r>
            <w:r>
              <w:rPr>
                <w:rFonts w:hint="eastAsia"/>
                <w:color w:val="000000" w:themeColor="text1"/>
                <w:kern w:val="0"/>
                <w:sz w:val="24"/>
                <w:szCs w:val="20"/>
                <w14:textFill>
                  <w14:solidFill>
                    <w14:schemeClr w14:val="tx1"/>
                  </w14:solidFill>
                </w14:textFill>
              </w:rPr>
              <w:t>水</w:t>
            </w:r>
            <w:r>
              <w:rPr>
                <w:color w:val="000000" w:themeColor="text1"/>
                <w:kern w:val="0"/>
                <w:sz w:val="24"/>
                <w:szCs w:val="20"/>
                <w14:textFill>
                  <w14:solidFill>
                    <w14:schemeClr w14:val="tx1"/>
                  </w14:solidFill>
                </w14:textFill>
              </w:rPr>
              <w:t>污染源主要包括</w:t>
            </w:r>
            <w:r>
              <w:rPr>
                <w:rFonts w:hint="eastAsia"/>
                <w:color w:val="000000" w:themeColor="text1"/>
                <w:kern w:val="0"/>
                <w:sz w:val="24"/>
                <w:szCs w:val="20"/>
                <w14:textFill>
                  <w14:solidFill>
                    <w14:schemeClr w14:val="tx1"/>
                  </w14:solidFill>
                </w14:textFill>
              </w:rPr>
              <w:t>生活污水和生产废水，总共</w:t>
            </w:r>
            <w:r>
              <w:rPr>
                <w:color w:val="000000" w:themeColor="text1"/>
                <w:kern w:val="0"/>
                <w:sz w:val="24"/>
                <w:szCs w:val="20"/>
                <w14:textFill>
                  <w14:solidFill>
                    <w14:schemeClr w14:val="tx1"/>
                  </w14:solidFill>
                </w14:textFill>
              </w:rPr>
              <w:t>2.2</w:t>
            </w:r>
            <w:r>
              <w:rPr>
                <w:kern w:val="0"/>
                <w:sz w:val="24"/>
              </w:rPr>
              <w:t>m</w:t>
            </w:r>
            <w:r>
              <w:rPr>
                <w:kern w:val="0"/>
                <w:sz w:val="24"/>
                <w:vertAlign w:val="superscript"/>
              </w:rPr>
              <w:t>3</w:t>
            </w:r>
            <w:r>
              <w:rPr>
                <w:kern w:val="0"/>
                <w:sz w:val="24"/>
              </w:rPr>
              <w:t>/d（660m</w:t>
            </w:r>
            <w:r>
              <w:rPr>
                <w:kern w:val="0"/>
                <w:sz w:val="24"/>
                <w:vertAlign w:val="superscript"/>
              </w:rPr>
              <w:t>3</w:t>
            </w:r>
            <w:r>
              <w:rPr>
                <w:kern w:val="0"/>
                <w:sz w:val="24"/>
              </w:rPr>
              <w:t>/</w:t>
            </w:r>
            <w:r>
              <w:rPr>
                <w:rFonts w:hint="eastAsia"/>
                <w:kern w:val="0"/>
                <w:sz w:val="24"/>
              </w:rPr>
              <w:t>a</w:t>
            </w:r>
            <w:r>
              <w:rPr>
                <w:kern w:val="0"/>
                <w:sz w:val="24"/>
              </w:rPr>
              <w:t>）</w:t>
            </w:r>
            <w:r>
              <w:rPr>
                <w:rFonts w:hint="eastAsia"/>
                <w:kern w:val="0"/>
                <w:sz w:val="24"/>
              </w:rPr>
              <w:t>，本项目废水不外排</w:t>
            </w:r>
            <w:r>
              <w:rPr>
                <w:rFonts w:hint="eastAsia"/>
                <w:color w:val="000000" w:themeColor="text1"/>
                <w:kern w:val="0"/>
                <w:sz w:val="24"/>
                <w:szCs w:val="20"/>
                <w14:textFill>
                  <w14:solidFill>
                    <w14:schemeClr w14:val="tx1"/>
                  </w14:solidFill>
                </w14:textFill>
              </w:rPr>
              <w:t>。</w:t>
            </w:r>
          </w:p>
          <w:p>
            <w:pPr>
              <w:adjustRightInd w:val="0"/>
              <w:snapToGrid w:val="0"/>
              <w:spacing w:line="360" w:lineRule="auto"/>
              <w:ind w:firstLine="480" w:firstLineChars="200"/>
              <w:rPr>
                <w:kern w:val="0"/>
                <w:sz w:val="24"/>
              </w:rPr>
            </w:pPr>
            <w:r>
              <w:rPr>
                <w:rFonts w:hint="eastAsia"/>
                <w:kern w:val="0"/>
                <w:sz w:val="24"/>
              </w:rPr>
              <w:t>（1）生活污水</w:t>
            </w:r>
          </w:p>
          <w:p>
            <w:pPr>
              <w:adjustRightInd w:val="0"/>
              <w:snapToGrid w:val="0"/>
              <w:spacing w:line="360" w:lineRule="auto"/>
              <w:ind w:firstLine="480" w:firstLineChars="200"/>
              <w:rPr>
                <w:color w:val="00B0F0"/>
                <w:kern w:val="0"/>
                <w:sz w:val="24"/>
              </w:rPr>
            </w:pPr>
            <w:r>
              <w:rPr>
                <w:rFonts w:hint="eastAsia"/>
                <w:color w:val="00B0F0"/>
                <w:kern w:val="0"/>
                <w:sz w:val="24"/>
              </w:rPr>
              <w:t>本</w:t>
            </w:r>
            <w:r>
              <w:rPr>
                <w:color w:val="00B0F0"/>
                <w:kern w:val="0"/>
                <w:sz w:val="24"/>
              </w:rPr>
              <w:t>项目劳动定员</w:t>
            </w:r>
            <w:r>
              <w:rPr>
                <w:rFonts w:hint="eastAsia"/>
                <w:color w:val="00B0F0"/>
                <w:kern w:val="0"/>
                <w:sz w:val="24"/>
              </w:rPr>
              <w:t>20</w:t>
            </w:r>
            <w:r>
              <w:rPr>
                <w:color w:val="00B0F0"/>
                <w:kern w:val="0"/>
                <w:sz w:val="24"/>
              </w:rPr>
              <w:t>人，</w:t>
            </w:r>
            <w:r>
              <w:rPr>
                <w:rFonts w:hint="eastAsia"/>
                <w:color w:val="00B0F0"/>
                <w:kern w:val="0"/>
                <w:sz w:val="24"/>
              </w:rPr>
              <w:t>运营期</w:t>
            </w:r>
            <w:r>
              <w:rPr>
                <w:color w:val="00B0F0"/>
                <w:kern w:val="0"/>
                <w:sz w:val="24"/>
              </w:rPr>
              <w:t>生活</w:t>
            </w:r>
            <w:r>
              <w:rPr>
                <w:rFonts w:hint="eastAsia"/>
                <w:color w:val="00B0F0"/>
                <w:kern w:val="0"/>
                <w:sz w:val="24"/>
              </w:rPr>
              <w:t>污水</w:t>
            </w:r>
            <w:r>
              <w:rPr>
                <w:color w:val="00B0F0"/>
                <w:kern w:val="0"/>
                <w:sz w:val="24"/>
              </w:rPr>
              <w:t>产生量</w:t>
            </w:r>
            <w:r>
              <w:rPr>
                <w:rFonts w:hint="eastAsia"/>
                <w:color w:val="00B0F0"/>
                <w:kern w:val="0"/>
                <w:sz w:val="24"/>
              </w:rPr>
              <w:t>1</w:t>
            </w:r>
            <w:r>
              <w:rPr>
                <w:color w:val="00B0F0"/>
                <w:kern w:val="0"/>
                <w:sz w:val="24"/>
              </w:rPr>
              <w:t>.</w:t>
            </w:r>
            <w:r>
              <w:rPr>
                <w:rFonts w:hint="eastAsia"/>
                <w:color w:val="00B0F0"/>
                <w:kern w:val="0"/>
                <w:sz w:val="24"/>
              </w:rPr>
              <w:t>6</w:t>
            </w:r>
            <w:r>
              <w:rPr>
                <w:color w:val="00B0F0"/>
                <w:kern w:val="0"/>
                <w:sz w:val="24"/>
              </w:rPr>
              <w:t>m</w:t>
            </w:r>
            <w:r>
              <w:rPr>
                <w:color w:val="00B0F0"/>
                <w:kern w:val="0"/>
                <w:sz w:val="24"/>
                <w:vertAlign w:val="superscript"/>
              </w:rPr>
              <w:t>3</w:t>
            </w:r>
            <w:r>
              <w:rPr>
                <w:color w:val="00B0F0"/>
                <w:kern w:val="0"/>
                <w:sz w:val="24"/>
              </w:rPr>
              <w:t>/d（</w:t>
            </w:r>
            <w:r>
              <w:rPr>
                <w:rFonts w:hint="eastAsia"/>
                <w:color w:val="00B0F0"/>
                <w:kern w:val="0"/>
                <w:sz w:val="24"/>
              </w:rPr>
              <w:t>48</w:t>
            </w:r>
            <w:r>
              <w:rPr>
                <w:color w:val="00B0F0"/>
                <w:kern w:val="0"/>
                <w:sz w:val="24"/>
              </w:rPr>
              <w:t>0m</w:t>
            </w:r>
            <w:r>
              <w:rPr>
                <w:color w:val="00B0F0"/>
                <w:kern w:val="0"/>
                <w:sz w:val="24"/>
                <w:vertAlign w:val="superscript"/>
              </w:rPr>
              <w:t>3</w:t>
            </w:r>
            <w:r>
              <w:rPr>
                <w:color w:val="00B0F0"/>
                <w:kern w:val="0"/>
                <w:sz w:val="24"/>
              </w:rPr>
              <w:t>/</w:t>
            </w:r>
            <w:r>
              <w:rPr>
                <w:rFonts w:hint="eastAsia"/>
                <w:color w:val="00B0F0"/>
                <w:kern w:val="0"/>
                <w:sz w:val="24"/>
              </w:rPr>
              <w:t>a</w:t>
            </w:r>
            <w:r>
              <w:rPr>
                <w:color w:val="00B0F0"/>
                <w:kern w:val="0"/>
                <w:sz w:val="24"/>
              </w:rPr>
              <w:t>）</w:t>
            </w:r>
            <w:r>
              <w:rPr>
                <w:rFonts w:hint="eastAsia"/>
                <w:color w:val="00B0F0"/>
                <w:kern w:val="0"/>
                <w:sz w:val="24"/>
              </w:rPr>
              <w:t>，</w:t>
            </w:r>
            <w:r>
              <w:rPr>
                <w:color w:val="00B0F0"/>
                <w:kern w:val="0"/>
                <w:sz w:val="24"/>
              </w:rPr>
              <w:t>食堂废水经隔油池后与生活污水</w:t>
            </w:r>
            <w:r>
              <w:rPr>
                <w:rFonts w:hint="eastAsia"/>
                <w:color w:val="00B0F0"/>
                <w:kern w:val="0"/>
                <w:sz w:val="24"/>
              </w:rPr>
              <w:t>排入</w:t>
            </w:r>
            <w:r>
              <w:rPr>
                <w:color w:val="00B0F0"/>
                <w:kern w:val="0"/>
                <w:sz w:val="24"/>
              </w:rPr>
              <w:t>化粪池</w:t>
            </w:r>
            <w:r>
              <w:rPr>
                <w:rFonts w:hint="eastAsia"/>
                <w:color w:val="00B0F0"/>
                <w:kern w:val="0"/>
                <w:sz w:val="24"/>
              </w:rPr>
              <w:t>（3</w:t>
            </w:r>
            <w:r>
              <w:rPr>
                <w:color w:val="00B0F0"/>
                <w:kern w:val="0"/>
                <w:sz w:val="24"/>
              </w:rPr>
              <w:t>0m</w:t>
            </w:r>
            <w:r>
              <w:rPr>
                <w:color w:val="00B0F0"/>
                <w:kern w:val="0"/>
                <w:sz w:val="24"/>
                <w:vertAlign w:val="superscript"/>
              </w:rPr>
              <w:t>3</w:t>
            </w:r>
            <w:r>
              <w:rPr>
                <w:rFonts w:hint="eastAsia"/>
                <w:color w:val="00B0F0"/>
                <w:kern w:val="0"/>
                <w:sz w:val="24"/>
              </w:rPr>
              <w:t>），对化粪池进行定期清掏工作</w:t>
            </w:r>
            <w:r>
              <w:rPr>
                <w:color w:val="00B0F0"/>
                <w:kern w:val="0"/>
                <w:sz w:val="24"/>
              </w:rPr>
              <w:t>。</w:t>
            </w:r>
          </w:p>
          <w:p>
            <w:pPr>
              <w:spacing w:line="360" w:lineRule="auto"/>
              <w:jc w:val="center"/>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表</w:t>
            </w:r>
            <w:r>
              <w:rPr>
                <w:b/>
                <w:color w:val="000000" w:themeColor="text1"/>
                <w:kern w:val="0"/>
                <w:sz w:val="24"/>
                <w14:textFill>
                  <w14:solidFill>
                    <w14:schemeClr w14:val="tx1"/>
                  </w14:solidFill>
                </w14:textFill>
              </w:rPr>
              <w:t>5</w:t>
            </w:r>
            <w:r>
              <w:rPr>
                <w:rFonts w:hint="eastAsia"/>
                <w:b/>
                <w:color w:val="000000" w:themeColor="text1"/>
                <w:kern w:val="0"/>
                <w:sz w:val="24"/>
                <w14:textFill>
                  <w14:solidFill>
                    <w14:schemeClr w14:val="tx1"/>
                  </w14:solidFill>
                </w14:textFill>
              </w:rPr>
              <w:t>-</w:t>
            </w:r>
            <w:r>
              <w:rPr>
                <w:b/>
                <w:color w:val="000000" w:themeColor="text1"/>
                <w:kern w:val="0"/>
                <w:sz w:val="24"/>
                <w14:textFill>
                  <w14:solidFill>
                    <w14:schemeClr w14:val="tx1"/>
                  </w14:solidFill>
                </w14:textFill>
              </w:rPr>
              <w:t xml:space="preserve">7  </w:t>
            </w:r>
            <w:r>
              <w:rPr>
                <w:rFonts w:hint="eastAsia"/>
                <w:b/>
                <w:color w:val="000000" w:themeColor="text1"/>
                <w:kern w:val="0"/>
                <w:sz w:val="24"/>
                <w14:textFill>
                  <w14:solidFill>
                    <w14:schemeClr w14:val="tx1"/>
                  </w14:solidFill>
                </w14:textFill>
              </w:rPr>
              <w:t>项目主要生活污水污染物产生及排放量</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155"/>
              <w:gridCol w:w="1402"/>
              <w:gridCol w:w="1259"/>
              <w:gridCol w:w="1259"/>
              <w:gridCol w:w="15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03" w:type="pct"/>
                  <w:gridSpan w:val="2"/>
                  <w:vAlign w:val="center"/>
                </w:tcPr>
                <w:p>
                  <w:pPr>
                    <w:jc w:val="center"/>
                    <w:rPr>
                      <w:szCs w:val="21"/>
                    </w:rPr>
                  </w:pPr>
                  <w:r>
                    <w:rPr>
                      <w:rFonts w:hint="eastAsia"/>
                      <w:szCs w:val="21"/>
                    </w:rPr>
                    <w:t>污染物名称</w:t>
                  </w:r>
                </w:p>
              </w:tc>
              <w:tc>
                <w:tcPr>
                  <w:tcW w:w="794" w:type="pct"/>
                  <w:vAlign w:val="center"/>
                </w:tcPr>
                <w:p>
                  <w:pPr>
                    <w:jc w:val="center"/>
                    <w:rPr>
                      <w:szCs w:val="21"/>
                    </w:rPr>
                  </w:pPr>
                  <w:r>
                    <w:rPr>
                      <w:rFonts w:hint="eastAsia"/>
                      <w:szCs w:val="21"/>
                    </w:rPr>
                    <w:t>COD</w:t>
                  </w:r>
                </w:p>
              </w:tc>
              <w:tc>
                <w:tcPr>
                  <w:tcW w:w="713" w:type="pct"/>
                  <w:vAlign w:val="center"/>
                </w:tcPr>
                <w:p>
                  <w:pPr>
                    <w:jc w:val="center"/>
                    <w:rPr>
                      <w:szCs w:val="21"/>
                    </w:rPr>
                  </w:pPr>
                  <w:r>
                    <w:rPr>
                      <w:rFonts w:hint="eastAsia"/>
                      <w:szCs w:val="21"/>
                    </w:rPr>
                    <w:t>BOD</w:t>
                  </w:r>
                  <w:r>
                    <w:rPr>
                      <w:szCs w:val="21"/>
                      <w:vertAlign w:val="subscript"/>
                    </w:rPr>
                    <w:t>5</w:t>
                  </w:r>
                </w:p>
              </w:tc>
              <w:tc>
                <w:tcPr>
                  <w:tcW w:w="713" w:type="pct"/>
                  <w:vAlign w:val="center"/>
                </w:tcPr>
                <w:p>
                  <w:pPr>
                    <w:jc w:val="center"/>
                    <w:rPr>
                      <w:szCs w:val="21"/>
                    </w:rPr>
                  </w:pPr>
                  <w:r>
                    <w:rPr>
                      <w:rFonts w:hint="eastAsia"/>
                      <w:szCs w:val="21"/>
                    </w:rPr>
                    <w:t>SS</w:t>
                  </w:r>
                </w:p>
              </w:tc>
              <w:tc>
                <w:tcPr>
                  <w:tcW w:w="876" w:type="pct"/>
                  <w:tcBorders>
                    <w:right w:val="single" w:color="auto" w:sz="12" w:space="0"/>
                  </w:tcBorders>
                  <w:vAlign w:val="center"/>
                </w:tcPr>
                <w:p>
                  <w:pPr>
                    <w:jc w:val="center"/>
                    <w:rPr>
                      <w:szCs w:val="21"/>
                    </w:rPr>
                  </w:pPr>
                  <w:r>
                    <w:rPr>
                      <w:rFonts w:hint="eastAsia"/>
                      <w:szCs w:val="21"/>
                    </w:rPr>
                    <w:t>氨氮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03" w:type="pct"/>
                  <w:gridSpan w:val="2"/>
                  <w:vAlign w:val="center"/>
                </w:tcPr>
                <w:p>
                  <w:pPr>
                    <w:jc w:val="center"/>
                    <w:rPr>
                      <w:szCs w:val="21"/>
                    </w:rPr>
                  </w:pPr>
                  <w:r>
                    <w:rPr>
                      <w:rFonts w:hint="eastAsia"/>
                      <w:szCs w:val="21"/>
                    </w:rPr>
                    <w:t>生活污水产生量（t</w:t>
                  </w:r>
                  <w:r>
                    <w:rPr>
                      <w:szCs w:val="21"/>
                    </w:rPr>
                    <w:t>/a</w:t>
                  </w:r>
                  <w:r>
                    <w:rPr>
                      <w:rFonts w:hint="eastAsia"/>
                      <w:szCs w:val="21"/>
                    </w:rPr>
                    <w:t>）</w:t>
                  </w:r>
                </w:p>
              </w:tc>
              <w:tc>
                <w:tcPr>
                  <w:tcW w:w="3097" w:type="pct"/>
                  <w:gridSpan w:val="4"/>
                  <w:tcBorders>
                    <w:right w:val="single" w:color="auto" w:sz="12" w:space="0"/>
                  </w:tcBorders>
                  <w:vAlign w:val="center"/>
                </w:tcPr>
                <w:p>
                  <w:pPr>
                    <w:jc w:val="center"/>
                    <w:rPr>
                      <w:szCs w:val="21"/>
                    </w:rPr>
                  </w:pPr>
                  <w:r>
                    <w:rPr>
                      <w:szCs w:val="21"/>
                    </w:rPr>
                    <w:t>480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restart"/>
                  <w:vAlign w:val="center"/>
                </w:tcPr>
                <w:p>
                  <w:pPr>
                    <w:jc w:val="center"/>
                    <w:rPr>
                      <w:szCs w:val="21"/>
                    </w:rPr>
                  </w:pPr>
                  <w:r>
                    <w:rPr>
                      <w:rFonts w:hint="eastAsia"/>
                      <w:szCs w:val="21"/>
                    </w:rPr>
                    <w:t>处理前</w:t>
                  </w:r>
                </w:p>
              </w:tc>
              <w:tc>
                <w:tcPr>
                  <w:tcW w:w="1221" w:type="pct"/>
                  <w:vAlign w:val="center"/>
                </w:tcPr>
                <w:p>
                  <w:pPr>
                    <w:jc w:val="center"/>
                    <w:rPr>
                      <w:szCs w:val="21"/>
                    </w:rPr>
                  </w:pPr>
                  <w:r>
                    <w:rPr>
                      <w:rFonts w:hint="eastAsia"/>
                      <w:szCs w:val="21"/>
                    </w:rPr>
                    <w:t>浓度（mg</w:t>
                  </w:r>
                  <w:r>
                    <w:rPr>
                      <w:szCs w:val="21"/>
                    </w:rPr>
                    <w:t>/L</w:t>
                  </w:r>
                  <w:r>
                    <w:rPr>
                      <w:rFonts w:hint="eastAsia"/>
                      <w:szCs w:val="21"/>
                    </w:rPr>
                    <w:t>）</w:t>
                  </w:r>
                </w:p>
              </w:tc>
              <w:tc>
                <w:tcPr>
                  <w:tcW w:w="794" w:type="pct"/>
                  <w:vAlign w:val="center"/>
                </w:tcPr>
                <w:p>
                  <w:pPr>
                    <w:jc w:val="center"/>
                    <w:rPr>
                      <w:szCs w:val="21"/>
                    </w:rPr>
                  </w:pPr>
                  <w:r>
                    <w:rPr>
                      <w:rFonts w:hint="eastAsia"/>
                      <w:szCs w:val="21"/>
                    </w:rPr>
                    <w:t>400</w:t>
                  </w:r>
                </w:p>
              </w:tc>
              <w:tc>
                <w:tcPr>
                  <w:tcW w:w="713" w:type="pct"/>
                  <w:vAlign w:val="center"/>
                </w:tcPr>
                <w:p>
                  <w:pPr>
                    <w:jc w:val="center"/>
                    <w:rPr>
                      <w:szCs w:val="21"/>
                    </w:rPr>
                  </w:pPr>
                  <w:r>
                    <w:rPr>
                      <w:rFonts w:hint="eastAsia"/>
                      <w:szCs w:val="21"/>
                    </w:rPr>
                    <w:t>200</w:t>
                  </w:r>
                </w:p>
              </w:tc>
              <w:tc>
                <w:tcPr>
                  <w:tcW w:w="713" w:type="pct"/>
                  <w:vAlign w:val="center"/>
                </w:tcPr>
                <w:p>
                  <w:pPr>
                    <w:jc w:val="center"/>
                    <w:rPr>
                      <w:szCs w:val="21"/>
                    </w:rPr>
                  </w:pPr>
                  <w:r>
                    <w:rPr>
                      <w:szCs w:val="21"/>
                    </w:rPr>
                    <w:t>300</w:t>
                  </w:r>
                </w:p>
              </w:tc>
              <w:tc>
                <w:tcPr>
                  <w:tcW w:w="876" w:type="pct"/>
                  <w:tcBorders>
                    <w:right w:val="single" w:color="auto" w:sz="12" w:space="0"/>
                  </w:tcBorders>
                  <w:vAlign w:val="center"/>
                </w:tcPr>
                <w:p>
                  <w:pPr>
                    <w:jc w:val="center"/>
                    <w:rPr>
                      <w:szCs w:val="21"/>
                    </w:rPr>
                  </w:pPr>
                  <w:r>
                    <w:rPr>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vAlign w:val="center"/>
                </w:tcPr>
                <w:p>
                  <w:pPr>
                    <w:jc w:val="center"/>
                    <w:rPr>
                      <w:szCs w:val="21"/>
                    </w:rPr>
                  </w:pPr>
                </w:p>
              </w:tc>
              <w:tc>
                <w:tcPr>
                  <w:tcW w:w="1221" w:type="pct"/>
                  <w:vAlign w:val="center"/>
                </w:tcPr>
                <w:p>
                  <w:pPr>
                    <w:jc w:val="center"/>
                    <w:rPr>
                      <w:szCs w:val="21"/>
                    </w:rPr>
                  </w:pPr>
                  <w:r>
                    <w:rPr>
                      <w:rFonts w:hint="eastAsia"/>
                      <w:szCs w:val="21"/>
                    </w:rPr>
                    <w:t>产生量（t</w:t>
                  </w:r>
                  <w:r>
                    <w:rPr>
                      <w:szCs w:val="21"/>
                    </w:rPr>
                    <w:t>/a</w:t>
                  </w:r>
                  <w:r>
                    <w:rPr>
                      <w:rFonts w:hint="eastAsia"/>
                      <w:szCs w:val="21"/>
                    </w:rPr>
                    <w:t>）</w:t>
                  </w:r>
                </w:p>
              </w:tc>
              <w:tc>
                <w:tcPr>
                  <w:tcW w:w="794" w:type="pct"/>
                  <w:vAlign w:val="center"/>
                </w:tcPr>
                <w:p>
                  <w:pPr>
                    <w:jc w:val="center"/>
                    <w:rPr>
                      <w:szCs w:val="21"/>
                    </w:rPr>
                  </w:pPr>
                  <w:r>
                    <w:rPr>
                      <w:rFonts w:hint="eastAsia"/>
                      <w:szCs w:val="21"/>
                    </w:rPr>
                    <w:t>0</w:t>
                  </w:r>
                  <w:r>
                    <w:rPr>
                      <w:szCs w:val="21"/>
                    </w:rPr>
                    <w:t>.19</w:t>
                  </w:r>
                </w:p>
              </w:tc>
              <w:tc>
                <w:tcPr>
                  <w:tcW w:w="713" w:type="pct"/>
                  <w:vAlign w:val="center"/>
                </w:tcPr>
                <w:p>
                  <w:pPr>
                    <w:jc w:val="center"/>
                    <w:rPr>
                      <w:szCs w:val="21"/>
                    </w:rPr>
                  </w:pPr>
                  <w:r>
                    <w:rPr>
                      <w:rFonts w:hint="eastAsia"/>
                      <w:szCs w:val="21"/>
                    </w:rPr>
                    <w:t>0</w:t>
                  </w:r>
                  <w:r>
                    <w:rPr>
                      <w:szCs w:val="21"/>
                    </w:rPr>
                    <w:t>.096</w:t>
                  </w:r>
                </w:p>
              </w:tc>
              <w:tc>
                <w:tcPr>
                  <w:tcW w:w="713" w:type="pct"/>
                  <w:vAlign w:val="center"/>
                </w:tcPr>
                <w:p>
                  <w:pPr>
                    <w:jc w:val="center"/>
                    <w:rPr>
                      <w:szCs w:val="21"/>
                    </w:rPr>
                  </w:pPr>
                  <w:r>
                    <w:rPr>
                      <w:rFonts w:hint="eastAsia"/>
                      <w:szCs w:val="21"/>
                    </w:rPr>
                    <w:t>0</w:t>
                  </w:r>
                  <w:r>
                    <w:rPr>
                      <w:szCs w:val="21"/>
                    </w:rPr>
                    <w:t>.144</w:t>
                  </w:r>
                </w:p>
              </w:tc>
              <w:tc>
                <w:tcPr>
                  <w:tcW w:w="876" w:type="pct"/>
                  <w:tcBorders>
                    <w:right w:val="single" w:color="auto" w:sz="12" w:space="0"/>
                  </w:tcBorders>
                  <w:vAlign w:val="center"/>
                </w:tcPr>
                <w:p>
                  <w:pPr>
                    <w:jc w:val="center"/>
                    <w:rPr>
                      <w:szCs w:val="21"/>
                    </w:rPr>
                  </w:pPr>
                  <w:r>
                    <w:rPr>
                      <w:rFonts w:hint="eastAsia"/>
                      <w:szCs w:val="21"/>
                    </w:rPr>
                    <w:t>0</w:t>
                  </w:r>
                  <w:r>
                    <w:rPr>
                      <w:szCs w:val="21"/>
                    </w:rPr>
                    <w:t>.012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03" w:type="pct"/>
                  <w:gridSpan w:val="2"/>
                  <w:vAlign w:val="center"/>
                </w:tcPr>
                <w:p>
                  <w:pPr>
                    <w:jc w:val="center"/>
                    <w:rPr>
                      <w:szCs w:val="21"/>
                    </w:rPr>
                  </w:pPr>
                  <w:r>
                    <w:rPr>
                      <w:rFonts w:hint="eastAsia"/>
                      <w:szCs w:val="21"/>
                    </w:rPr>
                    <w:t>处理措施</w:t>
                  </w:r>
                </w:p>
              </w:tc>
              <w:tc>
                <w:tcPr>
                  <w:tcW w:w="3097" w:type="pct"/>
                  <w:gridSpan w:val="4"/>
                  <w:tcBorders>
                    <w:right w:val="single" w:color="auto" w:sz="12" w:space="0"/>
                  </w:tcBorders>
                  <w:vAlign w:val="center"/>
                </w:tcPr>
                <w:p>
                  <w:pPr>
                    <w:jc w:val="center"/>
                    <w:rPr>
                      <w:szCs w:val="21"/>
                    </w:rPr>
                  </w:pPr>
                  <w:r>
                    <w:rPr>
                      <w:rFonts w:hint="eastAsia"/>
                      <w:szCs w:val="21"/>
                    </w:rPr>
                    <w:t>化粪池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restart"/>
                  <w:vAlign w:val="center"/>
                </w:tcPr>
                <w:p>
                  <w:pPr>
                    <w:jc w:val="center"/>
                    <w:rPr>
                      <w:szCs w:val="21"/>
                    </w:rPr>
                  </w:pPr>
                  <w:r>
                    <w:rPr>
                      <w:rFonts w:hint="eastAsia"/>
                      <w:szCs w:val="21"/>
                    </w:rPr>
                    <w:t>处理后</w:t>
                  </w:r>
                </w:p>
              </w:tc>
              <w:tc>
                <w:tcPr>
                  <w:tcW w:w="1221" w:type="pct"/>
                  <w:vAlign w:val="center"/>
                </w:tcPr>
                <w:p>
                  <w:pPr>
                    <w:jc w:val="center"/>
                    <w:rPr>
                      <w:szCs w:val="21"/>
                    </w:rPr>
                  </w:pPr>
                  <w:r>
                    <w:rPr>
                      <w:rFonts w:hint="eastAsia"/>
                      <w:szCs w:val="21"/>
                    </w:rPr>
                    <w:t>浓度（mg</w:t>
                  </w:r>
                  <w:r>
                    <w:rPr>
                      <w:szCs w:val="21"/>
                    </w:rPr>
                    <w:t>/L</w:t>
                  </w:r>
                  <w:r>
                    <w:rPr>
                      <w:rFonts w:hint="eastAsia"/>
                      <w:szCs w:val="21"/>
                    </w:rPr>
                    <w:t>）</w:t>
                  </w:r>
                </w:p>
              </w:tc>
              <w:tc>
                <w:tcPr>
                  <w:tcW w:w="794" w:type="pct"/>
                  <w:vAlign w:val="center"/>
                </w:tcPr>
                <w:p>
                  <w:pPr>
                    <w:jc w:val="center"/>
                    <w:rPr>
                      <w:szCs w:val="21"/>
                    </w:rPr>
                  </w:pPr>
                  <w:r>
                    <w:rPr>
                      <w:szCs w:val="21"/>
                    </w:rPr>
                    <w:t>340</w:t>
                  </w:r>
                </w:p>
              </w:tc>
              <w:tc>
                <w:tcPr>
                  <w:tcW w:w="713" w:type="pct"/>
                  <w:vAlign w:val="center"/>
                </w:tcPr>
                <w:p>
                  <w:pPr>
                    <w:jc w:val="center"/>
                    <w:rPr>
                      <w:szCs w:val="21"/>
                    </w:rPr>
                  </w:pPr>
                  <w:r>
                    <w:rPr>
                      <w:szCs w:val="21"/>
                    </w:rPr>
                    <w:t>170</w:t>
                  </w:r>
                </w:p>
              </w:tc>
              <w:tc>
                <w:tcPr>
                  <w:tcW w:w="713" w:type="pct"/>
                  <w:vAlign w:val="center"/>
                </w:tcPr>
                <w:p>
                  <w:pPr>
                    <w:jc w:val="center"/>
                    <w:rPr>
                      <w:szCs w:val="21"/>
                    </w:rPr>
                  </w:pPr>
                  <w:r>
                    <w:rPr>
                      <w:szCs w:val="21"/>
                    </w:rPr>
                    <w:t>170</w:t>
                  </w:r>
                </w:p>
              </w:tc>
              <w:tc>
                <w:tcPr>
                  <w:tcW w:w="876" w:type="pct"/>
                  <w:tcBorders>
                    <w:right w:val="single" w:color="auto" w:sz="12" w:space="0"/>
                  </w:tcBorders>
                  <w:vAlign w:val="center"/>
                </w:tcPr>
                <w:p>
                  <w:pPr>
                    <w:jc w:val="center"/>
                    <w:rPr>
                      <w:szCs w:val="21"/>
                    </w:rPr>
                  </w:pPr>
                  <w:r>
                    <w:rPr>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vAlign w:val="center"/>
                </w:tcPr>
                <w:p>
                  <w:pPr>
                    <w:jc w:val="center"/>
                    <w:rPr>
                      <w:szCs w:val="21"/>
                    </w:rPr>
                  </w:pPr>
                </w:p>
              </w:tc>
              <w:tc>
                <w:tcPr>
                  <w:tcW w:w="1221" w:type="pct"/>
                  <w:vAlign w:val="center"/>
                </w:tcPr>
                <w:p>
                  <w:pPr>
                    <w:jc w:val="center"/>
                    <w:rPr>
                      <w:szCs w:val="21"/>
                    </w:rPr>
                  </w:pPr>
                  <w:r>
                    <w:rPr>
                      <w:rFonts w:hint="eastAsia"/>
                      <w:szCs w:val="21"/>
                    </w:rPr>
                    <w:t>产生量（t</w:t>
                  </w:r>
                  <w:r>
                    <w:rPr>
                      <w:szCs w:val="21"/>
                    </w:rPr>
                    <w:t>/a</w:t>
                  </w:r>
                  <w:r>
                    <w:rPr>
                      <w:rFonts w:hint="eastAsia"/>
                      <w:szCs w:val="21"/>
                    </w:rPr>
                    <w:t>）</w:t>
                  </w:r>
                </w:p>
              </w:tc>
              <w:tc>
                <w:tcPr>
                  <w:tcW w:w="794" w:type="pct"/>
                  <w:vAlign w:val="center"/>
                </w:tcPr>
                <w:p>
                  <w:pPr>
                    <w:jc w:val="center"/>
                    <w:rPr>
                      <w:szCs w:val="21"/>
                    </w:rPr>
                  </w:pPr>
                  <w:r>
                    <w:rPr>
                      <w:rFonts w:hint="eastAsia"/>
                      <w:szCs w:val="21"/>
                    </w:rPr>
                    <w:t>0</w:t>
                  </w:r>
                  <w:r>
                    <w:rPr>
                      <w:szCs w:val="21"/>
                    </w:rPr>
                    <w:t>.163</w:t>
                  </w:r>
                </w:p>
              </w:tc>
              <w:tc>
                <w:tcPr>
                  <w:tcW w:w="713" w:type="pct"/>
                  <w:vAlign w:val="center"/>
                </w:tcPr>
                <w:p>
                  <w:pPr>
                    <w:jc w:val="center"/>
                    <w:rPr>
                      <w:szCs w:val="21"/>
                    </w:rPr>
                  </w:pPr>
                  <w:r>
                    <w:rPr>
                      <w:rFonts w:hint="eastAsia"/>
                      <w:szCs w:val="21"/>
                    </w:rPr>
                    <w:t>0</w:t>
                  </w:r>
                  <w:r>
                    <w:rPr>
                      <w:szCs w:val="21"/>
                    </w:rPr>
                    <w:t>.082</w:t>
                  </w:r>
                </w:p>
              </w:tc>
              <w:tc>
                <w:tcPr>
                  <w:tcW w:w="713" w:type="pct"/>
                  <w:vAlign w:val="center"/>
                </w:tcPr>
                <w:p>
                  <w:pPr>
                    <w:jc w:val="center"/>
                    <w:rPr>
                      <w:szCs w:val="21"/>
                    </w:rPr>
                  </w:pPr>
                  <w:r>
                    <w:rPr>
                      <w:rFonts w:hint="eastAsia"/>
                      <w:szCs w:val="21"/>
                    </w:rPr>
                    <w:t>0</w:t>
                  </w:r>
                  <w:r>
                    <w:rPr>
                      <w:szCs w:val="21"/>
                    </w:rPr>
                    <w:t>.082</w:t>
                  </w:r>
                </w:p>
              </w:tc>
              <w:tc>
                <w:tcPr>
                  <w:tcW w:w="876" w:type="pct"/>
                  <w:tcBorders>
                    <w:right w:val="single" w:color="auto" w:sz="12" w:space="0"/>
                  </w:tcBorders>
                  <w:vAlign w:val="center"/>
                </w:tcPr>
                <w:p>
                  <w:pPr>
                    <w:jc w:val="center"/>
                    <w:rPr>
                      <w:szCs w:val="21"/>
                    </w:rPr>
                  </w:pPr>
                  <w:r>
                    <w:rPr>
                      <w:rFonts w:hint="eastAsia"/>
                      <w:szCs w:val="21"/>
                    </w:rPr>
                    <w:t>0</w:t>
                  </w:r>
                  <w:r>
                    <w:rPr>
                      <w:szCs w:val="21"/>
                    </w:rPr>
                    <w:t>.012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03" w:type="pct"/>
                  <w:gridSpan w:val="2"/>
                </w:tcPr>
                <w:p>
                  <w:pPr>
                    <w:jc w:val="center"/>
                    <w:rPr>
                      <w:szCs w:val="21"/>
                    </w:rPr>
                  </w:pPr>
                  <w:r>
                    <w:rPr>
                      <w:rFonts w:hint="eastAsia"/>
                    </w:rPr>
                    <w:t>GB8978-1996三级标准</w:t>
                  </w:r>
                </w:p>
              </w:tc>
              <w:tc>
                <w:tcPr>
                  <w:tcW w:w="794" w:type="pct"/>
                </w:tcPr>
                <w:p>
                  <w:pPr>
                    <w:jc w:val="center"/>
                    <w:rPr>
                      <w:szCs w:val="21"/>
                    </w:rPr>
                  </w:pPr>
                  <w:r>
                    <w:rPr>
                      <w:rFonts w:hint="eastAsia"/>
                    </w:rPr>
                    <w:t>500</w:t>
                  </w:r>
                </w:p>
              </w:tc>
              <w:tc>
                <w:tcPr>
                  <w:tcW w:w="713" w:type="pct"/>
                </w:tcPr>
                <w:p>
                  <w:pPr>
                    <w:jc w:val="center"/>
                    <w:rPr>
                      <w:szCs w:val="21"/>
                    </w:rPr>
                  </w:pPr>
                  <w:r>
                    <w:rPr>
                      <w:rFonts w:hint="eastAsia"/>
                    </w:rPr>
                    <w:t>300</w:t>
                  </w:r>
                </w:p>
              </w:tc>
              <w:tc>
                <w:tcPr>
                  <w:tcW w:w="713" w:type="pct"/>
                </w:tcPr>
                <w:p>
                  <w:pPr>
                    <w:jc w:val="center"/>
                    <w:rPr>
                      <w:szCs w:val="21"/>
                    </w:rPr>
                  </w:pPr>
                  <w:r>
                    <w:rPr>
                      <w:rFonts w:hint="eastAsia"/>
                    </w:rPr>
                    <w:t>400</w:t>
                  </w:r>
                </w:p>
              </w:tc>
              <w:tc>
                <w:tcPr>
                  <w:tcW w:w="876" w:type="pct"/>
                  <w:tcBorders>
                    <w:right w:val="single" w:color="auto" w:sz="12" w:space="0"/>
                  </w:tcBorders>
                </w:tcPr>
                <w:p>
                  <w:pPr>
                    <w:jc w:val="center"/>
                    <w:rPr>
                      <w:szCs w:val="21"/>
                    </w:rPr>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03" w:type="pct"/>
                  <w:gridSpan w:val="2"/>
                </w:tcPr>
                <w:p>
                  <w:pPr>
                    <w:jc w:val="center"/>
                    <w:rPr>
                      <w:szCs w:val="21"/>
                    </w:rPr>
                  </w:pPr>
                  <w:r>
                    <w:rPr>
                      <w:rFonts w:hint="eastAsia"/>
                    </w:rPr>
                    <w:t>GB/T31962-2015 B级标准</w:t>
                  </w:r>
                </w:p>
              </w:tc>
              <w:tc>
                <w:tcPr>
                  <w:tcW w:w="794" w:type="pct"/>
                </w:tcPr>
                <w:p>
                  <w:pPr>
                    <w:jc w:val="center"/>
                    <w:rPr>
                      <w:szCs w:val="21"/>
                    </w:rPr>
                  </w:pPr>
                  <w:r>
                    <w:rPr>
                      <w:rFonts w:hint="eastAsia"/>
                    </w:rPr>
                    <w:t>/</w:t>
                  </w:r>
                </w:p>
              </w:tc>
              <w:tc>
                <w:tcPr>
                  <w:tcW w:w="713" w:type="pct"/>
                </w:tcPr>
                <w:p>
                  <w:pPr>
                    <w:jc w:val="center"/>
                    <w:rPr>
                      <w:szCs w:val="21"/>
                    </w:rPr>
                  </w:pPr>
                  <w:r>
                    <w:rPr>
                      <w:rFonts w:hint="eastAsia"/>
                    </w:rPr>
                    <w:t>/</w:t>
                  </w:r>
                </w:p>
              </w:tc>
              <w:tc>
                <w:tcPr>
                  <w:tcW w:w="713" w:type="pct"/>
                </w:tcPr>
                <w:p>
                  <w:pPr>
                    <w:jc w:val="center"/>
                    <w:rPr>
                      <w:szCs w:val="21"/>
                    </w:rPr>
                  </w:pPr>
                  <w:r>
                    <w:rPr>
                      <w:rFonts w:hint="eastAsia"/>
                    </w:rPr>
                    <w:t>/</w:t>
                  </w:r>
                </w:p>
              </w:tc>
              <w:tc>
                <w:tcPr>
                  <w:tcW w:w="876" w:type="pct"/>
                  <w:tcBorders>
                    <w:right w:val="single" w:color="auto" w:sz="12" w:space="0"/>
                  </w:tcBorders>
                </w:tcPr>
                <w:p>
                  <w:pPr>
                    <w:jc w:val="center"/>
                    <w:rPr>
                      <w:szCs w:val="21"/>
                    </w:rPr>
                  </w:pPr>
                  <w:r>
                    <w:rPr>
                      <w:rFonts w:hint="eastAsia"/>
                    </w:rPr>
                    <w:t>45</w:t>
                  </w:r>
                </w:p>
              </w:tc>
            </w:tr>
          </w:tbl>
          <w:p>
            <w:pPr>
              <w:widowControl/>
              <w:adjustRightInd w:val="0"/>
              <w:snapToGrid w:val="0"/>
              <w:spacing w:line="360" w:lineRule="auto"/>
              <w:ind w:firstLine="480" w:firstLineChars="200"/>
              <w:rPr>
                <w:bCs/>
                <w:kern w:val="0"/>
                <w:sz w:val="24"/>
              </w:rPr>
            </w:pPr>
            <w:r>
              <w:rPr>
                <w:rFonts w:hint="eastAsia"/>
                <w:bCs/>
                <w:kern w:val="0"/>
                <w:sz w:val="24"/>
              </w:rPr>
              <w:t>（2）生产废水</w:t>
            </w:r>
          </w:p>
          <w:p>
            <w:pPr>
              <w:adjustRightInd w:val="0"/>
              <w:snapToGrid w:val="0"/>
              <w:spacing w:line="360" w:lineRule="auto"/>
              <w:ind w:firstLine="480" w:firstLineChars="200"/>
              <w:rPr>
                <w:rFonts w:hAnsi="宋体"/>
                <w:kern w:val="0"/>
                <w:sz w:val="24"/>
              </w:rPr>
            </w:pPr>
            <w:r>
              <w:rPr>
                <w:rFonts w:hint="eastAsia" w:hAnsi="宋体"/>
                <w:kern w:val="0"/>
                <w:sz w:val="24"/>
              </w:rPr>
              <w:t>项目生产废水主要为锅炉排水。本项目安装</w:t>
            </w:r>
            <w:r>
              <w:rPr>
                <w:rFonts w:hint="eastAsia"/>
                <w:kern w:val="0"/>
                <w:sz w:val="24"/>
              </w:rPr>
              <w:t>2台2t/h的燃气锅炉</w:t>
            </w:r>
            <w:r>
              <w:rPr>
                <w:rFonts w:hint="eastAsia" w:hAnsi="宋体"/>
                <w:kern w:val="0"/>
                <w:sz w:val="24"/>
              </w:rPr>
              <w:t>，</w:t>
            </w:r>
            <w:r>
              <w:rPr>
                <w:rFonts w:hint="eastAsia"/>
                <w:kern w:val="0"/>
                <w:sz w:val="24"/>
              </w:rPr>
              <w:t>建成后为生产提供蒸汽</w:t>
            </w:r>
            <w:r>
              <w:rPr>
                <w:rFonts w:hint="eastAsia" w:hAnsi="宋体"/>
                <w:kern w:val="0"/>
                <w:sz w:val="24"/>
              </w:rPr>
              <w:t>。锅炉排水包括锅炉运行时定期排水及软水制备设备排水。</w:t>
            </w:r>
          </w:p>
          <w:p>
            <w:pPr>
              <w:adjustRightInd w:val="0"/>
              <w:snapToGrid w:val="0"/>
              <w:spacing w:line="360" w:lineRule="auto"/>
              <w:ind w:firstLine="480" w:firstLineChars="200"/>
              <w:rPr>
                <w:rFonts w:hAnsi="宋体"/>
                <w:kern w:val="0"/>
                <w:sz w:val="24"/>
              </w:rPr>
            </w:pPr>
            <w:r>
              <w:rPr>
                <w:rFonts w:hint="eastAsia" w:hAnsi="宋体"/>
                <w:kern w:val="0"/>
                <w:sz w:val="24"/>
              </w:rPr>
              <w:t>为了保证锅炉运行时的安全性和经济性，新鲜水在进入锅炉之前必须进行软化，降低水中钙、镁盐类的含量，防止锅炉结垢现象，减少水中的溶解气体（俗称除氧），以减轻对受热面的腐蚀。通过软化处理后，锅炉内水的硬度将大大降低。但是为了防止锅炉结垢，还需进行定期排污，定期排污主要是排出水中的水渣</w:t>
            </w:r>
            <w:r>
              <w:rPr>
                <w:rFonts w:hAnsi="宋体"/>
                <w:kern w:val="0"/>
                <w:sz w:val="24"/>
              </w:rPr>
              <w:t>——</w:t>
            </w:r>
            <w:r>
              <w:rPr>
                <w:rFonts w:hint="eastAsia" w:hAnsi="宋体"/>
                <w:kern w:val="0"/>
                <w:sz w:val="24"/>
              </w:rPr>
              <w:t>松散的沉积物，同时排出盐分（主要为</w:t>
            </w:r>
            <w:r>
              <w:rPr>
                <w:rFonts w:hint="eastAsia"/>
                <w:kern w:val="0"/>
                <w:sz w:val="24"/>
              </w:rPr>
              <w:t>C</w:t>
            </w:r>
            <w:r>
              <w:rPr>
                <w:kern w:val="0"/>
                <w:sz w:val="24"/>
              </w:rPr>
              <w:t>aCO</w:t>
            </w:r>
            <w:r>
              <w:rPr>
                <w:kern w:val="0"/>
                <w:sz w:val="24"/>
                <w:vertAlign w:val="subscript"/>
              </w:rPr>
              <w:t>3</w:t>
            </w:r>
            <w:r>
              <w:rPr>
                <w:rFonts w:hint="eastAsia" w:hAnsi="宋体"/>
                <w:kern w:val="0"/>
                <w:sz w:val="24"/>
              </w:rPr>
              <w:t>、</w:t>
            </w:r>
            <w:r>
              <w:rPr>
                <w:kern w:val="0"/>
                <w:sz w:val="24"/>
              </w:rPr>
              <w:t>Na</w:t>
            </w:r>
            <w:r>
              <w:rPr>
                <w:rFonts w:hint="eastAsia"/>
                <w:kern w:val="0"/>
                <w:sz w:val="24"/>
                <w:vertAlign w:val="subscript"/>
              </w:rPr>
              <w:t>2</w:t>
            </w:r>
            <w:r>
              <w:rPr>
                <w:kern w:val="0"/>
                <w:sz w:val="24"/>
              </w:rPr>
              <w:t>CO</w:t>
            </w:r>
            <w:r>
              <w:rPr>
                <w:kern w:val="0"/>
                <w:sz w:val="24"/>
                <w:vertAlign w:val="subscript"/>
              </w:rPr>
              <w:t>3</w:t>
            </w:r>
            <w:r>
              <w:rPr>
                <w:rFonts w:hint="eastAsia" w:hAnsi="宋体"/>
                <w:kern w:val="0"/>
                <w:sz w:val="24"/>
              </w:rPr>
              <w:t>）。</w:t>
            </w:r>
          </w:p>
          <w:p>
            <w:pPr>
              <w:adjustRightInd w:val="0"/>
              <w:snapToGrid w:val="0"/>
              <w:spacing w:line="360" w:lineRule="auto"/>
              <w:ind w:firstLine="480" w:firstLineChars="200"/>
              <w:rPr>
                <w:kern w:val="0"/>
                <w:sz w:val="24"/>
              </w:rPr>
            </w:pPr>
            <w:r>
              <w:rPr>
                <w:rFonts w:hint="eastAsia"/>
                <w:color w:val="00B0F0"/>
                <w:kern w:val="0"/>
                <w:sz w:val="24"/>
              </w:rPr>
              <w:t>锅炉定期排水（浓盐水）排水量为0.</w:t>
            </w:r>
            <w:r>
              <w:rPr>
                <w:color w:val="00B0F0"/>
                <w:kern w:val="0"/>
                <w:sz w:val="24"/>
              </w:rPr>
              <w:t>06m</w:t>
            </w:r>
            <w:r>
              <w:rPr>
                <w:color w:val="00B0F0"/>
                <w:kern w:val="0"/>
                <w:sz w:val="24"/>
                <w:vertAlign w:val="superscript"/>
              </w:rPr>
              <w:t>3</w:t>
            </w:r>
            <w:r>
              <w:rPr>
                <w:color w:val="00B0F0"/>
                <w:kern w:val="0"/>
                <w:sz w:val="24"/>
              </w:rPr>
              <w:t>/d</w:t>
            </w:r>
            <w:r>
              <w:rPr>
                <w:rFonts w:hint="eastAsia" w:hAnsi="宋体"/>
                <w:color w:val="00B0F0"/>
                <w:sz w:val="24"/>
              </w:rPr>
              <w:t>（1</w:t>
            </w:r>
            <w:r>
              <w:rPr>
                <w:rFonts w:hAnsi="宋体"/>
                <w:color w:val="00B0F0"/>
                <w:sz w:val="24"/>
              </w:rPr>
              <w:t>8</w:t>
            </w:r>
            <w:r>
              <w:rPr>
                <w:rFonts w:hint="eastAsia" w:hAnsi="宋体"/>
                <w:color w:val="00B0F0"/>
                <w:sz w:val="24"/>
              </w:rPr>
              <w:t>m</w:t>
            </w:r>
            <w:r>
              <w:rPr>
                <w:rFonts w:hint="eastAsia" w:hAnsi="宋体"/>
                <w:color w:val="00B0F0"/>
                <w:sz w:val="24"/>
                <w:vertAlign w:val="superscript"/>
              </w:rPr>
              <w:t>3</w:t>
            </w:r>
            <w:r>
              <w:rPr>
                <w:rFonts w:hint="eastAsia" w:hAnsi="宋体"/>
                <w:color w:val="00B0F0"/>
                <w:sz w:val="24"/>
              </w:rPr>
              <w:t>/a）</w:t>
            </w:r>
            <w:r>
              <w:rPr>
                <w:rFonts w:hint="eastAsia" w:hAnsi="宋体"/>
                <w:color w:val="00B0F0"/>
                <w:kern w:val="0"/>
                <w:sz w:val="24"/>
              </w:rPr>
              <w:t>、软水制备设备排水（</w:t>
            </w:r>
            <w:r>
              <w:rPr>
                <w:rFonts w:hint="eastAsia"/>
                <w:color w:val="00B0F0"/>
                <w:kern w:val="0"/>
                <w:sz w:val="24"/>
              </w:rPr>
              <w:t>浓水量</w:t>
            </w:r>
            <w:r>
              <w:rPr>
                <w:rFonts w:hint="eastAsia" w:hAnsi="宋体"/>
                <w:color w:val="00B0F0"/>
                <w:kern w:val="0"/>
                <w:sz w:val="24"/>
              </w:rPr>
              <w:t>）</w:t>
            </w:r>
            <w:r>
              <w:rPr>
                <w:color w:val="00B0F0"/>
                <w:kern w:val="0"/>
                <w:sz w:val="24"/>
              </w:rPr>
              <w:t>0.54m</w:t>
            </w:r>
            <w:r>
              <w:rPr>
                <w:color w:val="00B0F0"/>
                <w:kern w:val="0"/>
                <w:sz w:val="24"/>
                <w:vertAlign w:val="superscript"/>
              </w:rPr>
              <w:t>3</w:t>
            </w:r>
            <w:r>
              <w:rPr>
                <w:color w:val="00B0F0"/>
                <w:kern w:val="0"/>
                <w:sz w:val="24"/>
              </w:rPr>
              <w:t>/d</w:t>
            </w:r>
            <w:r>
              <w:rPr>
                <w:rFonts w:hint="eastAsia" w:hAnsi="宋体"/>
                <w:color w:val="00B0F0"/>
                <w:sz w:val="24"/>
              </w:rPr>
              <w:t>（1</w:t>
            </w:r>
            <w:r>
              <w:rPr>
                <w:rFonts w:hAnsi="宋体"/>
                <w:color w:val="00B0F0"/>
                <w:sz w:val="24"/>
              </w:rPr>
              <w:t>62</w:t>
            </w:r>
            <w:r>
              <w:rPr>
                <w:rFonts w:hint="eastAsia" w:hAnsi="宋体"/>
                <w:color w:val="00B0F0"/>
                <w:sz w:val="24"/>
              </w:rPr>
              <w:t>m</w:t>
            </w:r>
            <w:r>
              <w:rPr>
                <w:rFonts w:hint="eastAsia" w:hAnsi="宋体"/>
                <w:color w:val="00B0F0"/>
                <w:sz w:val="24"/>
                <w:vertAlign w:val="superscript"/>
              </w:rPr>
              <w:t>3</w:t>
            </w:r>
            <w:r>
              <w:rPr>
                <w:rFonts w:hint="eastAsia" w:hAnsi="宋体"/>
                <w:color w:val="00B0F0"/>
                <w:sz w:val="24"/>
              </w:rPr>
              <w:t>/a）</w:t>
            </w:r>
            <w:r>
              <w:rPr>
                <w:rFonts w:hint="eastAsia"/>
                <w:color w:val="00B0F0"/>
                <w:kern w:val="0"/>
                <w:sz w:val="24"/>
              </w:rPr>
              <w:t>，锅炉排水量共计</w:t>
            </w:r>
            <w:r>
              <w:rPr>
                <w:color w:val="00B0F0"/>
                <w:kern w:val="0"/>
                <w:sz w:val="24"/>
              </w:rPr>
              <w:t>0.6m</w:t>
            </w:r>
            <w:r>
              <w:rPr>
                <w:color w:val="00B0F0"/>
                <w:kern w:val="0"/>
                <w:sz w:val="24"/>
                <w:vertAlign w:val="superscript"/>
              </w:rPr>
              <w:t>3</w:t>
            </w:r>
            <w:r>
              <w:rPr>
                <w:color w:val="00B0F0"/>
                <w:kern w:val="0"/>
                <w:sz w:val="24"/>
              </w:rPr>
              <w:t>/d</w:t>
            </w:r>
            <w:r>
              <w:rPr>
                <w:rFonts w:hint="eastAsia" w:hAnsi="宋体"/>
                <w:color w:val="00B0F0"/>
                <w:kern w:val="0"/>
                <w:sz w:val="24"/>
              </w:rPr>
              <w:t>（</w:t>
            </w:r>
            <w:r>
              <w:rPr>
                <w:rFonts w:hAnsi="宋体"/>
                <w:color w:val="00B0F0"/>
                <w:kern w:val="0"/>
                <w:sz w:val="24"/>
              </w:rPr>
              <w:t>180</w:t>
            </w:r>
            <w:r>
              <w:rPr>
                <w:rFonts w:hint="eastAsia" w:hAnsi="宋体"/>
                <w:color w:val="00B0F0"/>
                <w:kern w:val="0"/>
                <w:sz w:val="24"/>
              </w:rPr>
              <w:t>m</w:t>
            </w:r>
            <w:r>
              <w:rPr>
                <w:rFonts w:hint="eastAsia" w:hAnsi="宋体"/>
                <w:color w:val="00B0F0"/>
                <w:kern w:val="0"/>
                <w:sz w:val="24"/>
                <w:vertAlign w:val="superscript"/>
              </w:rPr>
              <w:t>3</w:t>
            </w:r>
            <w:r>
              <w:rPr>
                <w:rFonts w:hint="eastAsia" w:hAnsi="宋体"/>
                <w:color w:val="00B0F0"/>
                <w:kern w:val="0"/>
                <w:sz w:val="24"/>
              </w:rPr>
              <w:t>/a），</w:t>
            </w:r>
            <w:r>
              <w:rPr>
                <w:rFonts w:hint="eastAsia"/>
                <w:color w:val="00B0F0"/>
                <w:kern w:val="0"/>
                <w:sz w:val="24"/>
              </w:rPr>
              <w:t>排入化粪池（30m3），对化粪池进行定期清掏工作。</w:t>
            </w:r>
            <w:r>
              <w:rPr>
                <w:rFonts w:hint="eastAsia"/>
                <w:kern w:val="0"/>
                <w:sz w:val="24"/>
              </w:rPr>
              <w:t>通过类比同类型锅炉排水情况，具体污染物情况见表5-</w:t>
            </w:r>
            <w:r>
              <w:rPr>
                <w:kern w:val="0"/>
                <w:sz w:val="24"/>
              </w:rPr>
              <w:t>8</w:t>
            </w:r>
            <w:r>
              <w:rPr>
                <w:rFonts w:hint="eastAsia"/>
                <w:kern w:val="0"/>
                <w:sz w:val="24"/>
              </w:rPr>
              <w:t>。</w:t>
            </w:r>
          </w:p>
          <w:p>
            <w:pPr>
              <w:spacing w:line="360" w:lineRule="auto"/>
              <w:jc w:val="center"/>
              <w:rPr>
                <w:b/>
                <w:kern w:val="0"/>
                <w:sz w:val="24"/>
              </w:rPr>
            </w:pPr>
            <w:r>
              <w:rPr>
                <w:rFonts w:hint="eastAsia"/>
                <w:b/>
                <w:kern w:val="0"/>
                <w:sz w:val="24"/>
              </w:rPr>
              <w:t>表</w:t>
            </w:r>
            <w:r>
              <w:rPr>
                <w:b/>
                <w:kern w:val="0"/>
                <w:sz w:val="24"/>
              </w:rPr>
              <w:t xml:space="preserve">5-8   </w:t>
            </w:r>
            <w:r>
              <w:rPr>
                <w:rFonts w:hint="eastAsia"/>
                <w:b/>
                <w:kern w:val="0"/>
                <w:sz w:val="24"/>
              </w:rPr>
              <w:t>项目生产废水的主要污染物产生及排放情况</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994"/>
              <w:gridCol w:w="990"/>
              <w:gridCol w:w="1560"/>
              <w:gridCol w:w="1417"/>
              <w:gridCol w:w="1818"/>
              <w:gridCol w:w="1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7" w:type="pct"/>
                  <w:vMerge w:val="restar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名称</w:t>
                  </w:r>
                </w:p>
              </w:tc>
              <w:tc>
                <w:tcPr>
                  <w:tcW w:w="563" w:type="pct"/>
                  <w:vMerge w:val="restar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产生量（m</w:t>
                  </w:r>
                  <w:r>
                    <w:rPr>
                      <w:color w:val="000000" w:themeColor="text1"/>
                      <w:kern w:val="0"/>
                      <w:sz w:val="20"/>
                      <w:szCs w:val="21"/>
                      <w:vertAlign w:val="superscript"/>
                      <w14:textFill>
                        <w14:solidFill>
                          <w14:schemeClr w14:val="tx1"/>
                        </w14:solidFill>
                      </w14:textFill>
                    </w:rPr>
                    <w:t>3</w:t>
                  </w:r>
                  <w:r>
                    <w:rPr>
                      <w:color w:val="000000" w:themeColor="text1"/>
                      <w:kern w:val="0"/>
                      <w:sz w:val="20"/>
                      <w:szCs w:val="21"/>
                      <w14:textFill>
                        <w14:solidFill>
                          <w14:schemeClr w14:val="tx1"/>
                        </w14:solidFill>
                      </w14:textFill>
                    </w:rPr>
                    <w:t>/</w:t>
                  </w:r>
                  <w:r>
                    <w:rPr>
                      <w:rFonts w:hint="eastAsia"/>
                      <w:color w:val="000000" w:themeColor="text1"/>
                      <w:kern w:val="0"/>
                      <w:sz w:val="20"/>
                      <w:szCs w:val="21"/>
                      <w14:textFill>
                        <w14:solidFill>
                          <w14:schemeClr w14:val="tx1"/>
                        </w14:solidFill>
                      </w14:textFill>
                    </w:rPr>
                    <w:t>a）</w:t>
                  </w:r>
                </w:p>
              </w:tc>
              <w:tc>
                <w:tcPr>
                  <w:tcW w:w="3870" w:type="pct"/>
                  <w:gridSpan w:val="5"/>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主要污染物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7" w:type="pct"/>
                  <w:vMerge w:val="continue"/>
                  <w:vAlign w:val="center"/>
                </w:tcPr>
                <w:p>
                  <w:pPr>
                    <w:jc w:val="center"/>
                    <w:rPr>
                      <w:color w:val="000000" w:themeColor="text1"/>
                      <w:kern w:val="0"/>
                      <w:sz w:val="20"/>
                      <w:szCs w:val="21"/>
                      <w14:textFill>
                        <w14:solidFill>
                          <w14:schemeClr w14:val="tx1"/>
                        </w14:solidFill>
                      </w14:textFill>
                    </w:rPr>
                  </w:pPr>
                </w:p>
              </w:tc>
              <w:tc>
                <w:tcPr>
                  <w:tcW w:w="563" w:type="pct"/>
                  <w:vMerge w:val="continue"/>
                  <w:vAlign w:val="center"/>
                </w:tcPr>
                <w:p>
                  <w:pPr>
                    <w:jc w:val="center"/>
                    <w:rPr>
                      <w:color w:val="000000" w:themeColor="text1"/>
                      <w:kern w:val="0"/>
                      <w:sz w:val="20"/>
                      <w:szCs w:val="21"/>
                      <w14:textFill>
                        <w14:solidFill>
                          <w14:schemeClr w14:val="tx1"/>
                        </w14:solidFill>
                      </w14:textFill>
                    </w:rPr>
                  </w:pPr>
                </w:p>
              </w:tc>
              <w:tc>
                <w:tcPr>
                  <w:tcW w:w="561"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种类</w:t>
                  </w:r>
                </w:p>
              </w:tc>
              <w:tc>
                <w:tcPr>
                  <w:tcW w:w="884" w:type="pct"/>
                  <w:tcBorders>
                    <w:bottom w:val="single" w:color="auto" w:sz="4" w:space="0"/>
                  </w:tcBorders>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产生浓度</w:t>
                  </w:r>
                </w:p>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（mg</w:t>
                  </w:r>
                  <w:r>
                    <w:rPr>
                      <w:color w:val="000000" w:themeColor="text1"/>
                      <w:kern w:val="0"/>
                      <w:sz w:val="20"/>
                      <w:szCs w:val="21"/>
                      <w14:textFill>
                        <w14:solidFill>
                          <w14:schemeClr w14:val="tx1"/>
                        </w14:solidFill>
                      </w14:textFill>
                    </w:rPr>
                    <w:t>/L</w:t>
                  </w:r>
                  <w:r>
                    <w:rPr>
                      <w:rFonts w:hint="eastAsia"/>
                      <w:color w:val="000000" w:themeColor="text1"/>
                      <w:kern w:val="0"/>
                      <w:sz w:val="20"/>
                      <w:szCs w:val="21"/>
                      <w14:textFill>
                        <w14:solidFill>
                          <w14:schemeClr w14:val="tx1"/>
                        </w14:solidFill>
                      </w14:textFill>
                    </w:rPr>
                    <w:t>）</w:t>
                  </w:r>
                </w:p>
              </w:tc>
              <w:tc>
                <w:tcPr>
                  <w:tcW w:w="803" w:type="pct"/>
                  <w:tcBorders>
                    <w:bottom w:val="single" w:color="auto" w:sz="4" w:space="0"/>
                  </w:tcBorders>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产生量</w:t>
                  </w:r>
                </w:p>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w:t>
                  </w:r>
                  <w:r>
                    <w:rPr>
                      <w:color w:val="000000" w:themeColor="text1"/>
                      <w:kern w:val="0"/>
                      <w:sz w:val="20"/>
                      <w:szCs w:val="21"/>
                      <w14:textFill>
                        <w14:solidFill>
                          <w14:schemeClr w14:val="tx1"/>
                        </w14:solidFill>
                      </w14:textFill>
                    </w:rPr>
                    <w:t>t/</w:t>
                  </w:r>
                  <w:r>
                    <w:rPr>
                      <w:rFonts w:hint="eastAsia"/>
                      <w:color w:val="000000" w:themeColor="text1"/>
                      <w:kern w:val="0"/>
                      <w:sz w:val="20"/>
                      <w:szCs w:val="21"/>
                      <w14:textFill>
                        <w14:solidFill>
                          <w14:schemeClr w14:val="tx1"/>
                        </w14:solidFill>
                      </w14:textFill>
                    </w:rPr>
                    <w:t>a）</w:t>
                  </w:r>
                </w:p>
              </w:tc>
              <w:tc>
                <w:tcPr>
                  <w:tcW w:w="1030" w:type="pct"/>
                  <w:tcBorders>
                    <w:bottom w:val="single" w:color="auto" w:sz="4" w:space="0"/>
                  </w:tcBorders>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排放浓度</w:t>
                  </w:r>
                </w:p>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（mg</w:t>
                  </w:r>
                  <w:r>
                    <w:rPr>
                      <w:color w:val="000000" w:themeColor="text1"/>
                      <w:kern w:val="0"/>
                      <w:sz w:val="20"/>
                      <w:szCs w:val="21"/>
                      <w14:textFill>
                        <w14:solidFill>
                          <w14:schemeClr w14:val="tx1"/>
                        </w14:solidFill>
                      </w14:textFill>
                    </w:rPr>
                    <w:t>/L</w:t>
                  </w:r>
                  <w:r>
                    <w:rPr>
                      <w:rFonts w:hint="eastAsia"/>
                      <w:color w:val="000000" w:themeColor="text1"/>
                      <w:kern w:val="0"/>
                      <w:sz w:val="20"/>
                      <w:szCs w:val="21"/>
                      <w14:textFill>
                        <w14:solidFill>
                          <w14:schemeClr w14:val="tx1"/>
                        </w14:solidFill>
                      </w14:textFill>
                    </w:rPr>
                    <w:t>）</w:t>
                  </w:r>
                </w:p>
              </w:tc>
              <w:tc>
                <w:tcPr>
                  <w:tcW w:w="593" w:type="pct"/>
                  <w:tcBorders>
                    <w:bottom w:val="single" w:color="auto" w:sz="4" w:space="0"/>
                  </w:tcBorders>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排放量</w:t>
                  </w:r>
                </w:p>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w:t>
                  </w:r>
                  <w:r>
                    <w:rPr>
                      <w:color w:val="000000" w:themeColor="text1"/>
                      <w:kern w:val="0"/>
                      <w:sz w:val="20"/>
                      <w:szCs w:val="21"/>
                      <w14:textFill>
                        <w14:solidFill>
                          <w14:schemeClr w14:val="tx1"/>
                        </w14:solidFill>
                      </w14:textFill>
                    </w:rPr>
                    <w:t>t/</w:t>
                  </w:r>
                  <w:r>
                    <w:rPr>
                      <w:rFonts w:hint="eastAsia"/>
                      <w:color w:val="000000" w:themeColor="text1"/>
                      <w:kern w:val="0"/>
                      <w:sz w:val="20"/>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7" w:type="pct"/>
                  <w:vMerge w:val="restar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浓水量</w:t>
                  </w:r>
                </w:p>
              </w:tc>
              <w:tc>
                <w:tcPr>
                  <w:tcW w:w="563" w:type="pct"/>
                  <w:vMerge w:val="restar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162</w:t>
                  </w:r>
                </w:p>
              </w:tc>
              <w:tc>
                <w:tcPr>
                  <w:tcW w:w="561"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C</w:t>
                  </w:r>
                  <w:r>
                    <w:rPr>
                      <w:color w:val="000000" w:themeColor="text1"/>
                      <w:kern w:val="0"/>
                      <w:sz w:val="20"/>
                      <w:szCs w:val="21"/>
                      <w14:textFill>
                        <w14:solidFill>
                          <w14:schemeClr w14:val="tx1"/>
                        </w14:solidFill>
                      </w14:textFill>
                    </w:rPr>
                    <w:t>OD</w:t>
                  </w:r>
                </w:p>
              </w:tc>
              <w:tc>
                <w:tcPr>
                  <w:tcW w:w="884" w:type="pct"/>
                  <w:tcBorders>
                    <w:top w:val="single" w:color="auto" w:sz="4" w:space="0"/>
                  </w:tcBorders>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4</w:t>
                  </w:r>
                  <w:r>
                    <w:rPr>
                      <w:color w:val="000000" w:themeColor="text1"/>
                      <w:kern w:val="0"/>
                      <w:sz w:val="20"/>
                      <w:szCs w:val="21"/>
                      <w14:textFill>
                        <w14:solidFill>
                          <w14:schemeClr w14:val="tx1"/>
                        </w14:solidFill>
                      </w14:textFill>
                    </w:rPr>
                    <w:t>0</w:t>
                  </w:r>
                </w:p>
              </w:tc>
              <w:tc>
                <w:tcPr>
                  <w:tcW w:w="803" w:type="pct"/>
                  <w:tcBorders>
                    <w:top w:val="single" w:color="auto" w:sz="4" w:space="0"/>
                  </w:tcBorders>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.0065</w:t>
                  </w:r>
                </w:p>
              </w:tc>
              <w:tc>
                <w:tcPr>
                  <w:tcW w:w="1030" w:type="pct"/>
                  <w:tcBorders>
                    <w:top w:val="single" w:color="auto" w:sz="4" w:space="0"/>
                  </w:tcBorders>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4</w:t>
                  </w:r>
                  <w:r>
                    <w:rPr>
                      <w:color w:val="000000" w:themeColor="text1"/>
                      <w:kern w:val="0"/>
                      <w:sz w:val="20"/>
                      <w:szCs w:val="21"/>
                      <w14:textFill>
                        <w14:solidFill>
                          <w14:schemeClr w14:val="tx1"/>
                        </w14:solidFill>
                      </w14:textFill>
                    </w:rPr>
                    <w:t>0</w:t>
                  </w:r>
                </w:p>
              </w:tc>
              <w:tc>
                <w:tcPr>
                  <w:tcW w:w="593" w:type="pct"/>
                  <w:tcBorders>
                    <w:top w:val="single" w:color="auto" w:sz="4" w:space="0"/>
                  </w:tcBorders>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.0065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7" w:type="pct"/>
                  <w:vMerge w:val="continue"/>
                  <w:vAlign w:val="center"/>
                </w:tcPr>
                <w:p>
                  <w:pPr>
                    <w:jc w:val="center"/>
                    <w:rPr>
                      <w:color w:val="000000" w:themeColor="text1"/>
                      <w:kern w:val="0"/>
                      <w:sz w:val="20"/>
                      <w:szCs w:val="21"/>
                      <w14:textFill>
                        <w14:solidFill>
                          <w14:schemeClr w14:val="tx1"/>
                        </w14:solidFill>
                      </w14:textFill>
                    </w:rPr>
                  </w:pPr>
                </w:p>
              </w:tc>
              <w:tc>
                <w:tcPr>
                  <w:tcW w:w="563" w:type="pct"/>
                  <w:vMerge w:val="continue"/>
                  <w:vAlign w:val="center"/>
                </w:tcPr>
                <w:p>
                  <w:pPr>
                    <w:jc w:val="center"/>
                    <w:rPr>
                      <w:color w:val="000000" w:themeColor="text1"/>
                      <w:kern w:val="0"/>
                      <w:sz w:val="20"/>
                      <w:szCs w:val="21"/>
                      <w14:textFill>
                        <w14:solidFill>
                          <w14:schemeClr w14:val="tx1"/>
                        </w14:solidFill>
                      </w14:textFill>
                    </w:rPr>
                  </w:pPr>
                </w:p>
              </w:tc>
              <w:tc>
                <w:tcPr>
                  <w:tcW w:w="561"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S</w:t>
                  </w:r>
                  <w:r>
                    <w:rPr>
                      <w:color w:val="000000" w:themeColor="text1"/>
                      <w:kern w:val="0"/>
                      <w:sz w:val="20"/>
                      <w:szCs w:val="21"/>
                      <w14:textFill>
                        <w14:solidFill>
                          <w14:schemeClr w14:val="tx1"/>
                        </w14:solidFill>
                      </w14:textFill>
                    </w:rPr>
                    <w:t>S</w:t>
                  </w:r>
                </w:p>
              </w:tc>
              <w:tc>
                <w:tcPr>
                  <w:tcW w:w="8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3</w:t>
                  </w:r>
                  <w:r>
                    <w:rPr>
                      <w:color w:val="000000" w:themeColor="text1"/>
                      <w:kern w:val="0"/>
                      <w:sz w:val="20"/>
                      <w:szCs w:val="21"/>
                      <w14:textFill>
                        <w14:solidFill>
                          <w14:schemeClr w14:val="tx1"/>
                        </w14:solidFill>
                      </w14:textFill>
                    </w:rPr>
                    <w:t>0</w:t>
                  </w:r>
                </w:p>
              </w:tc>
              <w:tc>
                <w:tcPr>
                  <w:tcW w:w="803"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.005</w:t>
                  </w:r>
                </w:p>
              </w:tc>
              <w:tc>
                <w:tcPr>
                  <w:tcW w:w="1030"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3</w:t>
                  </w:r>
                  <w:r>
                    <w:rPr>
                      <w:color w:val="000000" w:themeColor="text1"/>
                      <w:kern w:val="0"/>
                      <w:sz w:val="20"/>
                      <w:szCs w:val="21"/>
                      <w14:textFill>
                        <w14:solidFill>
                          <w14:schemeClr w14:val="tx1"/>
                        </w14:solidFill>
                      </w14:textFill>
                    </w:rPr>
                    <w:t>0</w:t>
                  </w:r>
                </w:p>
              </w:tc>
              <w:tc>
                <w:tcPr>
                  <w:tcW w:w="593"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7" w:type="pct"/>
                  <w:vMerge w:val="restar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浓盐水</w:t>
                  </w:r>
                </w:p>
              </w:tc>
              <w:tc>
                <w:tcPr>
                  <w:tcW w:w="563" w:type="pct"/>
                  <w:vMerge w:val="restar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18</w:t>
                  </w:r>
                </w:p>
              </w:tc>
              <w:tc>
                <w:tcPr>
                  <w:tcW w:w="561"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C</w:t>
                  </w:r>
                  <w:r>
                    <w:rPr>
                      <w:color w:val="000000" w:themeColor="text1"/>
                      <w:kern w:val="0"/>
                      <w:sz w:val="20"/>
                      <w:szCs w:val="21"/>
                      <w14:textFill>
                        <w14:solidFill>
                          <w14:schemeClr w14:val="tx1"/>
                        </w14:solidFill>
                      </w14:textFill>
                    </w:rPr>
                    <w:t>OD</w:t>
                  </w:r>
                </w:p>
              </w:tc>
              <w:tc>
                <w:tcPr>
                  <w:tcW w:w="8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4</w:t>
                  </w:r>
                  <w:r>
                    <w:rPr>
                      <w:color w:val="000000" w:themeColor="text1"/>
                      <w:kern w:val="0"/>
                      <w:sz w:val="20"/>
                      <w:szCs w:val="21"/>
                      <w14:textFill>
                        <w14:solidFill>
                          <w14:schemeClr w14:val="tx1"/>
                        </w14:solidFill>
                      </w14:textFill>
                    </w:rPr>
                    <w:t>0</w:t>
                  </w:r>
                </w:p>
              </w:tc>
              <w:tc>
                <w:tcPr>
                  <w:tcW w:w="803"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.0008</w:t>
                  </w:r>
                </w:p>
              </w:tc>
              <w:tc>
                <w:tcPr>
                  <w:tcW w:w="1030"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4</w:t>
                  </w:r>
                  <w:r>
                    <w:rPr>
                      <w:color w:val="000000" w:themeColor="text1"/>
                      <w:kern w:val="0"/>
                      <w:sz w:val="20"/>
                      <w:szCs w:val="21"/>
                      <w14:textFill>
                        <w14:solidFill>
                          <w14:schemeClr w14:val="tx1"/>
                        </w14:solidFill>
                      </w14:textFill>
                    </w:rPr>
                    <w:t>0</w:t>
                  </w:r>
                </w:p>
              </w:tc>
              <w:tc>
                <w:tcPr>
                  <w:tcW w:w="593"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7" w:type="pct"/>
                  <w:vMerge w:val="continue"/>
                  <w:vAlign w:val="center"/>
                </w:tcPr>
                <w:p>
                  <w:pPr>
                    <w:jc w:val="center"/>
                    <w:rPr>
                      <w:color w:val="000000" w:themeColor="text1"/>
                      <w:kern w:val="0"/>
                      <w:sz w:val="20"/>
                      <w:szCs w:val="21"/>
                      <w14:textFill>
                        <w14:solidFill>
                          <w14:schemeClr w14:val="tx1"/>
                        </w14:solidFill>
                      </w14:textFill>
                    </w:rPr>
                  </w:pPr>
                </w:p>
              </w:tc>
              <w:tc>
                <w:tcPr>
                  <w:tcW w:w="563" w:type="pct"/>
                  <w:vMerge w:val="continue"/>
                  <w:vAlign w:val="center"/>
                </w:tcPr>
                <w:p>
                  <w:pPr>
                    <w:jc w:val="center"/>
                    <w:rPr>
                      <w:color w:val="000000" w:themeColor="text1"/>
                      <w:kern w:val="0"/>
                      <w:sz w:val="20"/>
                      <w:szCs w:val="21"/>
                      <w14:textFill>
                        <w14:solidFill>
                          <w14:schemeClr w14:val="tx1"/>
                        </w14:solidFill>
                      </w14:textFill>
                    </w:rPr>
                  </w:pPr>
                </w:p>
              </w:tc>
              <w:tc>
                <w:tcPr>
                  <w:tcW w:w="561"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SS</w:t>
                  </w:r>
                </w:p>
              </w:tc>
              <w:tc>
                <w:tcPr>
                  <w:tcW w:w="8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3</w:t>
                  </w:r>
                  <w:r>
                    <w:rPr>
                      <w:color w:val="000000" w:themeColor="text1"/>
                      <w:kern w:val="0"/>
                      <w:sz w:val="20"/>
                      <w:szCs w:val="21"/>
                      <w14:textFill>
                        <w14:solidFill>
                          <w14:schemeClr w14:val="tx1"/>
                        </w14:solidFill>
                      </w14:textFill>
                    </w:rPr>
                    <w:t>0</w:t>
                  </w:r>
                </w:p>
              </w:tc>
              <w:tc>
                <w:tcPr>
                  <w:tcW w:w="803"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.0006</w:t>
                  </w:r>
                </w:p>
              </w:tc>
              <w:tc>
                <w:tcPr>
                  <w:tcW w:w="1030"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3</w:t>
                  </w:r>
                  <w:r>
                    <w:rPr>
                      <w:color w:val="000000" w:themeColor="text1"/>
                      <w:kern w:val="0"/>
                      <w:sz w:val="20"/>
                      <w:szCs w:val="21"/>
                      <w14:textFill>
                        <w14:solidFill>
                          <w14:schemeClr w14:val="tx1"/>
                        </w14:solidFill>
                      </w14:textFill>
                    </w:rPr>
                    <w:t>0</w:t>
                  </w:r>
                </w:p>
              </w:tc>
              <w:tc>
                <w:tcPr>
                  <w:tcW w:w="593"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7" w:type="pct"/>
                  <w:vMerge w:val="continue"/>
                  <w:vAlign w:val="center"/>
                </w:tcPr>
                <w:p>
                  <w:pPr>
                    <w:jc w:val="center"/>
                    <w:rPr>
                      <w:color w:val="000000" w:themeColor="text1"/>
                      <w:kern w:val="0"/>
                      <w:sz w:val="20"/>
                      <w:szCs w:val="21"/>
                      <w14:textFill>
                        <w14:solidFill>
                          <w14:schemeClr w14:val="tx1"/>
                        </w14:solidFill>
                      </w14:textFill>
                    </w:rPr>
                  </w:pPr>
                </w:p>
              </w:tc>
              <w:tc>
                <w:tcPr>
                  <w:tcW w:w="563" w:type="pct"/>
                  <w:vMerge w:val="continue"/>
                  <w:vAlign w:val="center"/>
                </w:tcPr>
                <w:p>
                  <w:pPr>
                    <w:jc w:val="center"/>
                    <w:rPr>
                      <w:color w:val="000000" w:themeColor="text1"/>
                      <w:kern w:val="0"/>
                      <w:sz w:val="20"/>
                      <w:szCs w:val="21"/>
                      <w14:textFill>
                        <w14:solidFill>
                          <w14:schemeClr w14:val="tx1"/>
                        </w14:solidFill>
                      </w14:textFill>
                    </w:rPr>
                  </w:pPr>
                </w:p>
              </w:tc>
              <w:tc>
                <w:tcPr>
                  <w:tcW w:w="561"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盐分</w:t>
                  </w:r>
                </w:p>
              </w:tc>
              <w:tc>
                <w:tcPr>
                  <w:tcW w:w="884"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2000</w:t>
                  </w:r>
                </w:p>
              </w:tc>
              <w:tc>
                <w:tcPr>
                  <w:tcW w:w="803"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0.036</w:t>
                  </w:r>
                </w:p>
              </w:tc>
              <w:tc>
                <w:tcPr>
                  <w:tcW w:w="1030"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2000</w:t>
                  </w:r>
                </w:p>
              </w:tc>
              <w:tc>
                <w:tcPr>
                  <w:tcW w:w="593"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0.036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合计</w:t>
                  </w:r>
                </w:p>
              </w:tc>
              <w:tc>
                <w:tcPr>
                  <w:tcW w:w="563"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180</w:t>
                  </w:r>
                </w:p>
              </w:tc>
              <w:tc>
                <w:tcPr>
                  <w:tcW w:w="561"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w:t>
                  </w:r>
                </w:p>
              </w:tc>
              <w:tc>
                <w:tcPr>
                  <w:tcW w:w="8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w:t>
                  </w:r>
                </w:p>
              </w:tc>
              <w:tc>
                <w:tcPr>
                  <w:tcW w:w="803"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w:t>
                  </w:r>
                </w:p>
              </w:tc>
              <w:tc>
                <w:tcPr>
                  <w:tcW w:w="1030"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w:t>
                  </w:r>
                </w:p>
              </w:tc>
              <w:tc>
                <w:tcPr>
                  <w:tcW w:w="593"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w:t>
                  </w:r>
                </w:p>
              </w:tc>
            </w:tr>
          </w:tbl>
          <w:p>
            <w:pPr>
              <w:spacing w:line="360" w:lineRule="auto"/>
              <w:ind w:firstLine="480" w:firstLineChars="200"/>
              <w:rPr>
                <w:color w:val="000000" w:themeColor="text1"/>
                <w:kern w:val="0"/>
                <w:sz w:val="24"/>
                <w:szCs w:val="20"/>
                <w14:textFill>
                  <w14:solidFill>
                    <w14:schemeClr w14:val="tx1"/>
                  </w14:solidFill>
                </w14:textFill>
              </w:rPr>
            </w:pPr>
            <w:r>
              <w:rPr>
                <w:rFonts w:hint="eastAsia"/>
                <w:color w:val="000000" w:themeColor="text1"/>
                <w:kern w:val="0"/>
                <w:sz w:val="24"/>
                <w:szCs w:val="20"/>
                <w14:textFill>
                  <w14:solidFill>
                    <w14:schemeClr w14:val="tx1"/>
                  </w14:solidFill>
                </w14:textFill>
              </w:rPr>
              <w:t>3、噪声</w:t>
            </w:r>
          </w:p>
          <w:p>
            <w:pPr>
              <w:adjustRightInd w:val="0"/>
              <w:snapToGrid w:val="0"/>
              <w:spacing w:line="360" w:lineRule="auto"/>
              <w:ind w:firstLine="480"/>
              <w:rPr>
                <w:b/>
                <w:kern w:val="0"/>
                <w:sz w:val="20"/>
                <w:szCs w:val="21"/>
              </w:rPr>
            </w:pPr>
            <w:r>
              <w:rPr>
                <w:rFonts w:hint="eastAsia"/>
                <w:kern w:val="0"/>
                <w:sz w:val="24"/>
              </w:rPr>
              <w:t>项目噪声源主要为生产车间内生产设备，主要包括生产设备、环保设备风机等，噪声级在80-95dB（A）。主要产噪设备及其声级特征见下表：</w:t>
            </w:r>
          </w:p>
          <w:p>
            <w:pPr>
              <w:adjustRightInd w:val="0"/>
              <w:snapToGrid w:val="0"/>
              <w:jc w:val="center"/>
              <w:rPr>
                <w:b/>
                <w:kern w:val="0"/>
                <w:sz w:val="24"/>
              </w:rPr>
            </w:pPr>
            <w:r>
              <w:rPr>
                <w:b/>
                <w:kern w:val="0"/>
                <w:sz w:val="24"/>
              </w:rPr>
              <w:t xml:space="preserve">表5-9   </w:t>
            </w:r>
            <w:r>
              <w:rPr>
                <w:rFonts w:hint="eastAsia"/>
                <w:b/>
                <w:kern w:val="0"/>
                <w:sz w:val="24"/>
              </w:rPr>
              <w:t>主要产噪设备及声级特性  单位：dB(A)</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3554"/>
              <w:gridCol w:w="1202"/>
              <w:gridCol w:w="1425"/>
              <w:gridCol w:w="12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77" w:type="pct"/>
                  <w:tcBorders>
                    <w:tl2br w:val="nil"/>
                    <w:tr2bl w:val="nil"/>
                  </w:tcBorders>
                  <w:vAlign w:val="center"/>
                </w:tcPr>
                <w:p>
                  <w:pPr>
                    <w:widowControl/>
                    <w:adjustRightInd w:val="0"/>
                    <w:snapToGrid w:val="0"/>
                    <w:jc w:val="center"/>
                    <w:rPr>
                      <w:b/>
                      <w:kern w:val="0"/>
                      <w:sz w:val="20"/>
                      <w:szCs w:val="21"/>
                    </w:rPr>
                  </w:pPr>
                  <w:r>
                    <w:rPr>
                      <w:rFonts w:hint="eastAsia"/>
                      <w:b/>
                      <w:kern w:val="0"/>
                      <w:sz w:val="20"/>
                      <w:szCs w:val="21"/>
                    </w:rPr>
                    <w:t>序号</w:t>
                  </w:r>
                </w:p>
              </w:tc>
              <w:tc>
                <w:tcPr>
                  <w:tcW w:w="2013" w:type="pct"/>
                  <w:tcBorders>
                    <w:tl2br w:val="nil"/>
                    <w:tr2bl w:val="nil"/>
                  </w:tcBorders>
                  <w:vAlign w:val="center"/>
                </w:tcPr>
                <w:p>
                  <w:pPr>
                    <w:widowControl/>
                    <w:adjustRightInd w:val="0"/>
                    <w:snapToGrid w:val="0"/>
                    <w:jc w:val="center"/>
                    <w:rPr>
                      <w:b/>
                      <w:kern w:val="0"/>
                      <w:sz w:val="20"/>
                      <w:szCs w:val="21"/>
                    </w:rPr>
                  </w:pPr>
                  <w:r>
                    <w:rPr>
                      <w:rFonts w:hint="eastAsia"/>
                      <w:b/>
                      <w:kern w:val="0"/>
                      <w:sz w:val="20"/>
                      <w:szCs w:val="21"/>
                    </w:rPr>
                    <w:t>设备名称</w:t>
                  </w:r>
                </w:p>
              </w:tc>
              <w:tc>
                <w:tcPr>
                  <w:tcW w:w="681" w:type="pct"/>
                  <w:tcBorders>
                    <w:tl2br w:val="nil"/>
                    <w:tr2bl w:val="nil"/>
                  </w:tcBorders>
                  <w:vAlign w:val="center"/>
                </w:tcPr>
                <w:p>
                  <w:pPr>
                    <w:widowControl/>
                    <w:adjustRightInd w:val="0"/>
                    <w:snapToGrid w:val="0"/>
                    <w:jc w:val="center"/>
                    <w:rPr>
                      <w:b/>
                      <w:kern w:val="0"/>
                      <w:sz w:val="20"/>
                      <w:szCs w:val="21"/>
                    </w:rPr>
                  </w:pPr>
                  <w:r>
                    <w:rPr>
                      <w:rFonts w:hint="eastAsia"/>
                      <w:b/>
                      <w:kern w:val="0"/>
                      <w:sz w:val="20"/>
                      <w:szCs w:val="21"/>
                    </w:rPr>
                    <w:t>数量</w:t>
                  </w:r>
                </w:p>
              </w:tc>
              <w:tc>
                <w:tcPr>
                  <w:tcW w:w="807" w:type="pct"/>
                  <w:tcBorders>
                    <w:tl2br w:val="nil"/>
                    <w:tr2bl w:val="nil"/>
                  </w:tcBorders>
                  <w:vAlign w:val="center"/>
                </w:tcPr>
                <w:p>
                  <w:pPr>
                    <w:widowControl/>
                    <w:adjustRightInd w:val="0"/>
                    <w:snapToGrid w:val="0"/>
                    <w:jc w:val="center"/>
                    <w:rPr>
                      <w:b/>
                      <w:kern w:val="0"/>
                      <w:sz w:val="20"/>
                      <w:szCs w:val="21"/>
                    </w:rPr>
                  </w:pPr>
                  <w:r>
                    <w:rPr>
                      <w:rFonts w:hint="eastAsia"/>
                      <w:b/>
                      <w:kern w:val="0"/>
                      <w:sz w:val="20"/>
                      <w:szCs w:val="21"/>
                    </w:rPr>
                    <w:t>声级</w:t>
                  </w:r>
                </w:p>
              </w:tc>
              <w:tc>
                <w:tcPr>
                  <w:tcW w:w="721" w:type="pct"/>
                  <w:tcBorders>
                    <w:tl2br w:val="nil"/>
                    <w:tr2bl w:val="nil"/>
                  </w:tcBorders>
                  <w:vAlign w:val="center"/>
                </w:tcPr>
                <w:p>
                  <w:pPr>
                    <w:widowControl/>
                    <w:adjustRightInd w:val="0"/>
                    <w:snapToGrid w:val="0"/>
                    <w:jc w:val="center"/>
                    <w:rPr>
                      <w:b/>
                      <w:kern w:val="0"/>
                      <w:sz w:val="20"/>
                      <w:szCs w:val="21"/>
                    </w:rPr>
                  </w:pPr>
                  <w:r>
                    <w:rPr>
                      <w:rFonts w:hint="eastAsia"/>
                      <w:b/>
                      <w:kern w:val="0"/>
                      <w:sz w:val="2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7" w:type="pct"/>
                  <w:tcBorders>
                    <w:tl2br w:val="nil"/>
                    <w:tr2bl w:val="nil"/>
                  </w:tcBorders>
                  <w:vAlign w:val="center"/>
                </w:tcPr>
                <w:p>
                  <w:pPr>
                    <w:adjustRightInd w:val="0"/>
                    <w:snapToGrid w:val="0"/>
                    <w:jc w:val="center"/>
                    <w:rPr>
                      <w:kern w:val="0"/>
                      <w:sz w:val="20"/>
                      <w:szCs w:val="21"/>
                    </w:rPr>
                  </w:pPr>
                  <w:r>
                    <w:rPr>
                      <w:kern w:val="0"/>
                      <w:sz w:val="20"/>
                      <w:szCs w:val="21"/>
                    </w:rPr>
                    <w:t>1</w:t>
                  </w:r>
                </w:p>
              </w:tc>
              <w:tc>
                <w:tcPr>
                  <w:tcW w:w="2013" w:type="pct"/>
                  <w:tcBorders>
                    <w:tl2br w:val="nil"/>
                    <w:tr2bl w:val="nil"/>
                  </w:tcBorders>
                  <w:vAlign w:val="center"/>
                </w:tcPr>
                <w:p>
                  <w:pPr>
                    <w:widowControl/>
                    <w:jc w:val="center"/>
                    <w:textAlignment w:val="center"/>
                    <w:rPr>
                      <w:kern w:val="0"/>
                      <w:sz w:val="20"/>
                      <w:szCs w:val="21"/>
                      <w:lang w:bidi="ar"/>
                    </w:rPr>
                  </w:pPr>
                  <w:r>
                    <w:rPr>
                      <w:rFonts w:hint="eastAsia"/>
                      <w:kern w:val="0"/>
                      <w:sz w:val="20"/>
                      <w:szCs w:val="21"/>
                    </w:rPr>
                    <w:t>EPS聚苯板成型机</w:t>
                  </w:r>
                </w:p>
              </w:tc>
              <w:tc>
                <w:tcPr>
                  <w:tcW w:w="681" w:type="pct"/>
                  <w:tcBorders>
                    <w:tl2br w:val="nil"/>
                    <w:tr2bl w:val="nil"/>
                  </w:tcBorders>
                  <w:vAlign w:val="center"/>
                </w:tcPr>
                <w:p>
                  <w:pPr>
                    <w:widowControl/>
                    <w:jc w:val="center"/>
                    <w:textAlignment w:val="center"/>
                    <w:rPr>
                      <w:rFonts w:ascii="宋体" w:hAnsi="宋体" w:cs="宋体"/>
                      <w:kern w:val="0"/>
                      <w:sz w:val="20"/>
                      <w:szCs w:val="21"/>
                    </w:rPr>
                  </w:pPr>
                  <w:r>
                    <w:rPr>
                      <w:rFonts w:hint="eastAsia"/>
                      <w:kern w:val="0"/>
                      <w:sz w:val="20"/>
                      <w:szCs w:val="21"/>
                    </w:rPr>
                    <w:t>2</w:t>
                  </w:r>
                </w:p>
              </w:tc>
              <w:tc>
                <w:tcPr>
                  <w:tcW w:w="807" w:type="pct"/>
                  <w:tcBorders>
                    <w:tl2br w:val="nil"/>
                    <w:tr2bl w:val="nil"/>
                  </w:tcBorders>
                  <w:vAlign w:val="center"/>
                </w:tcPr>
                <w:p>
                  <w:pPr>
                    <w:jc w:val="center"/>
                    <w:rPr>
                      <w:kern w:val="0"/>
                      <w:sz w:val="20"/>
                      <w:szCs w:val="21"/>
                    </w:rPr>
                  </w:pPr>
                  <w:r>
                    <w:rPr>
                      <w:rFonts w:hint="eastAsia"/>
                      <w:kern w:val="0"/>
                      <w:sz w:val="20"/>
                      <w:szCs w:val="21"/>
                    </w:rPr>
                    <w:t>75</w:t>
                  </w:r>
                </w:p>
              </w:tc>
              <w:tc>
                <w:tcPr>
                  <w:tcW w:w="721" w:type="pct"/>
                  <w:vMerge w:val="restart"/>
                  <w:tcBorders>
                    <w:tl2br w:val="nil"/>
                    <w:tr2bl w:val="nil"/>
                  </w:tcBorders>
                  <w:vAlign w:val="center"/>
                </w:tcPr>
                <w:p>
                  <w:pPr>
                    <w:widowControl/>
                    <w:adjustRightInd w:val="0"/>
                    <w:snapToGrid w:val="0"/>
                    <w:jc w:val="center"/>
                    <w:rPr>
                      <w:bCs/>
                      <w:kern w:val="0"/>
                      <w:sz w:val="20"/>
                      <w:szCs w:val="21"/>
                    </w:rPr>
                  </w:pPr>
                  <w:r>
                    <w:rPr>
                      <w:rFonts w:hint="eastAsia"/>
                      <w:bCs/>
                      <w:kern w:val="0"/>
                      <w:sz w:val="20"/>
                      <w:szCs w:val="21"/>
                    </w:rPr>
                    <w:t>生产设备及环保设备风机噪声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7" w:type="pct"/>
                  <w:tcBorders>
                    <w:tl2br w:val="nil"/>
                    <w:tr2bl w:val="nil"/>
                  </w:tcBorders>
                  <w:vAlign w:val="center"/>
                </w:tcPr>
                <w:p>
                  <w:pPr>
                    <w:adjustRightInd w:val="0"/>
                    <w:snapToGrid w:val="0"/>
                    <w:jc w:val="center"/>
                    <w:rPr>
                      <w:kern w:val="0"/>
                      <w:sz w:val="20"/>
                      <w:szCs w:val="21"/>
                    </w:rPr>
                  </w:pPr>
                  <w:r>
                    <w:rPr>
                      <w:rFonts w:hint="eastAsia"/>
                      <w:kern w:val="0"/>
                      <w:sz w:val="20"/>
                      <w:szCs w:val="21"/>
                    </w:rPr>
                    <w:t>2</w:t>
                  </w:r>
                </w:p>
              </w:tc>
              <w:tc>
                <w:tcPr>
                  <w:tcW w:w="2013" w:type="pct"/>
                  <w:tcBorders>
                    <w:tl2br w:val="nil"/>
                    <w:tr2bl w:val="nil"/>
                  </w:tcBorders>
                  <w:vAlign w:val="center"/>
                </w:tcPr>
                <w:p>
                  <w:pPr>
                    <w:widowControl/>
                    <w:jc w:val="center"/>
                    <w:textAlignment w:val="center"/>
                    <w:rPr>
                      <w:kern w:val="0"/>
                      <w:sz w:val="20"/>
                      <w:szCs w:val="21"/>
                      <w:lang w:bidi="ar"/>
                    </w:rPr>
                  </w:pPr>
                  <w:r>
                    <w:rPr>
                      <w:rFonts w:hint="eastAsia"/>
                      <w:kern w:val="0"/>
                      <w:sz w:val="20"/>
                      <w:szCs w:val="21"/>
                    </w:rPr>
                    <w:t>EPS预发泡机</w:t>
                  </w:r>
                </w:p>
              </w:tc>
              <w:tc>
                <w:tcPr>
                  <w:tcW w:w="681" w:type="pct"/>
                  <w:tcBorders>
                    <w:tl2br w:val="nil"/>
                    <w:tr2bl w:val="nil"/>
                  </w:tcBorders>
                  <w:vAlign w:val="center"/>
                </w:tcPr>
                <w:p>
                  <w:pPr>
                    <w:widowControl/>
                    <w:jc w:val="center"/>
                    <w:textAlignment w:val="center"/>
                    <w:rPr>
                      <w:rFonts w:ascii="宋体" w:hAnsi="宋体" w:cs="宋体"/>
                      <w:kern w:val="0"/>
                      <w:sz w:val="20"/>
                      <w:szCs w:val="21"/>
                    </w:rPr>
                  </w:pPr>
                  <w:r>
                    <w:rPr>
                      <w:rFonts w:hint="eastAsia"/>
                      <w:snapToGrid w:val="0"/>
                      <w:kern w:val="0"/>
                      <w:sz w:val="20"/>
                      <w:szCs w:val="21"/>
                    </w:rPr>
                    <w:t>2</w:t>
                  </w:r>
                </w:p>
              </w:tc>
              <w:tc>
                <w:tcPr>
                  <w:tcW w:w="807" w:type="pct"/>
                  <w:tcBorders>
                    <w:tl2br w:val="nil"/>
                    <w:tr2bl w:val="nil"/>
                  </w:tcBorders>
                  <w:vAlign w:val="center"/>
                </w:tcPr>
                <w:p>
                  <w:pPr>
                    <w:jc w:val="center"/>
                    <w:rPr>
                      <w:kern w:val="0"/>
                      <w:sz w:val="20"/>
                      <w:szCs w:val="21"/>
                    </w:rPr>
                  </w:pPr>
                  <w:r>
                    <w:rPr>
                      <w:rFonts w:hint="eastAsia"/>
                      <w:kern w:val="0"/>
                      <w:sz w:val="20"/>
                      <w:szCs w:val="21"/>
                    </w:rPr>
                    <w:t>80</w:t>
                  </w:r>
                </w:p>
              </w:tc>
              <w:tc>
                <w:tcPr>
                  <w:tcW w:w="721" w:type="pct"/>
                  <w:vMerge w:val="continue"/>
                  <w:tcBorders>
                    <w:tl2br w:val="nil"/>
                    <w:tr2bl w:val="nil"/>
                  </w:tcBorders>
                  <w:vAlign w:val="center"/>
                </w:tcPr>
                <w:p>
                  <w:pPr>
                    <w:widowControl/>
                    <w:adjustRightInd w:val="0"/>
                    <w:snapToGrid w:val="0"/>
                    <w:jc w:val="center"/>
                    <w:rPr>
                      <w:bCs/>
                      <w:kern w:val="0"/>
                      <w:sz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7" w:type="pct"/>
                  <w:tcBorders>
                    <w:tl2br w:val="nil"/>
                    <w:tr2bl w:val="nil"/>
                  </w:tcBorders>
                  <w:vAlign w:val="center"/>
                </w:tcPr>
                <w:p>
                  <w:pPr>
                    <w:adjustRightInd w:val="0"/>
                    <w:snapToGrid w:val="0"/>
                    <w:jc w:val="center"/>
                    <w:rPr>
                      <w:kern w:val="0"/>
                      <w:sz w:val="20"/>
                      <w:szCs w:val="21"/>
                    </w:rPr>
                  </w:pPr>
                  <w:r>
                    <w:rPr>
                      <w:rFonts w:hint="eastAsia"/>
                      <w:kern w:val="0"/>
                      <w:sz w:val="20"/>
                      <w:szCs w:val="21"/>
                    </w:rPr>
                    <w:t>3</w:t>
                  </w:r>
                </w:p>
              </w:tc>
              <w:tc>
                <w:tcPr>
                  <w:tcW w:w="2013" w:type="pct"/>
                  <w:tcBorders>
                    <w:tl2br w:val="nil"/>
                    <w:tr2bl w:val="nil"/>
                  </w:tcBorders>
                  <w:vAlign w:val="center"/>
                </w:tcPr>
                <w:p>
                  <w:pPr>
                    <w:widowControl/>
                    <w:jc w:val="center"/>
                    <w:textAlignment w:val="center"/>
                    <w:rPr>
                      <w:kern w:val="0"/>
                      <w:sz w:val="20"/>
                      <w:szCs w:val="21"/>
                      <w:lang w:bidi="ar"/>
                    </w:rPr>
                  </w:pPr>
                  <w:r>
                    <w:rPr>
                      <w:rFonts w:hint="eastAsia"/>
                      <w:kern w:val="0"/>
                      <w:sz w:val="20"/>
                      <w:szCs w:val="21"/>
                    </w:rPr>
                    <w:t>EPS切割（线）机</w:t>
                  </w:r>
                </w:p>
              </w:tc>
              <w:tc>
                <w:tcPr>
                  <w:tcW w:w="681" w:type="pct"/>
                  <w:tcBorders>
                    <w:tl2br w:val="nil"/>
                    <w:tr2bl w:val="nil"/>
                  </w:tcBorders>
                  <w:vAlign w:val="center"/>
                </w:tcPr>
                <w:p>
                  <w:pPr>
                    <w:widowControl/>
                    <w:jc w:val="center"/>
                    <w:textAlignment w:val="center"/>
                    <w:rPr>
                      <w:rFonts w:ascii="宋体" w:hAnsi="宋体" w:cs="宋体"/>
                      <w:kern w:val="0"/>
                      <w:sz w:val="20"/>
                      <w:szCs w:val="21"/>
                    </w:rPr>
                  </w:pPr>
                  <w:r>
                    <w:rPr>
                      <w:rFonts w:hint="eastAsia"/>
                      <w:kern w:val="0"/>
                      <w:sz w:val="20"/>
                      <w:szCs w:val="21"/>
                      <w:lang w:bidi="ar"/>
                    </w:rPr>
                    <w:t>3</w:t>
                  </w:r>
                </w:p>
              </w:tc>
              <w:tc>
                <w:tcPr>
                  <w:tcW w:w="807" w:type="pct"/>
                  <w:tcBorders>
                    <w:tl2br w:val="nil"/>
                    <w:tr2bl w:val="nil"/>
                  </w:tcBorders>
                  <w:vAlign w:val="center"/>
                </w:tcPr>
                <w:p>
                  <w:pPr>
                    <w:jc w:val="center"/>
                    <w:rPr>
                      <w:kern w:val="0"/>
                      <w:sz w:val="20"/>
                      <w:szCs w:val="21"/>
                    </w:rPr>
                  </w:pPr>
                  <w:r>
                    <w:rPr>
                      <w:rFonts w:hint="eastAsia"/>
                      <w:kern w:val="0"/>
                      <w:sz w:val="20"/>
                      <w:szCs w:val="21"/>
                    </w:rPr>
                    <w:t>80</w:t>
                  </w:r>
                </w:p>
              </w:tc>
              <w:tc>
                <w:tcPr>
                  <w:tcW w:w="721" w:type="pct"/>
                  <w:vMerge w:val="continue"/>
                  <w:tcBorders>
                    <w:tl2br w:val="nil"/>
                    <w:tr2bl w:val="nil"/>
                  </w:tcBorders>
                  <w:vAlign w:val="center"/>
                </w:tcPr>
                <w:p>
                  <w:pPr>
                    <w:widowControl/>
                    <w:adjustRightInd w:val="0"/>
                    <w:snapToGrid w:val="0"/>
                    <w:jc w:val="center"/>
                    <w:rPr>
                      <w:bCs/>
                      <w:kern w:val="0"/>
                      <w:sz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7" w:type="pct"/>
                  <w:tcBorders>
                    <w:tl2br w:val="nil"/>
                    <w:tr2bl w:val="nil"/>
                  </w:tcBorders>
                  <w:vAlign w:val="center"/>
                </w:tcPr>
                <w:p>
                  <w:pPr>
                    <w:adjustRightInd w:val="0"/>
                    <w:snapToGrid w:val="0"/>
                    <w:jc w:val="center"/>
                    <w:rPr>
                      <w:kern w:val="0"/>
                      <w:sz w:val="20"/>
                      <w:szCs w:val="21"/>
                    </w:rPr>
                  </w:pPr>
                  <w:r>
                    <w:rPr>
                      <w:rFonts w:hint="eastAsia"/>
                      <w:kern w:val="0"/>
                      <w:sz w:val="20"/>
                      <w:szCs w:val="21"/>
                    </w:rPr>
                    <w:t>4</w:t>
                  </w:r>
                </w:p>
              </w:tc>
              <w:tc>
                <w:tcPr>
                  <w:tcW w:w="2013" w:type="pct"/>
                  <w:tcBorders>
                    <w:tl2br w:val="nil"/>
                    <w:tr2bl w:val="nil"/>
                  </w:tcBorders>
                  <w:vAlign w:val="center"/>
                </w:tcPr>
                <w:p>
                  <w:pPr>
                    <w:widowControl/>
                    <w:jc w:val="center"/>
                    <w:textAlignment w:val="center"/>
                    <w:rPr>
                      <w:kern w:val="0"/>
                      <w:sz w:val="20"/>
                      <w:szCs w:val="21"/>
                      <w:lang w:bidi="ar"/>
                    </w:rPr>
                  </w:pPr>
                  <w:r>
                    <w:rPr>
                      <w:rFonts w:hint="eastAsia"/>
                      <w:kern w:val="0"/>
                      <w:sz w:val="20"/>
                      <w:szCs w:val="21"/>
                    </w:rPr>
                    <w:t>破碎机</w:t>
                  </w:r>
                </w:p>
              </w:tc>
              <w:tc>
                <w:tcPr>
                  <w:tcW w:w="681" w:type="pct"/>
                  <w:tcBorders>
                    <w:tl2br w:val="nil"/>
                    <w:tr2bl w:val="nil"/>
                  </w:tcBorders>
                  <w:vAlign w:val="center"/>
                </w:tcPr>
                <w:p>
                  <w:pPr>
                    <w:widowControl/>
                    <w:jc w:val="center"/>
                    <w:textAlignment w:val="center"/>
                    <w:rPr>
                      <w:rFonts w:ascii="宋体" w:hAnsi="宋体" w:cs="宋体"/>
                      <w:kern w:val="0"/>
                      <w:sz w:val="20"/>
                      <w:szCs w:val="21"/>
                    </w:rPr>
                  </w:pPr>
                  <w:r>
                    <w:rPr>
                      <w:rFonts w:hint="eastAsia"/>
                      <w:snapToGrid w:val="0"/>
                      <w:kern w:val="0"/>
                      <w:sz w:val="20"/>
                      <w:szCs w:val="21"/>
                    </w:rPr>
                    <w:t>1</w:t>
                  </w:r>
                </w:p>
              </w:tc>
              <w:tc>
                <w:tcPr>
                  <w:tcW w:w="807" w:type="pct"/>
                  <w:tcBorders>
                    <w:tl2br w:val="nil"/>
                    <w:tr2bl w:val="nil"/>
                  </w:tcBorders>
                  <w:vAlign w:val="center"/>
                </w:tcPr>
                <w:p>
                  <w:pPr>
                    <w:jc w:val="center"/>
                    <w:rPr>
                      <w:kern w:val="0"/>
                      <w:sz w:val="20"/>
                      <w:szCs w:val="21"/>
                    </w:rPr>
                  </w:pPr>
                  <w:r>
                    <w:rPr>
                      <w:rFonts w:hint="eastAsia"/>
                      <w:kern w:val="0"/>
                      <w:sz w:val="20"/>
                      <w:szCs w:val="21"/>
                    </w:rPr>
                    <w:t>85</w:t>
                  </w:r>
                </w:p>
              </w:tc>
              <w:tc>
                <w:tcPr>
                  <w:tcW w:w="721" w:type="pct"/>
                  <w:vMerge w:val="continue"/>
                  <w:tcBorders>
                    <w:tl2br w:val="nil"/>
                    <w:tr2bl w:val="nil"/>
                  </w:tcBorders>
                  <w:vAlign w:val="center"/>
                </w:tcPr>
                <w:p>
                  <w:pPr>
                    <w:widowControl/>
                    <w:adjustRightInd w:val="0"/>
                    <w:snapToGrid w:val="0"/>
                    <w:jc w:val="center"/>
                    <w:rPr>
                      <w:bCs/>
                      <w:kern w:val="0"/>
                      <w:sz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7" w:type="pct"/>
                  <w:tcBorders>
                    <w:tl2br w:val="nil"/>
                    <w:tr2bl w:val="nil"/>
                  </w:tcBorders>
                  <w:vAlign w:val="center"/>
                </w:tcPr>
                <w:p>
                  <w:pPr>
                    <w:adjustRightInd w:val="0"/>
                    <w:snapToGrid w:val="0"/>
                    <w:jc w:val="center"/>
                    <w:rPr>
                      <w:kern w:val="0"/>
                      <w:sz w:val="20"/>
                      <w:szCs w:val="21"/>
                    </w:rPr>
                  </w:pPr>
                  <w:r>
                    <w:rPr>
                      <w:rFonts w:hint="eastAsia"/>
                      <w:kern w:val="0"/>
                      <w:sz w:val="20"/>
                      <w:szCs w:val="21"/>
                    </w:rPr>
                    <w:t>5</w:t>
                  </w:r>
                </w:p>
              </w:tc>
              <w:tc>
                <w:tcPr>
                  <w:tcW w:w="2013"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kern w:val="0"/>
                      <w:sz w:val="20"/>
                      <w:szCs w:val="21"/>
                    </w:rPr>
                    <w:t>混料机</w:t>
                  </w:r>
                </w:p>
              </w:tc>
              <w:tc>
                <w:tcPr>
                  <w:tcW w:w="681" w:type="pct"/>
                  <w:tcBorders>
                    <w:tl2br w:val="nil"/>
                    <w:tr2bl w:val="nil"/>
                  </w:tcBorders>
                  <w:vAlign w:val="center"/>
                </w:tcPr>
                <w:p>
                  <w:pPr>
                    <w:widowControl/>
                    <w:jc w:val="center"/>
                    <w:textAlignment w:val="center"/>
                    <w:rPr>
                      <w:rFonts w:ascii="宋体" w:hAnsi="宋体" w:cs="宋体"/>
                      <w:kern w:val="0"/>
                      <w:sz w:val="20"/>
                      <w:szCs w:val="21"/>
                    </w:rPr>
                  </w:pPr>
                  <w:r>
                    <w:rPr>
                      <w:rFonts w:hint="eastAsia" w:ascii="宋体" w:hAnsi="宋体" w:cs="宋体"/>
                      <w:kern w:val="0"/>
                      <w:sz w:val="20"/>
                      <w:szCs w:val="21"/>
                      <w:lang w:bidi="ar"/>
                    </w:rPr>
                    <w:t>2</w:t>
                  </w:r>
                </w:p>
              </w:tc>
              <w:tc>
                <w:tcPr>
                  <w:tcW w:w="807" w:type="pct"/>
                  <w:tcBorders>
                    <w:tl2br w:val="nil"/>
                    <w:tr2bl w:val="nil"/>
                  </w:tcBorders>
                  <w:vAlign w:val="center"/>
                </w:tcPr>
                <w:p>
                  <w:pPr>
                    <w:jc w:val="center"/>
                    <w:rPr>
                      <w:kern w:val="0"/>
                      <w:sz w:val="20"/>
                      <w:szCs w:val="21"/>
                    </w:rPr>
                  </w:pPr>
                  <w:r>
                    <w:rPr>
                      <w:rFonts w:hint="eastAsia"/>
                      <w:kern w:val="0"/>
                      <w:sz w:val="20"/>
                      <w:szCs w:val="21"/>
                    </w:rPr>
                    <w:t>70</w:t>
                  </w:r>
                </w:p>
              </w:tc>
              <w:tc>
                <w:tcPr>
                  <w:tcW w:w="721" w:type="pct"/>
                  <w:vMerge w:val="continue"/>
                  <w:tcBorders>
                    <w:tl2br w:val="nil"/>
                    <w:tr2bl w:val="nil"/>
                  </w:tcBorders>
                  <w:vAlign w:val="center"/>
                </w:tcPr>
                <w:p>
                  <w:pPr>
                    <w:widowControl/>
                    <w:adjustRightInd w:val="0"/>
                    <w:snapToGrid w:val="0"/>
                    <w:jc w:val="center"/>
                    <w:rPr>
                      <w:bCs/>
                      <w:kern w:val="0"/>
                      <w:sz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7" w:type="pct"/>
                  <w:tcBorders>
                    <w:tl2br w:val="nil"/>
                    <w:tr2bl w:val="nil"/>
                  </w:tcBorders>
                  <w:vAlign w:val="center"/>
                </w:tcPr>
                <w:p>
                  <w:pPr>
                    <w:adjustRightInd w:val="0"/>
                    <w:snapToGrid w:val="0"/>
                    <w:jc w:val="center"/>
                    <w:rPr>
                      <w:kern w:val="0"/>
                      <w:sz w:val="20"/>
                      <w:szCs w:val="21"/>
                    </w:rPr>
                  </w:pPr>
                  <w:r>
                    <w:rPr>
                      <w:rFonts w:hint="eastAsia"/>
                      <w:kern w:val="0"/>
                      <w:sz w:val="20"/>
                      <w:szCs w:val="21"/>
                    </w:rPr>
                    <w:t>6</w:t>
                  </w:r>
                </w:p>
              </w:tc>
              <w:tc>
                <w:tcPr>
                  <w:tcW w:w="2013"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kern w:val="0"/>
                      <w:sz w:val="20"/>
                      <w:szCs w:val="21"/>
                    </w:rPr>
                    <w:t>挤出螺杆机</w:t>
                  </w:r>
                </w:p>
              </w:tc>
              <w:tc>
                <w:tcPr>
                  <w:tcW w:w="681"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ascii="宋体" w:hAnsi="宋体" w:cs="宋体"/>
                      <w:kern w:val="0"/>
                      <w:sz w:val="20"/>
                      <w:szCs w:val="21"/>
                      <w:lang w:bidi="ar"/>
                    </w:rPr>
                    <w:t>1</w:t>
                  </w:r>
                </w:p>
              </w:tc>
              <w:tc>
                <w:tcPr>
                  <w:tcW w:w="807" w:type="pct"/>
                  <w:tcBorders>
                    <w:tl2br w:val="nil"/>
                    <w:tr2bl w:val="nil"/>
                  </w:tcBorders>
                  <w:vAlign w:val="center"/>
                </w:tcPr>
                <w:p>
                  <w:pPr>
                    <w:jc w:val="center"/>
                    <w:rPr>
                      <w:kern w:val="0"/>
                      <w:sz w:val="20"/>
                      <w:szCs w:val="21"/>
                    </w:rPr>
                  </w:pPr>
                  <w:r>
                    <w:rPr>
                      <w:rFonts w:hint="eastAsia"/>
                      <w:kern w:val="0"/>
                      <w:sz w:val="20"/>
                      <w:szCs w:val="21"/>
                    </w:rPr>
                    <w:t>75</w:t>
                  </w:r>
                </w:p>
              </w:tc>
              <w:tc>
                <w:tcPr>
                  <w:tcW w:w="721" w:type="pct"/>
                  <w:vMerge w:val="continue"/>
                  <w:tcBorders>
                    <w:tl2br w:val="nil"/>
                    <w:tr2bl w:val="nil"/>
                  </w:tcBorders>
                  <w:vAlign w:val="center"/>
                </w:tcPr>
                <w:p>
                  <w:pPr>
                    <w:widowControl/>
                    <w:adjustRightInd w:val="0"/>
                    <w:snapToGrid w:val="0"/>
                    <w:jc w:val="center"/>
                    <w:rPr>
                      <w:bCs/>
                      <w:kern w:val="0"/>
                      <w:sz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7" w:type="pct"/>
                  <w:tcBorders>
                    <w:tl2br w:val="nil"/>
                    <w:tr2bl w:val="nil"/>
                  </w:tcBorders>
                  <w:vAlign w:val="center"/>
                </w:tcPr>
                <w:p>
                  <w:pPr>
                    <w:adjustRightInd w:val="0"/>
                    <w:snapToGrid w:val="0"/>
                    <w:jc w:val="center"/>
                    <w:rPr>
                      <w:kern w:val="0"/>
                      <w:sz w:val="20"/>
                      <w:szCs w:val="21"/>
                    </w:rPr>
                  </w:pPr>
                  <w:r>
                    <w:rPr>
                      <w:rFonts w:hint="eastAsia"/>
                      <w:kern w:val="0"/>
                      <w:sz w:val="20"/>
                      <w:szCs w:val="21"/>
                    </w:rPr>
                    <w:t>7</w:t>
                  </w:r>
                </w:p>
              </w:tc>
              <w:tc>
                <w:tcPr>
                  <w:tcW w:w="2013" w:type="pct"/>
                  <w:tcBorders>
                    <w:tl2br w:val="nil"/>
                    <w:tr2bl w:val="nil"/>
                  </w:tcBorders>
                  <w:vAlign w:val="center"/>
                </w:tcPr>
                <w:p>
                  <w:pPr>
                    <w:widowControl/>
                    <w:jc w:val="center"/>
                    <w:textAlignment w:val="center"/>
                    <w:rPr>
                      <w:kern w:val="0"/>
                      <w:sz w:val="20"/>
                      <w:szCs w:val="21"/>
                    </w:rPr>
                  </w:pPr>
                  <w:r>
                    <w:rPr>
                      <w:rFonts w:hint="eastAsia"/>
                      <w:kern w:val="0"/>
                      <w:sz w:val="20"/>
                      <w:szCs w:val="21"/>
                    </w:rPr>
                    <w:t>开槽机</w:t>
                  </w:r>
                </w:p>
              </w:tc>
              <w:tc>
                <w:tcPr>
                  <w:tcW w:w="681"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ascii="宋体" w:hAnsi="宋体" w:cs="宋体"/>
                      <w:kern w:val="0"/>
                      <w:sz w:val="20"/>
                      <w:szCs w:val="21"/>
                      <w:lang w:bidi="ar"/>
                    </w:rPr>
                    <w:t>1</w:t>
                  </w:r>
                </w:p>
              </w:tc>
              <w:tc>
                <w:tcPr>
                  <w:tcW w:w="807" w:type="pct"/>
                  <w:tcBorders>
                    <w:tl2br w:val="nil"/>
                    <w:tr2bl w:val="nil"/>
                  </w:tcBorders>
                  <w:vAlign w:val="center"/>
                </w:tcPr>
                <w:p>
                  <w:pPr>
                    <w:jc w:val="center"/>
                    <w:rPr>
                      <w:kern w:val="0"/>
                      <w:sz w:val="20"/>
                      <w:szCs w:val="21"/>
                    </w:rPr>
                  </w:pPr>
                  <w:r>
                    <w:rPr>
                      <w:rFonts w:hint="eastAsia"/>
                      <w:kern w:val="0"/>
                      <w:sz w:val="20"/>
                      <w:szCs w:val="21"/>
                    </w:rPr>
                    <w:t>80</w:t>
                  </w:r>
                </w:p>
              </w:tc>
              <w:tc>
                <w:tcPr>
                  <w:tcW w:w="721" w:type="pct"/>
                  <w:vMerge w:val="continue"/>
                  <w:tcBorders>
                    <w:tl2br w:val="nil"/>
                    <w:tr2bl w:val="nil"/>
                  </w:tcBorders>
                  <w:vAlign w:val="center"/>
                </w:tcPr>
                <w:p>
                  <w:pPr>
                    <w:widowControl/>
                    <w:adjustRightInd w:val="0"/>
                    <w:snapToGrid w:val="0"/>
                    <w:jc w:val="center"/>
                    <w:rPr>
                      <w:bCs/>
                      <w:kern w:val="0"/>
                      <w:sz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7" w:type="pct"/>
                  <w:tcBorders>
                    <w:tl2br w:val="nil"/>
                    <w:tr2bl w:val="nil"/>
                  </w:tcBorders>
                  <w:vAlign w:val="center"/>
                </w:tcPr>
                <w:p>
                  <w:pPr>
                    <w:adjustRightInd w:val="0"/>
                    <w:snapToGrid w:val="0"/>
                    <w:jc w:val="center"/>
                    <w:rPr>
                      <w:kern w:val="0"/>
                      <w:sz w:val="20"/>
                      <w:szCs w:val="21"/>
                    </w:rPr>
                  </w:pPr>
                  <w:r>
                    <w:rPr>
                      <w:rFonts w:hint="eastAsia"/>
                      <w:kern w:val="0"/>
                      <w:sz w:val="20"/>
                      <w:szCs w:val="21"/>
                    </w:rPr>
                    <w:t>8</w:t>
                  </w:r>
                </w:p>
              </w:tc>
              <w:tc>
                <w:tcPr>
                  <w:tcW w:w="2013" w:type="pct"/>
                  <w:tcBorders>
                    <w:tl2br w:val="nil"/>
                    <w:tr2bl w:val="nil"/>
                  </w:tcBorders>
                  <w:vAlign w:val="center"/>
                </w:tcPr>
                <w:p>
                  <w:pPr>
                    <w:widowControl/>
                    <w:jc w:val="center"/>
                    <w:textAlignment w:val="center"/>
                    <w:rPr>
                      <w:kern w:val="0"/>
                      <w:sz w:val="20"/>
                      <w:szCs w:val="21"/>
                    </w:rPr>
                  </w:pPr>
                  <w:r>
                    <w:rPr>
                      <w:rFonts w:hint="eastAsia"/>
                      <w:kern w:val="0"/>
                      <w:sz w:val="20"/>
                      <w:szCs w:val="21"/>
                    </w:rPr>
                    <w:t>压花牵引机</w:t>
                  </w:r>
                </w:p>
              </w:tc>
              <w:tc>
                <w:tcPr>
                  <w:tcW w:w="681"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ascii="宋体" w:hAnsi="宋体" w:cs="宋体"/>
                      <w:kern w:val="0"/>
                      <w:sz w:val="20"/>
                      <w:szCs w:val="21"/>
                      <w:lang w:bidi="ar"/>
                    </w:rPr>
                    <w:t>1</w:t>
                  </w:r>
                </w:p>
              </w:tc>
              <w:tc>
                <w:tcPr>
                  <w:tcW w:w="807" w:type="pct"/>
                  <w:tcBorders>
                    <w:tl2br w:val="nil"/>
                    <w:tr2bl w:val="nil"/>
                  </w:tcBorders>
                  <w:vAlign w:val="center"/>
                </w:tcPr>
                <w:p>
                  <w:pPr>
                    <w:jc w:val="center"/>
                    <w:rPr>
                      <w:kern w:val="0"/>
                      <w:sz w:val="20"/>
                      <w:szCs w:val="21"/>
                    </w:rPr>
                  </w:pPr>
                  <w:r>
                    <w:rPr>
                      <w:rFonts w:hint="eastAsia"/>
                      <w:kern w:val="0"/>
                      <w:sz w:val="20"/>
                      <w:szCs w:val="21"/>
                    </w:rPr>
                    <w:t>75</w:t>
                  </w:r>
                </w:p>
              </w:tc>
              <w:tc>
                <w:tcPr>
                  <w:tcW w:w="721" w:type="pct"/>
                  <w:vMerge w:val="continue"/>
                  <w:tcBorders>
                    <w:tl2br w:val="nil"/>
                    <w:tr2bl w:val="nil"/>
                  </w:tcBorders>
                  <w:vAlign w:val="center"/>
                </w:tcPr>
                <w:p>
                  <w:pPr>
                    <w:widowControl/>
                    <w:adjustRightInd w:val="0"/>
                    <w:snapToGrid w:val="0"/>
                    <w:jc w:val="center"/>
                    <w:rPr>
                      <w:bCs/>
                      <w:kern w:val="0"/>
                      <w:sz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7" w:type="pct"/>
                  <w:tcBorders>
                    <w:tl2br w:val="nil"/>
                    <w:tr2bl w:val="nil"/>
                  </w:tcBorders>
                  <w:vAlign w:val="center"/>
                </w:tcPr>
                <w:p>
                  <w:pPr>
                    <w:adjustRightInd w:val="0"/>
                    <w:snapToGrid w:val="0"/>
                    <w:jc w:val="center"/>
                    <w:rPr>
                      <w:kern w:val="0"/>
                      <w:sz w:val="20"/>
                      <w:szCs w:val="21"/>
                    </w:rPr>
                  </w:pPr>
                  <w:r>
                    <w:rPr>
                      <w:rFonts w:hint="eastAsia"/>
                      <w:kern w:val="0"/>
                      <w:sz w:val="20"/>
                      <w:szCs w:val="21"/>
                    </w:rPr>
                    <w:t>9</w:t>
                  </w:r>
                </w:p>
              </w:tc>
              <w:tc>
                <w:tcPr>
                  <w:tcW w:w="2013" w:type="pct"/>
                  <w:tcBorders>
                    <w:tl2br w:val="nil"/>
                    <w:tr2bl w:val="nil"/>
                  </w:tcBorders>
                  <w:vAlign w:val="center"/>
                </w:tcPr>
                <w:p>
                  <w:pPr>
                    <w:widowControl/>
                    <w:jc w:val="center"/>
                    <w:textAlignment w:val="center"/>
                    <w:rPr>
                      <w:kern w:val="0"/>
                      <w:sz w:val="20"/>
                      <w:szCs w:val="21"/>
                    </w:rPr>
                  </w:pPr>
                  <w:r>
                    <w:rPr>
                      <w:rFonts w:hint="eastAsia"/>
                      <w:kern w:val="0"/>
                      <w:sz w:val="20"/>
                      <w:szCs w:val="21"/>
                    </w:rPr>
                    <w:t>双向三切机</w:t>
                  </w:r>
                </w:p>
              </w:tc>
              <w:tc>
                <w:tcPr>
                  <w:tcW w:w="681"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ascii="宋体" w:hAnsi="宋体" w:cs="宋体"/>
                      <w:kern w:val="0"/>
                      <w:sz w:val="20"/>
                      <w:szCs w:val="21"/>
                      <w:lang w:bidi="ar"/>
                    </w:rPr>
                    <w:t>1</w:t>
                  </w:r>
                </w:p>
              </w:tc>
              <w:tc>
                <w:tcPr>
                  <w:tcW w:w="807" w:type="pct"/>
                  <w:tcBorders>
                    <w:tl2br w:val="nil"/>
                    <w:tr2bl w:val="nil"/>
                  </w:tcBorders>
                  <w:vAlign w:val="center"/>
                </w:tcPr>
                <w:p>
                  <w:pPr>
                    <w:jc w:val="center"/>
                    <w:rPr>
                      <w:kern w:val="0"/>
                      <w:sz w:val="20"/>
                      <w:szCs w:val="21"/>
                    </w:rPr>
                  </w:pPr>
                  <w:r>
                    <w:rPr>
                      <w:rFonts w:hint="eastAsia"/>
                      <w:kern w:val="0"/>
                      <w:sz w:val="20"/>
                      <w:szCs w:val="21"/>
                    </w:rPr>
                    <w:t>85</w:t>
                  </w:r>
                </w:p>
              </w:tc>
              <w:tc>
                <w:tcPr>
                  <w:tcW w:w="721" w:type="pct"/>
                  <w:vMerge w:val="continue"/>
                  <w:tcBorders>
                    <w:tl2br w:val="nil"/>
                    <w:tr2bl w:val="nil"/>
                  </w:tcBorders>
                  <w:vAlign w:val="center"/>
                </w:tcPr>
                <w:p>
                  <w:pPr>
                    <w:widowControl/>
                    <w:adjustRightInd w:val="0"/>
                    <w:snapToGrid w:val="0"/>
                    <w:jc w:val="center"/>
                    <w:rPr>
                      <w:bCs/>
                      <w:kern w:val="0"/>
                      <w:sz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7" w:type="pct"/>
                  <w:tcBorders>
                    <w:tl2br w:val="nil"/>
                    <w:tr2bl w:val="nil"/>
                  </w:tcBorders>
                  <w:vAlign w:val="center"/>
                </w:tcPr>
                <w:p>
                  <w:pPr>
                    <w:adjustRightInd w:val="0"/>
                    <w:snapToGrid w:val="0"/>
                    <w:jc w:val="center"/>
                    <w:rPr>
                      <w:kern w:val="0"/>
                      <w:sz w:val="20"/>
                      <w:szCs w:val="21"/>
                    </w:rPr>
                  </w:pPr>
                  <w:r>
                    <w:rPr>
                      <w:rFonts w:hint="eastAsia"/>
                      <w:kern w:val="0"/>
                      <w:sz w:val="20"/>
                      <w:szCs w:val="21"/>
                    </w:rPr>
                    <w:t>10</w:t>
                  </w:r>
                </w:p>
              </w:tc>
              <w:tc>
                <w:tcPr>
                  <w:tcW w:w="2013" w:type="pct"/>
                  <w:tcBorders>
                    <w:tl2br w:val="nil"/>
                    <w:tr2bl w:val="nil"/>
                  </w:tcBorders>
                  <w:vAlign w:val="center"/>
                </w:tcPr>
                <w:p>
                  <w:pPr>
                    <w:widowControl/>
                    <w:jc w:val="center"/>
                    <w:textAlignment w:val="center"/>
                    <w:rPr>
                      <w:kern w:val="0"/>
                      <w:sz w:val="20"/>
                      <w:szCs w:val="21"/>
                      <w:lang w:bidi="ar"/>
                    </w:rPr>
                  </w:pPr>
                  <w:r>
                    <w:rPr>
                      <w:rFonts w:hint="eastAsia"/>
                      <w:kern w:val="0"/>
                      <w:sz w:val="20"/>
                      <w:szCs w:val="21"/>
                    </w:rPr>
                    <w:t>熔化机</w:t>
                  </w:r>
                </w:p>
              </w:tc>
              <w:tc>
                <w:tcPr>
                  <w:tcW w:w="681"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snapToGrid w:val="0"/>
                      <w:kern w:val="0"/>
                      <w:sz w:val="20"/>
                      <w:szCs w:val="21"/>
                    </w:rPr>
                    <w:t>2</w:t>
                  </w:r>
                </w:p>
              </w:tc>
              <w:tc>
                <w:tcPr>
                  <w:tcW w:w="807" w:type="pct"/>
                  <w:tcBorders>
                    <w:tl2br w:val="nil"/>
                    <w:tr2bl w:val="nil"/>
                  </w:tcBorders>
                  <w:vAlign w:val="center"/>
                </w:tcPr>
                <w:p>
                  <w:pPr>
                    <w:jc w:val="center"/>
                    <w:rPr>
                      <w:kern w:val="0"/>
                      <w:sz w:val="20"/>
                      <w:szCs w:val="21"/>
                    </w:rPr>
                  </w:pPr>
                  <w:r>
                    <w:rPr>
                      <w:rFonts w:hint="eastAsia"/>
                      <w:kern w:val="0"/>
                      <w:sz w:val="20"/>
                      <w:szCs w:val="21"/>
                    </w:rPr>
                    <w:t>70</w:t>
                  </w:r>
                </w:p>
              </w:tc>
              <w:tc>
                <w:tcPr>
                  <w:tcW w:w="721" w:type="pct"/>
                  <w:vMerge w:val="continue"/>
                  <w:tcBorders>
                    <w:tl2br w:val="nil"/>
                    <w:tr2bl w:val="nil"/>
                  </w:tcBorders>
                  <w:vAlign w:val="center"/>
                </w:tcPr>
                <w:p>
                  <w:pPr>
                    <w:widowControl/>
                    <w:adjustRightInd w:val="0"/>
                    <w:snapToGrid w:val="0"/>
                    <w:jc w:val="center"/>
                    <w:rPr>
                      <w:bCs/>
                      <w:kern w:val="0"/>
                      <w:sz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7" w:type="pct"/>
                  <w:tcBorders>
                    <w:tl2br w:val="nil"/>
                    <w:tr2bl w:val="nil"/>
                  </w:tcBorders>
                  <w:vAlign w:val="center"/>
                </w:tcPr>
                <w:p>
                  <w:pPr>
                    <w:adjustRightInd w:val="0"/>
                    <w:snapToGrid w:val="0"/>
                    <w:jc w:val="center"/>
                    <w:rPr>
                      <w:kern w:val="0"/>
                      <w:sz w:val="20"/>
                      <w:szCs w:val="21"/>
                    </w:rPr>
                  </w:pPr>
                  <w:r>
                    <w:rPr>
                      <w:rFonts w:hint="eastAsia"/>
                      <w:kern w:val="0"/>
                      <w:sz w:val="20"/>
                      <w:szCs w:val="21"/>
                    </w:rPr>
                    <w:t>11</w:t>
                  </w:r>
                </w:p>
              </w:tc>
              <w:tc>
                <w:tcPr>
                  <w:tcW w:w="2013" w:type="pct"/>
                  <w:tcBorders>
                    <w:tl2br w:val="nil"/>
                    <w:tr2bl w:val="nil"/>
                  </w:tcBorders>
                  <w:vAlign w:val="center"/>
                </w:tcPr>
                <w:p>
                  <w:pPr>
                    <w:widowControl/>
                    <w:textAlignment w:val="center"/>
                    <w:rPr>
                      <w:kern w:val="0"/>
                      <w:sz w:val="20"/>
                      <w:szCs w:val="21"/>
                    </w:rPr>
                  </w:pPr>
                  <w:r>
                    <w:rPr>
                      <w:rFonts w:hint="eastAsia"/>
                      <w:kern w:val="0"/>
                      <w:sz w:val="20"/>
                      <w:szCs w:val="21"/>
                    </w:rPr>
                    <w:t>2t/h天然气锅炉（LSS2.0-1.0-Q）</w:t>
                  </w:r>
                </w:p>
              </w:tc>
              <w:tc>
                <w:tcPr>
                  <w:tcW w:w="681"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ascii="宋体" w:hAnsi="宋体" w:cs="宋体"/>
                      <w:kern w:val="0"/>
                      <w:sz w:val="20"/>
                      <w:szCs w:val="21"/>
                      <w:lang w:bidi="ar"/>
                    </w:rPr>
                    <w:t>2</w:t>
                  </w:r>
                </w:p>
              </w:tc>
              <w:tc>
                <w:tcPr>
                  <w:tcW w:w="807" w:type="pct"/>
                  <w:tcBorders>
                    <w:tl2br w:val="nil"/>
                    <w:tr2bl w:val="nil"/>
                  </w:tcBorders>
                  <w:vAlign w:val="center"/>
                </w:tcPr>
                <w:p>
                  <w:pPr>
                    <w:jc w:val="center"/>
                    <w:rPr>
                      <w:kern w:val="0"/>
                      <w:sz w:val="20"/>
                      <w:szCs w:val="21"/>
                    </w:rPr>
                  </w:pPr>
                  <w:r>
                    <w:rPr>
                      <w:kern w:val="0"/>
                      <w:sz w:val="20"/>
                      <w:szCs w:val="21"/>
                    </w:rPr>
                    <w:t>80</w:t>
                  </w:r>
                </w:p>
              </w:tc>
              <w:tc>
                <w:tcPr>
                  <w:tcW w:w="721" w:type="pct"/>
                  <w:vMerge w:val="continue"/>
                  <w:tcBorders>
                    <w:tl2br w:val="nil"/>
                    <w:tr2bl w:val="nil"/>
                  </w:tcBorders>
                  <w:vAlign w:val="center"/>
                </w:tcPr>
                <w:p>
                  <w:pPr>
                    <w:widowControl/>
                    <w:adjustRightInd w:val="0"/>
                    <w:snapToGrid w:val="0"/>
                    <w:jc w:val="center"/>
                    <w:rPr>
                      <w:bCs/>
                      <w:kern w:val="0"/>
                      <w:sz w:val="2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7" w:type="pct"/>
                  <w:tcBorders>
                    <w:tl2br w:val="nil"/>
                    <w:tr2bl w:val="nil"/>
                  </w:tcBorders>
                  <w:vAlign w:val="center"/>
                </w:tcPr>
                <w:p>
                  <w:pPr>
                    <w:adjustRightInd w:val="0"/>
                    <w:snapToGrid w:val="0"/>
                    <w:jc w:val="center"/>
                    <w:rPr>
                      <w:kern w:val="0"/>
                      <w:sz w:val="20"/>
                      <w:szCs w:val="21"/>
                    </w:rPr>
                  </w:pPr>
                  <w:r>
                    <w:rPr>
                      <w:rFonts w:hint="eastAsia"/>
                      <w:kern w:val="0"/>
                      <w:sz w:val="20"/>
                      <w:szCs w:val="21"/>
                    </w:rPr>
                    <w:t>12</w:t>
                  </w:r>
                </w:p>
              </w:tc>
              <w:tc>
                <w:tcPr>
                  <w:tcW w:w="2013" w:type="pct"/>
                  <w:tcBorders>
                    <w:tl2br w:val="nil"/>
                    <w:tr2bl w:val="nil"/>
                  </w:tcBorders>
                  <w:vAlign w:val="center"/>
                </w:tcPr>
                <w:p>
                  <w:pPr>
                    <w:widowControl/>
                    <w:jc w:val="center"/>
                    <w:textAlignment w:val="center"/>
                    <w:rPr>
                      <w:rFonts w:ascii="宋体" w:hAnsi="宋体" w:cs="宋体"/>
                      <w:kern w:val="0"/>
                      <w:sz w:val="20"/>
                      <w:szCs w:val="21"/>
                    </w:rPr>
                  </w:pPr>
                  <w:r>
                    <w:rPr>
                      <w:rFonts w:hint="eastAsia" w:ascii="宋体" w:hAnsi="宋体" w:cs="宋体"/>
                      <w:kern w:val="0"/>
                      <w:sz w:val="20"/>
                      <w:szCs w:val="21"/>
                    </w:rPr>
                    <w:t>风机</w:t>
                  </w:r>
                </w:p>
              </w:tc>
              <w:tc>
                <w:tcPr>
                  <w:tcW w:w="681"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ascii="宋体" w:hAnsi="宋体" w:cs="宋体"/>
                      <w:kern w:val="0"/>
                      <w:sz w:val="20"/>
                      <w:szCs w:val="21"/>
                      <w:lang w:bidi="ar"/>
                    </w:rPr>
                    <w:t>2</w:t>
                  </w:r>
                </w:p>
              </w:tc>
              <w:tc>
                <w:tcPr>
                  <w:tcW w:w="807" w:type="pct"/>
                  <w:tcBorders>
                    <w:tl2br w:val="nil"/>
                    <w:tr2bl w:val="nil"/>
                  </w:tcBorders>
                  <w:vAlign w:val="center"/>
                </w:tcPr>
                <w:p>
                  <w:pPr>
                    <w:jc w:val="center"/>
                    <w:rPr>
                      <w:kern w:val="0"/>
                      <w:sz w:val="20"/>
                      <w:szCs w:val="21"/>
                    </w:rPr>
                  </w:pPr>
                  <w:r>
                    <w:rPr>
                      <w:rFonts w:hint="eastAsia"/>
                      <w:kern w:val="0"/>
                      <w:sz w:val="20"/>
                      <w:szCs w:val="21"/>
                    </w:rPr>
                    <w:t>90</w:t>
                  </w:r>
                </w:p>
              </w:tc>
              <w:tc>
                <w:tcPr>
                  <w:tcW w:w="721" w:type="pct"/>
                  <w:vMerge w:val="continue"/>
                  <w:tcBorders>
                    <w:tl2br w:val="nil"/>
                    <w:tr2bl w:val="nil"/>
                  </w:tcBorders>
                  <w:vAlign w:val="center"/>
                </w:tcPr>
                <w:p>
                  <w:pPr>
                    <w:widowControl/>
                    <w:adjustRightInd w:val="0"/>
                    <w:snapToGrid w:val="0"/>
                    <w:jc w:val="center"/>
                    <w:rPr>
                      <w:bCs/>
                      <w:kern w:val="0"/>
                      <w:sz w:val="20"/>
                      <w:szCs w:val="21"/>
                    </w:rPr>
                  </w:pPr>
                </w:p>
              </w:tc>
            </w:tr>
          </w:tbl>
          <w:p>
            <w:pPr>
              <w:widowControl/>
              <w:adjustRightInd w:val="0"/>
              <w:snapToGrid w:val="0"/>
              <w:spacing w:line="360" w:lineRule="auto"/>
              <w:ind w:firstLine="480" w:firstLineChars="200"/>
              <w:rPr>
                <w:bCs/>
                <w:kern w:val="0"/>
                <w:sz w:val="24"/>
              </w:rPr>
            </w:pPr>
            <w:r>
              <w:rPr>
                <w:rFonts w:hint="eastAsia"/>
                <w:bCs/>
                <w:kern w:val="0"/>
                <w:sz w:val="24"/>
              </w:rPr>
              <w:t>项目拟采取的降噪措施如下：</w:t>
            </w:r>
          </w:p>
          <w:p>
            <w:pPr>
              <w:widowControl/>
              <w:adjustRightInd w:val="0"/>
              <w:snapToGrid w:val="0"/>
              <w:spacing w:line="360" w:lineRule="auto"/>
              <w:ind w:firstLine="480" w:firstLineChars="200"/>
              <w:rPr>
                <w:bCs/>
                <w:kern w:val="0"/>
                <w:sz w:val="24"/>
              </w:rPr>
            </w:pPr>
            <w:r>
              <w:rPr>
                <w:rFonts w:hint="eastAsia"/>
                <w:bCs/>
                <w:kern w:val="0"/>
                <w:sz w:val="24"/>
              </w:rPr>
              <w:t>（1）选型上使用国内先进的低噪声设备，安装时采取台基减振、减震垫等一系列减振、隔声措施；</w:t>
            </w:r>
          </w:p>
          <w:p>
            <w:pPr>
              <w:widowControl/>
              <w:adjustRightInd w:val="0"/>
              <w:snapToGrid w:val="0"/>
              <w:spacing w:line="360" w:lineRule="auto"/>
              <w:ind w:firstLine="480" w:firstLineChars="200"/>
              <w:rPr>
                <w:bCs/>
                <w:kern w:val="0"/>
                <w:sz w:val="24"/>
              </w:rPr>
            </w:pPr>
            <w:r>
              <w:rPr>
                <w:rFonts w:hint="eastAsia"/>
                <w:bCs/>
                <w:kern w:val="0"/>
                <w:sz w:val="24"/>
              </w:rPr>
              <w:t>（2）合理布置噪声源：将高噪声设备安装在车间内，充分利用距离衰减，以减轻对厂界外的声环境影响，高噪风机必要时采取消声或风机房隔声；</w:t>
            </w:r>
          </w:p>
          <w:p>
            <w:pPr>
              <w:widowControl/>
              <w:adjustRightInd w:val="0"/>
              <w:snapToGrid w:val="0"/>
              <w:spacing w:line="360" w:lineRule="auto"/>
              <w:ind w:firstLine="480" w:firstLineChars="200"/>
              <w:rPr>
                <w:bCs/>
                <w:kern w:val="0"/>
                <w:sz w:val="24"/>
              </w:rPr>
            </w:pPr>
            <w:r>
              <w:rPr>
                <w:rFonts w:hint="eastAsia"/>
                <w:bCs/>
                <w:kern w:val="0"/>
                <w:sz w:val="24"/>
              </w:rPr>
              <w:t>（3）安排专人定期维护机械设备，确保设备正常运转。防止设备故障形成的非正常噪声；加强职工环保意识教育，提倡文明生产，防止人为噪声。</w:t>
            </w:r>
          </w:p>
          <w:p>
            <w:pPr>
              <w:widowControl/>
              <w:adjustRightInd w:val="0"/>
              <w:snapToGrid w:val="0"/>
              <w:spacing w:line="360" w:lineRule="auto"/>
              <w:ind w:firstLine="482"/>
              <w:rPr>
                <w:b/>
                <w:kern w:val="0"/>
                <w:sz w:val="24"/>
              </w:rPr>
            </w:pPr>
            <w:r>
              <w:rPr>
                <w:rFonts w:hint="eastAsia"/>
                <w:bCs/>
                <w:kern w:val="0"/>
                <w:sz w:val="24"/>
              </w:rPr>
              <w:t>（4）合理安排生产时间。</w:t>
            </w:r>
          </w:p>
          <w:p>
            <w:pPr>
              <w:widowControl/>
              <w:adjustRightInd w:val="0"/>
              <w:snapToGrid w:val="0"/>
              <w:spacing w:line="360" w:lineRule="auto"/>
              <w:ind w:firstLine="482"/>
              <w:rPr>
                <w:bCs/>
                <w:kern w:val="0"/>
                <w:sz w:val="24"/>
              </w:rPr>
            </w:pPr>
            <w:r>
              <w:rPr>
                <w:rFonts w:hint="eastAsia"/>
                <w:bCs/>
                <w:kern w:val="0"/>
                <w:sz w:val="24"/>
              </w:rPr>
              <w:t>（5）运输车辆在工作时减速慢行，路过噪声敏感点时禁止鸣笛。</w:t>
            </w:r>
          </w:p>
          <w:p>
            <w:pPr>
              <w:widowControl/>
              <w:adjustRightInd w:val="0"/>
              <w:snapToGrid w:val="0"/>
              <w:spacing w:line="360" w:lineRule="auto"/>
              <w:ind w:firstLine="482"/>
              <w:rPr>
                <w:b/>
                <w:kern w:val="0"/>
                <w:sz w:val="24"/>
              </w:rPr>
            </w:pPr>
            <w:r>
              <w:rPr>
                <w:b/>
                <w:kern w:val="0"/>
                <w:sz w:val="24"/>
              </w:rPr>
              <w:t>4、固废</w:t>
            </w:r>
          </w:p>
          <w:p>
            <w:pPr>
              <w:adjustRightInd w:val="0"/>
              <w:snapToGrid w:val="0"/>
              <w:spacing w:line="360" w:lineRule="auto"/>
              <w:ind w:firstLine="480"/>
              <w:rPr>
                <w:kern w:val="0"/>
                <w:sz w:val="24"/>
              </w:rPr>
            </w:pPr>
            <w:r>
              <w:rPr>
                <w:rFonts w:hint="eastAsia"/>
                <w:kern w:val="0"/>
                <w:sz w:val="24"/>
              </w:rPr>
              <w:t>运营期固废主要为生活垃圾、边角料、除尘器收集的粉尘、废包材、锅炉制水产生的废滤芯、废反渗透膜、危险废物（废活性炭；废机油；废油抹布）</w:t>
            </w:r>
            <w:r>
              <w:rPr>
                <w:kern w:val="0"/>
                <w:sz w:val="24"/>
              </w:rPr>
              <w:t>。</w:t>
            </w:r>
          </w:p>
          <w:p>
            <w:pPr>
              <w:widowControl/>
              <w:adjustRightInd w:val="0"/>
              <w:snapToGrid w:val="0"/>
              <w:spacing w:line="360" w:lineRule="auto"/>
              <w:ind w:firstLine="482"/>
              <w:rPr>
                <w:kern w:val="0"/>
                <w:sz w:val="24"/>
              </w:rPr>
            </w:pPr>
            <w:r>
              <w:rPr>
                <w:kern w:val="0"/>
                <w:sz w:val="24"/>
              </w:rPr>
              <w:t>（1）生活垃圾</w:t>
            </w:r>
          </w:p>
          <w:p>
            <w:pPr>
              <w:widowControl/>
              <w:adjustRightInd w:val="0"/>
              <w:snapToGrid w:val="0"/>
              <w:spacing w:line="360" w:lineRule="auto"/>
              <w:ind w:firstLine="482"/>
              <w:rPr>
                <w:kern w:val="0"/>
                <w:sz w:val="24"/>
              </w:rPr>
            </w:pPr>
            <w:r>
              <w:rPr>
                <w:rFonts w:hint="eastAsia"/>
                <w:bCs/>
                <w:kern w:val="0"/>
                <w:sz w:val="24"/>
              </w:rPr>
              <w:t>运营期劳动定员20人，生活垃圾排放系数以0.5kg/人</w:t>
            </w:r>
            <w:r>
              <w:rPr>
                <w:kern w:val="0"/>
                <w:sz w:val="24"/>
              </w:rPr>
              <w:t>•d</w:t>
            </w:r>
            <w:r>
              <w:rPr>
                <w:rFonts w:hint="eastAsia"/>
                <w:kern w:val="0"/>
                <w:sz w:val="24"/>
              </w:rPr>
              <w:t>计，运营期共产生生活垃圾3.0t/a，统一收集，环卫清运。</w:t>
            </w:r>
          </w:p>
          <w:p>
            <w:pPr>
              <w:tabs>
                <w:tab w:val="left" w:pos="2610"/>
              </w:tabs>
              <w:adjustRightInd w:val="0"/>
              <w:snapToGrid w:val="0"/>
              <w:spacing w:line="360" w:lineRule="auto"/>
              <w:ind w:firstLine="482"/>
              <w:rPr>
                <w:kern w:val="0"/>
                <w:sz w:val="24"/>
              </w:rPr>
            </w:pPr>
            <w:r>
              <w:rPr>
                <w:rFonts w:hint="eastAsia"/>
                <w:kern w:val="0"/>
                <w:sz w:val="24"/>
              </w:rPr>
              <w:t>（2）边角料</w:t>
            </w:r>
          </w:p>
          <w:p>
            <w:pPr>
              <w:tabs>
                <w:tab w:val="left" w:pos="2610"/>
              </w:tabs>
              <w:adjustRightInd w:val="0"/>
              <w:snapToGrid w:val="0"/>
              <w:spacing w:line="360" w:lineRule="auto"/>
              <w:ind w:firstLine="482"/>
              <w:rPr>
                <w:kern w:val="0"/>
                <w:sz w:val="24"/>
              </w:rPr>
            </w:pPr>
            <w:r>
              <w:rPr>
                <w:rFonts w:hint="eastAsia"/>
                <w:kern w:val="0"/>
                <w:sz w:val="24"/>
              </w:rPr>
              <w:t>本项目产生的边角料产生量约</w:t>
            </w:r>
            <w:r>
              <w:rPr>
                <w:kern w:val="0"/>
                <w:sz w:val="24"/>
              </w:rPr>
              <w:t>28</w:t>
            </w:r>
            <w:r>
              <w:rPr>
                <w:rFonts w:hint="eastAsia"/>
                <w:kern w:val="0"/>
                <w:sz w:val="24"/>
              </w:rPr>
              <w:t>t/a，经收集后进行熔融加工，将熔融料外售。</w:t>
            </w:r>
          </w:p>
          <w:p>
            <w:pPr>
              <w:tabs>
                <w:tab w:val="left" w:pos="2610"/>
              </w:tabs>
              <w:adjustRightInd w:val="0"/>
              <w:snapToGrid w:val="0"/>
              <w:spacing w:line="360" w:lineRule="auto"/>
              <w:ind w:firstLine="482"/>
              <w:rPr>
                <w:kern w:val="0"/>
                <w:sz w:val="24"/>
              </w:rPr>
            </w:pPr>
            <w:r>
              <w:rPr>
                <w:rFonts w:hint="eastAsia"/>
                <w:kern w:val="0"/>
                <w:sz w:val="24"/>
              </w:rPr>
              <w:t>（3）除尘器收集的粉尘</w:t>
            </w:r>
          </w:p>
          <w:p>
            <w:pPr>
              <w:tabs>
                <w:tab w:val="left" w:pos="2610"/>
              </w:tabs>
              <w:adjustRightInd w:val="0"/>
              <w:snapToGrid w:val="0"/>
              <w:spacing w:line="360" w:lineRule="auto"/>
              <w:ind w:firstLine="482"/>
              <w:rPr>
                <w:kern w:val="0"/>
                <w:sz w:val="24"/>
              </w:rPr>
            </w:pPr>
            <w:r>
              <w:rPr>
                <w:rFonts w:hint="eastAsia"/>
                <w:kern w:val="0"/>
                <w:sz w:val="24"/>
              </w:rPr>
              <w:t>根据产污分析，布袋除尘器收集粉尘量约</w:t>
            </w:r>
            <w:r>
              <w:rPr>
                <w:kern w:val="0"/>
                <w:sz w:val="24"/>
              </w:rPr>
              <w:t>5.668</w:t>
            </w:r>
            <w:r>
              <w:rPr>
                <w:rFonts w:hint="eastAsia"/>
                <w:kern w:val="0"/>
                <w:sz w:val="24"/>
              </w:rPr>
              <w:t>t/a，收集后外售处理。</w:t>
            </w:r>
          </w:p>
          <w:p>
            <w:pPr>
              <w:tabs>
                <w:tab w:val="left" w:pos="2610"/>
              </w:tabs>
              <w:adjustRightInd w:val="0"/>
              <w:snapToGrid w:val="0"/>
              <w:spacing w:line="360" w:lineRule="auto"/>
              <w:ind w:firstLine="482"/>
              <w:rPr>
                <w:kern w:val="0"/>
                <w:sz w:val="24"/>
              </w:rPr>
            </w:pPr>
            <w:r>
              <w:rPr>
                <w:rFonts w:hint="eastAsia"/>
                <w:kern w:val="0"/>
                <w:sz w:val="24"/>
              </w:rPr>
              <w:t>（4）废包材</w:t>
            </w:r>
          </w:p>
          <w:p>
            <w:pPr>
              <w:tabs>
                <w:tab w:val="left" w:pos="2610"/>
              </w:tabs>
              <w:adjustRightInd w:val="0"/>
              <w:snapToGrid w:val="0"/>
              <w:spacing w:line="360" w:lineRule="auto"/>
              <w:ind w:firstLine="482"/>
              <w:rPr>
                <w:kern w:val="0"/>
                <w:sz w:val="24"/>
              </w:rPr>
            </w:pPr>
            <w:r>
              <w:rPr>
                <w:rFonts w:hint="eastAsia"/>
                <w:kern w:val="0"/>
                <w:sz w:val="24"/>
              </w:rPr>
              <w:t>本项目原辅料包装产生的废包材约0.3t/a，集中收集后交环卫部门清运。</w:t>
            </w:r>
          </w:p>
          <w:p>
            <w:pPr>
              <w:tabs>
                <w:tab w:val="left" w:pos="2610"/>
              </w:tabs>
              <w:adjustRightInd w:val="0"/>
              <w:snapToGrid w:val="0"/>
              <w:spacing w:line="360" w:lineRule="auto"/>
              <w:ind w:firstLine="482"/>
              <w:rPr>
                <w:color w:val="00B0F0"/>
                <w:kern w:val="0"/>
                <w:sz w:val="24"/>
              </w:rPr>
            </w:pPr>
            <w:r>
              <w:rPr>
                <w:rFonts w:hint="eastAsia"/>
                <w:color w:val="00B0F0"/>
                <w:kern w:val="0"/>
                <w:sz w:val="24"/>
              </w:rPr>
              <w:t>（5）锅炉制水的废滤芯、废反渗透膜</w:t>
            </w:r>
          </w:p>
          <w:p>
            <w:pPr>
              <w:tabs>
                <w:tab w:val="left" w:pos="2610"/>
              </w:tabs>
              <w:adjustRightInd w:val="0"/>
              <w:snapToGrid w:val="0"/>
              <w:spacing w:line="360" w:lineRule="auto"/>
              <w:ind w:firstLine="482"/>
              <w:rPr>
                <w:color w:val="00B0F0"/>
                <w:kern w:val="0"/>
                <w:sz w:val="24"/>
              </w:rPr>
            </w:pPr>
            <w:r>
              <w:rPr>
                <w:rFonts w:hint="eastAsia"/>
                <w:color w:val="00B0F0"/>
                <w:kern w:val="0"/>
                <w:sz w:val="24"/>
              </w:rPr>
              <w:t>软水设备需要通过过滤器里的废滤芯（PP棉）、反渗透膜需定期更换，根据企业提供资料，滤芯每月更换一次，更换量2.5kg/次（25kg/a），反渗透膜每年更换一次，更换量约3kg/a。软水处理的水源为自来水，供项目生产水与生活水，水质满足饮用水水质标准，起吸附过滤作用的废滤芯（PP棉）、反渗透膜不作为危废处理。废滤芯（PP棉）与反渗透膜集中收集后交厂家回收。</w:t>
            </w:r>
          </w:p>
          <w:p>
            <w:pPr>
              <w:tabs>
                <w:tab w:val="left" w:pos="2610"/>
              </w:tabs>
              <w:adjustRightInd w:val="0"/>
              <w:snapToGrid w:val="0"/>
              <w:spacing w:line="360" w:lineRule="auto"/>
              <w:ind w:firstLine="482"/>
              <w:rPr>
                <w:kern w:val="0"/>
                <w:sz w:val="24"/>
              </w:rPr>
            </w:pPr>
            <w:r>
              <w:rPr>
                <w:rFonts w:hint="eastAsia"/>
                <w:kern w:val="0"/>
                <w:sz w:val="24"/>
              </w:rPr>
              <w:t>（6）危险废物</w:t>
            </w:r>
          </w:p>
          <w:p>
            <w:pPr>
              <w:tabs>
                <w:tab w:val="left" w:pos="2610"/>
              </w:tabs>
              <w:adjustRightInd w:val="0"/>
              <w:snapToGrid w:val="0"/>
              <w:spacing w:line="360" w:lineRule="auto"/>
              <w:ind w:firstLine="482"/>
              <w:rPr>
                <w:kern w:val="0"/>
                <w:sz w:val="24"/>
              </w:rPr>
            </w:pPr>
            <w:r>
              <w:rPr>
                <w:rFonts w:hint="eastAsia"/>
                <w:kern w:val="0"/>
                <w:sz w:val="24"/>
              </w:rPr>
              <w:t>①废活性炭</w:t>
            </w:r>
            <w:r>
              <w:rPr>
                <w:kern w:val="0"/>
                <w:sz w:val="24"/>
                <w:lang w:val="zh-CN"/>
              </w:rPr>
              <w:t>（废物代码：HW49-900-041-49）</w:t>
            </w:r>
          </w:p>
          <w:p>
            <w:pPr>
              <w:adjustRightInd w:val="0"/>
              <w:snapToGrid w:val="0"/>
              <w:spacing w:line="360" w:lineRule="auto"/>
              <w:ind w:firstLine="480" w:firstLineChars="200"/>
              <w:rPr>
                <w:color w:val="00B0F0"/>
                <w:kern w:val="0"/>
                <w:sz w:val="24"/>
              </w:rPr>
            </w:pPr>
            <w:r>
              <w:rPr>
                <w:color w:val="00B0F0"/>
                <w:kern w:val="0"/>
                <w:sz w:val="24"/>
              </w:rPr>
              <w:t>根据《挥发性有机物的物化性质与活性炭饱和吸附量的相关性研究》（2007年第27卷第5期化工环保）活性炭对苯类、酯类等VOC的饱和吸附量范围为224.93mg/g～312.92mg/g。本次环评活性炭吸附性能取270mg/g，处理的废气量为4t/a，则年用活性炭量为14.8t/a（要求</w:t>
            </w:r>
            <w:r>
              <w:rPr>
                <w:rFonts w:hint="eastAsia"/>
                <w:color w:val="00B0F0"/>
                <w:kern w:val="0"/>
                <w:sz w:val="24"/>
              </w:rPr>
              <w:t>每2个月</w:t>
            </w:r>
            <w:r>
              <w:rPr>
                <w:color w:val="00B0F0"/>
                <w:kern w:val="0"/>
                <w:sz w:val="24"/>
              </w:rPr>
              <w:t>更换一次</w:t>
            </w:r>
            <w:r>
              <w:rPr>
                <w:rFonts w:hint="eastAsia"/>
                <w:color w:val="00B0F0"/>
                <w:kern w:val="0"/>
                <w:sz w:val="24"/>
              </w:rPr>
              <w:t>，若发现处理效果不好时应及时更换活性炭</w:t>
            </w:r>
            <w:r>
              <w:rPr>
                <w:color w:val="00B0F0"/>
                <w:kern w:val="0"/>
                <w:sz w:val="24"/>
              </w:rPr>
              <w:t>）</w:t>
            </w:r>
            <w:r>
              <w:rPr>
                <w:rFonts w:hint="eastAsia"/>
                <w:color w:val="00B0F0"/>
                <w:kern w:val="0"/>
                <w:sz w:val="24"/>
                <w:lang w:val="zh-CN"/>
              </w:rPr>
              <w:t>，废活性炭的产生量为</w:t>
            </w:r>
            <w:r>
              <w:rPr>
                <w:color w:val="00B0F0"/>
                <w:kern w:val="0"/>
                <w:sz w:val="24"/>
              </w:rPr>
              <w:t>18.8</w:t>
            </w:r>
            <w:r>
              <w:rPr>
                <w:color w:val="00B0F0"/>
                <w:kern w:val="0"/>
                <w:sz w:val="24"/>
                <w:lang w:val="zh-CN"/>
              </w:rPr>
              <w:t>t/a</w:t>
            </w:r>
            <w:r>
              <w:rPr>
                <w:rFonts w:hint="eastAsia"/>
                <w:color w:val="00B0F0"/>
                <w:kern w:val="0"/>
                <w:sz w:val="24"/>
                <w:lang w:val="zh-CN"/>
              </w:rPr>
              <w:t>，</w:t>
            </w:r>
            <w:r>
              <w:rPr>
                <w:rFonts w:hint="eastAsia"/>
                <w:color w:val="00B0F0"/>
                <w:kern w:val="0"/>
                <w:sz w:val="24"/>
                <w:lang w:bidi="ar"/>
              </w:rPr>
              <w:t>暂存于危废暂存间定期交有资质单位处理。</w:t>
            </w:r>
          </w:p>
          <w:p>
            <w:pPr>
              <w:tabs>
                <w:tab w:val="left" w:pos="2610"/>
              </w:tabs>
              <w:adjustRightInd w:val="0"/>
              <w:snapToGrid w:val="0"/>
              <w:spacing w:line="360" w:lineRule="auto"/>
              <w:ind w:firstLine="482"/>
              <w:rPr>
                <w:kern w:val="0"/>
                <w:sz w:val="24"/>
              </w:rPr>
            </w:pPr>
            <w:r>
              <w:rPr>
                <w:rFonts w:hint="eastAsia"/>
                <w:kern w:val="0"/>
                <w:sz w:val="24"/>
              </w:rPr>
              <w:t>②废机油（废物代码：</w:t>
            </w:r>
            <w:r>
              <w:rPr>
                <w:kern w:val="0"/>
                <w:sz w:val="24"/>
              </w:rPr>
              <w:t>HW08-900-217-08）</w:t>
            </w:r>
          </w:p>
          <w:p>
            <w:pPr>
              <w:tabs>
                <w:tab w:val="left" w:pos="2610"/>
              </w:tabs>
              <w:adjustRightInd w:val="0"/>
              <w:snapToGrid w:val="0"/>
              <w:spacing w:line="360" w:lineRule="auto"/>
              <w:ind w:firstLine="482"/>
              <w:rPr>
                <w:kern w:val="0"/>
                <w:sz w:val="24"/>
              </w:rPr>
            </w:pPr>
            <w:r>
              <w:rPr>
                <w:rFonts w:hint="eastAsia"/>
                <w:kern w:val="0"/>
                <w:sz w:val="24"/>
              </w:rPr>
              <w:t>本项目设备日常维护、检修过程会产生废机油。根据企业提供资料，废机油的产生量为0.05t/a。</w:t>
            </w:r>
            <w:r>
              <w:rPr>
                <w:rFonts w:hint="eastAsia"/>
                <w:kern w:val="0"/>
                <w:sz w:val="24"/>
                <w:lang w:bidi="ar"/>
              </w:rPr>
              <w:t>暂存于危废暂存间定期交有资质单位处理。</w:t>
            </w:r>
          </w:p>
          <w:p>
            <w:pPr>
              <w:tabs>
                <w:tab w:val="left" w:pos="2610"/>
              </w:tabs>
              <w:adjustRightInd w:val="0"/>
              <w:snapToGrid w:val="0"/>
              <w:spacing w:line="360" w:lineRule="auto"/>
              <w:ind w:firstLine="482"/>
              <w:rPr>
                <w:kern w:val="0"/>
                <w:sz w:val="24"/>
              </w:rPr>
            </w:pPr>
            <w:r>
              <w:rPr>
                <w:rFonts w:hint="eastAsia"/>
                <w:kern w:val="0"/>
                <w:sz w:val="24"/>
              </w:rPr>
              <w:t>③废油抹布（废物代码：</w:t>
            </w:r>
            <w:r>
              <w:rPr>
                <w:kern w:val="0"/>
                <w:sz w:val="24"/>
              </w:rPr>
              <w:t>HW49-900-041-49）</w:t>
            </w:r>
          </w:p>
          <w:p>
            <w:pPr>
              <w:tabs>
                <w:tab w:val="left" w:pos="2610"/>
              </w:tabs>
              <w:adjustRightInd w:val="0"/>
              <w:snapToGrid w:val="0"/>
              <w:spacing w:line="360" w:lineRule="auto"/>
              <w:ind w:firstLine="482"/>
              <w:rPr>
                <w:kern w:val="0"/>
                <w:sz w:val="24"/>
              </w:rPr>
            </w:pPr>
            <w:r>
              <w:rPr>
                <w:rFonts w:hint="eastAsia"/>
                <w:kern w:val="0"/>
                <w:sz w:val="24"/>
              </w:rPr>
              <w:t>本项目设备在检修过程中会产生废含油手套、抹布，根据企业提供资料，产生量为0.035t/a</w:t>
            </w:r>
            <w:r>
              <w:rPr>
                <w:rFonts w:hint="eastAsia"/>
                <w:kern w:val="0"/>
                <w:sz w:val="24"/>
                <w:lang w:bidi="ar"/>
              </w:rPr>
              <w:t>，暂存于危废暂存间定期交有资质单位处理。</w:t>
            </w:r>
          </w:p>
          <w:p>
            <w:pPr>
              <w:spacing w:line="360" w:lineRule="auto"/>
              <w:jc w:val="center"/>
              <w:rPr>
                <w:b/>
                <w:bCs/>
                <w:color w:val="000000" w:themeColor="text1"/>
                <w:kern w:val="0"/>
                <w:sz w:val="24"/>
                <w:szCs w:val="20"/>
                <w14:textFill>
                  <w14:solidFill>
                    <w14:schemeClr w14:val="tx1"/>
                  </w14:solidFill>
                </w14:textFill>
              </w:rPr>
            </w:pPr>
            <w:r>
              <w:rPr>
                <w:rFonts w:hint="eastAsia"/>
                <w:b/>
                <w:bCs/>
                <w:color w:val="000000" w:themeColor="text1"/>
                <w:kern w:val="0"/>
                <w:sz w:val="24"/>
                <w:szCs w:val="20"/>
                <w14:textFill>
                  <w14:solidFill>
                    <w14:schemeClr w14:val="tx1"/>
                  </w14:solidFill>
                </w14:textFill>
              </w:rPr>
              <w:t>表</w:t>
            </w:r>
            <w:r>
              <w:rPr>
                <w:b/>
                <w:bCs/>
                <w:color w:val="000000" w:themeColor="text1"/>
                <w:kern w:val="0"/>
                <w:sz w:val="24"/>
                <w:szCs w:val="20"/>
                <w14:textFill>
                  <w14:solidFill>
                    <w14:schemeClr w14:val="tx1"/>
                  </w14:solidFill>
                </w14:textFill>
              </w:rPr>
              <w:t>5-10   项目固废产生情况一览表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37"/>
              <w:gridCol w:w="1474"/>
              <w:gridCol w:w="2014"/>
              <w:gridCol w:w="2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Align w:val="center"/>
                </w:tcPr>
                <w:p>
                  <w:pPr>
                    <w:adjustRightInd w:val="0"/>
                    <w:snapToGrid w:val="0"/>
                    <w:jc w:val="center"/>
                    <w:rPr>
                      <w:color w:val="00B0F0"/>
                      <w:kern w:val="0"/>
                      <w:szCs w:val="21"/>
                    </w:rPr>
                  </w:pPr>
                  <w:r>
                    <w:rPr>
                      <w:rFonts w:hint="eastAsia"/>
                      <w:color w:val="00B0F0"/>
                      <w:kern w:val="0"/>
                      <w:szCs w:val="21"/>
                    </w:rPr>
                    <w:t>固废名称</w:t>
                  </w:r>
                </w:p>
              </w:tc>
              <w:tc>
                <w:tcPr>
                  <w:tcW w:w="835" w:type="pct"/>
                  <w:vAlign w:val="center"/>
                </w:tcPr>
                <w:p>
                  <w:pPr>
                    <w:adjustRightInd w:val="0"/>
                    <w:snapToGrid w:val="0"/>
                    <w:jc w:val="center"/>
                    <w:rPr>
                      <w:color w:val="00B0F0"/>
                      <w:kern w:val="0"/>
                      <w:szCs w:val="21"/>
                    </w:rPr>
                  </w:pPr>
                  <w:r>
                    <w:rPr>
                      <w:rFonts w:hint="eastAsia"/>
                      <w:color w:val="00B0F0"/>
                      <w:kern w:val="0"/>
                      <w:szCs w:val="21"/>
                    </w:rPr>
                    <w:t>产物因子</w:t>
                  </w:r>
                </w:p>
              </w:tc>
              <w:tc>
                <w:tcPr>
                  <w:tcW w:w="1141" w:type="pct"/>
                </w:tcPr>
                <w:p>
                  <w:pPr>
                    <w:adjustRightInd w:val="0"/>
                    <w:snapToGrid w:val="0"/>
                    <w:jc w:val="center"/>
                    <w:rPr>
                      <w:color w:val="00B0F0"/>
                      <w:kern w:val="0"/>
                      <w:szCs w:val="21"/>
                    </w:rPr>
                  </w:pPr>
                  <w:r>
                    <w:rPr>
                      <w:rFonts w:hint="eastAsia"/>
                      <w:color w:val="00B0F0"/>
                      <w:kern w:val="0"/>
                      <w:szCs w:val="21"/>
                    </w:rPr>
                    <w:t>产生量t</w:t>
                  </w:r>
                  <w:r>
                    <w:rPr>
                      <w:color w:val="00B0F0"/>
                      <w:kern w:val="0"/>
                      <w:szCs w:val="21"/>
                    </w:rPr>
                    <w:t>/a</w:t>
                  </w:r>
                </w:p>
              </w:tc>
              <w:tc>
                <w:tcPr>
                  <w:tcW w:w="1191" w:type="pct"/>
                </w:tcPr>
                <w:p>
                  <w:pPr>
                    <w:adjustRightInd w:val="0"/>
                    <w:snapToGrid w:val="0"/>
                    <w:jc w:val="center"/>
                    <w:rPr>
                      <w:color w:val="00B0F0"/>
                      <w:kern w:val="0"/>
                      <w:szCs w:val="21"/>
                    </w:rPr>
                  </w:pPr>
                  <w:r>
                    <w:rPr>
                      <w:rFonts w:hint="eastAsia"/>
                      <w:color w:val="00B0F0"/>
                      <w:kern w:val="0"/>
                      <w:szCs w:val="21"/>
                    </w:rPr>
                    <w:t>处置措施及去向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Align w:val="center"/>
                </w:tcPr>
                <w:p>
                  <w:pPr>
                    <w:adjustRightInd w:val="0"/>
                    <w:snapToGrid w:val="0"/>
                    <w:jc w:val="center"/>
                    <w:rPr>
                      <w:color w:val="00B0F0"/>
                      <w:kern w:val="0"/>
                      <w:szCs w:val="21"/>
                    </w:rPr>
                  </w:pPr>
                  <w:r>
                    <w:rPr>
                      <w:rFonts w:hint="eastAsia"/>
                      <w:color w:val="00B0F0"/>
                      <w:kern w:val="0"/>
                      <w:szCs w:val="21"/>
                    </w:rPr>
                    <w:t>生活垃圾</w:t>
                  </w:r>
                </w:p>
              </w:tc>
              <w:tc>
                <w:tcPr>
                  <w:tcW w:w="835" w:type="pct"/>
                  <w:vAlign w:val="center"/>
                </w:tcPr>
                <w:p>
                  <w:pPr>
                    <w:adjustRightInd w:val="0"/>
                    <w:snapToGrid w:val="0"/>
                    <w:jc w:val="center"/>
                    <w:rPr>
                      <w:color w:val="00B0F0"/>
                      <w:kern w:val="0"/>
                      <w:szCs w:val="21"/>
                    </w:rPr>
                  </w:pPr>
                  <w:r>
                    <w:rPr>
                      <w:rFonts w:hint="eastAsia"/>
                      <w:color w:val="00B0F0"/>
                      <w:kern w:val="0"/>
                      <w:szCs w:val="21"/>
                    </w:rPr>
                    <w:t>生活垃圾</w:t>
                  </w:r>
                </w:p>
              </w:tc>
              <w:tc>
                <w:tcPr>
                  <w:tcW w:w="1141" w:type="pct"/>
                </w:tcPr>
                <w:p>
                  <w:pPr>
                    <w:adjustRightInd w:val="0"/>
                    <w:snapToGrid w:val="0"/>
                    <w:jc w:val="center"/>
                    <w:rPr>
                      <w:color w:val="00B0F0"/>
                      <w:kern w:val="0"/>
                      <w:szCs w:val="21"/>
                    </w:rPr>
                  </w:pPr>
                  <w:r>
                    <w:rPr>
                      <w:rFonts w:hint="eastAsia"/>
                      <w:color w:val="00B0F0"/>
                      <w:kern w:val="0"/>
                      <w:szCs w:val="21"/>
                    </w:rPr>
                    <w:t>3</w:t>
                  </w:r>
                  <w:r>
                    <w:rPr>
                      <w:color w:val="00B0F0"/>
                      <w:kern w:val="0"/>
                      <w:szCs w:val="21"/>
                    </w:rPr>
                    <w:t>.0</w:t>
                  </w:r>
                </w:p>
              </w:tc>
              <w:tc>
                <w:tcPr>
                  <w:tcW w:w="1191" w:type="pct"/>
                </w:tcPr>
                <w:p>
                  <w:pPr>
                    <w:adjustRightInd w:val="0"/>
                    <w:snapToGrid w:val="0"/>
                    <w:jc w:val="center"/>
                    <w:rPr>
                      <w:color w:val="00B0F0"/>
                      <w:kern w:val="0"/>
                      <w:szCs w:val="21"/>
                    </w:rPr>
                  </w:pPr>
                  <w:r>
                    <w:rPr>
                      <w:rFonts w:hint="eastAsia"/>
                      <w:color w:val="00B0F0"/>
                      <w:kern w:val="0"/>
                      <w:szCs w:val="21"/>
                    </w:rPr>
                    <w:t>分类收集，交由环卫部门处置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restart"/>
                  <w:vAlign w:val="center"/>
                </w:tcPr>
                <w:p>
                  <w:pPr>
                    <w:adjustRightInd w:val="0"/>
                    <w:snapToGrid w:val="0"/>
                    <w:jc w:val="center"/>
                    <w:rPr>
                      <w:rFonts w:ascii="宋体" w:hAnsi="宋体"/>
                      <w:color w:val="00B0F0"/>
                      <w:kern w:val="0"/>
                      <w:szCs w:val="21"/>
                    </w:rPr>
                  </w:pPr>
                  <w:r>
                    <w:rPr>
                      <w:rFonts w:hint="eastAsia"/>
                      <w:color w:val="00B0F0"/>
                      <w:kern w:val="0"/>
                      <w:szCs w:val="21"/>
                    </w:rPr>
                    <w:t>一般固废</w:t>
                  </w:r>
                </w:p>
              </w:tc>
              <w:tc>
                <w:tcPr>
                  <w:tcW w:w="835" w:type="pct"/>
                  <w:vAlign w:val="center"/>
                </w:tcPr>
                <w:p>
                  <w:pPr>
                    <w:adjustRightInd w:val="0"/>
                    <w:snapToGrid w:val="0"/>
                    <w:jc w:val="center"/>
                    <w:rPr>
                      <w:color w:val="00B0F0"/>
                      <w:kern w:val="0"/>
                      <w:szCs w:val="21"/>
                    </w:rPr>
                  </w:pPr>
                  <w:r>
                    <w:rPr>
                      <w:rFonts w:hint="eastAsia" w:ascii="宋体" w:hAnsi="宋体"/>
                      <w:color w:val="00B0F0"/>
                      <w:szCs w:val="21"/>
                    </w:rPr>
                    <w:t>边角料</w:t>
                  </w:r>
                </w:p>
              </w:tc>
              <w:tc>
                <w:tcPr>
                  <w:tcW w:w="1141" w:type="pct"/>
                </w:tcPr>
                <w:p>
                  <w:pPr>
                    <w:adjustRightInd w:val="0"/>
                    <w:snapToGrid w:val="0"/>
                    <w:jc w:val="center"/>
                    <w:rPr>
                      <w:color w:val="00B0F0"/>
                      <w:kern w:val="0"/>
                      <w:szCs w:val="21"/>
                    </w:rPr>
                  </w:pPr>
                  <w:r>
                    <w:rPr>
                      <w:rFonts w:hint="eastAsia"/>
                      <w:color w:val="00B0F0"/>
                      <w:kern w:val="0"/>
                      <w:szCs w:val="21"/>
                    </w:rPr>
                    <w:t>2</w:t>
                  </w:r>
                  <w:r>
                    <w:rPr>
                      <w:color w:val="00B0F0"/>
                      <w:kern w:val="0"/>
                      <w:szCs w:val="21"/>
                    </w:rPr>
                    <w:t>8</w:t>
                  </w:r>
                </w:p>
              </w:tc>
              <w:tc>
                <w:tcPr>
                  <w:tcW w:w="1191" w:type="pct"/>
                </w:tcPr>
                <w:p>
                  <w:pPr>
                    <w:adjustRightInd w:val="0"/>
                    <w:snapToGrid w:val="0"/>
                    <w:jc w:val="center"/>
                    <w:rPr>
                      <w:color w:val="00B0F0"/>
                      <w:kern w:val="0"/>
                      <w:szCs w:val="21"/>
                    </w:rPr>
                  </w:pPr>
                  <w:r>
                    <w:rPr>
                      <w:rFonts w:hint="eastAsia"/>
                      <w:color w:val="00B0F0"/>
                      <w:kern w:val="0"/>
                      <w:szCs w:val="21"/>
                    </w:rPr>
                    <w:t>回收熔融后外售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continue"/>
                  <w:vAlign w:val="center"/>
                </w:tcPr>
                <w:p>
                  <w:pPr>
                    <w:adjustRightInd w:val="0"/>
                    <w:snapToGrid w:val="0"/>
                    <w:jc w:val="center"/>
                    <w:rPr>
                      <w:rFonts w:ascii="宋体" w:hAnsi="宋体"/>
                      <w:color w:val="00B0F0"/>
                      <w:kern w:val="0"/>
                      <w:szCs w:val="21"/>
                    </w:rPr>
                  </w:pPr>
                </w:p>
              </w:tc>
              <w:tc>
                <w:tcPr>
                  <w:tcW w:w="835" w:type="pct"/>
                  <w:vAlign w:val="center"/>
                </w:tcPr>
                <w:p>
                  <w:pPr>
                    <w:adjustRightInd w:val="0"/>
                    <w:snapToGrid w:val="0"/>
                    <w:jc w:val="center"/>
                    <w:rPr>
                      <w:color w:val="00B0F0"/>
                      <w:kern w:val="0"/>
                      <w:szCs w:val="21"/>
                    </w:rPr>
                  </w:pPr>
                  <w:r>
                    <w:rPr>
                      <w:rFonts w:hint="eastAsia" w:ascii="宋体" w:hAnsi="宋体"/>
                      <w:color w:val="00B0F0"/>
                      <w:szCs w:val="21"/>
                    </w:rPr>
                    <w:t>粉尘</w:t>
                  </w:r>
                </w:p>
              </w:tc>
              <w:tc>
                <w:tcPr>
                  <w:tcW w:w="1141" w:type="pct"/>
                </w:tcPr>
                <w:p>
                  <w:pPr>
                    <w:adjustRightInd w:val="0"/>
                    <w:snapToGrid w:val="0"/>
                    <w:jc w:val="center"/>
                    <w:rPr>
                      <w:color w:val="00B0F0"/>
                      <w:kern w:val="0"/>
                      <w:szCs w:val="21"/>
                    </w:rPr>
                  </w:pPr>
                  <w:r>
                    <w:rPr>
                      <w:rFonts w:hint="eastAsia"/>
                      <w:color w:val="00B0F0"/>
                      <w:kern w:val="0"/>
                      <w:szCs w:val="21"/>
                    </w:rPr>
                    <w:t>5</w:t>
                  </w:r>
                  <w:r>
                    <w:rPr>
                      <w:color w:val="00B0F0"/>
                      <w:kern w:val="0"/>
                      <w:szCs w:val="21"/>
                    </w:rPr>
                    <w:t>.668</w:t>
                  </w:r>
                </w:p>
              </w:tc>
              <w:tc>
                <w:tcPr>
                  <w:tcW w:w="1191" w:type="pct"/>
                </w:tcPr>
                <w:p>
                  <w:pPr>
                    <w:adjustRightInd w:val="0"/>
                    <w:snapToGrid w:val="0"/>
                    <w:jc w:val="center"/>
                    <w:rPr>
                      <w:color w:val="00B0F0"/>
                      <w:kern w:val="0"/>
                      <w:szCs w:val="21"/>
                    </w:rPr>
                  </w:pPr>
                  <w:r>
                    <w:rPr>
                      <w:rFonts w:hint="eastAsia"/>
                      <w:color w:val="00B0F0"/>
                      <w:kern w:val="0"/>
                      <w:szCs w:val="21"/>
                    </w:rPr>
                    <w:t>收集后外售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continue"/>
                  <w:vAlign w:val="center"/>
                </w:tcPr>
                <w:p>
                  <w:pPr>
                    <w:adjustRightInd w:val="0"/>
                    <w:snapToGrid w:val="0"/>
                    <w:jc w:val="center"/>
                    <w:rPr>
                      <w:rFonts w:ascii="宋体" w:hAnsi="宋体"/>
                      <w:color w:val="00B0F0"/>
                      <w:kern w:val="0"/>
                      <w:szCs w:val="21"/>
                    </w:rPr>
                  </w:pPr>
                </w:p>
              </w:tc>
              <w:tc>
                <w:tcPr>
                  <w:tcW w:w="835" w:type="pct"/>
                  <w:vAlign w:val="center"/>
                </w:tcPr>
                <w:p>
                  <w:pPr>
                    <w:adjustRightInd w:val="0"/>
                    <w:snapToGrid w:val="0"/>
                    <w:jc w:val="center"/>
                    <w:rPr>
                      <w:color w:val="00B0F0"/>
                      <w:kern w:val="0"/>
                      <w:szCs w:val="21"/>
                    </w:rPr>
                  </w:pPr>
                  <w:r>
                    <w:rPr>
                      <w:rFonts w:hint="eastAsia" w:ascii="宋体" w:hAnsi="宋体"/>
                      <w:color w:val="00B0F0"/>
                      <w:szCs w:val="21"/>
                    </w:rPr>
                    <w:t>废包材</w:t>
                  </w:r>
                </w:p>
              </w:tc>
              <w:tc>
                <w:tcPr>
                  <w:tcW w:w="1141" w:type="pct"/>
                </w:tcPr>
                <w:p>
                  <w:pPr>
                    <w:adjustRightInd w:val="0"/>
                    <w:snapToGrid w:val="0"/>
                    <w:jc w:val="center"/>
                    <w:rPr>
                      <w:color w:val="00B0F0"/>
                      <w:kern w:val="0"/>
                      <w:szCs w:val="21"/>
                    </w:rPr>
                  </w:pPr>
                  <w:r>
                    <w:rPr>
                      <w:rFonts w:hint="eastAsia"/>
                      <w:color w:val="00B0F0"/>
                      <w:kern w:val="0"/>
                      <w:szCs w:val="21"/>
                    </w:rPr>
                    <w:t>0</w:t>
                  </w:r>
                  <w:r>
                    <w:rPr>
                      <w:color w:val="00B0F0"/>
                      <w:kern w:val="0"/>
                      <w:szCs w:val="21"/>
                    </w:rPr>
                    <w:t>.3</w:t>
                  </w:r>
                </w:p>
              </w:tc>
              <w:tc>
                <w:tcPr>
                  <w:tcW w:w="1191" w:type="pct"/>
                </w:tcPr>
                <w:p>
                  <w:pPr>
                    <w:adjustRightInd w:val="0"/>
                    <w:snapToGrid w:val="0"/>
                    <w:jc w:val="center"/>
                    <w:rPr>
                      <w:color w:val="00B0F0"/>
                      <w:kern w:val="0"/>
                      <w:szCs w:val="21"/>
                    </w:rPr>
                  </w:pPr>
                  <w:r>
                    <w:rPr>
                      <w:rFonts w:hint="eastAsia"/>
                      <w:color w:val="00B0F0"/>
                      <w:kern w:val="0"/>
                      <w:szCs w:val="21"/>
                    </w:rPr>
                    <w:t>定点收集，环卫清运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continue"/>
                  <w:vAlign w:val="center"/>
                </w:tcPr>
                <w:p>
                  <w:pPr>
                    <w:adjustRightInd w:val="0"/>
                    <w:snapToGrid w:val="0"/>
                    <w:jc w:val="center"/>
                    <w:rPr>
                      <w:rFonts w:ascii="宋体" w:hAnsi="宋体"/>
                      <w:color w:val="00B0F0"/>
                      <w:kern w:val="0"/>
                      <w:szCs w:val="21"/>
                    </w:rPr>
                  </w:pPr>
                </w:p>
              </w:tc>
              <w:tc>
                <w:tcPr>
                  <w:tcW w:w="835" w:type="pct"/>
                  <w:vAlign w:val="center"/>
                </w:tcPr>
                <w:p>
                  <w:pPr>
                    <w:adjustRightInd w:val="0"/>
                    <w:snapToGrid w:val="0"/>
                    <w:jc w:val="center"/>
                    <w:rPr>
                      <w:color w:val="00B0F0"/>
                      <w:kern w:val="0"/>
                      <w:szCs w:val="21"/>
                    </w:rPr>
                  </w:pPr>
                  <w:r>
                    <w:rPr>
                      <w:rFonts w:hint="eastAsia" w:ascii="宋体" w:hAnsi="宋体"/>
                      <w:color w:val="00B0F0"/>
                      <w:szCs w:val="21"/>
                    </w:rPr>
                    <w:t>废滤芯</w:t>
                  </w:r>
                </w:p>
              </w:tc>
              <w:tc>
                <w:tcPr>
                  <w:tcW w:w="1141" w:type="pct"/>
                  <w:vAlign w:val="center"/>
                </w:tcPr>
                <w:p>
                  <w:pPr>
                    <w:adjustRightInd w:val="0"/>
                    <w:snapToGrid w:val="0"/>
                    <w:jc w:val="center"/>
                    <w:rPr>
                      <w:color w:val="00B0F0"/>
                      <w:kern w:val="0"/>
                      <w:szCs w:val="21"/>
                    </w:rPr>
                  </w:pPr>
                  <w:r>
                    <w:rPr>
                      <w:rFonts w:hint="eastAsia"/>
                      <w:color w:val="00B0F0"/>
                      <w:szCs w:val="21"/>
                    </w:rPr>
                    <w:t>25kg/a</w:t>
                  </w:r>
                </w:p>
              </w:tc>
              <w:tc>
                <w:tcPr>
                  <w:tcW w:w="1191" w:type="pct"/>
                  <w:vMerge w:val="restart"/>
                  <w:vAlign w:val="center"/>
                </w:tcPr>
                <w:p>
                  <w:pPr>
                    <w:adjustRightInd w:val="0"/>
                    <w:snapToGrid w:val="0"/>
                    <w:jc w:val="center"/>
                    <w:rPr>
                      <w:color w:val="00B0F0"/>
                      <w:kern w:val="0"/>
                      <w:szCs w:val="21"/>
                    </w:rPr>
                  </w:pPr>
                  <w:r>
                    <w:rPr>
                      <w:rFonts w:hint="eastAsia"/>
                      <w:color w:val="00B0F0"/>
                      <w:kern w:val="0"/>
                      <w:szCs w:val="21"/>
                    </w:rPr>
                    <w:t>交厂家回收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continue"/>
                  <w:vAlign w:val="center"/>
                </w:tcPr>
                <w:p>
                  <w:pPr>
                    <w:adjustRightInd w:val="0"/>
                    <w:snapToGrid w:val="0"/>
                    <w:jc w:val="center"/>
                    <w:rPr>
                      <w:rFonts w:ascii="宋体" w:hAnsi="宋体"/>
                      <w:color w:val="00B0F0"/>
                      <w:kern w:val="0"/>
                      <w:szCs w:val="21"/>
                    </w:rPr>
                  </w:pPr>
                </w:p>
              </w:tc>
              <w:tc>
                <w:tcPr>
                  <w:tcW w:w="835" w:type="pct"/>
                  <w:vAlign w:val="center"/>
                </w:tcPr>
                <w:p>
                  <w:pPr>
                    <w:adjustRightInd w:val="0"/>
                    <w:snapToGrid w:val="0"/>
                    <w:jc w:val="center"/>
                    <w:rPr>
                      <w:color w:val="00B0F0"/>
                      <w:kern w:val="0"/>
                      <w:szCs w:val="21"/>
                    </w:rPr>
                  </w:pPr>
                  <w:r>
                    <w:rPr>
                      <w:rFonts w:hint="eastAsia" w:ascii="宋体" w:hAnsi="宋体"/>
                      <w:color w:val="00B0F0"/>
                      <w:szCs w:val="21"/>
                    </w:rPr>
                    <w:t>废反渗透膜</w:t>
                  </w:r>
                </w:p>
              </w:tc>
              <w:tc>
                <w:tcPr>
                  <w:tcW w:w="1141" w:type="pct"/>
                  <w:vAlign w:val="center"/>
                </w:tcPr>
                <w:p>
                  <w:pPr>
                    <w:adjustRightInd w:val="0"/>
                    <w:snapToGrid w:val="0"/>
                    <w:jc w:val="center"/>
                    <w:rPr>
                      <w:color w:val="00B0F0"/>
                      <w:kern w:val="0"/>
                      <w:szCs w:val="21"/>
                    </w:rPr>
                  </w:pPr>
                  <w:r>
                    <w:rPr>
                      <w:rFonts w:hint="eastAsia"/>
                      <w:color w:val="00B0F0"/>
                      <w:szCs w:val="21"/>
                    </w:rPr>
                    <w:t>3kg/a</w:t>
                  </w:r>
                </w:p>
              </w:tc>
              <w:tc>
                <w:tcPr>
                  <w:tcW w:w="1191" w:type="pct"/>
                  <w:vMerge w:val="continue"/>
                  <w:vAlign w:val="center"/>
                </w:tcPr>
                <w:p>
                  <w:pPr>
                    <w:adjustRightInd w:val="0"/>
                    <w:snapToGrid w:val="0"/>
                    <w:jc w:val="center"/>
                    <w:rPr>
                      <w:color w:val="00B0F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restart"/>
                  <w:vAlign w:val="center"/>
                </w:tcPr>
                <w:p>
                  <w:pPr>
                    <w:adjustRightInd w:val="0"/>
                    <w:snapToGrid w:val="0"/>
                    <w:jc w:val="center"/>
                    <w:rPr>
                      <w:color w:val="00B0F0"/>
                      <w:kern w:val="0"/>
                      <w:szCs w:val="21"/>
                    </w:rPr>
                  </w:pPr>
                  <w:r>
                    <w:rPr>
                      <w:rFonts w:hint="eastAsia"/>
                      <w:color w:val="00B0F0"/>
                      <w:kern w:val="0"/>
                      <w:szCs w:val="21"/>
                    </w:rPr>
                    <w:t>危险废物</w:t>
                  </w:r>
                </w:p>
              </w:tc>
              <w:tc>
                <w:tcPr>
                  <w:tcW w:w="835" w:type="pct"/>
                  <w:vAlign w:val="center"/>
                </w:tcPr>
                <w:p>
                  <w:pPr>
                    <w:adjustRightInd w:val="0"/>
                    <w:snapToGrid w:val="0"/>
                    <w:jc w:val="center"/>
                    <w:rPr>
                      <w:color w:val="00B0F0"/>
                      <w:kern w:val="0"/>
                      <w:szCs w:val="21"/>
                    </w:rPr>
                  </w:pPr>
                  <w:r>
                    <w:rPr>
                      <w:rFonts w:hint="eastAsia"/>
                      <w:color w:val="00B0F0"/>
                      <w:kern w:val="0"/>
                      <w:szCs w:val="21"/>
                    </w:rPr>
                    <w:t>废活性炭</w:t>
                  </w:r>
                </w:p>
              </w:tc>
              <w:tc>
                <w:tcPr>
                  <w:tcW w:w="1141" w:type="pct"/>
                </w:tcPr>
                <w:p>
                  <w:pPr>
                    <w:adjustRightInd w:val="0"/>
                    <w:snapToGrid w:val="0"/>
                    <w:jc w:val="center"/>
                    <w:rPr>
                      <w:color w:val="00B0F0"/>
                      <w:kern w:val="0"/>
                      <w:szCs w:val="21"/>
                    </w:rPr>
                  </w:pPr>
                  <w:r>
                    <w:rPr>
                      <w:color w:val="00B0F0"/>
                      <w:kern w:val="0"/>
                      <w:szCs w:val="21"/>
                    </w:rPr>
                    <w:t>18.8</w:t>
                  </w:r>
                </w:p>
              </w:tc>
              <w:tc>
                <w:tcPr>
                  <w:tcW w:w="1191" w:type="pct"/>
                  <w:vMerge w:val="restart"/>
                  <w:vAlign w:val="center"/>
                </w:tcPr>
                <w:p>
                  <w:pPr>
                    <w:adjustRightInd w:val="0"/>
                    <w:snapToGrid w:val="0"/>
                    <w:jc w:val="center"/>
                    <w:rPr>
                      <w:color w:val="00B0F0"/>
                      <w:kern w:val="0"/>
                      <w:szCs w:val="21"/>
                    </w:rPr>
                  </w:pPr>
                  <w:r>
                    <w:rPr>
                      <w:rFonts w:hint="eastAsia"/>
                      <w:color w:val="00B0F0"/>
                      <w:kern w:val="0"/>
                      <w:szCs w:val="21"/>
                    </w:rPr>
                    <w:t>危废暂存间存放，交由有资质单位处置</w:t>
                  </w:r>
                </w:p>
              </w:tc>
            </w:tr>
            <w:bookmarkEnd w:id="21"/>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continue"/>
                  <w:vAlign w:val="center"/>
                </w:tcPr>
                <w:p>
                  <w:pPr>
                    <w:adjustRightInd w:val="0"/>
                    <w:snapToGrid w:val="0"/>
                    <w:jc w:val="center"/>
                    <w:rPr>
                      <w:color w:val="00B0F0"/>
                      <w:kern w:val="0"/>
                      <w:szCs w:val="21"/>
                    </w:rPr>
                  </w:pPr>
                </w:p>
              </w:tc>
              <w:tc>
                <w:tcPr>
                  <w:tcW w:w="835" w:type="pct"/>
                  <w:vAlign w:val="center"/>
                </w:tcPr>
                <w:p>
                  <w:pPr>
                    <w:adjustRightInd w:val="0"/>
                    <w:snapToGrid w:val="0"/>
                    <w:jc w:val="center"/>
                    <w:rPr>
                      <w:color w:val="00B0F0"/>
                      <w:kern w:val="0"/>
                      <w:szCs w:val="21"/>
                    </w:rPr>
                  </w:pPr>
                  <w:r>
                    <w:rPr>
                      <w:rFonts w:hint="eastAsia"/>
                      <w:color w:val="00B0F0"/>
                      <w:kern w:val="0"/>
                      <w:szCs w:val="21"/>
                    </w:rPr>
                    <w:t>废机油</w:t>
                  </w:r>
                </w:p>
              </w:tc>
              <w:tc>
                <w:tcPr>
                  <w:tcW w:w="1141" w:type="pct"/>
                </w:tcPr>
                <w:p>
                  <w:pPr>
                    <w:adjustRightInd w:val="0"/>
                    <w:snapToGrid w:val="0"/>
                    <w:jc w:val="center"/>
                    <w:rPr>
                      <w:color w:val="00B0F0"/>
                      <w:kern w:val="0"/>
                      <w:szCs w:val="21"/>
                    </w:rPr>
                  </w:pPr>
                  <w:r>
                    <w:rPr>
                      <w:rFonts w:hint="eastAsia"/>
                      <w:color w:val="00B0F0"/>
                      <w:kern w:val="0"/>
                      <w:szCs w:val="21"/>
                    </w:rPr>
                    <w:t>0</w:t>
                  </w:r>
                  <w:r>
                    <w:rPr>
                      <w:color w:val="00B0F0"/>
                      <w:kern w:val="0"/>
                      <w:szCs w:val="21"/>
                    </w:rPr>
                    <w:t>.05</w:t>
                  </w:r>
                </w:p>
              </w:tc>
              <w:tc>
                <w:tcPr>
                  <w:tcW w:w="1191" w:type="pct"/>
                  <w:vMerge w:val="continue"/>
                </w:tcPr>
                <w:p>
                  <w:pPr>
                    <w:adjustRightInd w:val="0"/>
                    <w:snapToGrid w:val="0"/>
                    <w:jc w:val="center"/>
                    <w:rPr>
                      <w:color w:val="00B0F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continue"/>
                  <w:vAlign w:val="center"/>
                </w:tcPr>
                <w:p>
                  <w:pPr>
                    <w:adjustRightInd w:val="0"/>
                    <w:snapToGrid w:val="0"/>
                    <w:jc w:val="center"/>
                    <w:rPr>
                      <w:color w:val="00B0F0"/>
                      <w:kern w:val="0"/>
                      <w:szCs w:val="21"/>
                    </w:rPr>
                  </w:pPr>
                  <w:bookmarkStart w:id="22" w:name="_GoBack" w:colFirst="1" w:colLast="1"/>
                </w:p>
              </w:tc>
              <w:tc>
                <w:tcPr>
                  <w:tcW w:w="835" w:type="pct"/>
                  <w:vAlign w:val="center"/>
                </w:tcPr>
                <w:p>
                  <w:pPr>
                    <w:adjustRightInd w:val="0"/>
                    <w:snapToGrid w:val="0"/>
                    <w:jc w:val="center"/>
                    <w:rPr>
                      <w:color w:val="00B0F0"/>
                      <w:kern w:val="0"/>
                      <w:szCs w:val="21"/>
                    </w:rPr>
                  </w:pPr>
                  <w:r>
                    <w:rPr>
                      <w:rFonts w:hint="eastAsia"/>
                      <w:color w:val="00B0F0"/>
                      <w:kern w:val="0"/>
                      <w:szCs w:val="21"/>
                    </w:rPr>
                    <w:t>废油抹布</w:t>
                  </w:r>
                </w:p>
              </w:tc>
              <w:tc>
                <w:tcPr>
                  <w:tcW w:w="1141" w:type="pct"/>
                </w:tcPr>
                <w:p>
                  <w:pPr>
                    <w:adjustRightInd w:val="0"/>
                    <w:snapToGrid w:val="0"/>
                    <w:jc w:val="center"/>
                    <w:rPr>
                      <w:color w:val="00B0F0"/>
                      <w:kern w:val="0"/>
                      <w:szCs w:val="21"/>
                    </w:rPr>
                  </w:pPr>
                  <w:r>
                    <w:rPr>
                      <w:rFonts w:hint="eastAsia"/>
                      <w:color w:val="00B0F0"/>
                      <w:kern w:val="0"/>
                      <w:szCs w:val="21"/>
                    </w:rPr>
                    <w:t>0</w:t>
                  </w:r>
                  <w:r>
                    <w:rPr>
                      <w:color w:val="00B0F0"/>
                      <w:kern w:val="0"/>
                      <w:szCs w:val="21"/>
                    </w:rPr>
                    <w:t>.035</w:t>
                  </w:r>
                </w:p>
              </w:tc>
              <w:tc>
                <w:tcPr>
                  <w:tcW w:w="1191" w:type="pct"/>
                  <w:vMerge w:val="continue"/>
                </w:tcPr>
                <w:p>
                  <w:pPr>
                    <w:adjustRightInd w:val="0"/>
                    <w:snapToGrid w:val="0"/>
                    <w:jc w:val="center"/>
                    <w:rPr>
                      <w:color w:val="00B0F0"/>
                      <w:kern w:val="0"/>
                      <w:szCs w:val="21"/>
                    </w:rPr>
                  </w:pPr>
                </w:p>
              </w:tc>
            </w:tr>
          </w:tbl>
          <w:p>
            <w:pPr>
              <w:spacing w:line="360" w:lineRule="auto"/>
              <w:ind w:firstLine="480" w:firstLineChars="200"/>
              <w:rPr>
                <w:color w:val="000000" w:themeColor="text1"/>
                <w:kern w:val="0"/>
                <w:sz w:val="24"/>
                <w:szCs w:val="20"/>
                <w14:textFill>
                  <w14:solidFill>
                    <w14:schemeClr w14:val="tx1"/>
                  </w14:solidFill>
                </w14:textFill>
              </w:rPr>
            </w:pPr>
          </w:p>
          <w:p>
            <w:pPr>
              <w:spacing w:line="360" w:lineRule="auto"/>
              <w:ind w:firstLine="562" w:firstLineChars="200"/>
              <w:rPr>
                <w:b/>
                <w:color w:val="000000" w:themeColor="text1"/>
                <w:kern w:val="0"/>
                <w:sz w:val="28"/>
                <w:szCs w:val="20"/>
                <w14:textFill>
                  <w14:solidFill>
                    <w14:schemeClr w14:val="tx1"/>
                  </w14:solidFill>
                </w14:textFill>
              </w:rPr>
            </w:pPr>
          </w:p>
        </w:tc>
      </w:tr>
    </w:tbl>
    <w:p>
      <w:pPr>
        <w:sectPr>
          <w:pgSz w:w="11906" w:h="16838"/>
          <w:pgMar w:top="1440" w:right="1800" w:bottom="1440" w:left="1800" w:header="851" w:footer="992" w:gutter="0"/>
          <w:cols w:space="425" w:num="1"/>
          <w:docGrid w:type="lines" w:linePitch="312" w:charSpace="0"/>
        </w:sectPr>
      </w:pPr>
    </w:p>
    <w:p>
      <w:pPr>
        <w:pStyle w:val="2"/>
        <w:rPr>
          <w:color w:val="000000" w:themeColor="text1"/>
          <w14:textFill>
            <w14:solidFill>
              <w14:schemeClr w14:val="tx1"/>
            </w14:solidFill>
          </w14:textFill>
        </w:rPr>
      </w:pPr>
      <w:r>
        <w:rPr>
          <w:color w:val="000000" w:themeColor="text1"/>
          <w14:textFill>
            <w14:solidFill>
              <w14:schemeClr w14:val="tx1"/>
            </w14:solidFill>
          </w14:textFill>
        </w:rPr>
        <w:t>项目主要污染物产生及预计排放情况</w:t>
      </w: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932"/>
        <w:gridCol w:w="1588"/>
        <w:gridCol w:w="1579"/>
        <w:gridCol w:w="1274"/>
        <w:gridCol w:w="1831"/>
        <w:gridCol w:w="1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 w:type="pct"/>
            <w:vAlign w:val="center"/>
          </w:tcPr>
          <w:p>
            <w:pPr>
              <w:jc w:val="right"/>
              <w:rPr>
                <w:b/>
                <w:szCs w:val="21"/>
              </w:rPr>
            </w:pPr>
            <w:r>
              <w:rPr>
                <w:b/>
                <w:szCs w:val="21"/>
              </w:rPr>
              <w:t>内容</w:t>
            </w:r>
          </w:p>
          <w:p>
            <w:pPr>
              <w:ind w:left="-210" w:leftChars="-100"/>
              <w:jc w:val="center"/>
              <w:rPr>
                <w:b/>
                <w:szCs w:val="21"/>
              </w:rPr>
            </w:pPr>
            <w:r>
              <w:rPr>
                <w:b/>
                <w:szCs w:val="21"/>
              </w:rPr>
              <w:t>类型</w:t>
            </w:r>
          </w:p>
        </w:tc>
        <w:tc>
          <w:tcPr>
            <w:tcW w:w="514" w:type="pct"/>
            <w:vAlign w:val="center"/>
          </w:tcPr>
          <w:p>
            <w:pPr>
              <w:jc w:val="center"/>
              <w:rPr>
                <w:b/>
                <w:szCs w:val="21"/>
              </w:rPr>
            </w:pPr>
            <w:r>
              <w:rPr>
                <w:b/>
                <w:szCs w:val="21"/>
              </w:rPr>
              <w:t>排放源</w:t>
            </w:r>
          </w:p>
          <w:p>
            <w:pPr>
              <w:jc w:val="center"/>
              <w:rPr>
                <w:b/>
                <w:szCs w:val="21"/>
              </w:rPr>
            </w:pPr>
            <w:r>
              <w:rPr>
                <w:b/>
                <w:szCs w:val="21"/>
              </w:rPr>
              <w:t>(编号)</w:t>
            </w:r>
          </w:p>
        </w:tc>
        <w:tc>
          <w:tcPr>
            <w:tcW w:w="875" w:type="pct"/>
            <w:vAlign w:val="center"/>
          </w:tcPr>
          <w:p>
            <w:pPr>
              <w:jc w:val="center"/>
              <w:rPr>
                <w:b/>
                <w:szCs w:val="21"/>
              </w:rPr>
            </w:pPr>
            <w:r>
              <w:rPr>
                <w:b/>
                <w:szCs w:val="21"/>
              </w:rPr>
              <w:t>污染物</w:t>
            </w:r>
          </w:p>
          <w:p>
            <w:pPr>
              <w:jc w:val="center"/>
              <w:rPr>
                <w:b/>
                <w:szCs w:val="21"/>
              </w:rPr>
            </w:pPr>
            <w:r>
              <w:rPr>
                <w:b/>
                <w:szCs w:val="21"/>
              </w:rPr>
              <w:t>名称</w:t>
            </w:r>
          </w:p>
        </w:tc>
        <w:tc>
          <w:tcPr>
            <w:tcW w:w="1572" w:type="pct"/>
            <w:gridSpan w:val="2"/>
            <w:vAlign w:val="center"/>
          </w:tcPr>
          <w:p>
            <w:pPr>
              <w:jc w:val="center"/>
              <w:rPr>
                <w:b/>
                <w:szCs w:val="21"/>
              </w:rPr>
            </w:pPr>
            <w:r>
              <w:rPr>
                <w:b/>
                <w:szCs w:val="21"/>
              </w:rPr>
              <w:t>处理前产生浓度及产生量</w:t>
            </w:r>
          </w:p>
          <w:p>
            <w:pPr>
              <w:jc w:val="center"/>
              <w:rPr>
                <w:b/>
                <w:szCs w:val="21"/>
              </w:rPr>
            </w:pPr>
            <w:r>
              <w:rPr>
                <w:b/>
                <w:szCs w:val="21"/>
              </w:rPr>
              <w:t>（单位）</w:t>
            </w:r>
          </w:p>
        </w:tc>
        <w:tc>
          <w:tcPr>
            <w:tcW w:w="1623" w:type="pct"/>
            <w:gridSpan w:val="2"/>
            <w:vAlign w:val="center"/>
          </w:tcPr>
          <w:p>
            <w:pPr>
              <w:jc w:val="center"/>
              <w:rPr>
                <w:b/>
                <w:szCs w:val="21"/>
              </w:rPr>
            </w:pPr>
            <w:r>
              <w:rPr>
                <w:b/>
                <w:szCs w:val="21"/>
              </w:rPr>
              <w:t>排放浓度及排放量</w:t>
            </w:r>
          </w:p>
          <w:p>
            <w:pPr>
              <w:jc w:val="center"/>
              <w:rPr>
                <w:b/>
                <w:szCs w:val="21"/>
              </w:rPr>
            </w:pPr>
            <w:r>
              <w:rPr>
                <w:b/>
                <w:szCs w:val="21"/>
              </w:rPr>
              <w:t>（单位）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416" w:type="pct"/>
            <w:vMerge w:val="restart"/>
            <w:vAlign w:val="center"/>
          </w:tcPr>
          <w:p>
            <w:pPr>
              <w:pStyle w:val="9"/>
              <w:ind w:left="0" w:right="0"/>
              <w:jc w:val="center"/>
              <w:rPr>
                <w:b/>
                <w:sz w:val="21"/>
                <w:szCs w:val="21"/>
              </w:rPr>
            </w:pPr>
            <w:r>
              <w:rPr>
                <w:b/>
                <w:sz w:val="21"/>
                <w:szCs w:val="21"/>
              </w:rPr>
              <w:t>水污</w:t>
            </w:r>
          </w:p>
          <w:p>
            <w:pPr>
              <w:pStyle w:val="9"/>
              <w:ind w:left="0" w:right="0"/>
              <w:jc w:val="center"/>
              <w:rPr>
                <w:b/>
                <w:sz w:val="21"/>
                <w:szCs w:val="21"/>
              </w:rPr>
            </w:pPr>
            <w:r>
              <w:rPr>
                <w:b/>
                <w:sz w:val="21"/>
                <w:szCs w:val="21"/>
              </w:rPr>
              <w:t>染物</w:t>
            </w:r>
          </w:p>
        </w:tc>
        <w:tc>
          <w:tcPr>
            <w:tcW w:w="514" w:type="pct"/>
            <w:vAlign w:val="center"/>
          </w:tcPr>
          <w:p>
            <w:pPr>
              <w:jc w:val="center"/>
              <w:rPr>
                <w:szCs w:val="21"/>
              </w:rPr>
            </w:pPr>
            <w:r>
              <w:rPr>
                <w:rFonts w:hint="eastAsia"/>
                <w:szCs w:val="21"/>
              </w:rPr>
              <w:t>生活</w:t>
            </w:r>
          </w:p>
          <w:p>
            <w:pPr>
              <w:jc w:val="center"/>
              <w:rPr>
                <w:szCs w:val="21"/>
              </w:rPr>
            </w:pPr>
            <w:r>
              <w:rPr>
                <w:rFonts w:hint="eastAsia"/>
                <w:szCs w:val="21"/>
              </w:rPr>
              <w:t>污水</w:t>
            </w:r>
          </w:p>
        </w:tc>
        <w:tc>
          <w:tcPr>
            <w:tcW w:w="875" w:type="pct"/>
            <w:vAlign w:val="center"/>
          </w:tcPr>
          <w:p>
            <w:pPr>
              <w:jc w:val="center"/>
              <w:rPr>
                <w:szCs w:val="21"/>
              </w:rPr>
            </w:pPr>
            <w:r>
              <w:rPr>
                <w:szCs w:val="21"/>
              </w:rPr>
              <w:t>COD、BOD</w:t>
            </w:r>
            <w:r>
              <w:rPr>
                <w:szCs w:val="21"/>
                <w:vertAlign w:val="subscript"/>
              </w:rPr>
              <w:t>5</w:t>
            </w:r>
            <w:r>
              <w:rPr>
                <w:szCs w:val="21"/>
              </w:rPr>
              <w:t>、SS、氨氮</w:t>
            </w:r>
          </w:p>
        </w:tc>
        <w:tc>
          <w:tcPr>
            <w:tcW w:w="1572" w:type="pct"/>
            <w:gridSpan w:val="2"/>
            <w:vAlign w:val="center"/>
          </w:tcPr>
          <w:p>
            <w:pPr>
              <w:jc w:val="center"/>
              <w:rPr>
                <w:szCs w:val="21"/>
              </w:rPr>
            </w:pPr>
            <w:r>
              <w:rPr>
                <w:rFonts w:hint="eastAsia"/>
                <w:szCs w:val="21"/>
              </w:rPr>
              <w:t>1</w:t>
            </w:r>
            <w:r>
              <w:rPr>
                <w:szCs w:val="21"/>
              </w:rPr>
              <w:t>.</w:t>
            </w:r>
            <w:r>
              <w:rPr>
                <w:rFonts w:hint="eastAsia"/>
                <w:szCs w:val="21"/>
              </w:rPr>
              <w:t>6</w:t>
            </w:r>
            <w:r>
              <w:rPr>
                <w:szCs w:val="21"/>
              </w:rPr>
              <w:t>m</w:t>
            </w:r>
            <w:r>
              <w:rPr>
                <w:szCs w:val="21"/>
                <w:vertAlign w:val="superscript"/>
              </w:rPr>
              <w:t>3</w:t>
            </w:r>
            <w:r>
              <w:rPr>
                <w:szCs w:val="21"/>
              </w:rPr>
              <w:t>/d（</w:t>
            </w:r>
            <w:r>
              <w:rPr>
                <w:rFonts w:hint="eastAsia"/>
                <w:szCs w:val="21"/>
              </w:rPr>
              <w:t>48</w:t>
            </w:r>
            <w:r>
              <w:rPr>
                <w:szCs w:val="21"/>
              </w:rPr>
              <w:t>0m</w:t>
            </w:r>
            <w:r>
              <w:rPr>
                <w:szCs w:val="21"/>
                <w:vertAlign w:val="superscript"/>
              </w:rPr>
              <w:t>3</w:t>
            </w:r>
            <w:r>
              <w:rPr>
                <w:szCs w:val="21"/>
              </w:rPr>
              <w:t>/</w:t>
            </w:r>
            <w:r>
              <w:rPr>
                <w:rFonts w:hint="eastAsia"/>
                <w:szCs w:val="21"/>
              </w:rPr>
              <w:t>a</w:t>
            </w:r>
            <w:r>
              <w:rPr>
                <w:szCs w:val="21"/>
              </w:rPr>
              <w:t>）</w:t>
            </w:r>
          </w:p>
        </w:tc>
        <w:tc>
          <w:tcPr>
            <w:tcW w:w="1623" w:type="pct"/>
            <w:gridSpan w:val="2"/>
            <w:vMerge w:val="restart"/>
            <w:vAlign w:val="center"/>
          </w:tcPr>
          <w:p>
            <w:pPr>
              <w:jc w:val="center"/>
              <w:rPr>
                <w:szCs w:val="21"/>
              </w:rPr>
            </w:pPr>
            <w:r>
              <w:rPr>
                <w:rFonts w:hint="eastAsia"/>
                <w:szCs w:val="21"/>
              </w:rPr>
              <w:t>本项目废水不外排，生产废水直接排入化粪池（依托）；食堂废水经过隔油池后进入化粪池（依托）处理，定期对化粪池进行清掏</w:t>
            </w:r>
            <w:r>
              <w:rPr>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416" w:type="pct"/>
            <w:vMerge w:val="continue"/>
            <w:textDirection w:val="tbRlV"/>
            <w:vAlign w:val="center"/>
          </w:tcPr>
          <w:p>
            <w:pPr>
              <w:pStyle w:val="9"/>
              <w:ind w:left="0" w:right="0"/>
              <w:jc w:val="center"/>
              <w:rPr>
                <w:b/>
                <w:sz w:val="21"/>
                <w:szCs w:val="21"/>
              </w:rPr>
            </w:pPr>
          </w:p>
        </w:tc>
        <w:tc>
          <w:tcPr>
            <w:tcW w:w="514" w:type="pct"/>
            <w:vAlign w:val="center"/>
          </w:tcPr>
          <w:p>
            <w:pPr>
              <w:jc w:val="center"/>
              <w:rPr>
                <w:szCs w:val="21"/>
              </w:rPr>
            </w:pPr>
            <w:r>
              <w:rPr>
                <w:rFonts w:hint="eastAsia"/>
                <w:szCs w:val="21"/>
              </w:rPr>
              <w:t>生产</w:t>
            </w:r>
          </w:p>
          <w:p>
            <w:pPr>
              <w:jc w:val="center"/>
              <w:rPr>
                <w:szCs w:val="21"/>
              </w:rPr>
            </w:pPr>
            <w:r>
              <w:rPr>
                <w:rFonts w:hint="eastAsia"/>
                <w:szCs w:val="21"/>
              </w:rPr>
              <w:t>废水</w:t>
            </w:r>
          </w:p>
        </w:tc>
        <w:tc>
          <w:tcPr>
            <w:tcW w:w="875" w:type="pct"/>
            <w:vAlign w:val="center"/>
          </w:tcPr>
          <w:p>
            <w:pPr>
              <w:jc w:val="center"/>
              <w:rPr>
                <w:szCs w:val="21"/>
              </w:rPr>
            </w:pPr>
            <w:r>
              <w:rPr>
                <w:szCs w:val="21"/>
              </w:rPr>
              <w:t>SS</w:t>
            </w:r>
            <w:r>
              <w:rPr>
                <w:rFonts w:hint="eastAsia"/>
                <w:szCs w:val="21"/>
              </w:rPr>
              <w:t>等</w:t>
            </w:r>
          </w:p>
        </w:tc>
        <w:tc>
          <w:tcPr>
            <w:tcW w:w="1572" w:type="pct"/>
            <w:gridSpan w:val="2"/>
            <w:vAlign w:val="center"/>
          </w:tcPr>
          <w:p>
            <w:pPr>
              <w:jc w:val="center"/>
              <w:rPr>
                <w:szCs w:val="21"/>
              </w:rPr>
            </w:pPr>
            <w:r>
              <w:rPr>
                <w:szCs w:val="21"/>
              </w:rPr>
              <w:t>0.6m</w:t>
            </w:r>
            <w:r>
              <w:rPr>
                <w:szCs w:val="21"/>
                <w:vertAlign w:val="superscript"/>
              </w:rPr>
              <w:t>3</w:t>
            </w:r>
            <w:r>
              <w:rPr>
                <w:szCs w:val="21"/>
              </w:rPr>
              <w:t>/d</w:t>
            </w:r>
            <w:r>
              <w:rPr>
                <w:rFonts w:hint="eastAsia" w:hAnsi="宋体"/>
                <w:szCs w:val="21"/>
              </w:rPr>
              <w:t>（1</w:t>
            </w:r>
            <w:r>
              <w:rPr>
                <w:rFonts w:hAnsi="宋体"/>
                <w:szCs w:val="21"/>
              </w:rPr>
              <w:t>80</w:t>
            </w:r>
            <w:r>
              <w:rPr>
                <w:rFonts w:hint="eastAsia" w:hAnsi="宋体"/>
                <w:szCs w:val="21"/>
              </w:rPr>
              <w:t>m</w:t>
            </w:r>
            <w:r>
              <w:rPr>
                <w:rFonts w:hint="eastAsia" w:hAnsi="宋体"/>
                <w:szCs w:val="21"/>
                <w:vertAlign w:val="superscript"/>
              </w:rPr>
              <w:t>3</w:t>
            </w:r>
            <w:r>
              <w:rPr>
                <w:rFonts w:hint="eastAsia" w:hAnsi="宋体"/>
                <w:szCs w:val="21"/>
              </w:rPr>
              <w:t>/a）</w:t>
            </w:r>
          </w:p>
        </w:tc>
        <w:tc>
          <w:tcPr>
            <w:tcW w:w="1623" w:type="pct"/>
            <w:gridSpan w:val="2"/>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6" w:type="pct"/>
            <w:vMerge w:val="restart"/>
            <w:vAlign w:val="center"/>
          </w:tcPr>
          <w:p>
            <w:pPr>
              <w:jc w:val="center"/>
              <w:rPr>
                <w:b/>
                <w:szCs w:val="21"/>
              </w:rPr>
            </w:pPr>
            <w:r>
              <w:rPr>
                <w:b/>
                <w:szCs w:val="21"/>
              </w:rPr>
              <w:t>大气</w:t>
            </w:r>
          </w:p>
          <w:p>
            <w:pPr>
              <w:jc w:val="center"/>
              <w:rPr>
                <w:b/>
                <w:szCs w:val="21"/>
              </w:rPr>
            </w:pPr>
            <w:r>
              <w:rPr>
                <w:b/>
                <w:szCs w:val="21"/>
              </w:rPr>
              <w:t>污染物</w:t>
            </w:r>
          </w:p>
        </w:tc>
        <w:tc>
          <w:tcPr>
            <w:tcW w:w="514" w:type="pct"/>
            <w:vMerge w:val="restart"/>
            <w:vAlign w:val="center"/>
          </w:tcPr>
          <w:p>
            <w:pPr>
              <w:jc w:val="center"/>
              <w:rPr>
                <w:szCs w:val="21"/>
              </w:rPr>
            </w:pPr>
            <w:r>
              <w:rPr>
                <w:rFonts w:hint="eastAsia"/>
                <w:szCs w:val="21"/>
              </w:rPr>
              <w:t>P</w:t>
            </w:r>
            <w:r>
              <w:rPr>
                <w:szCs w:val="21"/>
              </w:rPr>
              <w:t>1</w:t>
            </w:r>
          </w:p>
        </w:tc>
        <w:tc>
          <w:tcPr>
            <w:tcW w:w="875" w:type="pct"/>
            <w:vAlign w:val="center"/>
          </w:tcPr>
          <w:p>
            <w:pPr>
              <w:jc w:val="center"/>
              <w:rPr>
                <w:szCs w:val="21"/>
              </w:rPr>
            </w:pPr>
            <w:r>
              <w:rPr>
                <w:rFonts w:hint="eastAsia"/>
                <w:szCs w:val="21"/>
              </w:rPr>
              <w:t>苯乙烯</w:t>
            </w:r>
          </w:p>
        </w:tc>
        <w:tc>
          <w:tcPr>
            <w:tcW w:w="870" w:type="pct"/>
            <w:vAlign w:val="center"/>
          </w:tcPr>
          <w:p>
            <w:pPr>
              <w:jc w:val="center"/>
              <w:rPr>
                <w:color w:val="000000" w:themeColor="text1"/>
                <w:szCs w:val="21"/>
                <w14:textFill>
                  <w14:solidFill>
                    <w14:schemeClr w14:val="tx1"/>
                  </w14:solidFill>
                </w14:textFill>
              </w:rPr>
            </w:pPr>
            <w:r>
              <w:rPr>
                <w:rFonts w:hint="eastAsia"/>
                <w:szCs w:val="21"/>
              </w:rPr>
              <w:t>0</w:t>
            </w:r>
            <w:r>
              <w:rPr>
                <w:szCs w:val="21"/>
              </w:rPr>
              <w:t>.045</w:t>
            </w:r>
            <w:r>
              <w:rPr>
                <w:color w:val="000000" w:themeColor="text1"/>
                <w:szCs w:val="21"/>
                <w14:textFill>
                  <w14:solidFill>
                    <w14:schemeClr w14:val="tx1"/>
                  </w14:solidFill>
                </w14:textFill>
              </w:rPr>
              <w:t>kg/h</w:t>
            </w:r>
          </w:p>
        </w:tc>
        <w:tc>
          <w:tcPr>
            <w:tcW w:w="702" w:type="pct"/>
            <w:vAlign w:val="center"/>
          </w:tcPr>
          <w:p>
            <w:pPr>
              <w:jc w:val="center"/>
              <w:rPr>
                <w:szCs w:val="21"/>
              </w:rPr>
            </w:pPr>
            <w:r>
              <w:rPr>
                <w:rFonts w:hint="eastAsia"/>
                <w:szCs w:val="21"/>
              </w:rPr>
              <w:t>0</w:t>
            </w:r>
            <w:r>
              <w:rPr>
                <w:szCs w:val="21"/>
              </w:rPr>
              <w:t>.324</w:t>
            </w:r>
            <w:r>
              <w:rPr>
                <w:color w:val="000000" w:themeColor="text1"/>
                <w:szCs w:val="21"/>
                <w14:textFill>
                  <w14:solidFill>
                    <w14:schemeClr w14:val="tx1"/>
                  </w14:solidFill>
                </w14:textFill>
              </w:rPr>
              <w:t>t/a</w:t>
            </w:r>
          </w:p>
        </w:tc>
        <w:tc>
          <w:tcPr>
            <w:tcW w:w="1009"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0.005</w:t>
            </w:r>
            <w:r>
              <w:rPr>
                <w:rFonts w:hint="eastAsia"/>
                <w:color w:val="000000" w:themeColor="text1"/>
                <w:szCs w:val="21"/>
                <w14:textFill>
                  <w14:solidFill>
                    <w14:schemeClr w14:val="tx1"/>
                  </w14:solidFill>
                </w14:textFill>
              </w:rPr>
              <w:t>kg/h</w:t>
            </w:r>
          </w:p>
        </w:tc>
        <w:tc>
          <w:tcPr>
            <w:tcW w:w="614"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0.032t/a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6" w:type="pct"/>
            <w:vMerge w:val="continue"/>
            <w:vAlign w:val="center"/>
          </w:tcPr>
          <w:p>
            <w:pPr>
              <w:jc w:val="center"/>
              <w:rPr>
                <w:b/>
                <w:szCs w:val="21"/>
              </w:rPr>
            </w:pPr>
          </w:p>
        </w:tc>
        <w:tc>
          <w:tcPr>
            <w:tcW w:w="514" w:type="pct"/>
            <w:vMerge w:val="continue"/>
            <w:vAlign w:val="center"/>
          </w:tcPr>
          <w:p>
            <w:pPr>
              <w:jc w:val="center"/>
              <w:rPr>
                <w:szCs w:val="21"/>
              </w:rPr>
            </w:pPr>
          </w:p>
        </w:tc>
        <w:tc>
          <w:tcPr>
            <w:tcW w:w="875" w:type="pct"/>
            <w:vAlign w:val="center"/>
          </w:tcPr>
          <w:p>
            <w:pPr>
              <w:jc w:val="center"/>
              <w:rPr>
                <w:szCs w:val="21"/>
              </w:rPr>
            </w:pPr>
            <w:r>
              <w:rPr>
                <w:rFonts w:hint="eastAsia"/>
                <w:szCs w:val="21"/>
              </w:rPr>
              <w:t>非甲烷总烃</w:t>
            </w:r>
          </w:p>
        </w:tc>
        <w:tc>
          <w:tcPr>
            <w:tcW w:w="870"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0.518kg/h</w:t>
            </w:r>
          </w:p>
        </w:tc>
        <w:tc>
          <w:tcPr>
            <w:tcW w:w="702"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3.727t/a</w:t>
            </w:r>
          </w:p>
        </w:tc>
        <w:tc>
          <w:tcPr>
            <w:tcW w:w="1009" w:type="pct"/>
            <w:vAlign w:val="center"/>
          </w:tcPr>
          <w:p>
            <w:pPr>
              <w:jc w:val="center"/>
              <w:rPr>
                <w:szCs w:val="21"/>
              </w:rPr>
            </w:pPr>
            <w:r>
              <w:rPr>
                <w:rFonts w:hint="eastAsia"/>
                <w:szCs w:val="21"/>
              </w:rPr>
              <w:t>0</w:t>
            </w:r>
            <w:r>
              <w:rPr>
                <w:szCs w:val="21"/>
              </w:rPr>
              <w:t>.052</w:t>
            </w:r>
            <w:r>
              <w:rPr>
                <w:color w:val="000000" w:themeColor="text1"/>
                <w:szCs w:val="21"/>
                <w14:textFill>
                  <w14:solidFill>
                    <w14:schemeClr w14:val="tx1"/>
                  </w14:solidFill>
                </w14:textFill>
              </w:rPr>
              <w:t>kg/h</w:t>
            </w:r>
          </w:p>
        </w:tc>
        <w:tc>
          <w:tcPr>
            <w:tcW w:w="614" w:type="pct"/>
            <w:vAlign w:val="center"/>
          </w:tcPr>
          <w:p>
            <w:pPr>
              <w:jc w:val="center"/>
              <w:rPr>
                <w:szCs w:val="21"/>
              </w:rPr>
            </w:pPr>
            <w:r>
              <w:rPr>
                <w:rFonts w:hint="eastAsia"/>
                <w:szCs w:val="21"/>
              </w:rPr>
              <w:t>0</w:t>
            </w:r>
            <w:r>
              <w:rPr>
                <w:szCs w:val="21"/>
              </w:rPr>
              <w:t>.373</w:t>
            </w:r>
            <w:r>
              <w:rPr>
                <w:color w:val="000000" w:themeColor="text1"/>
                <w:szCs w:val="21"/>
                <w14:textFill>
                  <w14:solidFill>
                    <w14:schemeClr w14:val="tx1"/>
                  </w14:solidFill>
                </w14:textFill>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416" w:type="pct"/>
            <w:vMerge w:val="continue"/>
            <w:vAlign w:val="center"/>
          </w:tcPr>
          <w:p>
            <w:pPr>
              <w:jc w:val="center"/>
              <w:rPr>
                <w:b/>
                <w:szCs w:val="21"/>
              </w:rPr>
            </w:pPr>
          </w:p>
        </w:tc>
        <w:tc>
          <w:tcPr>
            <w:tcW w:w="514" w:type="pct"/>
            <w:vAlign w:val="center"/>
          </w:tcPr>
          <w:p>
            <w:pPr>
              <w:jc w:val="center"/>
              <w:rPr>
                <w:szCs w:val="21"/>
              </w:rPr>
            </w:pPr>
            <w:r>
              <w:rPr>
                <w:rFonts w:hint="eastAsia"/>
                <w:szCs w:val="21"/>
              </w:rPr>
              <w:t>P</w:t>
            </w:r>
            <w:r>
              <w:rPr>
                <w:szCs w:val="21"/>
              </w:rPr>
              <w:t>2</w:t>
            </w:r>
          </w:p>
        </w:tc>
        <w:tc>
          <w:tcPr>
            <w:tcW w:w="875" w:type="pct"/>
            <w:vAlign w:val="center"/>
          </w:tcPr>
          <w:p>
            <w:pPr>
              <w:jc w:val="center"/>
              <w:rPr>
                <w:szCs w:val="21"/>
              </w:rPr>
            </w:pPr>
            <w:r>
              <w:rPr>
                <w:rFonts w:hint="eastAsia"/>
                <w:szCs w:val="21"/>
              </w:rPr>
              <w:t>粉尘</w:t>
            </w:r>
          </w:p>
        </w:tc>
        <w:tc>
          <w:tcPr>
            <w:tcW w:w="870"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0.810kg/h</w:t>
            </w:r>
          </w:p>
        </w:tc>
        <w:tc>
          <w:tcPr>
            <w:tcW w:w="702"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5.833t/a</w:t>
            </w:r>
          </w:p>
        </w:tc>
        <w:tc>
          <w:tcPr>
            <w:tcW w:w="1009"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0.008kg/h</w:t>
            </w:r>
          </w:p>
        </w:tc>
        <w:tc>
          <w:tcPr>
            <w:tcW w:w="614"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0.058t/a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6" w:type="pct"/>
            <w:vMerge w:val="continue"/>
            <w:vAlign w:val="center"/>
          </w:tcPr>
          <w:p>
            <w:pPr>
              <w:jc w:val="center"/>
              <w:rPr>
                <w:b/>
                <w:szCs w:val="21"/>
              </w:rPr>
            </w:pPr>
          </w:p>
        </w:tc>
        <w:tc>
          <w:tcPr>
            <w:tcW w:w="514" w:type="pct"/>
            <w:vMerge w:val="restart"/>
            <w:vAlign w:val="center"/>
          </w:tcPr>
          <w:p>
            <w:pPr>
              <w:jc w:val="center"/>
              <w:rPr>
                <w:szCs w:val="21"/>
              </w:rPr>
            </w:pPr>
            <w:r>
              <w:rPr>
                <w:rFonts w:hint="eastAsia"/>
                <w:szCs w:val="21"/>
              </w:rPr>
              <w:t>P</w:t>
            </w:r>
            <w:r>
              <w:rPr>
                <w:szCs w:val="21"/>
              </w:rPr>
              <w:t>3</w:t>
            </w:r>
          </w:p>
        </w:tc>
        <w:tc>
          <w:tcPr>
            <w:tcW w:w="875" w:type="pct"/>
            <w:vAlign w:val="center"/>
          </w:tcPr>
          <w:p>
            <w:pPr>
              <w:jc w:val="center"/>
              <w:rPr>
                <w:szCs w:val="21"/>
              </w:rPr>
            </w:pPr>
            <w:r>
              <w:rPr>
                <w:rFonts w:hint="eastAsia"/>
                <w:szCs w:val="21"/>
              </w:rPr>
              <w:t>颗粒物</w:t>
            </w:r>
          </w:p>
        </w:tc>
        <w:tc>
          <w:tcPr>
            <w:tcW w:w="870"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5.568mg/m</w:t>
            </w:r>
            <w:r>
              <w:rPr>
                <w:color w:val="000000" w:themeColor="text1"/>
                <w:szCs w:val="21"/>
                <w:vertAlign w:val="superscript"/>
                <w14:textFill>
                  <w14:solidFill>
                    <w14:schemeClr w14:val="tx1"/>
                  </w14:solidFill>
                </w14:textFill>
              </w:rPr>
              <w:t>3</w:t>
            </w:r>
          </w:p>
        </w:tc>
        <w:tc>
          <w:tcPr>
            <w:tcW w:w="702"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0.0162t/a</w:t>
            </w:r>
          </w:p>
        </w:tc>
        <w:tc>
          <w:tcPr>
            <w:tcW w:w="1009"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5.568mg/m</w:t>
            </w:r>
            <w:r>
              <w:rPr>
                <w:color w:val="000000" w:themeColor="text1"/>
                <w:szCs w:val="21"/>
                <w:vertAlign w:val="superscript"/>
                <w14:textFill>
                  <w14:solidFill>
                    <w14:schemeClr w14:val="tx1"/>
                  </w14:solidFill>
                </w14:textFill>
              </w:rPr>
              <w:t>3</w:t>
            </w:r>
          </w:p>
        </w:tc>
        <w:tc>
          <w:tcPr>
            <w:tcW w:w="614"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0.0162t/a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6" w:type="pct"/>
            <w:vMerge w:val="continue"/>
            <w:vAlign w:val="center"/>
          </w:tcPr>
          <w:p>
            <w:pPr>
              <w:jc w:val="center"/>
              <w:rPr>
                <w:b/>
                <w:szCs w:val="21"/>
              </w:rPr>
            </w:pPr>
          </w:p>
        </w:tc>
        <w:tc>
          <w:tcPr>
            <w:tcW w:w="514" w:type="pct"/>
            <w:vMerge w:val="continue"/>
            <w:vAlign w:val="center"/>
          </w:tcPr>
          <w:p>
            <w:pPr>
              <w:jc w:val="center"/>
              <w:rPr>
                <w:szCs w:val="21"/>
              </w:rPr>
            </w:pPr>
          </w:p>
        </w:tc>
        <w:tc>
          <w:tcPr>
            <w:tcW w:w="875" w:type="pct"/>
            <w:vAlign w:val="center"/>
          </w:tcPr>
          <w:p>
            <w:pPr>
              <w:jc w:val="center"/>
              <w:rPr>
                <w:szCs w:val="21"/>
              </w:rPr>
            </w:pPr>
            <w:r>
              <w:rPr>
                <w:color w:val="000000"/>
                <w:szCs w:val="21"/>
              </w:rPr>
              <w:t>SO</w:t>
            </w:r>
            <w:r>
              <w:rPr>
                <w:color w:val="000000"/>
                <w:szCs w:val="21"/>
                <w:vertAlign w:val="subscript"/>
              </w:rPr>
              <w:t>2</w:t>
            </w:r>
          </w:p>
        </w:tc>
        <w:tc>
          <w:tcPr>
            <w:tcW w:w="870"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9.28mg/m</w:t>
            </w:r>
            <w:r>
              <w:rPr>
                <w:color w:val="000000" w:themeColor="text1"/>
                <w:szCs w:val="21"/>
                <w:vertAlign w:val="superscript"/>
                <w14:textFill>
                  <w14:solidFill>
                    <w14:schemeClr w14:val="tx1"/>
                  </w14:solidFill>
                </w14:textFill>
              </w:rPr>
              <w:t>3</w:t>
            </w:r>
          </w:p>
        </w:tc>
        <w:tc>
          <w:tcPr>
            <w:tcW w:w="702"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7t/a</w:t>
            </w:r>
          </w:p>
        </w:tc>
        <w:tc>
          <w:tcPr>
            <w:tcW w:w="1009"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9.28mg/m</w:t>
            </w:r>
            <w:r>
              <w:rPr>
                <w:color w:val="000000" w:themeColor="text1"/>
                <w:szCs w:val="21"/>
                <w:vertAlign w:val="superscript"/>
                <w14:textFill>
                  <w14:solidFill>
                    <w14:schemeClr w14:val="tx1"/>
                  </w14:solidFill>
                </w14:textFill>
              </w:rPr>
              <w:t>3</w:t>
            </w:r>
          </w:p>
        </w:tc>
        <w:tc>
          <w:tcPr>
            <w:tcW w:w="614"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7t/a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6" w:type="pct"/>
            <w:vMerge w:val="continue"/>
            <w:vAlign w:val="center"/>
          </w:tcPr>
          <w:p>
            <w:pPr>
              <w:jc w:val="center"/>
              <w:rPr>
                <w:b/>
                <w:szCs w:val="21"/>
              </w:rPr>
            </w:pPr>
          </w:p>
        </w:tc>
        <w:tc>
          <w:tcPr>
            <w:tcW w:w="514" w:type="pct"/>
            <w:vMerge w:val="continue"/>
            <w:vAlign w:val="center"/>
          </w:tcPr>
          <w:p>
            <w:pPr>
              <w:jc w:val="center"/>
              <w:rPr>
                <w:szCs w:val="21"/>
              </w:rPr>
            </w:pPr>
          </w:p>
        </w:tc>
        <w:tc>
          <w:tcPr>
            <w:tcW w:w="875" w:type="pct"/>
            <w:vAlign w:val="center"/>
          </w:tcPr>
          <w:p>
            <w:pPr>
              <w:jc w:val="center"/>
              <w:rPr>
                <w:szCs w:val="21"/>
              </w:rPr>
            </w:pPr>
            <w:r>
              <w:rPr>
                <w:color w:val="000000" w:themeColor="text1"/>
                <w:szCs w:val="21"/>
                <w14:textFill>
                  <w14:solidFill>
                    <w14:schemeClr w14:val="tx1"/>
                  </w14:solidFill>
                </w14:textFill>
              </w:rPr>
              <w:t>NO</w:t>
            </w:r>
            <w:r>
              <w:rPr>
                <w:color w:val="000000" w:themeColor="text1"/>
                <w:szCs w:val="21"/>
                <w:vertAlign w:val="subscript"/>
                <w14:textFill>
                  <w14:solidFill>
                    <w14:schemeClr w14:val="tx1"/>
                  </w14:solidFill>
                </w14:textFill>
              </w:rPr>
              <w:t>X</w:t>
            </w:r>
          </w:p>
        </w:tc>
        <w:tc>
          <w:tcPr>
            <w:tcW w:w="870"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28.12mg/m</w:t>
            </w:r>
            <w:r>
              <w:rPr>
                <w:color w:val="000000" w:themeColor="text1"/>
                <w:szCs w:val="21"/>
                <w:vertAlign w:val="superscript"/>
                <w14:textFill>
                  <w14:solidFill>
                    <w14:schemeClr w14:val="tx1"/>
                  </w14:solidFill>
                </w14:textFill>
              </w:rPr>
              <w:t>3</w:t>
            </w:r>
          </w:p>
        </w:tc>
        <w:tc>
          <w:tcPr>
            <w:tcW w:w="702"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8181t/a</w:t>
            </w:r>
          </w:p>
        </w:tc>
        <w:tc>
          <w:tcPr>
            <w:tcW w:w="1009"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28.12mg/m</w:t>
            </w:r>
            <w:r>
              <w:rPr>
                <w:color w:val="000000" w:themeColor="text1"/>
                <w:szCs w:val="21"/>
                <w:vertAlign w:val="superscript"/>
                <w14:textFill>
                  <w14:solidFill>
                    <w14:schemeClr w14:val="tx1"/>
                  </w14:solidFill>
                </w14:textFill>
              </w:rPr>
              <w:t>3</w:t>
            </w:r>
          </w:p>
        </w:tc>
        <w:tc>
          <w:tcPr>
            <w:tcW w:w="614"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8181t/a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6" w:type="pct"/>
            <w:vMerge w:val="continue"/>
            <w:vAlign w:val="center"/>
          </w:tcPr>
          <w:p>
            <w:pPr>
              <w:jc w:val="center"/>
              <w:rPr>
                <w:b/>
                <w:szCs w:val="21"/>
              </w:rPr>
            </w:pPr>
          </w:p>
        </w:tc>
        <w:tc>
          <w:tcPr>
            <w:tcW w:w="514" w:type="pct"/>
            <w:vMerge w:val="restart"/>
            <w:vAlign w:val="center"/>
          </w:tcPr>
          <w:p>
            <w:pPr>
              <w:jc w:val="center"/>
              <w:rPr>
                <w:szCs w:val="21"/>
              </w:rPr>
            </w:pPr>
            <w:r>
              <w:rPr>
                <w:rFonts w:hint="eastAsia"/>
                <w:szCs w:val="21"/>
              </w:rPr>
              <w:t>无组织</w:t>
            </w:r>
          </w:p>
        </w:tc>
        <w:tc>
          <w:tcPr>
            <w:tcW w:w="875" w:type="pct"/>
            <w:vAlign w:val="center"/>
          </w:tcPr>
          <w:p>
            <w:pPr>
              <w:jc w:val="center"/>
              <w:rPr>
                <w:szCs w:val="21"/>
              </w:rPr>
            </w:pPr>
            <w:r>
              <w:rPr>
                <w:rFonts w:hint="eastAsia"/>
                <w:szCs w:val="21"/>
              </w:rPr>
              <w:t>苯乙烯</w:t>
            </w:r>
          </w:p>
        </w:tc>
        <w:tc>
          <w:tcPr>
            <w:tcW w:w="870" w:type="pct"/>
            <w:vAlign w:val="center"/>
          </w:tcPr>
          <w:p>
            <w:pPr>
              <w:jc w:val="center"/>
              <w:rPr>
                <w:color w:val="000000" w:themeColor="text1"/>
                <w:szCs w:val="21"/>
                <w14:textFill>
                  <w14:solidFill>
                    <w14:schemeClr w14:val="tx1"/>
                  </w14:solidFill>
                </w14:textFill>
              </w:rPr>
            </w:pPr>
            <w:r>
              <w:rPr>
                <w:rFonts w:hint="eastAsia"/>
                <w:szCs w:val="21"/>
              </w:rPr>
              <w:t>0</w:t>
            </w:r>
            <w:r>
              <w:rPr>
                <w:szCs w:val="21"/>
              </w:rPr>
              <w:t>.002</w:t>
            </w:r>
            <w:r>
              <w:rPr>
                <w:rFonts w:hint="eastAsia"/>
                <w:color w:val="000000" w:themeColor="text1"/>
                <w:szCs w:val="21"/>
                <w14:textFill>
                  <w14:solidFill>
                    <w14:schemeClr w14:val="tx1"/>
                  </w14:solidFill>
                </w14:textFill>
              </w:rPr>
              <w:t>kg/h</w:t>
            </w:r>
          </w:p>
        </w:tc>
        <w:tc>
          <w:tcPr>
            <w:tcW w:w="702" w:type="pct"/>
            <w:vAlign w:val="center"/>
          </w:tcPr>
          <w:p>
            <w:pPr>
              <w:jc w:val="center"/>
              <w:rPr>
                <w:color w:val="000000" w:themeColor="text1"/>
                <w:szCs w:val="21"/>
                <w14:textFill>
                  <w14:solidFill>
                    <w14:schemeClr w14:val="tx1"/>
                  </w14:solidFill>
                </w14:textFill>
              </w:rPr>
            </w:pPr>
            <w:r>
              <w:rPr>
                <w:rFonts w:hint="eastAsia"/>
                <w:szCs w:val="21"/>
              </w:rPr>
              <w:t>0</w:t>
            </w:r>
            <w:r>
              <w:rPr>
                <w:szCs w:val="21"/>
              </w:rPr>
              <w:t>.017</w:t>
            </w:r>
            <w:r>
              <w:rPr>
                <w:rFonts w:hint="eastAsia"/>
                <w:color w:val="000000" w:themeColor="text1"/>
                <w:szCs w:val="21"/>
                <w14:textFill>
                  <w14:solidFill>
                    <w14:schemeClr w14:val="tx1"/>
                  </w14:solidFill>
                </w14:textFill>
              </w:rPr>
              <w:t>t/a</w:t>
            </w:r>
          </w:p>
        </w:tc>
        <w:tc>
          <w:tcPr>
            <w:tcW w:w="1009" w:type="pct"/>
            <w:vAlign w:val="center"/>
          </w:tcPr>
          <w:p>
            <w:pPr>
              <w:jc w:val="center"/>
              <w:rPr>
                <w:color w:val="000000" w:themeColor="text1"/>
                <w:szCs w:val="21"/>
                <w14:textFill>
                  <w14:solidFill>
                    <w14:schemeClr w14:val="tx1"/>
                  </w14:solidFill>
                </w14:textFill>
              </w:rPr>
            </w:pPr>
            <w:r>
              <w:rPr>
                <w:rFonts w:hint="eastAsia"/>
                <w:szCs w:val="21"/>
              </w:rPr>
              <w:t>0</w:t>
            </w:r>
            <w:r>
              <w:rPr>
                <w:szCs w:val="21"/>
              </w:rPr>
              <w:t>.002</w:t>
            </w:r>
            <w:r>
              <w:rPr>
                <w:rFonts w:hint="eastAsia"/>
                <w:color w:val="000000" w:themeColor="text1"/>
                <w:szCs w:val="21"/>
                <w14:textFill>
                  <w14:solidFill>
                    <w14:schemeClr w14:val="tx1"/>
                  </w14:solidFill>
                </w14:textFill>
              </w:rPr>
              <w:t>kg/h</w:t>
            </w:r>
          </w:p>
        </w:tc>
        <w:tc>
          <w:tcPr>
            <w:tcW w:w="614" w:type="pct"/>
            <w:vAlign w:val="center"/>
          </w:tcPr>
          <w:p>
            <w:pPr>
              <w:jc w:val="center"/>
              <w:rPr>
                <w:color w:val="000000" w:themeColor="text1"/>
                <w:szCs w:val="21"/>
                <w14:textFill>
                  <w14:solidFill>
                    <w14:schemeClr w14:val="tx1"/>
                  </w14:solidFill>
                </w14:textFill>
              </w:rPr>
            </w:pPr>
            <w:r>
              <w:rPr>
                <w:rFonts w:hint="eastAsia"/>
                <w:szCs w:val="21"/>
              </w:rPr>
              <w:t>0</w:t>
            </w:r>
            <w:r>
              <w:rPr>
                <w:szCs w:val="21"/>
              </w:rPr>
              <w:t>.017</w:t>
            </w:r>
            <w:r>
              <w:rPr>
                <w:rFonts w:hint="eastAsia"/>
                <w:color w:val="000000" w:themeColor="text1"/>
                <w:szCs w:val="21"/>
                <w14:textFill>
                  <w14:solidFill>
                    <w14:schemeClr w14:val="tx1"/>
                  </w14:solidFill>
                </w14:textFill>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16" w:type="pct"/>
            <w:vMerge w:val="continue"/>
            <w:vAlign w:val="center"/>
          </w:tcPr>
          <w:p>
            <w:pPr>
              <w:jc w:val="center"/>
              <w:rPr>
                <w:b/>
                <w:szCs w:val="21"/>
              </w:rPr>
            </w:pPr>
          </w:p>
        </w:tc>
        <w:tc>
          <w:tcPr>
            <w:tcW w:w="514" w:type="pct"/>
            <w:vMerge w:val="continue"/>
            <w:vAlign w:val="center"/>
          </w:tcPr>
          <w:p>
            <w:pPr>
              <w:jc w:val="center"/>
              <w:rPr>
                <w:szCs w:val="21"/>
              </w:rPr>
            </w:pPr>
          </w:p>
        </w:tc>
        <w:tc>
          <w:tcPr>
            <w:tcW w:w="875" w:type="pct"/>
            <w:vAlign w:val="center"/>
          </w:tcPr>
          <w:p>
            <w:pPr>
              <w:jc w:val="center"/>
              <w:rPr>
                <w:szCs w:val="21"/>
              </w:rPr>
            </w:pPr>
            <w:r>
              <w:rPr>
                <w:rFonts w:hint="eastAsia"/>
                <w:szCs w:val="21"/>
              </w:rPr>
              <w:t>非甲烷总烃</w:t>
            </w:r>
          </w:p>
        </w:tc>
        <w:tc>
          <w:tcPr>
            <w:tcW w:w="870" w:type="pct"/>
            <w:vAlign w:val="center"/>
          </w:tcPr>
          <w:p>
            <w:pPr>
              <w:jc w:val="center"/>
              <w:rPr>
                <w:szCs w:val="21"/>
              </w:rPr>
            </w:pPr>
            <w:r>
              <w:rPr>
                <w:rFonts w:hint="eastAsia"/>
                <w:szCs w:val="21"/>
              </w:rPr>
              <w:t>0</w:t>
            </w:r>
            <w:r>
              <w:rPr>
                <w:szCs w:val="21"/>
              </w:rPr>
              <w:t>.027</w:t>
            </w:r>
            <w:r>
              <w:rPr>
                <w:color w:val="000000" w:themeColor="text1"/>
                <w:szCs w:val="21"/>
                <w14:textFill>
                  <w14:solidFill>
                    <w14:schemeClr w14:val="tx1"/>
                  </w14:solidFill>
                </w14:textFill>
              </w:rPr>
              <w:t>kg/h</w:t>
            </w:r>
          </w:p>
        </w:tc>
        <w:tc>
          <w:tcPr>
            <w:tcW w:w="702" w:type="pct"/>
            <w:vAlign w:val="center"/>
          </w:tcPr>
          <w:p>
            <w:pPr>
              <w:jc w:val="center"/>
              <w:rPr>
                <w:szCs w:val="21"/>
              </w:rPr>
            </w:pPr>
            <w:r>
              <w:rPr>
                <w:rFonts w:hint="eastAsia"/>
                <w:szCs w:val="21"/>
              </w:rPr>
              <w:t>0</w:t>
            </w:r>
            <w:r>
              <w:rPr>
                <w:szCs w:val="21"/>
              </w:rPr>
              <w:t>.196</w:t>
            </w:r>
            <w:r>
              <w:rPr>
                <w:color w:val="000000" w:themeColor="text1"/>
                <w:szCs w:val="21"/>
                <w14:textFill>
                  <w14:solidFill>
                    <w14:schemeClr w14:val="tx1"/>
                  </w14:solidFill>
                </w14:textFill>
              </w:rPr>
              <w:t>t/a</w:t>
            </w:r>
          </w:p>
        </w:tc>
        <w:tc>
          <w:tcPr>
            <w:tcW w:w="1009" w:type="pct"/>
            <w:vAlign w:val="center"/>
          </w:tcPr>
          <w:p>
            <w:pPr>
              <w:jc w:val="center"/>
              <w:rPr>
                <w:color w:val="000000" w:themeColor="text1"/>
                <w:szCs w:val="21"/>
                <w14:textFill>
                  <w14:solidFill>
                    <w14:schemeClr w14:val="tx1"/>
                  </w14:solidFill>
                </w14:textFill>
              </w:rPr>
            </w:pPr>
            <w:r>
              <w:rPr>
                <w:rFonts w:hint="eastAsia"/>
                <w:szCs w:val="21"/>
              </w:rPr>
              <w:t>0</w:t>
            </w:r>
            <w:r>
              <w:rPr>
                <w:szCs w:val="21"/>
              </w:rPr>
              <w:t>.027</w:t>
            </w:r>
            <w:r>
              <w:rPr>
                <w:color w:val="000000" w:themeColor="text1"/>
                <w:szCs w:val="21"/>
                <w14:textFill>
                  <w14:solidFill>
                    <w14:schemeClr w14:val="tx1"/>
                  </w14:solidFill>
                </w14:textFill>
              </w:rPr>
              <w:t>kg/h</w:t>
            </w:r>
          </w:p>
        </w:tc>
        <w:tc>
          <w:tcPr>
            <w:tcW w:w="614" w:type="pct"/>
            <w:vAlign w:val="center"/>
          </w:tcPr>
          <w:p>
            <w:pPr>
              <w:jc w:val="center"/>
              <w:rPr>
                <w:color w:val="000000" w:themeColor="text1"/>
                <w:szCs w:val="21"/>
                <w14:textFill>
                  <w14:solidFill>
                    <w14:schemeClr w14:val="tx1"/>
                  </w14:solidFill>
                </w14:textFill>
              </w:rPr>
            </w:pPr>
            <w:r>
              <w:rPr>
                <w:rFonts w:hint="eastAsia"/>
                <w:szCs w:val="21"/>
              </w:rPr>
              <w:t>0</w:t>
            </w:r>
            <w:r>
              <w:rPr>
                <w:szCs w:val="21"/>
              </w:rPr>
              <w:t>.196</w:t>
            </w:r>
            <w:r>
              <w:rPr>
                <w:color w:val="000000" w:themeColor="text1"/>
                <w:szCs w:val="21"/>
                <w14:textFill>
                  <w14:solidFill>
                    <w14:schemeClr w14:val="tx1"/>
                  </w14:solidFill>
                </w14:textFill>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6" w:type="pct"/>
            <w:vMerge w:val="continue"/>
            <w:vAlign w:val="center"/>
          </w:tcPr>
          <w:p>
            <w:pPr>
              <w:jc w:val="center"/>
              <w:rPr>
                <w:b/>
                <w:szCs w:val="21"/>
              </w:rPr>
            </w:pPr>
          </w:p>
        </w:tc>
        <w:tc>
          <w:tcPr>
            <w:tcW w:w="514" w:type="pct"/>
            <w:vMerge w:val="continue"/>
            <w:vAlign w:val="center"/>
          </w:tcPr>
          <w:p>
            <w:pPr>
              <w:jc w:val="center"/>
              <w:rPr>
                <w:szCs w:val="21"/>
              </w:rPr>
            </w:pPr>
          </w:p>
        </w:tc>
        <w:tc>
          <w:tcPr>
            <w:tcW w:w="875" w:type="pct"/>
            <w:vAlign w:val="center"/>
          </w:tcPr>
          <w:p>
            <w:pPr>
              <w:jc w:val="center"/>
              <w:rPr>
                <w:szCs w:val="21"/>
              </w:rPr>
            </w:pPr>
            <w:r>
              <w:rPr>
                <w:rFonts w:hint="eastAsia"/>
                <w:szCs w:val="21"/>
              </w:rPr>
              <w:t>粉尘</w:t>
            </w:r>
          </w:p>
        </w:tc>
        <w:tc>
          <w:tcPr>
            <w:tcW w:w="870" w:type="pct"/>
            <w:vAlign w:val="center"/>
          </w:tcPr>
          <w:p>
            <w:pPr>
              <w:jc w:val="center"/>
              <w:rPr>
                <w:szCs w:val="21"/>
              </w:rPr>
            </w:pPr>
            <w:r>
              <w:rPr>
                <w:rFonts w:hint="eastAsia"/>
                <w:szCs w:val="21"/>
              </w:rPr>
              <w:t>0</w:t>
            </w:r>
            <w:r>
              <w:rPr>
                <w:szCs w:val="21"/>
              </w:rPr>
              <w:t>.043</w:t>
            </w:r>
            <w:r>
              <w:rPr>
                <w:color w:val="000000" w:themeColor="text1"/>
                <w:szCs w:val="21"/>
                <w14:textFill>
                  <w14:solidFill>
                    <w14:schemeClr w14:val="tx1"/>
                  </w14:solidFill>
                </w14:textFill>
              </w:rPr>
              <w:t>kg/h</w:t>
            </w:r>
          </w:p>
        </w:tc>
        <w:tc>
          <w:tcPr>
            <w:tcW w:w="702" w:type="pct"/>
            <w:vAlign w:val="center"/>
          </w:tcPr>
          <w:p>
            <w:pPr>
              <w:jc w:val="center"/>
              <w:rPr>
                <w:szCs w:val="21"/>
              </w:rPr>
            </w:pPr>
            <w:r>
              <w:rPr>
                <w:rFonts w:hint="eastAsia"/>
                <w:szCs w:val="21"/>
              </w:rPr>
              <w:t>0</w:t>
            </w:r>
            <w:r>
              <w:rPr>
                <w:szCs w:val="21"/>
              </w:rPr>
              <w:t>.307t</w:t>
            </w:r>
            <w:r>
              <w:rPr>
                <w:rFonts w:hint="eastAsia"/>
                <w:szCs w:val="21"/>
              </w:rPr>
              <w:t>/a</w:t>
            </w:r>
          </w:p>
        </w:tc>
        <w:tc>
          <w:tcPr>
            <w:tcW w:w="1009" w:type="pct"/>
            <w:vAlign w:val="center"/>
          </w:tcPr>
          <w:p>
            <w:pPr>
              <w:jc w:val="center"/>
              <w:rPr>
                <w:szCs w:val="21"/>
              </w:rPr>
            </w:pPr>
            <w:r>
              <w:rPr>
                <w:rFonts w:hint="eastAsia"/>
                <w:szCs w:val="21"/>
              </w:rPr>
              <w:t>0</w:t>
            </w:r>
            <w:r>
              <w:rPr>
                <w:szCs w:val="21"/>
              </w:rPr>
              <w:t>.043</w:t>
            </w:r>
            <w:r>
              <w:rPr>
                <w:color w:val="000000" w:themeColor="text1"/>
                <w:szCs w:val="21"/>
                <w14:textFill>
                  <w14:solidFill>
                    <w14:schemeClr w14:val="tx1"/>
                  </w14:solidFill>
                </w14:textFill>
              </w:rPr>
              <w:t>kg/h</w:t>
            </w:r>
          </w:p>
        </w:tc>
        <w:tc>
          <w:tcPr>
            <w:tcW w:w="614" w:type="pct"/>
            <w:vAlign w:val="center"/>
          </w:tcPr>
          <w:p>
            <w:pPr>
              <w:jc w:val="center"/>
              <w:rPr>
                <w:szCs w:val="21"/>
              </w:rPr>
            </w:pPr>
            <w:r>
              <w:rPr>
                <w:rFonts w:hint="eastAsia"/>
                <w:szCs w:val="21"/>
              </w:rPr>
              <w:t>0</w:t>
            </w:r>
            <w:r>
              <w:rPr>
                <w:szCs w:val="21"/>
              </w:rPr>
              <w:t>.307t</w:t>
            </w:r>
            <w:r>
              <w:rPr>
                <w:rFonts w:hint="eastAsia"/>
                <w:szCs w:val="21"/>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6" w:type="pct"/>
            <w:vMerge w:val="continue"/>
            <w:vAlign w:val="center"/>
          </w:tcPr>
          <w:p>
            <w:pPr>
              <w:jc w:val="center"/>
              <w:rPr>
                <w:b/>
                <w:szCs w:val="21"/>
              </w:rPr>
            </w:pPr>
          </w:p>
        </w:tc>
        <w:tc>
          <w:tcPr>
            <w:tcW w:w="1389" w:type="pct"/>
            <w:gridSpan w:val="2"/>
            <w:vAlign w:val="center"/>
          </w:tcPr>
          <w:p>
            <w:pPr>
              <w:jc w:val="center"/>
              <w:rPr>
                <w:szCs w:val="21"/>
              </w:rPr>
            </w:pPr>
            <w:r>
              <w:rPr>
                <w:szCs w:val="21"/>
              </w:rPr>
              <w:t>油烟</w:t>
            </w:r>
          </w:p>
        </w:tc>
        <w:tc>
          <w:tcPr>
            <w:tcW w:w="870" w:type="pct"/>
            <w:vAlign w:val="center"/>
          </w:tcPr>
          <w:p>
            <w:pPr>
              <w:jc w:val="center"/>
              <w:rPr>
                <w:szCs w:val="21"/>
              </w:rPr>
            </w:pPr>
            <w:r>
              <w:rPr>
                <w:szCs w:val="21"/>
              </w:rPr>
              <w:t>4mg/m</w:t>
            </w:r>
            <w:r>
              <w:rPr>
                <w:szCs w:val="21"/>
                <w:vertAlign w:val="superscript"/>
              </w:rPr>
              <w:t>3</w:t>
            </w:r>
          </w:p>
        </w:tc>
        <w:tc>
          <w:tcPr>
            <w:tcW w:w="702" w:type="pct"/>
            <w:vAlign w:val="center"/>
          </w:tcPr>
          <w:p>
            <w:pPr>
              <w:jc w:val="center"/>
              <w:rPr>
                <w:szCs w:val="21"/>
              </w:rPr>
            </w:pPr>
            <w:r>
              <w:rPr>
                <w:szCs w:val="21"/>
              </w:rPr>
              <w:t>0.18t/a</w:t>
            </w:r>
          </w:p>
        </w:tc>
        <w:tc>
          <w:tcPr>
            <w:tcW w:w="1009" w:type="pct"/>
            <w:vAlign w:val="center"/>
          </w:tcPr>
          <w:p>
            <w:pPr>
              <w:jc w:val="center"/>
              <w:rPr>
                <w:szCs w:val="21"/>
              </w:rPr>
            </w:pPr>
            <w:r>
              <w:rPr>
                <w:szCs w:val="21"/>
              </w:rPr>
              <w:t>1.6mg/m</w:t>
            </w:r>
            <w:r>
              <w:rPr>
                <w:szCs w:val="21"/>
                <w:vertAlign w:val="superscript"/>
              </w:rPr>
              <w:t>3</w:t>
            </w:r>
          </w:p>
        </w:tc>
        <w:tc>
          <w:tcPr>
            <w:tcW w:w="614" w:type="pct"/>
            <w:vAlign w:val="center"/>
          </w:tcPr>
          <w:p>
            <w:pPr>
              <w:jc w:val="center"/>
              <w:rPr>
                <w:szCs w:val="21"/>
              </w:rPr>
            </w:pPr>
            <w:r>
              <w:rPr>
                <w:szCs w:val="21"/>
              </w:rPr>
              <w:t>0.092t/a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6" w:type="pct"/>
            <w:vMerge w:val="restart"/>
            <w:vAlign w:val="center"/>
          </w:tcPr>
          <w:p>
            <w:pPr>
              <w:jc w:val="center"/>
              <w:rPr>
                <w:b/>
                <w:szCs w:val="21"/>
              </w:rPr>
            </w:pPr>
            <w:r>
              <w:rPr>
                <w:b/>
                <w:szCs w:val="21"/>
              </w:rPr>
              <w:t>固体</w:t>
            </w:r>
          </w:p>
          <w:p>
            <w:pPr>
              <w:jc w:val="center"/>
              <w:rPr>
                <w:b/>
                <w:szCs w:val="21"/>
              </w:rPr>
            </w:pPr>
            <w:r>
              <w:rPr>
                <w:b/>
                <w:szCs w:val="21"/>
              </w:rPr>
              <w:t>废物</w:t>
            </w:r>
          </w:p>
        </w:tc>
        <w:tc>
          <w:tcPr>
            <w:tcW w:w="514" w:type="pct"/>
            <w:vAlign w:val="center"/>
          </w:tcPr>
          <w:p>
            <w:pPr>
              <w:jc w:val="center"/>
              <w:rPr>
                <w:szCs w:val="21"/>
              </w:rPr>
            </w:pPr>
            <w:r>
              <w:rPr>
                <w:szCs w:val="21"/>
              </w:rPr>
              <w:t>职工生活</w:t>
            </w:r>
          </w:p>
        </w:tc>
        <w:tc>
          <w:tcPr>
            <w:tcW w:w="875" w:type="pct"/>
            <w:vAlign w:val="center"/>
          </w:tcPr>
          <w:p>
            <w:pPr>
              <w:jc w:val="center"/>
              <w:rPr>
                <w:szCs w:val="21"/>
              </w:rPr>
            </w:pPr>
            <w:r>
              <w:rPr>
                <w:szCs w:val="21"/>
              </w:rPr>
              <w:t>生活垃圾</w:t>
            </w:r>
          </w:p>
        </w:tc>
        <w:tc>
          <w:tcPr>
            <w:tcW w:w="1572" w:type="pct"/>
            <w:gridSpan w:val="2"/>
            <w:vAlign w:val="center"/>
          </w:tcPr>
          <w:p>
            <w:pPr>
              <w:jc w:val="center"/>
              <w:rPr>
                <w:szCs w:val="21"/>
              </w:rPr>
            </w:pPr>
            <w:r>
              <w:rPr>
                <w:rFonts w:hint="eastAsia"/>
                <w:szCs w:val="21"/>
              </w:rPr>
              <w:t>3.0t</w:t>
            </w:r>
            <w:r>
              <w:rPr>
                <w:szCs w:val="21"/>
              </w:rPr>
              <w:t>/a</w:t>
            </w:r>
          </w:p>
        </w:tc>
        <w:tc>
          <w:tcPr>
            <w:tcW w:w="1623" w:type="pct"/>
            <w:gridSpan w:val="2"/>
            <w:vAlign w:val="center"/>
          </w:tcPr>
          <w:p>
            <w:pPr>
              <w:jc w:val="center"/>
              <w:rPr>
                <w:szCs w:val="21"/>
              </w:rPr>
            </w:pPr>
            <w:r>
              <w:rPr>
                <w:rFonts w:hint="eastAsia"/>
                <w:szCs w:val="21"/>
              </w:rPr>
              <w:t>分类收集，</w:t>
            </w:r>
            <w:r>
              <w:rPr>
                <w:szCs w:val="21"/>
              </w:rPr>
              <w:t>环卫部门统一清运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6" w:type="pct"/>
            <w:vMerge w:val="continue"/>
            <w:vAlign w:val="center"/>
          </w:tcPr>
          <w:p>
            <w:pPr>
              <w:jc w:val="center"/>
              <w:rPr>
                <w:b/>
                <w:szCs w:val="21"/>
              </w:rPr>
            </w:pPr>
          </w:p>
        </w:tc>
        <w:tc>
          <w:tcPr>
            <w:tcW w:w="514" w:type="pct"/>
            <w:vMerge w:val="restart"/>
            <w:vAlign w:val="center"/>
          </w:tcPr>
          <w:p>
            <w:pPr>
              <w:jc w:val="center"/>
              <w:rPr>
                <w:szCs w:val="21"/>
              </w:rPr>
            </w:pPr>
            <w:r>
              <w:rPr>
                <w:rFonts w:hint="eastAsia"/>
                <w:szCs w:val="21"/>
              </w:rPr>
              <w:t>一般</w:t>
            </w:r>
          </w:p>
          <w:p>
            <w:pPr>
              <w:jc w:val="center"/>
              <w:rPr>
                <w:szCs w:val="21"/>
              </w:rPr>
            </w:pPr>
            <w:r>
              <w:rPr>
                <w:rFonts w:hint="eastAsia"/>
                <w:szCs w:val="21"/>
              </w:rPr>
              <w:t>固废</w:t>
            </w:r>
          </w:p>
        </w:tc>
        <w:tc>
          <w:tcPr>
            <w:tcW w:w="875" w:type="pct"/>
            <w:vAlign w:val="center"/>
          </w:tcPr>
          <w:p>
            <w:pPr>
              <w:jc w:val="center"/>
              <w:rPr>
                <w:szCs w:val="21"/>
              </w:rPr>
            </w:pPr>
            <w:r>
              <w:rPr>
                <w:rFonts w:hint="eastAsia"/>
                <w:szCs w:val="21"/>
              </w:rPr>
              <w:t>边角料</w:t>
            </w:r>
          </w:p>
        </w:tc>
        <w:tc>
          <w:tcPr>
            <w:tcW w:w="1572" w:type="pct"/>
            <w:gridSpan w:val="2"/>
            <w:vAlign w:val="center"/>
          </w:tcPr>
          <w:p>
            <w:pPr>
              <w:jc w:val="center"/>
              <w:rPr>
                <w:szCs w:val="21"/>
              </w:rPr>
            </w:pPr>
            <w:r>
              <w:rPr>
                <w:szCs w:val="21"/>
              </w:rPr>
              <w:t>28</w:t>
            </w:r>
            <w:r>
              <w:rPr>
                <w:rFonts w:hint="eastAsia"/>
                <w:szCs w:val="21"/>
              </w:rPr>
              <w:t>t/a</w:t>
            </w:r>
          </w:p>
        </w:tc>
        <w:tc>
          <w:tcPr>
            <w:tcW w:w="1623" w:type="pct"/>
            <w:gridSpan w:val="2"/>
            <w:vAlign w:val="center"/>
          </w:tcPr>
          <w:p>
            <w:pPr>
              <w:jc w:val="center"/>
              <w:rPr>
                <w:szCs w:val="21"/>
              </w:rPr>
            </w:pPr>
            <w:r>
              <w:rPr>
                <w:rFonts w:hint="eastAsia"/>
                <w:kern w:val="0"/>
                <w:szCs w:val="21"/>
              </w:rPr>
              <w:t>熔融后外售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6" w:type="pct"/>
            <w:vMerge w:val="continue"/>
            <w:vAlign w:val="center"/>
          </w:tcPr>
          <w:p>
            <w:pPr>
              <w:jc w:val="center"/>
              <w:rPr>
                <w:b/>
                <w:szCs w:val="21"/>
              </w:rPr>
            </w:pPr>
          </w:p>
        </w:tc>
        <w:tc>
          <w:tcPr>
            <w:tcW w:w="514" w:type="pct"/>
            <w:vMerge w:val="continue"/>
            <w:vAlign w:val="center"/>
          </w:tcPr>
          <w:p>
            <w:pPr>
              <w:jc w:val="center"/>
              <w:rPr>
                <w:szCs w:val="21"/>
              </w:rPr>
            </w:pPr>
          </w:p>
        </w:tc>
        <w:tc>
          <w:tcPr>
            <w:tcW w:w="875" w:type="pct"/>
            <w:vAlign w:val="center"/>
          </w:tcPr>
          <w:p>
            <w:pPr>
              <w:jc w:val="center"/>
              <w:rPr>
                <w:szCs w:val="21"/>
              </w:rPr>
            </w:pPr>
            <w:r>
              <w:rPr>
                <w:rFonts w:hint="eastAsia"/>
                <w:szCs w:val="21"/>
              </w:rPr>
              <w:t>粉尘</w:t>
            </w:r>
          </w:p>
        </w:tc>
        <w:tc>
          <w:tcPr>
            <w:tcW w:w="1572" w:type="pct"/>
            <w:gridSpan w:val="2"/>
            <w:vAlign w:val="center"/>
          </w:tcPr>
          <w:p>
            <w:pPr>
              <w:jc w:val="center"/>
              <w:rPr>
                <w:szCs w:val="21"/>
              </w:rPr>
            </w:pPr>
            <w:r>
              <w:rPr>
                <w:szCs w:val="21"/>
              </w:rPr>
              <w:t>5.668</w:t>
            </w:r>
            <w:r>
              <w:rPr>
                <w:rFonts w:hint="eastAsia"/>
                <w:szCs w:val="21"/>
              </w:rPr>
              <w:t>t/a</w:t>
            </w:r>
          </w:p>
        </w:tc>
        <w:tc>
          <w:tcPr>
            <w:tcW w:w="1623" w:type="pct"/>
            <w:gridSpan w:val="2"/>
            <w:vAlign w:val="center"/>
          </w:tcPr>
          <w:p>
            <w:pPr>
              <w:jc w:val="center"/>
              <w:rPr>
                <w:szCs w:val="21"/>
              </w:rPr>
            </w:pPr>
            <w:r>
              <w:rPr>
                <w:rFonts w:hint="eastAsia"/>
                <w:szCs w:val="21"/>
              </w:rPr>
              <w:t>收集后外售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416" w:type="pct"/>
            <w:vMerge w:val="continue"/>
            <w:vAlign w:val="center"/>
          </w:tcPr>
          <w:p>
            <w:pPr>
              <w:jc w:val="center"/>
              <w:rPr>
                <w:b/>
                <w:szCs w:val="21"/>
              </w:rPr>
            </w:pPr>
          </w:p>
        </w:tc>
        <w:tc>
          <w:tcPr>
            <w:tcW w:w="514" w:type="pct"/>
            <w:vMerge w:val="continue"/>
            <w:vAlign w:val="center"/>
          </w:tcPr>
          <w:p>
            <w:pPr>
              <w:jc w:val="center"/>
              <w:rPr>
                <w:szCs w:val="21"/>
              </w:rPr>
            </w:pPr>
          </w:p>
        </w:tc>
        <w:tc>
          <w:tcPr>
            <w:tcW w:w="875" w:type="pct"/>
            <w:vAlign w:val="center"/>
          </w:tcPr>
          <w:p>
            <w:pPr>
              <w:jc w:val="center"/>
              <w:rPr>
                <w:szCs w:val="21"/>
              </w:rPr>
            </w:pPr>
            <w:r>
              <w:rPr>
                <w:rFonts w:hint="eastAsia"/>
                <w:szCs w:val="21"/>
              </w:rPr>
              <w:t>废包材</w:t>
            </w:r>
          </w:p>
        </w:tc>
        <w:tc>
          <w:tcPr>
            <w:tcW w:w="1572" w:type="pct"/>
            <w:gridSpan w:val="2"/>
            <w:vAlign w:val="center"/>
          </w:tcPr>
          <w:p>
            <w:pPr>
              <w:jc w:val="center"/>
              <w:rPr>
                <w:szCs w:val="21"/>
              </w:rPr>
            </w:pPr>
            <w:r>
              <w:rPr>
                <w:rFonts w:hint="eastAsia"/>
                <w:szCs w:val="21"/>
              </w:rPr>
              <w:t>0.3t/a</w:t>
            </w:r>
          </w:p>
        </w:tc>
        <w:tc>
          <w:tcPr>
            <w:tcW w:w="1623" w:type="pct"/>
            <w:gridSpan w:val="2"/>
            <w:vAlign w:val="center"/>
          </w:tcPr>
          <w:p>
            <w:pPr>
              <w:jc w:val="center"/>
              <w:rPr>
                <w:szCs w:val="21"/>
              </w:rPr>
            </w:pPr>
            <w:r>
              <w:rPr>
                <w:rFonts w:hint="eastAsia"/>
                <w:szCs w:val="21"/>
              </w:rPr>
              <w:t>定点收集，环卫清运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416" w:type="pct"/>
            <w:vMerge w:val="continue"/>
            <w:vAlign w:val="center"/>
          </w:tcPr>
          <w:p>
            <w:pPr>
              <w:jc w:val="center"/>
              <w:rPr>
                <w:b/>
                <w:szCs w:val="21"/>
              </w:rPr>
            </w:pPr>
          </w:p>
        </w:tc>
        <w:tc>
          <w:tcPr>
            <w:tcW w:w="514" w:type="pct"/>
            <w:vMerge w:val="continue"/>
            <w:vAlign w:val="center"/>
          </w:tcPr>
          <w:p>
            <w:pPr>
              <w:jc w:val="center"/>
              <w:rPr>
                <w:szCs w:val="21"/>
              </w:rPr>
            </w:pPr>
          </w:p>
        </w:tc>
        <w:tc>
          <w:tcPr>
            <w:tcW w:w="875" w:type="pct"/>
            <w:vAlign w:val="center"/>
          </w:tcPr>
          <w:p>
            <w:pPr>
              <w:jc w:val="center"/>
              <w:rPr>
                <w:szCs w:val="21"/>
              </w:rPr>
            </w:pPr>
            <w:r>
              <w:rPr>
                <w:rFonts w:hint="eastAsia"/>
                <w:szCs w:val="21"/>
              </w:rPr>
              <w:t>废滤芯</w:t>
            </w:r>
          </w:p>
        </w:tc>
        <w:tc>
          <w:tcPr>
            <w:tcW w:w="1572" w:type="pct"/>
            <w:gridSpan w:val="2"/>
            <w:vAlign w:val="center"/>
          </w:tcPr>
          <w:p>
            <w:pPr>
              <w:jc w:val="center"/>
              <w:rPr>
                <w:szCs w:val="21"/>
              </w:rPr>
            </w:pPr>
            <w:r>
              <w:rPr>
                <w:rFonts w:hint="eastAsia"/>
                <w:szCs w:val="21"/>
              </w:rPr>
              <w:t>25kg/a</w:t>
            </w:r>
          </w:p>
        </w:tc>
        <w:tc>
          <w:tcPr>
            <w:tcW w:w="1623" w:type="pct"/>
            <w:gridSpan w:val="2"/>
            <w:vMerge w:val="restart"/>
            <w:vAlign w:val="center"/>
          </w:tcPr>
          <w:p>
            <w:pPr>
              <w:jc w:val="center"/>
              <w:rPr>
                <w:szCs w:val="21"/>
              </w:rPr>
            </w:pPr>
            <w:r>
              <w:rPr>
                <w:rFonts w:hint="eastAsia"/>
                <w:szCs w:val="21"/>
              </w:rPr>
              <w:t>交厂家回收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416" w:type="pct"/>
            <w:vMerge w:val="continue"/>
            <w:vAlign w:val="center"/>
          </w:tcPr>
          <w:p>
            <w:pPr>
              <w:jc w:val="center"/>
              <w:rPr>
                <w:b/>
                <w:szCs w:val="21"/>
              </w:rPr>
            </w:pPr>
          </w:p>
        </w:tc>
        <w:tc>
          <w:tcPr>
            <w:tcW w:w="514" w:type="pct"/>
            <w:vMerge w:val="continue"/>
            <w:vAlign w:val="center"/>
          </w:tcPr>
          <w:p>
            <w:pPr>
              <w:jc w:val="center"/>
              <w:rPr>
                <w:szCs w:val="21"/>
              </w:rPr>
            </w:pPr>
          </w:p>
        </w:tc>
        <w:tc>
          <w:tcPr>
            <w:tcW w:w="875" w:type="pct"/>
            <w:vAlign w:val="center"/>
          </w:tcPr>
          <w:p>
            <w:pPr>
              <w:jc w:val="center"/>
              <w:rPr>
                <w:szCs w:val="21"/>
              </w:rPr>
            </w:pPr>
            <w:r>
              <w:rPr>
                <w:rFonts w:hint="eastAsia"/>
                <w:szCs w:val="21"/>
              </w:rPr>
              <w:t>废反渗透膜</w:t>
            </w:r>
          </w:p>
        </w:tc>
        <w:tc>
          <w:tcPr>
            <w:tcW w:w="1572" w:type="pct"/>
            <w:gridSpan w:val="2"/>
            <w:vAlign w:val="center"/>
          </w:tcPr>
          <w:p>
            <w:pPr>
              <w:jc w:val="center"/>
              <w:rPr>
                <w:szCs w:val="21"/>
              </w:rPr>
            </w:pPr>
            <w:r>
              <w:rPr>
                <w:rFonts w:hint="eastAsia"/>
                <w:szCs w:val="21"/>
              </w:rPr>
              <w:t>3kg/a</w:t>
            </w:r>
          </w:p>
        </w:tc>
        <w:tc>
          <w:tcPr>
            <w:tcW w:w="1623" w:type="pct"/>
            <w:gridSpan w:val="2"/>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6" w:type="pct"/>
            <w:vMerge w:val="continue"/>
            <w:vAlign w:val="center"/>
          </w:tcPr>
          <w:p>
            <w:pPr>
              <w:jc w:val="center"/>
              <w:rPr>
                <w:b/>
                <w:szCs w:val="21"/>
              </w:rPr>
            </w:pPr>
          </w:p>
        </w:tc>
        <w:tc>
          <w:tcPr>
            <w:tcW w:w="514" w:type="pct"/>
            <w:vMerge w:val="restart"/>
            <w:vAlign w:val="center"/>
          </w:tcPr>
          <w:p>
            <w:pPr>
              <w:jc w:val="center"/>
              <w:rPr>
                <w:szCs w:val="21"/>
              </w:rPr>
            </w:pPr>
            <w:r>
              <w:rPr>
                <w:rFonts w:hint="eastAsia"/>
                <w:szCs w:val="21"/>
              </w:rPr>
              <w:t>危废</w:t>
            </w:r>
          </w:p>
        </w:tc>
        <w:tc>
          <w:tcPr>
            <w:tcW w:w="875" w:type="pct"/>
            <w:vAlign w:val="center"/>
          </w:tcPr>
          <w:p>
            <w:pPr>
              <w:jc w:val="center"/>
              <w:rPr>
                <w:szCs w:val="21"/>
              </w:rPr>
            </w:pPr>
            <w:r>
              <w:rPr>
                <w:rFonts w:hint="eastAsia"/>
                <w:szCs w:val="21"/>
              </w:rPr>
              <w:t>废活性炭</w:t>
            </w:r>
          </w:p>
        </w:tc>
        <w:tc>
          <w:tcPr>
            <w:tcW w:w="1572" w:type="pct"/>
            <w:gridSpan w:val="2"/>
            <w:vAlign w:val="center"/>
          </w:tcPr>
          <w:p>
            <w:pPr>
              <w:jc w:val="center"/>
              <w:rPr>
                <w:szCs w:val="21"/>
              </w:rPr>
            </w:pPr>
            <w:r>
              <w:rPr>
                <w:szCs w:val="21"/>
              </w:rPr>
              <w:t>18.8</w:t>
            </w:r>
            <w:r>
              <w:rPr>
                <w:rFonts w:hint="eastAsia"/>
                <w:szCs w:val="21"/>
              </w:rPr>
              <w:t>t/a</w:t>
            </w:r>
          </w:p>
        </w:tc>
        <w:tc>
          <w:tcPr>
            <w:tcW w:w="1623" w:type="pct"/>
            <w:gridSpan w:val="2"/>
            <w:vMerge w:val="restart"/>
            <w:vAlign w:val="center"/>
          </w:tcPr>
          <w:p>
            <w:pPr>
              <w:jc w:val="center"/>
              <w:rPr>
                <w:szCs w:val="21"/>
              </w:rPr>
            </w:pPr>
            <w:r>
              <w:rPr>
                <w:szCs w:val="21"/>
              </w:rPr>
              <w:t>危废暂存间暂存后，交有资质单位处理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6" w:type="pct"/>
            <w:vMerge w:val="continue"/>
            <w:vAlign w:val="center"/>
          </w:tcPr>
          <w:p>
            <w:pPr>
              <w:jc w:val="center"/>
              <w:rPr>
                <w:b/>
                <w:szCs w:val="21"/>
              </w:rPr>
            </w:pPr>
          </w:p>
        </w:tc>
        <w:tc>
          <w:tcPr>
            <w:tcW w:w="514" w:type="pct"/>
            <w:vMerge w:val="continue"/>
            <w:vAlign w:val="center"/>
          </w:tcPr>
          <w:p>
            <w:pPr>
              <w:jc w:val="center"/>
              <w:rPr>
                <w:szCs w:val="21"/>
              </w:rPr>
            </w:pPr>
          </w:p>
        </w:tc>
        <w:tc>
          <w:tcPr>
            <w:tcW w:w="875" w:type="pct"/>
            <w:vAlign w:val="center"/>
          </w:tcPr>
          <w:p>
            <w:pPr>
              <w:jc w:val="center"/>
              <w:rPr>
                <w:szCs w:val="21"/>
              </w:rPr>
            </w:pPr>
            <w:r>
              <w:rPr>
                <w:rFonts w:hint="eastAsia"/>
                <w:szCs w:val="21"/>
              </w:rPr>
              <w:t>废机油</w:t>
            </w:r>
          </w:p>
        </w:tc>
        <w:tc>
          <w:tcPr>
            <w:tcW w:w="1572" w:type="pct"/>
            <w:gridSpan w:val="2"/>
            <w:vAlign w:val="center"/>
          </w:tcPr>
          <w:p>
            <w:pPr>
              <w:jc w:val="center"/>
              <w:rPr>
                <w:szCs w:val="21"/>
              </w:rPr>
            </w:pPr>
            <w:r>
              <w:rPr>
                <w:rFonts w:hint="eastAsia"/>
                <w:szCs w:val="21"/>
              </w:rPr>
              <w:t>0.05</w:t>
            </w:r>
            <w:r>
              <w:rPr>
                <w:szCs w:val="21"/>
              </w:rPr>
              <w:t>t/a</w:t>
            </w:r>
          </w:p>
        </w:tc>
        <w:tc>
          <w:tcPr>
            <w:tcW w:w="1623" w:type="pct"/>
            <w:gridSpan w:val="2"/>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416" w:type="pct"/>
            <w:vMerge w:val="continue"/>
            <w:vAlign w:val="center"/>
          </w:tcPr>
          <w:p>
            <w:pPr>
              <w:jc w:val="center"/>
              <w:rPr>
                <w:b/>
                <w:szCs w:val="21"/>
              </w:rPr>
            </w:pPr>
          </w:p>
        </w:tc>
        <w:tc>
          <w:tcPr>
            <w:tcW w:w="514" w:type="pct"/>
            <w:vMerge w:val="continue"/>
            <w:vAlign w:val="center"/>
          </w:tcPr>
          <w:p>
            <w:pPr>
              <w:jc w:val="center"/>
              <w:rPr>
                <w:szCs w:val="21"/>
              </w:rPr>
            </w:pPr>
          </w:p>
        </w:tc>
        <w:tc>
          <w:tcPr>
            <w:tcW w:w="875" w:type="pct"/>
            <w:vAlign w:val="center"/>
          </w:tcPr>
          <w:p>
            <w:pPr>
              <w:jc w:val="center"/>
              <w:rPr>
                <w:szCs w:val="21"/>
              </w:rPr>
            </w:pPr>
            <w:r>
              <w:rPr>
                <w:szCs w:val="21"/>
              </w:rPr>
              <w:t>废</w:t>
            </w:r>
            <w:r>
              <w:rPr>
                <w:rFonts w:hint="eastAsia"/>
                <w:szCs w:val="21"/>
              </w:rPr>
              <w:t>油抹布</w:t>
            </w:r>
          </w:p>
        </w:tc>
        <w:tc>
          <w:tcPr>
            <w:tcW w:w="1572" w:type="pct"/>
            <w:gridSpan w:val="2"/>
            <w:vAlign w:val="center"/>
          </w:tcPr>
          <w:p>
            <w:pPr>
              <w:jc w:val="center"/>
              <w:rPr>
                <w:szCs w:val="21"/>
              </w:rPr>
            </w:pPr>
            <w:r>
              <w:rPr>
                <w:szCs w:val="21"/>
              </w:rPr>
              <w:t>0.035t/a</w:t>
            </w:r>
          </w:p>
        </w:tc>
        <w:tc>
          <w:tcPr>
            <w:tcW w:w="1623" w:type="pct"/>
            <w:gridSpan w:val="2"/>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416" w:type="pct"/>
            <w:vAlign w:val="center"/>
          </w:tcPr>
          <w:p>
            <w:pPr>
              <w:jc w:val="center"/>
              <w:rPr>
                <w:b/>
                <w:szCs w:val="21"/>
              </w:rPr>
            </w:pPr>
            <w:r>
              <w:rPr>
                <w:b/>
                <w:szCs w:val="21"/>
              </w:rPr>
              <w:t>噪声</w:t>
            </w:r>
          </w:p>
        </w:tc>
        <w:tc>
          <w:tcPr>
            <w:tcW w:w="4584" w:type="pct"/>
            <w:gridSpan w:val="6"/>
            <w:vAlign w:val="center"/>
          </w:tcPr>
          <w:p>
            <w:pPr>
              <w:rPr>
                <w:szCs w:val="21"/>
              </w:rPr>
            </w:pPr>
            <w:r>
              <w:rPr>
                <w:szCs w:val="21"/>
              </w:rPr>
              <w:t>通过选用低噪声设备、各设备厂房内放置，加装减震基垫等措施后可达标排放。</w:t>
            </w:r>
            <w:r>
              <w:rPr>
                <w:rFonts w:hint="eastAsia"/>
                <w:spacing w:val="-2"/>
                <w:szCs w:val="21"/>
              </w:rPr>
              <w:t>高噪风机必要时采取消声或风机房隔声。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5000" w:type="pct"/>
            <w:gridSpan w:val="7"/>
          </w:tcPr>
          <w:p>
            <w:pPr>
              <w:spacing w:before="156" w:beforeLines="50" w:after="156" w:afterLines="50"/>
              <w:rPr>
                <w:b/>
                <w:szCs w:val="21"/>
              </w:rPr>
            </w:pPr>
            <w:r>
              <w:rPr>
                <w:b/>
                <w:szCs w:val="21"/>
              </w:rPr>
              <w:t>主要生态影响（不够时可附另页）：</w:t>
            </w:r>
          </w:p>
          <w:p>
            <w:pPr>
              <w:adjustRightInd w:val="0"/>
              <w:snapToGrid w:val="0"/>
              <w:spacing w:line="360" w:lineRule="auto"/>
              <w:rPr>
                <w:b/>
                <w:bCs/>
                <w:szCs w:val="21"/>
              </w:rPr>
            </w:pPr>
            <w:r>
              <w:rPr>
                <w:szCs w:val="21"/>
              </w:rPr>
              <w:t>项目区域内没有国家保护动植物，项目建设通过加强植树种草，绿化厂区周围环境等措施，该项目的建设不会对周围生态环境产生明显的破坏和影响。</w:t>
            </w:r>
          </w:p>
        </w:tc>
      </w:tr>
    </w:tbl>
    <w:p>
      <w:pPr>
        <w:sectPr>
          <w:pgSz w:w="11906" w:h="16838"/>
          <w:pgMar w:top="1440" w:right="1800" w:bottom="1440" w:left="1800" w:header="851" w:footer="992" w:gutter="0"/>
          <w:cols w:space="425" w:num="1"/>
          <w:docGrid w:type="lines" w:linePitch="312" w:charSpace="0"/>
        </w:sectPr>
      </w:pPr>
    </w:p>
    <w:p>
      <w:pPr>
        <w:pStyle w:val="2"/>
        <w:rPr>
          <w:color w:val="000000" w:themeColor="text1"/>
          <w14:textFill>
            <w14:solidFill>
              <w14:schemeClr w14:val="tx1"/>
            </w14:solidFill>
          </w14:textFill>
        </w:rPr>
      </w:pPr>
      <w:r>
        <w:rPr>
          <w:color w:val="000000" w:themeColor="text1"/>
          <w14:textFill>
            <w14:solidFill>
              <w14:schemeClr w14:val="tx1"/>
            </w14:solidFill>
          </w14:textFill>
        </w:rPr>
        <w:t>环境影响分析</w:t>
      </w:r>
    </w:p>
    <w:tbl>
      <w:tblPr>
        <w:tblStyle w:val="5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widowControl/>
              <w:adjustRightInd w:val="0"/>
              <w:snapToGrid w:val="0"/>
              <w:spacing w:line="360" w:lineRule="auto"/>
              <w:rPr>
                <w:b/>
                <w:kern w:val="0"/>
                <w:sz w:val="30"/>
                <w:szCs w:val="30"/>
              </w:rPr>
            </w:pPr>
            <w:r>
              <w:rPr>
                <w:b/>
                <w:kern w:val="0"/>
                <w:sz w:val="30"/>
                <w:szCs w:val="30"/>
              </w:rPr>
              <w:t>一、施工期环境影响分析</w:t>
            </w:r>
          </w:p>
          <w:p>
            <w:pPr>
              <w:widowControl/>
              <w:adjustRightInd w:val="0"/>
              <w:snapToGrid w:val="0"/>
              <w:spacing w:line="360" w:lineRule="auto"/>
              <w:ind w:firstLine="480" w:firstLineChars="200"/>
              <w:rPr>
                <w:kern w:val="0"/>
                <w:sz w:val="24"/>
              </w:rPr>
            </w:pPr>
            <w:r>
              <w:rPr>
                <w:rFonts w:hint="eastAsia"/>
                <w:kern w:val="0"/>
                <w:sz w:val="24"/>
              </w:rPr>
              <w:t>陕西广兴华创材料科技有限公司成立于2020年7月16日。企业租赁咸阳伟杰商贸有限公司已建成的闲置厂房进行本项目建设，经现场踏勘，厂房已由咸阳伟杰商贸有限公司建设完成，施工期仅包括设备的安装调试，施工量较小，不对施工期影响进行分析。</w:t>
            </w:r>
          </w:p>
          <w:p>
            <w:pPr>
              <w:widowControl/>
              <w:adjustRightInd w:val="0"/>
              <w:snapToGrid w:val="0"/>
              <w:spacing w:line="360" w:lineRule="auto"/>
              <w:jc w:val="left"/>
              <w:rPr>
                <w:b/>
                <w:kern w:val="0"/>
                <w:sz w:val="28"/>
                <w:szCs w:val="28"/>
              </w:rPr>
            </w:pPr>
            <w:r>
              <w:rPr>
                <w:b/>
                <w:kern w:val="0"/>
                <w:sz w:val="28"/>
                <w:szCs w:val="28"/>
              </w:rPr>
              <w:t>二、营运期环境影响分析</w:t>
            </w:r>
          </w:p>
          <w:p>
            <w:pPr>
              <w:widowControl/>
              <w:adjustRightInd w:val="0"/>
              <w:snapToGrid w:val="0"/>
              <w:spacing w:line="360" w:lineRule="auto"/>
              <w:ind w:firstLine="482" w:firstLineChars="200"/>
              <w:rPr>
                <w:b/>
                <w:kern w:val="0"/>
                <w:sz w:val="24"/>
              </w:rPr>
            </w:pPr>
            <w:r>
              <w:rPr>
                <w:b/>
                <w:kern w:val="0"/>
                <w:sz w:val="24"/>
              </w:rPr>
              <w:t>1、大气环境影响分析</w:t>
            </w:r>
          </w:p>
          <w:p>
            <w:pPr>
              <w:adjustRightInd w:val="0"/>
              <w:snapToGrid w:val="0"/>
              <w:spacing w:line="360" w:lineRule="auto"/>
              <w:ind w:firstLine="480" w:firstLineChars="200"/>
              <w:rPr>
                <w:kern w:val="0"/>
                <w:sz w:val="24"/>
              </w:rPr>
            </w:pPr>
            <w:r>
              <w:rPr>
                <w:rFonts w:hint="eastAsia"/>
                <w:kern w:val="0"/>
                <w:sz w:val="24"/>
              </w:rPr>
              <w:t>项目建成后，废气污染源主要包括有机废气、粉尘和锅炉废气。</w:t>
            </w:r>
          </w:p>
          <w:p>
            <w:pPr>
              <w:adjustRightInd w:val="0"/>
              <w:snapToGrid w:val="0"/>
              <w:spacing w:line="360" w:lineRule="auto"/>
              <w:ind w:firstLine="480" w:firstLineChars="200"/>
              <w:rPr>
                <w:kern w:val="0"/>
                <w:sz w:val="24"/>
              </w:rPr>
            </w:pPr>
            <w:r>
              <w:rPr>
                <w:rFonts w:hint="eastAsia"/>
                <w:kern w:val="0"/>
                <w:sz w:val="24"/>
              </w:rPr>
              <w:t>（1）环境空气影响评价</w:t>
            </w:r>
          </w:p>
          <w:p>
            <w:pPr>
              <w:adjustRightInd w:val="0"/>
              <w:snapToGrid w:val="0"/>
              <w:spacing w:line="360" w:lineRule="auto"/>
              <w:ind w:firstLine="480" w:firstLineChars="200"/>
              <w:rPr>
                <w:kern w:val="0"/>
                <w:sz w:val="24"/>
              </w:rPr>
            </w:pPr>
            <w:r>
              <w:rPr>
                <w:rFonts w:hint="eastAsia"/>
                <w:kern w:val="0"/>
                <w:sz w:val="24"/>
              </w:rPr>
              <w:t>①有机废气</w:t>
            </w:r>
          </w:p>
          <w:p>
            <w:pPr>
              <w:adjustRightInd w:val="0"/>
              <w:snapToGrid w:val="0"/>
              <w:spacing w:line="360" w:lineRule="auto"/>
              <w:ind w:firstLine="480" w:firstLineChars="200"/>
              <w:rPr>
                <w:kern w:val="0"/>
                <w:sz w:val="24"/>
              </w:rPr>
            </w:pPr>
            <w:r>
              <w:rPr>
                <w:rFonts w:hint="eastAsia"/>
                <w:kern w:val="0"/>
                <w:sz w:val="24"/>
              </w:rPr>
              <w:t>项目有机废气包括</w:t>
            </w:r>
            <w:r>
              <w:rPr>
                <w:color w:val="000000" w:themeColor="text1"/>
                <w:kern w:val="0"/>
                <w:sz w:val="24"/>
                <w:szCs w:val="20"/>
                <w14:textFill>
                  <w14:solidFill>
                    <w14:schemeClr w14:val="tx1"/>
                  </w14:solidFill>
                </w14:textFill>
              </w:rPr>
              <w:t>EPS板生产线发泡、挤出成型和切割过程，XPS板生产线发泡挤出过程，EPS板和XPS板生产线边角料的熔融过程</w:t>
            </w:r>
            <w:r>
              <w:rPr>
                <w:rFonts w:hint="eastAsia"/>
                <w:color w:val="000000" w:themeColor="text1"/>
                <w:kern w:val="0"/>
                <w:sz w:val="24"/>
                <w:szCs w:val="20"/>
                <w14:textFill>
                  <w14:solidFill>
                    <w14:schemeClr w14:val="tx1"/>
                  </w14:solidFill>
                </w14:textFill>
              </w:rPr>
              <w:t>产生的有机废气。有机废气均由集气装置收集（收集效率按</w:t>
            </w:r>
            <w:r>
              <w:rPr>
                <w:color w:val="000000" w:themeColor="text1"/>
                <w:kern w:val="0"/>
                <w:sz w:val="24"/>
                <w:szCs w:val="20"/>
                <w14:textFill>
                  <w14:solidFill>
                    <w14:schemeClr w14:val="tx1"/>
                  </w14:solidFill>
                </w14:textFill>
              </w:rPr>
              <w:t>95</w:t>
            </w:r>
            <w:r>
              <w:rPr>
                <w:rFonts w:hint="eastAsia"/>
                <w:color w:val="000000" w:themeColor="text1"/>
                <w:kern w:val="0"/>
                <w:sz w:val="24"/>
                <w:szCs w:val="20"/>
                <w14:textFill>
                  <w14:solidFill>
                    <w14:schemeClr w14:val="tx1"/>
                  </w14:solidFill>
                </w14:textFill>
              </w:rPr>
              <w:t>%计，风机风量按</w:t>
            </w:r>
            <w:r>
              <w:rPr>
                <w:color w:val="000000" w:themeColor="text1"/>
                <w:kern w:val="0"/>
                <w:sz w:val="24"/>
                <w:szCs w:val="20"/>
                <w14:textFill>
                  <w14:solidFill>
                    <w14:schemeClr w14:val="tx1"/>
                  </w14:solidFill>
                </w14:textFill>
              </w:rPr>
              <w:t>10000m</w:t>
            </w:r>
            <w:r>
              <w:rPr>
                <w:color w:val="000000" w:themeColor="text1"/>
                <w:kern w:val="0"/>
                <w:sz w:val="24"/>
                <w:szCs w:val="20"/>
                <w:vertAlign w:val="superscript"/>
                <w14:textFill>
                  <w14:solidFill>
                    <w14:schemeClr w14:val="tx1"/>
                  </w14:solidFill>
                </w14:textFill>
              </w:rPr>
              <w:t>3</w:t>
            </w:r>
            <w:r>
              <w:rPr>
                <w:color w:val="000000" w:themeColor="text1"/>
                <w:kern w:val="0"/>
                <w:sz w:val="24"/>
                <w:szCs w:val="20"/>
                <w14:textFill>
                  <w14:solidFill>
                    <w14:schemeClr w14:val="tx1"/>
                  </w14:solidFill>
                </w14:textFill>
              </w:rPr>
              <w:t>/h</w:t>
            </w:r>
            <w:r>
              <w:rPr>
                <w:rFonts w:hint="eastAsia"/>
                <w:color w:val="000000" w:themeColor="text1"/>
                <w:kern w:val="0"/>
                <w:sz w:val="24"/>
                <w:szCs w:val="20"/>
                <w14:textFill>
                  <w14:solidFill>
                    <w14:schemeClr w14:val="tx1"/>
                  </w14:solidFill>
                </w14:textFill>
              </w:rPr>
              <w:t>），经二级活性炭箱（处理效率为9</w:t>
            </w:r>
            <w:r>
              <w:rPr>
                <w:color w:val="000000" w:themeColor="text1"/>
                <w:kern w:val="0"/>
                <w:sz w:val="24"/>
                <w:szCs w:val="20"/>
                <w14:textFill>
                  <w14:solidFill>
                    <w14:schemeClr w14:val="tx1"/>
                  </w14:solidFill>
                </w14:textFill>
              </w:rPr>
              <w:t>0</w:t>
            </w:r>
            <w:r>
              <w:rPr>
                <w:rFonts w:hint="eastAsia"/>
                <w:color w:val="000000" w:themeColor="text1"/>
                <w:kern w:val="0"/>
                <w:sz w:val="24"/>
                <w:szCs w:val="20"/>
                <w14:textFill>
                  <w14:solidFill>
                    <w14:schemeClr w14:val="tx1"/>
                  </w14:solidFill>
                </w14:textFill>
              </w:rPr>
              <w:t>%）处理后，经1根1</w:t>
            </w:r>
            <w:r>
              <w:rPr>
                <w:color w:val="000000" w:themeColor="text1"/>
                <w:kern w:val="0"/>
                <w:sz w:val="24"/>
                <w:szCs w:val="20"/>
                <w14:textFill>
                  <w14:solidFill>
                    <w14:schemeClr w14:val="tx1"/>
                  </w14:solidFill>
                </w14:textFill>
              </w:rPr>
              <w:t>5m</w:t>
            </w:r>
            <w:r>
              <w:rPr>
                <w:rFonts w:hint="eastAsia"/>
                <w:color w:val="000000" w:themeColor="text1"/>
                <w:kern w:val="0"/>
                <w:sz w:val="24"/>
                <w:szCs w:val="20"/>
                <w14:textFill>
                  <w14:solidFill>
                    <w14:schemeClr w14:val="tx1"/>
                  </w14:solidFill>
                </w14:textFill>
              </w:rPr>
              <w:t>高的排气筒P</w:t>
            </w:r>
            <w:r>
              <w:rPr>
                <w:color w:val="000000" w:themeColor="text1"/>
                <w:kern w:val="0"/>
                <w:sz w:val="24"/>
                <w:szCs w:val="20"/>
                <w14:textFill>
                  <w14:solidFill>
                    <w14:schemeClr w14:val="tx1"/>
                  </w14:solidFill>
                </w14:textFill>
              </w:rPr>
              <w:t>1</w:t>
            </w:r>
            <w:r>
              <w:rPr>
                <w:rFonts w:hint="eastAsia"/>
                <w:color w:val="000000" w:themeColor="text1"/>
                <w:kern w:val="0"/>
                <w:sz w:val="24"/>
                <w:szCs w:val="20"/>
                <w14:textFill>
                  <w14:solidFill>
                    <w14:schemeClr w14:val="tx1"/>
                  </w14:solidFill>
                </w14:textFill>
              </w:rPr>
              <w:t>排放。本项目</w:t>
            </w:r>
            <w:r>
              <w:rPr>
                <w:color w:val="000000" w:themeColor="text1"/>
                <w:kern w:val="0"/>
                <w:sz w:val="24"/>
                <w:szCs w:val="20"/>
                <w14:textFill>
                  <w14:solidFill>
                    <w14:schemeClr w14:val="tx1"/>
                  </w14:solidFill>
                </w14:textFill>
              </w:rPr>
              <w:t>苯乙烯</w:t>
            </w:r>
            <w:r>
              <w:rPr>
                <w:rFonts w:hint="eastAsia"/>
                <w:color w:val="000000" w:themeColor="text1"/>
                <w:kern w:val="0"/>
                <w:sz w:val="24"/>
                <w:szCs w:val="20"/>
                <w14:textFill>
                  <w14:solidFill>
                    <w14:schemeClr w14:val="tx1"/>
                  </w14:solidFill>
                </w14:textFill>
              </w:rPr>
              <w:t>有组织排放</w:t>
            </w:r>
            <w:r>
              <w:rPr>
                <w:color w:val="000000" w:themeColor="text1"/>
                <w:kern w:val="0"/>
                <w:sz w:val="24"/>
                <w:szCs w:val="20"/>
                <w14:textFill>
                  <w14:solidFill>
                    <w14:schemeClr w14:val="tx1"/>
                  </w14:solidFill>
                </w14:textFill>
              </w:rPr>
              <w:t>量为0.032t/a，</w:t>
            </w:r>
            <w:r>
              <w:rPr>
                <w:rFonts w:hint="eastAsia"/>
                <w:color w:val="000000" w:themeColor="text1"/>
                <w:kern w:val="0"/>
                <w:sz w:val="24"/>
                <w:szCs w:val="20"/>
                <w14:textFill>
                  <w14:solidFill>
                    <w14:schemeClr w14:val="tx1"/>
                  </w14:solidFill>
                </w14:textFill>
              </w:rPr>
              <w:t>排放浓度0</w:t>
            </w:r>
            <w:r>
              <w:rPr>
                <w:color w:val="000000" w:themeColor="text1"/>
                <w:kern w:val="0"/>
                <w:sz w:val="24"/>
                <w:szCs w:val="20"/>
                <w14:textFill>
                  <w14:solidFill>
                    <w14:schemeClr w14:val="tx1"/>
                  </w14:solidFill>
                </w14:textFill>
              </w:rPr>
              <w:t>.450</w:t>
            </w:r>
            <w:r>
              <w:rPr>
                <w:kern w:val="0"/>
                <w:sz w:val="20"/>
                <w:szCs w:val="21"/>
              </w:rPr>
              <w:t xml:space="preserve"> </w:t>
            </w:r>
            <w:r>
              <w:rPr>
                <w:kern w:val="0"/>
                <w:sz w:val="24"/>
              </w:rPr>
              <w:t>mg/m</w:t>
            </w:r>
            <w:r>
              <w:rPr>
                <w:kern w:val="0"/>
                <w:sz w:val="24"/>
                <w:vertAlign w:val="superscript"/>
              </w:rPr>
              <w:t>3</w:t>
            </w:r>
            <w:r>
              <w:rPr>
                <w:rFonts w:hint="eastAsia"/>
                <w:kern w:val="0"/>
                <w:sz w:val="24"/>
              </w:rPr>
              <w:t>；</w:t>
            </w:r>
            <w:r>
              <w:rPr>
                <w:color w:val="000000" w:themeColor="text1"/>
                <w:kern w:val="0"/>
                <w:sz w:val="24"/>
                <w:szCs w:val="20"/>
                <w14:textFill>
                  <w14:solidFill>
                    <w14:schemeClr w14:val="tx1"/>
                  </w14:solidFill>
                </w14:textFill>
              </w:rPr>
              <w:t>非甲烷总烃</w:t>
            </w:r>
            <w:r>
              <w:rPr>
                <w:rFonts w:hint="eastAsia"/>
                <w:color w:val="000000" w:themeColor="text1"/>
                <w:kern w:val="0"/>
                <w:sz w:val="24"/>
                <w:szCs w:val="20"/>
                <w14:textFill>
                  <w14:solidFill>
                    <w14:schemeClr w14:val="tx1"/>
                  </w14:solidFill>
                </w14:textFill>
              </w:rPr>
              <w:t>有组织排放</w:t>
            </w:r>
            <w:r>
              <w:rPr>
                <w:color w:val="000000" w:themeColor="text1"/>
                <w:kern w:val="0"/>
                <w:sz w:val="24"/>
                <w:szCs w:val="20"/>
                <w14:textFill>
                  <w14:solidFill>
                    <w14:schemeClr w14:val="tx1"/>
                  </w14:solidFill>
                </w14:textFill>
              </w:rPr>
              <w:t>量为0.373t/a</w:t>
            </w:r>
            <w:r>
              <w:rPr>
                <w:rFonts w:hint="eastAsia"/>
                <w:color w:val="000000" w:themeColor="text1"/>
                <w:kern w:val="0"/>
                <w:sz w:val="24"/>
                <w:szCs w:val="20"/>
                <w14:textFill>
                  <w14:solidFill>
                    <w14:schemeClr w14:val="tx1"/>
                  </w14:solidFill>
                </w14:textFill>
              </w:rPr>
              <w:t>，排放浓度</w:t>
            </w:r>
            <w:r>
              <w:rPr>
                <w:color w:val="000000" w:themeColor="text1"/>
                <w:kern w:val="0"/>
                <w:sz w:val="24"/>
                <w:szCs w:val="20"/>
                <w14:textFill>
                  <w14:solidFill>
                    <w14:schemeClr w14:val="tx1"/>
                  </w14:solidFill>
                </w14:textFill>
              </w:rPr>
              <w:t>5.176</w:t>
            </w:r>
            <w:r>
              <w:rPr>
                <w:kern w:val="0"/>
                <w:sz w:val="24"/>
              </w:rPr>
              <w:t>mg/m</w:t>
            </w:r>
            <w:r>
              <w:rPr>
                <w:kern w:val="0"/>
                <w:sz w:val="24"/>
                <w:vertAlign w:val="superscript"/>
              </w:rPr>
              <w:t>3</w:t>
            </w:r>
            <w:r>
              <w:rPr>
                <w:rFonts w:hint="eastAsia"/>
                <w:kern w:val="0"/>
                <w:sz w:val="24"/>
              </w:rPr>
              <w:t>，有组织排放浓度满足《合成树脂工业污染物排放标准》（GB31572-2015）表5中相关标准限值（苯乙烯≤2</w:t>
            </w:r>
            <w:r>
              <w:rPr>
                <w:kern w:val="0"/>
                <w:sz w:val="24"/>
              </w:rPr>
              <w:t>0mg/m</w:t>
            </w:r>
            <w:r>
              <w:rPr>
                <w:kern w:val="0"/>
                <w:sz w:val="24"/>
                <w:vertAlign w:val="superscript"/>
              </w:rPr>
              <w:t>3</w:t>
            </w:r>
            <w:r>
              <w:rPr>
                <w:rFonts w:hint="eastAsia"/>
                <w:kern w:val="0"/>
                <w:sz w:val="24"/>
              </w:rPr>
              <w:t>，非甲烷总烃≤60</w:t>
            </w:r>
            <w:r>
              <w:rPr>
                <w:kern w:val="0"/>
                <w:sz w:val="24"/>
              </w:rPr>
              <w:t>mg/m</w:t>
            </w:r>
            <w:r>
              <w:rPr>
                <w:kern w:val="0"/>
                <w:sz w:val="24"/>
                <w:vertAlign w:val="superscript"/>
              </w:rPr>
              <w:t>3</w:t>
            </w:r>
            <w:r>
              <w:rPr>
                <w:rFonts w:hint="eastAsia"/>
                <w:kern w:val="0"/>
                <w:sz w:val="24"/>
              </w:rPr>
              <w:t>）。</w:t>
            </w:r>
          </w:p>
          <w:p>
            <w:pPr>
              <w:adjustRightInd w:val="0"/>
              <w:snapToGrid w:val="0"/>
              <w:spacing w:line="360" w:lineRule="auto"/>
              <w:ind w:firstLine="480" w:firstLineChars="200"/>
              <w:rPr>
                <w:kern w:val="0"/>
                <w:sz w:val="24"/>
              </w:rPr>
            </w:pPr>
            <w:r>
              <w:rPr>
                <w:rFonts w:hint="eastAsia"/>
                <w:kern w:val="0"/>
                <w:sz w:val="24"/>
              </w:rPr>
              <w:t>②粉尘</w:t>
            </w:r>
          </w:p>
          <w:p>
            <w:pPr>
              <w:spacing w:line="360" w:lineRule="auto"/>
              <w:ind w:firstLine="480" w:firstLineChars="200"/>
              <w:rPr>
                <w:kern w:val="0"/>
                <w:sz w:val="24"/>
              </w:rPr>
            </w:pPr>
            <w:r>
              <w:rPr>
                <w:rFonts w:hint="eastAsia"/>
                <w:color w:val="000000" w:themeColor="text1"/>
                <w:kern w:val="0"/>
                <w:sz w:val="24"/>
                <w:szCs w:val="20"/>
                <w14:textFill>
                  <w14:solidFill>
                    <w14:schemeClr w14:val="tx1"/>
                  </w14:solidFill>
                </w14:textFill>
              </w:rPr>
              <w:t>本项目粉尘包括</w:t>
            </w:r>
            <w:r>
              <w:rPr>
                <w:color w:val="000000" w:themeColor="text1"/>
                <w:kern w:val="0"/>
                <w:sz w:val="24"/>
                <w:szCs w:val="20"/>
                <w14:textFill>
                  <w14:solidFill>
                    <w14:schemeClr w14:val="tx1"/>
                  </w14:solidFill>
                </w14:textFill>
              </w:rPr>
              <w:t>XPS板生产线</w:t>
            </w:r>
            <w:r>
              <w:rPr>
                <w:rFonts w:hint="eastAsia"/>
                <w:color w:val="000000" w:themeColor="text1"/>
                <w:kern w:val="0"/>
                <w:sz w:val="24"/>
                <w:szCs w:val="20"/>
                <w14:textFill>
                  <w14:solidFill>
                    <w14:schemeClr w14:val="tx1"/>
                  </w14:solidFill>
                </w14:textFill>
              </w:rPr>
              <w:t>修整、开凿、切割工序，</w:t>
            </w:r>
            <w:r>
              <w:rPr>
                <w:color w:val="000000" w:themeColor="text1"/>
                <w:kern w:val="0"/>
                <w:sz w:val="24"/>
                <w:szCs w:val="20"/>
                <w14:textFill>
                  <w14:solidFill>
                    <w14:schemeClr w14:val="tx1"/>
                  </w14:solidFill>
                </w14:textFill>
              </w:rPr>
              <w:t>EPS板</w:t>
            </w:r>
            <w:r>
              <w:rPr>
                <w:rFonts w:hint="eastAsia"/>
                <w:color w:val="000000" w:themeColor="text1"/>
                <w:kern w:val="0"/>
                <w:sz w:val="24"/>
                <w:szCs w:val="20"/>
                <w14:textFill>
                  <w14:solidFill>
                    <w14:schemeClr w14:val="tx1"/>
                  </w14:solidFill>
                </w14:textFill>
              </w:rPr>
              <w:t>和</w:t>
            </w:r>
            <w:r>
              <w:rPr>
                <w:color w:val="000000" w:themeColor="text1"/>
                <w:kern w:val="0"/>
                <w:sz w:val="24"/>
                <w:szCs w:val="20"/>
                <w14:textFill>
                  <w14:solidFill>
                    <w14:schemeClr w14:val="tx1"/>
                  </w14:solidFill>
                </w14:textFill>
              </w:rPr>
              <w:t>XPS板生产线</w:t>
            </w:r>
            <w:r>
              <w:rPr>
                <w:rFonts w:hint="eastAsia"/>
                <w:color w:val="000000" w:themeColor="text1"/>
                <w:kern w:val="0"/>
                <w:sz w:val="24"/>
                <w:szCs w:val="20"/>
                <w14:textFill>
                  <w14:solidFill>
                    <w14:schemeClr w14:val="tx1"/>
                  </w14:solidFill>
                </w14:textFill>
              </w:rPr>
              <w:t>边角料破碎时产生的粉尘，均由集气装置收集（收集效率按</w:t>
            </w:r>
            <w:r>
              <w:rPr>
                <w:color w:val="000000" w:themeColor="text1"/>
                <w:kern w:val="0"/>
                <w:sz w:val="24"/>
                <w:szCs w:val="20"/>
                <w14:textFill>
                  <w14:solidFill>
                    <w14:schemeClr w14:val="tx1"/>
                  </w14:solidFill>
                </w14:textFill>
              </w:rPr>
              <w:t>95</w:t>
            </w:r>
            <w:r>
              <w:rPr>
                <w:rFonts w:hint="eastAsia"/>
                <w:color w:val="000000" w:themeColor="text1"/>
                <w:kern w:val="0"/>
                <w:sz w:val="24"/>
                <w:szCs w:val="20"/>
                <w14:textFill>
                  <w14:solidFill>
                    <w14:schemeClr w14:val="tx1"/>
                  </w14:solidFill>
                </w14:textFill>
              </w:rPr>
              <w:t>%计，风机风量按</w:t>
            </w:r>
            <w:r>
              <w:rPr>
                <w:color w:val="000000" w:themeColor="text1"/>
                <w:kern w:val="0"/>
                <w:sz w:val="24"/>
                <w:szCs w:val="20"/>
                <w14:textFill>
                  <w14:solidFill>
                    <w14:schemeClr w14:val="tx1"/>
                  </w14:solidFill>
                </w14:textFill>
              </w:rPr>
              <w:t>10000m</w:t>
            </w:r>
            <w:r>
              <w:rPr>
                <w:color w:val="000000" w:themeColor="text1"/>
                <w:kern w:val="0"/>
                <w:sz w:val="24"/>
                <w:szCs w:val="20"/>
                <w:vertAlign w:val="superscript"/>
                <w14:textFill>
                  <w14:solidFill>
                    <w14:schemeClr w14:val="tx1"/>
                  </w14:solidFill>
                </w14:textFill>
              </w:rPr>
              <w:t>3</w:t>
            </w:r>
            <w:r>
              <w:rPr>
                <w:color w:val="000000" w:themeColor="text1"/>
                <w:kern w:val="0"/>
                <w:sz w:val="24"/>
                <w:szCs w:val="20"/>
                <w14:textFill>
                  <w14:solidFill>
                    <w14:schemeClr w14:val="tx1"/>
                  </w14:solidFill>
                </w14:textFill>
              </w:rPr>
              <w:t>/h</w:t>
            </w:r>
            <w:r>
              <w:rPr>
                <w:rFonts w:hint="eastAsia"/>
                <w:color w:val="000000" w:themeColor="text1"/>
                <w:kern w:val="0"/>
                <w:sz w:val="24"/>
                <w:szCs w:val="20"/>
                <w14:textFill>
                  <w14:solidFill>
                    <w14:schemeClr w14:val="tx1"/>
                  </w14:solidFill>
                </w14:textFill>
              </w:rPr>
              <w:t>），经布袋除尘器（处理效率为9</w:t>
            </w:r>
            <w:r>
              <w:rPr>
                <w:color w:val="000000" w:themeColor="text1"/>
                <w:kern w:val="0"/>
                <w:sz w:val="24"/>
                <w:szCs w:val="20"/>
                <w14:textFill>
                  <w14:solidFill>
                    <w14:schemeClr w14:val="tx1"/>
                  </w14:solidFill>
                </w14:textFill>
              </w:rPr>
              <w:t>9</w:t>
            </w:r>
            <w:r>
              <w:rPr>
                <w:rFonts w:hint="eastAsia"/>
                <w:color w:val="000000" w:themeColor="text1"/>
                <w:kern w:val="0"/>
                <w:sz w:val="24"/>
                <w:szCs w:val="20"/>
                <w14:textFill>
                  <w14:solidFill>
                    <w14:schemeClr w14:val="tx1"/>
                  </w14:solidFill>
                </w14:textFill>
              </w:rPr>
              <w:t>%）处理后，经1根1</w:t>
            </w:r>
            <w:r>
              <w:rPr>
                <w:color w:val="000000" w:themeColor="text1"/>
                <w:kern w:val="0"/>
                <w:sz w:val="24"/>
                <w:szCs w:val="20"/>
                <w14:textFill>
                  <w14:solidFill>
                    <w14:schemeClr w14:val="tx1"/>
                  </w14:solidFill>
                </w14:textFill>
              </w:rPr>
              <w:t>5m</w:t>
            </w:r>
            <w:r>
              <w:rPr>
                <w:rFonts w:hint="eastAsia"/>
                <w:color w:val="000000" w:themeColor="text1"/>
                <w:kern w:val="0"/>
                <w:sz w:val="24"/>
                <w:szCs w:val="20"/>
                <w14:textFill>
                  <w14:solidFill>
                    <w14:schemeClr w14:val="tx1"/>
                  </w14:solidFill>
                </w14:textFill>
              </w:rPr>
              <w:t>高的排气筒P</w:t>
            </w:r>
            <w:r>
              <w:rPr>
                <w:color w:val="000000" w:themeColor="text1"/>
                <w:kern w:val="0"/>
                <w:sz w:val="24"/>
                <w:szCs w:val="20"/>
                <w14:textFill>
                  <w14:solidFill>
                    <w14:schemeClr w14:val="tx1"/>
                  </w14:solidFill>
                </w14:textFill>
              </w:rPr>
              <w:t>2</w:t>
            </w:r>
            <w:r>
              <w:rPr>
                <w:rFonts w:hint="eastAsia"/>
                <w:color w:val="000000" w:themeColor="text1"/>
                <w:kern w:val="0"/>
                <w:sz w:val="24"/>
                <w:szCs w:val="20"/>
                <w14:textFill>
                  <w14:solidFill>
                    <w14:schemeClr w14:val="tx1"/>
                  </w14:solidFill>
                </w14:textFill>
              </w:rPr>
              <w:t>排放。本项目粉尘有组织排放量为0</w:t>
            </w:r>
            <w:r>
              <w:rPr>
                <w:color w:val="000000" w:themeColor="text1"/>
                <w:kern w:val="0"/>
                <w:sz w:val="24"/>
                <w:szCs w:val="20"/>
                <w14:textFill>
                  <w14:solidFill>
                    <w14:schemeClr w14:val="tx1"/>
                  </w14:solidFill>
                </w14:textFill>
              </w:rPr>
              <w:t>.058t/a，</w:t>
            </w:r>
            <w:r>
              <w:rPr>
                <w:rFonts w:hint="eastAsia"/>
                <w:kern w:val="0"/>
                <w:sz w:val="24"/>
              </w:rPr>
              <w:t>有组织排放浓度为</w:t>
            </w:r>
            <w:r>
              <w:rPr>
                <w:color w:val="000000" w:themeColor="text1"/>
                <w:kern w:val="0"/>
                <w:sz w:val="24"/>
                <w:szCs w:val="20"/>
                <w14:textFill>
                  <w14:solidFill>
                    <w14:schemeClr w14:val="tx1"/>
                  </w14:solidFill>
                </w14:textFill>
              </w:rPr>
              <w:t>0.810</w:t>
            </w:r>
            <w:r>
              <w:rPr>
                <w:kern w:val="0"/>
                <w:sz w:val="24"/>
              </w:rPr>
              <w:t>mg/m</w:t>
            </w:r>
            <w:r>
              <w:rPr>
                <w:kern w:val="0"/>
                <w:sz w:val="24"/>
                <w:vertAlign w:val="superscript"/>
              </w:rPr>
              <w:t>3</w:t>
            </w:r>
            <w:r>
              <w:rPr>
                <w:rFonts w:hint="eastAsia"/>
                <w:kern w:val="0"/>
                <w:sz w:val="24"/>
              </w:rPr>
              <w:t>，满足《合成树脂工业污染物排放标准》（GB31572-2015）表5中相关标准限值（颗粒物≤</w:t>
            </w:r>
            <w:r>
              <w:rPr>
                <w:kern w:val="0"/>
                <w:sz w:val="24"/>
              </w:rPr>
              <w:t>2</w:t>
            </w:r>
            <w:r>
              <w:rPr>
                <w:rFonts w:hint="eastAsia"/>
                <w:kern w:val="0"/>
                <w:sz w:val="24"/>
              </w:rPr>
              <w:t>0</w:t>
            </w:r>
            <w:r>
              <w:rPr>
                <w:kern w:val="0"/>
                <w:sz w:val="24"/>
              </w:rPr>
              <w:t>mg/m</w:t>
            </w:r>
            <w:r>
              <w:rPr>
                <w:kern w:val="0"/>
                <w:sz w:val="24"/>
                <w:vertAlign w:val="superscript"/>
              </w:rPr>
              <w:t>3</w:t>
            </w:r>
            <w:r>
              <w:rPr>
                <w:rFonts w:hint="eastAsia"/>
                <w:kern w:val="0"/>
                <w:sz w:val="24"/>
              </w:rPr>
              <w:t>）。</w:t>
            </w:r>
          </w:p>
          <w:p>
            <w:pPr>
              <w:adjustRightInd w:val="0"/>
              <w:snapToGrid w:val="0"/>
              <w:spacing w:line="360" w:lineRule="auto"/>
              <w:ind w:firstLine="480" w:firstLineChars="200"/>
              <w:rPr>
                <w:kern w:val="0"/>
                <w:sz w:val="24"/>
              </w:rPr>
            </w:pPr>
            <w:r>
              <w:rPr>
                <w:rFonts w:hint="eastAsia"/>
                <w:kern w:val="0"/>
                <w:sz w:val="24"/>
              </w:rPr>
              <w:t>③锅炉废气</w:t>
            </w:r>
          </w:p>
          <w:p>
            <w:pPr>
              <w:spacing w:line="360" w:lineRule="auto"/>
              <w:ind w:firstLine="480" w:firstLineChars="200"/>
              <w:rPr>
                <w:color w:val="000000"/>
                <w:kern w:val="0"/>
                <w:sz w:val="24"/>
                <w:szCs w:val="20"/>
              </w:rPr>
            </w:pPr>
            <w:r>
              <w:rPr>
                <w:rFonts w:hint="eastAsia"/>
                <w:color w:val="000000"/>
                <w:kern w:val="0"/>
                <w:sz w:val="24"/>
              </w:rPr>
              <w:t>本项目生产用热由厂区</w:t>
            </w:r>
            <w:r>
              <w:rPr>
                <w:color w:val="000000"/>
                <w:kern w:val="0"/>
                <w:sz w:val="24"/>
              </w:rPr>
              <w:t>2</w:t>
            </w:r>
            <w:r>
              <w:rPr>
                <w:rFonts w:hint="eastAsia"/>
                <w:color w:val="000000"/>
                <w:kern w:val="0"/>
                <w:sz w:val="24"/>
              </w:rPr>
              <w:t>台2t/h天然气锅炉供给，</w:t>
            </w:r>
            <w:r>
              <w:rPr>
                <w:color w:val="000000"/>
                <w:kern w:val="0"/>
                <w:sz w:val="24"/>
                <w:szCs w:val="20"/>
              </w:rPr>
              <w:t>年使用天然气270000m</w:t>
            </w:r>
            <w:r>
              <w:rPr>
                <w:color w:val="000000"/>
                <w:kern w:val="0"/>
                <w:sz w:val="24"/>
                <w:szCs w:val="20"/>
                <w:vertAlign w:val="superscript"/>
              </w:rPr>
              <w:t>3</w:t>
            </w:r>
            <w:r>
              <w:rPr>
                <w:color w:val="000000"/>
                <w:kern w:val="0"/>
                <w:sz w:val="24"/>
                <w:szCs w:val="20"/>
              </w:rPr>
              <w:t>，天然气锅炉安装低氮燃烧器，产生的锅炉烟气经1根15m高排气筒</w:t>
            </w:r>
            <w:r>
              <w:rPr>
                <w:rFonts w:hint="eastAsia"/>
                <w:color w:val="000000"/>
                <w:kern w:val="0"/>
                <w:sz w:val="24"/>
                <w:szCs w:val="20"/>
              </w:rPr>
              <w:t>P</w:t>
            </w:r>
            <w:r>
              <w:rPr>
                <w:color w:val="000000"/>
                <w:kern w:val="0"/>
                <w:sz w:val="24"/>
                <w:szCs w:val="20"/>
              </w:rPr>
              <w:t>3排放。</w:t>
            </w:r>
            <w:r>
              <w:rPr>
                <w:color w:val="000000" w:themeColor="text1"/>
                <w:kern w:val="0"/>
                <w:sz w:val="24"/>
                <w:szCs w:val="20"/>
                <w14:textFill>
                  <w14:solidFill>
                    <w14:schemeClr w14:val="tx1"/>
                  </w14:solidFill>
                </w14:textFill>
              </w:rPr>
              <w:t>废气污染物产生量分别为SO</w:t>
            </w:r>
            <w:r>
              <w:rPr>
                <w:color w:val="000000" w:themeColor="text1"/>
                <w:kern w:val="0"/>
                <w:sz w:val="24"/>
                <w:szCs w:val="20"/>
                <w:vertAlign w:val="subscript"/>
                <w14:textFill>
                  <w14:solidFill>
                    <w14:schemeClr w14:val="tx1"/>
                  </w14:solidFill>
                </w14:textFill>
              </w:rPr>
              <w:t>2</w:t>
            </w:r>
            <w:r>
              <w:rPr>
                <w:color w:val="000000" w:themeColor="text1"/>
                <w:kern w:val="0"/>
                <w:sz w:val="24"/>
                <w:szCs w:val="20"/>
                <w14:textFill>
                  <w14:solidFill>
                    <w14:schemeClr w14:val="tx1"/>
                  </w14:solidFill>
                </w14:textFill>
              </w:rPr>
              <w:t>0.0</w:t>
            </w:r>
            <w:r>
              <w:rPr>
                <w:rFonts w:hint="eastAsia"/>
                <w:color w:val="000000" w:themeColor="text1"/>
                <w:kern w:val="0"/>
                <w:sz w:val="24"/>
                <w:szCs w:val="20"/>
                <w14:textFill>
                  <w14:solidFill>
                    <w14:schemeClr w14:val="tx1"/>
                  </w14:solidFill>
                </w14:textFill>
              </w:rPr>
              <w:t>2</w:t>
            </w:r>
            <w:r>
              <w:rPr>
                <w:color w:val="000000" w:themeColor="text1"/>
                <w:kern w:val="0"/>
                <w:sz w:val="24"/>
                <w:szCs w:val="20"/>
                <w14:textFill>
                  <w14:solidFill>
                    <w14:schemeClr w14:val="tx1"/>
                  </w14:solidFill>
                </w14:textFill>
              </w:rPr>
              <w:t>7t/a、NO</w:t>
            </w:r>
            <w:r>
              <w:rPr>
                <w:color w:val="000000" w:themeColor="text1"/>
                <w:kern w:val="0"/>
                <w:sz w:val="24"/>
                <w:szCs w:val="20"/>
                <w:vertAlign w:val="subscript"/>
                <w14:textFill>
                  <w14:solidFill>
                    <w14:schemeClr w14:val="tx1"/>
                  </w14:solidFill>
                </w14:textFill>
              </w:rPr>
              <w:t>X</w:t>
            </w:r>
            <w:r>
              <w:rPr>
                <w:color w:val="000000" w:themeColor="text1"/>
                <w:kern w:val="0"/>
                <w:sz w:val="24"/>
                <w:szCs w:val="20"/>
                <w14:textFill>
                  <w14:solidFill>
                    <w14:schemeClr w14:val="tx1"/>
                  </w14:solidFill>
                </w14:textFill>
              </w:rPr>
              <w:t>0.</w:t>
            </w:r>
            <w:r>
              <w:rPr>
                <w:rFonts w:hint="eastAsia"/>
                <w:color w:val="000000" w:themeColor="text1"/>
                <w:kern w:val="0"/>
                <w:sz w:val="24"/>
                <w:szCs w:val="20"/>
                <w14:textFill>
                  <w14:solidFill>
                    <w14:schemeClr w14:val="tx1"/>
                  </w14:solidFill>
                </w14:textFill>
              </w:rPr>
              <w:t>0</w:t>
            </w:r>
            <w:r>
              <w:rPr>
                <w:color w:val="000000" w:themeColor="text1"/>
                <w:kern w:val="0"/>
                <w:sz w:val="24"/>
                <w:szCs w:val="20"/>
                <w14:textFill>
                  <w14:solidFill>
                    <w14:schemeClr w14:val="tx1"/>
                  </w14:solidFill>
                </w14:textFill>
              </w:rPr>
              <w:t>8181t/a、颗粒物0.0162t/a，废气污染物排放浓度分别为SO</w:t>
            </w:r>
            <w:r>
              <w:rPr>
                <w:color w:val="000000" w:themeColor="text1"/>
                <w:kern w:val="0"/>
                <w:sz w:val="24"/>
                <w:szCs w:val="20"/>
                <w:vertAlign w:val="subscript"/>
                <w14:textFill>
                  <w14:solidFill>
                    <w14:schemeClr w14:val="tx1"/>
                  </w14:solidFill>
                </w14:textFill>
              </w:rPr>
              <w:t>2</w:t>
            </w:r>
            <w:r>
              <w:rPr>
                <w:color w:val="000000" w:themeColor="text1"/>
                <w:kern w:val="0"/>
                <w:sz w:val="24"/>
                <w:szCs w:val="20"/>
                <w14:textFill>
                  <w14:solidFill>
                    <w14:schemeClr w14:val="tx1"/>
                  </w14:solidFill>
                </w14:textFill>
              </w:rPr>
              <w:t>9.28mg/m</w:t>
            </w:r>
            <w:r>
              <w:rPr>
                <w:color w:val="000000" w:themeColor="text1"/>
                <w:kern w:val="0"/>
                <w:sz w:val="24"/>
                <w:szCs w:val="20"/>
                <w:vertAlign w:val="superscript"/>
                <w14:textFill>
                  <w14:solidFill>
                    <w14:schemeClr w14:val="tx1"/>
                  </w14:solidFill>
                </w14:textFill>
              </w:rPr>
              <w:t>3</w:t>
            </w:r>
            <w:r>
              <w:rPr>
                <w:color w:val="000000" w:themeColor="text1"/>
                <w:kern w:val="0"/>
                <w:sz w:val="24"/>
                <w:szCs w:val="20"/>
                <w14:textFill>
                  <w14:solidFill>
                    <w14:schemeClr w14:val="tx1"/>
                  </w14:solidFill>
                </w14:textFill>
              </w:rPr>
              <w:t>、NO</w:t>
            </w:r>
            <w:r>
              <w:rPr>
                <w:color w:val="000000" w:themeColor="text1"/>
                <w:kern w:val="0"/>
                <w:sz w:val="24"/>
                <w:szCs w:val="20"/>
                <w:vertAlign w:val="subscript"/>
                <w14:textFill>
                  <w14:solidFill>
                    <w14:schemeClr w14:val="tx1"/>
                  </w14:solidFill>
                </w14:textFill>
              </w:rPr>
              <w:t>X</w:t>
            </w:r>
            <w:r>
              <w:rPr>
                <w:color w:val="000000" w:themeColor="text1"/>
                <w:kern w:val="0"/>
                <w:sz w:val="24"/>
                <w:szCs w:val="20"/>
                <w14:textFill>
                  <w14:solidFill>
                    <w14:schemeClr w14:val="tx1"/>
                  </w14:solidFill>
                </w14:textFill>
              </w:rPr>
              <w:t>28.12mg/m</w:t>
            </w:r>
            <w:r>
              <w:rPr>
                <w:color w:val="000000" w:themeColor="text1"/>
                <w:kern w:val="0"/>
                <w:sz w:val="24"/>
                <w:szCs w:val="20"/>
                <w:vertAlign w:val="superscript"/>
                <w14:textFill>
                  <w14:solidFill>
                    <w14:schemeClr w14:val="tx1"/>
                  </w14:solidFill>
                </w14:textFill>
              </w:rPr>
              <w:t>3</w:t>
            </w:r>
            <w:r>
              <w:rPr>
                <w:color w:val="000000" w:themeColor="text1"/>
                <w:kern w:val="0"/>
                <w:sz w:val="24"/>
                <w:szCs w:val="20"/>
                <w14:textFill>
                  <w14:solidFill>
                    <w14:schemeClr w14:val="tx1"/>
                  </w14:solidFill>
                </w14:textFill>
              </w:rPr>
              <w:t>、颗粒物5.568mg/m</w:t>
            </w:r>
            <w:r>
              <w:rPr>
                <w:color w:val="000000" w:themeColor="text1"/>
                <w:kern w:val="0"/>
                <w:sz w:val="24"/>
                <w:szCs w:val="20"/>
                <w:vertAlign w:val="superscript"/>
                <w14:textFill>
                  <w14:solidFill>
                    <w14:schemeClr w14:val="tx1"/>
                  </w14:solidFill>
                </w14:textFill>
              </w:rPr>
              <w:t>3</w:t>
            </w:r>
            <w:r>
              <w:rPr>
                <w:color w:val="000000" w:themeColor="text1"/>
                <w:kern w:val="0"/>
                <w:sz w:val="24"/>
                <w:szCs w:val="20"/>
                <w14:textFill>
                  <w14:solidFill>
                    <w14:schemeClr w14:val="tx1"/>
                  </w14:solidFill>
                </w14:textFill>
              </w:rPr>
              <w:t>，</w:t>
            </w:r>
            <w:r>
              <w:rPr>
                <w:color w:val="000000"/>
                <w:kern w:val="0"/>
                <w:sz w:val="24"/>
                <w:szCs w:val="20"/>
              </w:rPr>
              <w:t>均能</w:t>
            </w:r>
            <w:r>
              <w:rPr>
                <w:rFonts w:hint="eastAsia"/>
                <w:color w:val="000000"/>
                <w:kern w:val="0"/>
                <w:sz w:val="24"/>
                <w:szCs w:val="20"/>
              </w:rPr>
              <w:t>满足《锅炉大气污染物排放标准</w:t>
            </w:r>
            <w:r>
              <w:rPr>
                <w:color w:val="000000"/>
                <w:kern w:val="0"/>
                <w:sz w:val="24"/>
                <w:szCs w:val="20"/>
              </w:rPr>
              <w:t>DB61/1226-2018》中表3燃气锅炉大气污染物排放浓度限值（颗粒物≤10mg/m</w:t>
            </w:r>
            <w:r>
              <w:rPr>
                <w:color w:val="000000"/>
                <w:kern w:val="0"/>
                <w:sz w:val="24"/>
                <w:szCs w:val="20"/>
                <w:vertAlign w:val="superscript"/>
              </w:rPr>
              <w:t>3</w:t>
            </w:r>
            <w:r>
              <w:rPr>
                <w:color w:val="000000"/>
                <w:kern w:val="0"/>
                <w:sz w:val="24"/>
                <w:szCs w:val="20"/>
              </w:rPr>
              <w:t>、SO</w:t>
            </w:r>
            <w:r>
              <w:rPr>
                <w:color w:val="000000"/>
                <w:kern w:val="0"/>
                <w:sz w:val="24"/>
                <w:szCs w:val="20"/>
                <w:vertAlign w:val="subscript"/>
              </w:rPr>
              <w:t>2</w:t>
            </w:r>
            <w:r>
              <w:rPr>
                <w:color w:val="000000"/>
                <w:kern w:val="0"/>
                <w:sz w:val="24"/>
                <w:szCs w:val="20"/>
              </w:rPr>
              <w:t>≤20mg/m</w:t>
            </w:r>
            <w:r>
              <w:rPr>
                <w:color w:val="000000"/>
                <w:kern w:val="0"/>
                <w:sz w:val="24"/>
                <w:szCs w:val="20"/>
                <w:vertAlign w:val="superscript"/>
              </w:rPr>
              <w:t>3</w:t>
            </w:r>
            <w:r>
              <w:rPr>
                <w:color w:val="000000"/>
                <w:kern w:val="0"/>
                <w:sz w:val="24"/>
                <w:szCs w:val="20"/>
              </w:rPr>
              <w:t>、NO</w:t>
            </w:r>
            <w:r>
              <w:rPr>
                <w:color w:val="000000"/>
                <w:kern w:val="0"/>
                <w:sz w:val="24"/>
                <w:szCs w:val="20"/>
                <w:vertAlign w:val="subscript"/>
              </w:rPr>
              <w:t>X</w:t>
            </w:r>
            <w:r>
              <w:rPr>
                <w:color w:val="000000"/>
                <w:kern w:val="0"/>
                <w:sz w:val="24"/>
                <w:szCs w:val="20"/>
              </w:rPr>
              <w:t>≤50mg/m</w:t>
            </w:r>
            <w:r>
              <w:rPr>
                <w:color w:val="000000"/>
                <w:kern w:val="0"/>
                <w:sz w:val="24"/>
                <w:szCs w:val="20"/>
                <w:vertAlign w:val="superscript"/>
              </w:rPr>
              <w:t>3</w:t>
            </w:r>
            <w:r>
              <w:rPr>
                <w:color w:val="000000"/>
                <w:kern w:val="0"/>
                <w:sz w:val="24"/>
                <w:szCs w:val="20"/>
              </w:rPr>
              <w:t>）。</w:t>
            </w:r>
          </w:p>
          <w:p>
            <w:pPr>
              <w:adjustRightInd w:val="0"/>
              <w:snapToGrid w:val="0"/>
              <w:spacing w:line="360" w:lineRule="auto"/>
              <w:ind w:firstLine="480" w:firstLineChars="200"/>
              <w:rPr>
                <w:kern w:val="0"/>
                <w:sz w:val="24"/>
              </w:rPr>
            </w:pPr>
            <w:r>
              <w:rPr>
                <w:rFonts w:hint="eastAsia"/>
                <w:kern w:val="0"/>
                <w:sz w:val="24"/>
              </w:rPr>
              <w:t>（2）预测参数</w:t>
            </w:r>
          </w:p>
          <w:p>
            <w:pPr>
              <w:widowControl/>
              <w:spacing w:line="460" w:lineRule="exact"/>
              <w:ind w:firstLine="480" w:firstLineChars="200"/>
              <w:rPr>
                <w:color w:val="000000"/>
                <w:kern w:val="0"/>
                <w:sz w:val="24"/>
                <w:lang w:bidi="en-US"/>
              </w:rPr>
            </w:pPr>
            <w:r>
              <w:rPr>
                <w:color w:val="000000"/>
                <w:kern w:val="0"/>
                <w:sz w:val="24"/>
                <w:lang w:bidi="en-US"/>
              </w:rPr>
              <w:t>根据《环境影响评价技术导则</w:t>
            </w:r>
            <w:r>
              <w:rPr>
                <w:rFonts w:hint="eastAsia"/>
                <w:color w:val="000000"/>
                <w:kern w:val="0"/>
                <w:sz w:val="24"/>
                <w:lang w:bidi="en-US"/>
              </w:rPr>
              <w:t xml:space="preserve"> </w:t>
            </w:r>
            <w:r>
              <w:rPr>
                <w:color w:val="000000"/>
                <w:kern w:val="0"/>
                <w:sz w:val="24"/>
                <w:lang w:bidi="en-US"/>
              </w:rPr>
              <w:t>大气环境》（HJ2.2-2018）要求，可采用估算模型估算各污染源的一小时最大落地浓度。本次预测采用导则推荐的估算模式AERSCREEN。本项目点源源强参数统计表见表7</w:t>
            </w:r>
            <w:r>
              <w:rPr>
                <w:rFonts w:hint="eastAsia"/>
                <w:color w:val="000000"/>
                <w:kern w:val="0"/>
                <w:sz w:val="24"/>
                <w:lang w:bidi="en-US"/>
              </w:rPr>
              <w:t>-</w:t>
            </w:r>
            <w:r>
              <w:rPr>
                <w:color w:val="000000"/>
                <w:kern w:val="0"/>
                <w:sz w:val="24"/>
                <w:lang w:bidi="en-US"/>
              </w:rPr>
              <w:t>1，无组织源强参数统计表见表7</w:t>
            </w:r>
            <w:r>
              <w:rPr>
                <w:rFonts w:hint="eastAsia"/>
                <w:color w:val="000000"/>
                <w:kern w:val="0"/>
                <w:sz w:val="24"/>
                <w:lang w:bidi="en-US"/>
              </w:rPr>
              <w:t>-</w:t>
            </w:r>
            <w:r>
              <w:rPr>
                <w:color w:val="000000"/>
                <w:kern w:val="0"/>
                <w:sz w:val="24"/>
                <w:lang w:bidi="en-US"/>
              </w:rPr>
              <w:t>2，估算模式参数表见表7</w:t>
            </w:r>
            <w:r>
              <w:rPr>
                <w:rFonts w:hint="eastAsia"/>
                <w:color w:val="000000"/>
                <w:kern w:val="0"/>
                <w:sz w:val="24"/>
                <w:lang w:bidi="en-US"/>
              </w:rPr>
              <w:t>-</w:t>
            </w:r>
            <w:r>
              <w:rPr>
                <w:color w:val="000000"/>
                <w:kern w:val="0"/>
                <w:sz w:val="24"/>
                <w:lang w:bidi="en-US"/>
              </w:rPr>
              <w:t>3。</w:t>
            </w:r>
          </w:p>
          <w:p>
            <w:pPr>
              <w:spacing w:before="156" w:beforeLines="50" w:line="360" w:lineRule="auto"/>
              <w:jc w:val="center"/>
              <w:rPr>
                <w:b/>
                <w:bCs/>
                <w:kern w:val="0"/>
                <w:sz w:val="24"/>
              </w:rPr>
            </w:pPr>
            <w:r>
              <w:rPr>
                <w:b/>
                <w:bCs/>
                <w:kern w:val="0"/>
                <w:sz w:val="24"/>
              </w:rPr>
              <w:t>表7</w:t>
            </w:r>
            <w:r>
              <w:rPr>
                <w:rFonts w:hint="eastAsia"/>
                <w:b/>
                <w:bCs/>
                <w:kern w:val="0"/>
                <w:sz w:val="24"/>
              </w:rPr>
              <w:t>-</w:t>
            </w:r>
            <w:r>
              <w:rPr>
                <w:b/>
                <w:bCs/>
                <w:kern w:val="0"/>
                <w:sz w:val="24"/>
              </w:rPr>
              <w:t xml:space="preserve">1  </w:t>
            </w:r>
            <w:r>
              <w:rPr>
                <w:rFonts w:hint="eastAsia"/>
                <w:b/>
                <w:bCs/>
                <w:kern w:val="0"/>
                <w:sz w:val="24"/>
              </w:rPr>
              <w:t xml:space="preserve"> </w:t>
            </w:r>
            <w:r>
              <w:rPr>
                <w:b/>
                <w:bCs/>
                <w:kern w:val="0"/>
                <w:sz w:val="24"/>
              </w:rPr>
              <w:t>本项目正常工况点源排放参数</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4" w:type="dxa"/>
                <w:bottom w:w="0" w:type="dxa"/>
                <w:right w:w="4" w:type="dxa"/>
              </w:tblCellMar>
            </w:tblPr>
            <w:tblGrid>
              <w:gridCol w:w="615"/>
              <w:gridCol w:w="909"/>
              <w:gridCol w:w="1014"/>
              <w:gridCol w:w="868"/>
              <w:gridCol w:w="658"/>
              <w:gridCol w:w="658"/>
              <w:gridCol w:w="971"/>
              <w:gridCol w:w="710"/>
              <w:gridCol w:w="600"/>
              <w:gridCol w:w="436"/>
              <w:gridCol w:w="489"/>
              <w:gridCol w:w="401"/>
              <w:gridCol w:w="4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 w:type="dxa"/>
                  <w:bottom w:w="0" w:type="dxa"/>
                  <w:right w:w="4" w:type="dxa"/>
                </w:tblCellMar>
              </w:tblPrEx>
              <w:trPr>
                <w:trHeight w:val="832" w:hRule="atLeast"/>
                <w:jc w:val="center"/>
              </w:trPr>
              <w:tc>
                <w:tcPr>
                  <w:tcW w:w="508" w:type="pct"/>
                  <w:vMerge w:val="restart"/>
                  <w:tcBorders>
                    <w:bottom w:val="single" w:color="auto" w:sz="6" w:space="0"/>
                  </w:tcBorders>
                  <w:noWrap/>
                  <w:vAlign w:val="center"/>
                </w:tcPr>
                <w:p>
                  <w:pPr>
                    <w:widowControl/>
                    <w:jc w:val="center"/>
                    <w:rPr>
                      <w:color w:val="000000" w:themeColor="text1"/>
                      <w:kern w:val="0"/>
                      <w:szCs w:val="21"/>
                      <w:lang w:eastAsia="en-US" w:bidi="en-US"/>
                      <w14:textFill>
                        <w14:solidFill>
                          <w14:schemeClr w14:val="tx1"/>
                        </w14:solidFill>
                      </w14:textFill>
                    </w:rPr>
                  </w:pPr>
                  <w:r>
                    <w:rPr>
                      <w:color w:val="000000" w:themeColor="text1"/>
                      <w:kern w:val="0"/>
                      <w:szCs w:val="21"/>
                      <w:lang w:eastAsia="en-US" w:bidi="en-US"/>
                      <w14:textFill>
                        <w14:solidFill>
                          <w14:schemeClr w14:val="tx1"/>
                        </w14:solidFill>
                      </w14:textFill>
                    </w:rPr>
                    <w:t>点源</w:t>
                  </w:r>
                </w:p>
                <w:p>
                  <w:pPr>
                    <w:widowControl/>
                    <w:jc w:val="center"/>
                    <w:rPr>
                      <w:color w:val="000000" w:themeColor="text1"/>
                      <w:kern w:val="0"/>
                      <w:szCs w:val="21"/>
                      <w:lang w:eastAsia="en-US" w:bidi="en-US"/>
                      <w14:textFill>
                        <w14:solidFill>
                          <w14:schemeClr w14:val="tx1"/>
                        </w14:solidFill>
                      </w14:textFill>
                    </w:rPr>
                  </w:pPr>
                  <w:r>
                    <w:rPr>
                      <w:color w:val="000000" w:themeColor="text1"/>
                      <w:kern w:val="0"/>
                      <w:szCs w:val="21"/>
                      <w:lang w:eastAsia="en-US" w:bidi="en-US"/>
                      <w14:textFill>
                        <w14:solidFill>
                          <w14:schemeClr w14:val="tx1"/>
                        </w14:solidFill>
                      </w14:textFill>
                    </w:rPr>
                    <w:t>名称</w:t>
                  </w:r>
                </w:p>
              </w:tc>
              <w:tc>
                <w:tcPr>
                  <w:tcW w:w="981" w:type="pct"/>
                  <w:gridSpan w:val="2"/>
                  <w:tcBorders>
                    <w:bottom w:val="single" w:color="auto" w:sz="6" w:space="0"/>
                  </w:tcBorders>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排气筒</w:t>
                  </w:r>
                </w:p>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底部中</w:t>
                  </w:r>
                </w:p>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心坐标/m</w:t>
                  </w:r>
                </w:p>
              </w:tc>
              <w:tc>
                <w:tcPr>
                  <w:tcW w:w="447" w:type="pct"/>
                  <w:vMerge w:val="restart"/>
                  <w:tcBorders>
                    <w:bottom w:val="single" w:color="auto" w:sz="6" w:space="0"/>
                  </w:tcBorders>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排气筒</w:t>
                  </w:r>
                </w:p>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底部海</w:t>
                  </w:r>
                </w:p>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拔高度/m</w:t>
                  </w:r>
                </w:p>
              </w:tc>
              <w:tc>
                <w:tcPr>
                  <w:tcW w:w="339" w:type="pct"/>
                  <w:vMerge w:val="restart"/>
                  <w:tcBorders>
                    <w:bottom w:val="single" w:color="auto" w:sz="6" w:space="0"/>
                  </w:tcBorders>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排气筒</w:t>
                  </w:r>
                </w:p>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高度/m</w:t>
                  </w:r>
                </w:p>
              </w:tc>
              <w:tc>
                <w:tcPr>
                  <w:tcW w:w="339" w:type="pct"/>
                  <w:vMerge w:val="restart"/>
                  <w:tcBorders>
                    <w:bottom w:val="single" w:color="auto" w:sz="6" w:space="0"/>
                  </w:tcBorders>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排气筒</w:t>
                  </w:r>
                </w:p>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内径/m</w:t>
                  </w:r>
                </w:p>
              </w:tc>
              <w:tc>
                <w:tcPr>
                  <w:tcW w:w="502" w:type="pct"/>
                  <w:vMerge w:val="restart"/>
                  <w:tcBorders>
                    <w:bottom w:val="single" w:color="auto" w:sz="6" w:space="0"/>
                  </w:tcBorders>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烟气</w:t>
                  </w:r>
                </w:p>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量/(Nm</w:t>
                  </w:r>
                  <w:r>
                    <w:rPr>
                      <w:color w:val="000000" w:themeColor="text1"/>
                      <w:kern w:val="0"/>
                      <w:szCs w:val="21"/>
                      <w:vertAlign w:val="superscript"/>
                      <w:lang w:bidi="en-US"/>
                      <w14:textFill>
                        <w14:solidFill>
                          <w14:schemeClr w14:val="tx1"/>
                        </w14:solidFill>
                      </w14:textFill>
                    </w:rPr>
                    <w:t>3</w:t>
                  </w:r>
                  <w:r>
                    <w:rPr>
                      <w:color w:val="000000" w:themeColor="text1"/>
                      <w:kern w:val="0"/>
                      <w:szCs w:val="21"/>
                      <w:lang w:bidi="en-US"/>
                      <w14:textFill>
                        <w14:solidFill>
                          <w14:schemeClr w14:val="tx1"/>
                        </w14:solidFill>
                      </w14:textFill>
                    </w:rPr>
                    <w:t>/h)</w:t>
                  </w:r>
                </w:p>
              </w:tc>
              <w:tc>
                <w:tcPr>
                  <w:tcW w:w="366" w:type="pct"/>
                  <w:vMerge w:val="restart"/>
                  <w:tcBorders>
                    <w:bottom w:val="single" w:color="auto" w:sz="6" w:space="0"/>
                  </w:tcBorders>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烟气</w:t>
                  </w:r>
                </w:p>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出口</w:t>
                  </w:r>
                </w:p>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温度/℃</w:t>
                  </w:r>
                </w:p>
              </w:tc>
              <w:tc>
                <w:tcPr>
                  <w:tcW w:w="309" w:type="pct"/>
                  <w:vMerge w:val="restart"/>
                  <w:tcBorders>
                    <w:bottom w:val="single" w:color="auto" w:sz="6" w:space="0"/>
                  </w:tcBorders>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年排</w:t>
                  </w:r>
                </w:p>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放小</w:t>
                  </w:r>
                </w:p>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时数/h</w:t>
                  </w:r>
                </w:p>
              </w:tc>
              <w:tc>
                <w:tcPr>
                  <w:tcW w:w="225" w:type="pct"/>
                  <w:vMerge w:val="restart"/>
                  <w:tcBorders>
                    <w:bottom w:val="single" w:color="auto" w:sz="6" w:space="0"/>
                  </w:tcBorders>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排放</w:t>
                  </w:r>
                </w:p>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工况</w:t>
                  </w:r>
                </w:p>
              </w:tc>
              <w:tc>
                <w:tcPr>
                  <w:tcW w:w="983" w:type="pct"/>
                  <w:gridSpan w:val="3"/>
                  <w:vMerge w:val="restart"/>
                  <w:tcBorders>
                    <w:bottom w:val="single" w:color="auto" w:sz="6" w:space="0"/>
                    <w:right w:val="single" w:color="auto" w:sz="12" w:space="0"/>
                  </w:tcBorders>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污染物排放速率/( kg/h)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 w:type="dxa"/>
                  <w:bottom w:w="0" w:type="dxa"/>
                  <w:right w:w="4" w:type="dxa"/>
                </w:tblCellMar>
              </w:tblPrEx>
              <w:trPr>
                <w:trHeight w:val="153" w:hRule="atLeast"/>
                <w:jc w:val="center"/>
              </w:trPr>
              <w:tc>
                <w:tcPr>
                  <w:tcW w:w="508"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462" w:type="pct"/>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X</w:t>
                  </w:r>
                  <w:r>
                    <w:rPr>
                      <w:color w:val="000000" w:themeColor="text1"/>
                      <w:szCs w:val="21"/>
                      <w14:textFill>
                        <w14:solidFill>
                          <w14:schemeClr w14:val="tx1"/>
                        </w14:solidFill>
                      </w14:textFill>
                    </w:rPr>
                    <w:t>(Pxm)</w:t>
                  </w:r>
                </w:p>
              </w:tc>
              <w:tc>
                <w:tcPr>
                  <w:tcW w:w="519" w:type="pct"/>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Y</w:t>
                  </w:r>
                  <w:r>
                    <w:rPr>
                      <w:color w:val="000000" w:themeColor="text1"/>
                      <w:szCs w:val="21"/>
                      <w14:textFill>
                        <w14:solidFill>
                          <w14:schemeClr w14:val="tx1"/>
                        </w14:solidFill>
                      </w14:textFill>
                    </w:rPr>
                    <w:t>(Pxm)</w:t>
                  </w:r>
                </w:p>
              </w:tc>
              <w:tc>
                <w:tcPr>
                  <w:tcW w:w="447"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339"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339"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502"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366"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309"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225"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983" w:type="pct"/>
                  <w:gridSpan w:val="3"/>
                  <w:vMerge w:val="continue"/>
                  <w:tcBorders>
                    <w:right w:val="single" w:color="auto" w:sz="12" w:space="0"/>
                  </w:tcBorders>
                  <w:vAlign w:val="center"/>
                </w:tcPr>
                <w:p>
                  <w:pPr>
                    <w:widowControl/>
                    <w:jc w:val="center"/>
                    <w:rPr>
                      <w:color w:val="000000" w:themeColor="text1"/>
                      <w:kern w:val="0"/>
                      <w:szCs w:val="21"/>
                      <w:lang w:bidi="en-US"/>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 w:type="dxa"/>
                  <w:bottom w:w="0" w:type="dxa"/>
                  <w:right w:w="4" w:type="dxa"/>
                </w:tblCellMar>
              </w:tblPrEx>
              <w:trPr>
                <w:trHeight w:val="153" w:hRule="atLeast"/>
                <w:jc w:val="center"/>
              </w:trPr>
              <w:tc>
                <w:tcPr>
                  <w:tcW w:w="508" w:type="pct"/>
                  <w:vMerge w:val="restart"/>
                  <w:vAlign w:val="center"/>
                </w:tcPr>
                <w:p>
                  <w:pPr>
                    <w:adjustRightInd w:val="0"/>
                    <w:snapToGrid w:val="0"/>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1#排气筒</w:t>
                  </w:r>
                </w:p>
              </w:tc>
              <w:tc>
                <w:tcPr>
                  <w:tcW w:w="462" w:type="pct"/>
                  <w:vMerge w:val="restart"/>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282551.12</w:t>
                  </w:r>
                </w:p>
              </w:tc>
              <w:tc>
                <w:tcPr>
                  <w:tcW w:w="519" w:type="pct"/>
                  <w:vMerge w:val="restart"/>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3806342.19</w:t>
                  </w:r>
                </w:p>
              </w:tc>
              <w:tc>
                <w:tcPr>
                  <w:tcW w:w="447" w:type="pct"/>
                  <w:vMerge w:val="restart"/>
                  <w:vAlign w:val="center"/>
                </w:tcPr>
                <w:p>
                  <w:pPr>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w:t>
                  </w:r>
                </w:p>
              </w:tc>
              <w:tc>
                <w:tcPr>
                  <w:tcW w:w="339" w:type="pct"/>
                  <w:vMerge w:val="restart"/>
                  <w:vAlign w:val="center"/>
                </w:tcPr>
                <w:p>
                  <w:pPr>
                    <w:adjustRightInd w:val="0"/>
                    <w:snapToGrid w:val="0"/>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15</w:t>
                  </w:r>
                </w:p>
              </w:tc>
              <w:tc>
                <w:tcPr>
                  <w:tcW w:w="339" w:type="pct"/>
                  <w:vMerge w:val="restart"/>
                  <w:vAlign w:val="center"/>
                </w:tcPr>
                <w:p>
                  <w:pPr>
                    <w:adjustRightInd w:val="0"/>
                    <w:snapToGrid w:val="0"/>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0</w:t>
                  </w:r>
                  <w:r>
                    <w:rPr>
                      <w:color w:val="000000" w:themeColor="text1"/>
                      <w:kern w:val="0"/>
                      <w:szCs w:val="21"/>
                      <w:lang w:bidi="en-US"/>
                      <w14:textFill>
                        <w14:solidFill>
                          <w14:schemeClr w14:val="tx1"/>
                        </w14:solidFill>
                      </w14:textFill>
                    </w:rPr>
                    <w:t>.3</w:t>
                  </w:r>
                </w:p>
              </w:tc>
              <w:tc>
                <w:tcPr>
                  <w:tcW w:w="502" w:type="pct"/>
                  <w:vMerge w:val="restart"/>
                  <w:vAlign w:val="center"/>
                </w:tcPr>
                <w:p>
                  <w:pPr>
                    <w:adjustRightInd w:val="0"/>
                    <w:snapToGrid w:val="0"/>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1</w:t>
                  </w:r>
                  <w:r>
                    <w:rPr>
                      <w:color w:val="000000" w:themeColor="text1"/>
                      <w:kern w:val="0"/>
                      <w:szCs w:val="21"/>
                      <w:lang w:bidi="en-US"/>
                      <w14:textFill>
                        <w14:solidFill>
                          <w14:schemeClr w14:val="tx1"/>
                        </w14:solidFill>
                      </w14:textFill>
                    </w:rPr>
                    <w:t>0000</w:t>
                  </w:r>
                </w:p>
              </w:tc>
              <w:tc>
                <w:tcPr>
                  <w:tcW w:w="366" w:type="pct"/>
                  <w:vMerge w:val="restart"/>
                  <w:vAlign w:val="center"/>
                </w:tcPr>
                <w:p>
                  <w:pPr>
                    <w:adjustRightInd w:val="0"/>
                    <w:snapToGrid w:val="0"/>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20</w:t>
                  </w:r>
                </w:p>
              </w:tc>
              <w:tc>
                <w:tcPr>
                  <w:tcW w:w="309" w:type="pct"/>
                  <w:vMerge w:val="restart"/>
                  <w:vAlign w:val="center"/>
                </w:tcPr>
                <w:p>
                  <w:pPr>
                    <w:adjustRightInd w:val="0"/>
                    <w:snapToGrid w:val="0"/>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7</w:t>
                  </w:r>
                  <w:r>
                    <w:rPr>
                      <w:color w:val="000000" w:themeColor="text1"/>
                      <w:kern w:val="0"/>
                      <w:szCs w:val="21"/>
                      <w:lang w:bidi="en-US"/>
                      <w14:textFill>
                        <w14:solidFill>
                          <w14:schemeClr w14:val="tx1"/>
                        </w14:solidFill>
                      </w14:textFill>
                    </w:rPr>
                    <w:t>200</w:t>
                  </w:r>
                </w:p>
              </w:tc>
              <w:tc>
                <w:tcPr>
                  <w:tcW w:w="225" w:type="pct"/>
                  <w:vMerge w:val="restart"/>
                  <w:vAlign w:val="center"/>
                </w:tcPr>
                <w:p>
                  <w:pPr>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正常</w:t>
                  </w:r>
                </w:p>
              </w:tc>
              <w:tc>
                <w:tcPr>
                  <w:tcW w:w="360" w:type="pct"/>
                  <w:vAlign w:val="center"/>
                </w:tcPr>
                <w:p>
                  <w:pPr>
                    <w:widowControl/>
                    <w:adjustRightInd w:val="0"/>
                    <w:snapToGrid w:val="0"/>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苯乙烯</w:t>
                  </w:r>
                </w:p>
              </w:tc>
              <w:tc>
                <w:tcPr>
                  <w:tcW w:w="623" w:type="pct"/>
                  <w:gridSpan w:val="2"/>
                  <w:vAlign w:val="center"/>
                </w:tcPr>
                <w:p>
                  <w:pPr>
                    <w:widowControl/>
                    <w:spacing w:line="240" w:lineRule="exact"/>
                    <w:ind w:left="-105" w:leftChars="-50" w:right="-105" w:rightChars="-50"/>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非甲烷</w:t>
                  </w:r>
                </w:p>
                <w:p>
                  <w:pPr>
                    <w:widowControl/>
                    <w:spacing w:line="240" w:lineRule="exact"/>
                    <w:ind w:left="-105" w:leftChars="-50" w:right="-105" w:rightChars="-50"/>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总烃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 w:type="dxa"/>
                  <w:bottom w:w="0" w:type="dxa"/>
                  <w:right w:w="4" w:type="dxa"/>
                </w:tblCellMar>
              </w:tblPrEx>
              <w:trPr>
                <w:trHeight w:val="153" w:hRule="atLeast"/>
                <w:jc w:val="center"/>
              </w:trPr>
              <w:tc>
                <w:tcPr>
                  <w:tcW w:w="508" w:type="pct"/>
                  <w:vMerge w:val="continue"/>
                  <w:vAlign w:val="center"/>
                </w:tcPr>
                <w:p>
                  <w:pPr>
                    <w:widowControl/>
                    <w:adjustRightInd w:val="0"/>
                    <w:snapToGrid w:val="0"/>
                    <w:jc w:val="center"/>
                    <w:rPr>
                      <w:color w:val="000000" w:themeColor="text1"/>
                      <w:kern w:val="0"/>
                      <w:szCs w:val="21"/>
                      <w:lang w:bidi="en-US"/>
                      <w14:textFill>
                        <w14:solidFill>
                          <w14:schemeClr w14:val="tx1"/>
                        </w14:solidFill>
                      </w14:textFill>
                    </w:rPr>
                  </w:pPr>
                </w:p>
              </w:tc>
              <w:tc>
                <w:tcPr>
                  <w:tcW w:w="462" w:type="pct"/>
                  <w:vMerge w:val="continue"/>
                  <w:noWrap/>
                  <w:vAlign w:val="center"/>
                </w:tcPr>
                <w:p>
                  <w:pPr>
                    <w:widowControl/>
                    <w:jc w:val="center"/>
                    <w:rPr>
                      <w:color w:val="000000" w:themeColor="text1"/>
                      <w:kern w:val="0"/>
                      <w:szCs w:val="21"/>
                      <w:lang w:bidi="en-US"/>
                      <w14:textFill>
                        <w14:solidFill>
                          <w14:schemeClr w14:val="tx1"/>
                        </w14:solidFill>
                      </w14:textFill>
                    </w:rPr>
                  </w:pPr>
                </w:p>
              </w:tc>
              <w:tc>
                <w:tcPr>
                  <w:tcW w:w="519" w:type="pct"/>
                  <w:vMerge w:val="continue"/>
                  <w:noWrap/>
                  <w:vAlign w:val="center"/>
                </w:tcPr>
                <w:p>
                  <w:pPr>
                    <w:widowControl/>
                    <w:jc w:val="center"/>
                    <w:rPr>
                      <w:color w:val="000000" w:themeColor="text1"/>
                      <w:kern w:val="0"/>
                      <w:szCs w:val="21"/>
                      <w:lang w:bidi="en-US"/>
                      <w14:textFill>
                        <w14:solidFill>
                          <w14:schemeClr w14:val="tx1"/>
                        </w14:solidFill>
                      </w14:textFill>
                    </w:rPr>
                  </w:pPr>
                </w:p>
              </w:tc>
              <w:tc>
                <w:tcPr>
                  <w:tcW w:w="447"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339" w:type="pct"/>
                  <w:vMerge w:val="continue"/>
                  <w:vAlign w:val="center"/>
                </w:tcPr>
                <w:p>
                  <w:pPr>
                    <w:widowControl/>
                    <w:adjustRightInd w:val="0"/>
                    <w:snapToGrid w:val="0"/>
                    <w:jc w:val="center"/>
                    <w:rPr>
                      <w:color w:val="000000" w:themeColor="text1"/>
                      <w:kern w:val="0"/>
                      <w:szCs w:val="21"/>
                      <w:lang w:bidi="en-US"/>
                      <w14:textFill>
                        <w14:solidFill>
                          <w14:schemeClr w14:val="tx1"/>
                        </w14:solidFill>
                      </w14:textFill>
                    </w:rPr>
                  </w:pPr>
                </w:p>
              </w:tc>
              <w:tc>
                <w:tcPr>
                  <w:tcW w:w="339" w:type="pct"/>
                  <w:vMerge w:val="continue"/>
                  <w:vAlign w:val="center"/>
                </w:tcPr>
                <w:p>
                  <w:pPr>
                    <w:widowControl/>
                    <w:adjustRightInd w:val="0"/>
                    <w:snapToGrid w:val="0"/>
                    <w:jc w:val="center"/>
                    <w:rPr>
                      <w:color w:val="000000" w:themeColor="text1"/>
                      <w:kern w:val="0"/>
                      <w:szCs w:val="21"/>
                      <w:lang w:bidi="en-US"/>
                      <w14:textFill>
                        <w14:solidFill>
                          <w14:schemeClr w14:val="tx1"/>
                        </w14:solidFill>
                      </w14:textFill>
                    </w:rPr>
                  </w:pPr>
                </w:p>
              </w:tc>
              <w:tc>
                <w:tcPr>
                  <w:tcW w:w="502" w:type="pct"/>
                  <w:vMerge w:val="continue"/>
                  <w:vAlign w:val="center"/>
                </w:tcPr>
                <w:p>
                  <w:pPr>
                    <w:widowControl/>
                    <w:adjustRightInd w:val="0"/>
                    <w:snapToGrid w:val="0"/>
                    <w:jc w:val="center"/>
                    <w:rPr>
                      <w:color w:val="000000" w:themeColor="text1"/>
                      <w:kern w:val="0"/>
                      <w:szCs w:val="21"/>
                      <w:lang w:bidi="en-US"/>
                      <w14:textFill>
                        <w14:solidFill>
                          <w14:schemeClr w14:val="tx1"/>
                        </w14:solidFill>
                      </w14:textFill>
                    </w:rPr>
                  </w:pPr>
                </w:p>
              </w:tc>
              <w:tc>
                <w:tcPr>
                  <w:tcW w:w="366" w:type="pct"/>
                  <w:vMerge w:val="continue"/>
                  <w:vAlign w:val="center"/>
                </w:tcPr>
                <w:p>
                  <w:pPr>
                    <w:widowControl/>
                    <w:adjustRightInd w:val="0"/>
                    <w:snapToGrid w:val="0"/>
                    <w:jc w:val="center"/>
                    <w:rPr>
                      <w:color w:val="000000" w:themeColor="text1"/>
                      <w:kern w:val="0"/>
                      <w:szCs w:val="21"/>
                      <w:lang w:bidi="en-US"/>
                      <w14:textFill>
                        <w14:solidFill>
                          <w14:schemeClr w14:val="tx1"/>
                        </w14:solidFill>
                      </w14:textFill>
                    </w:rPr>
                  </w:pPr>
                </w:p>
              </w:tc>
              <w:tc>
                <w:tcPr>
                  <w:tcW w:w="309" w:type="pct"/>
                  <w:vMerge w:val="continue"/>
                  <w:vAlign w:val="center"/>
                </w:tcPr>
                <w:p>
                  <w:pPr>
                    <w:widowControl/>
                    <w:adjustRightInd w:val="0"/>
                    <w:snapToGrid w:val="0"/>
                    <w:jc w:val="center"/>
                    <w:rPr>
                      <w:color w:val="000000" w:themeColor="text1"/>
                      <w:kern w:val="0"/>
                      <w:szCs w:val="21"/>
                      <w:lang w:bidi="en-US"/>
                      <w14:textFill>
                        <w14:solidFill>
                          <w14:schemeClr w14:val="tx1"/>
                        </w14:solidFill>
                      </w14:textFill>
                    </w:rPr>
                  </w:pPr>
                </w:p>
              </w:tc>
              <w:tc>
                <w:tcPr>
                  <w:tcW w:w="225"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360" w:type="pct"/>
                  <w:vAlign w:val="center"/>
                </w:tcPr>
                <w:p>
                  <w:pPr>
                    <w:widowControl/>
                    <w:adjustRightInd w:val="0"/>
                    <w:snapToGrid w:val="0"/>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0</w:t>
                  </w:r>
                  <w:r>
                    <w:rPr>
                      <w:color w:val="000000" w:themeColor="text1"/>
                      <w:kern w:val="0"/>
                      <w:szCs w:val="21"/>
                      <w:lang w:bidi="en-US"/>
                      <w14:textFill>
                        <w14:solidFill>
                          <w14:schemeClr w14:val="tx1"/>
                        </w14:solidFill>
                      </w14:textFill>
                    </w:rPr>
                    <w:t>.005</w:t>
                  </w:r>
                </w:p>
              </w:tc>
              <w:tc>
                <w:tcPr>
                  <w:tcW w:w="623" w:type="pct"/>
                  <w:gridSpan w:val="2"/>
                  <w:vAlign w:val="center"/>
                </w:tcPr>
                <w:p>
                  <w:pPr>
                    <w:widowControl/>
                    <w:spacing w:line="240" w:lineRule="exact"/>
                    <w:ind w:left="-105" w:leftChars="-50" w:right="-105" w:rightChars="-50"/>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0</w:t>
                  </w:r>
                  <w:r>
                    <w:rPr>
                      <w:color w:val="000000" w:themeColor="text1"/>
                      <w:kern w:val="0"/>
                      <w:szCs w:val="21"/>
                      <w:lang w:bidi="en-US"/>
                      <w14:textFill>
                        <w14:solidFill>
                          <w14:schemeClr w14:val="tx1"/>
                        </w14:solidFill>
                      </w14:textFill>
                    </w:rPr>
                    <w:t>.052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 w:type="dxa"/>
                  <w:bottom w:w="0" w:type="dxa"/>
                  <w:right w:w="4" w:type="dxa"/>
                </w:tblCellMar>
              </w:tblPrEx>
              <w:trPr>
                <w:trHeight w:val="153" w:hRule="atLeast"/>
                <w:jc w:val="center"/>
              </w:trPr>
              <w:tc>
                <w:tcPr>
                  <w:tcW w:w="508" w:type="pct"/>
                  <w:vMerge w:val="restart"/>
                  <w:vAlign w:val="center"/>
                </w:tcPr>
                <w:p>
                  <w:pPr>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2#排气筒</w:t>
                  </w:r>
                </w:p>
              </w:tc>
              <w:tc>
                <w:tcPr>
                  <w:tcW w:w="462" w:type="pct"/>
                  <w:vMerge w:val="restart"/>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282519.19</w:t>
                  </w:r>
                </w:p>
              </w:tc>
              <w:tc>
                <w:tcPr>
                  <w:tcW w:w="519" w:type="pct"/>
                  <w:vMerge w:val="restart"/>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3806346.18</w:t>
                  </w:r>
                </w:p>
              </w:tc>
              <w:tc>
                <w:tcPr>
                  <w:tcW w:w="447" w:type="pct"/>
                  <w:vMerge w:val="restart"/>
                  <w:vAlign w:val="center"/>
                </w:tcPr>
                <w:p>
                  <w:pPr>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w:t>
                  </w:r>
                </w:p>
              </w:tc>
              <w:tc>
                <w:tcPr>
                  <w:tcW w:w="339" w:type="pct"/>
                  <w:vMerge w:val="restart"/>
                  <w:vAlign w:val="center"/>
                </w:tcPr>
                <w:p>
                  <w:pPr>
                    <w:adjustRightInd w:val="0"/>
                    <w:snapToGrid w:val="0"/>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15</w:t>
                  </w:r>
                </w:p>
              </w:tc>
              <w:tc>
                <w:tcPr>
                  <w:tcW w:w="339" w:type="pct"/>
                  <w:vMerge w:val="restart"/>
                  <w:vAlign w:val="center"/>
                </w:tcPr>
                <w:p>
                  <w:pPr>
                    <w:adjustRightInd w:val="0"/>
                    <w:snapToGrid w:val="0"/>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0</w:t>
                  </w:r>
                  <w:r>
                    <w:rPr>
                      <w:color w:val="000000" w:themeColor="text1"/>
                      <w:kern w:val="0"/>
                      <w:szCs w:val="21"/>
                      <w:lang w:bidi="en-US"/>
                      <w14:textFill>
                        <w14:solidFill>
                          <w14:schemeClr w14:val="tx1"/>
                        </w14:solidFill>
                      </w14:textFill>
                    </w:rPr>
                    <w:t>.3</w:t>
                  </w:r>
                </w:p>
              </w:tc>
              <w:tc>
                <w:tcPr>
                  <w:tcW w:w="502" w:type="pct"/>
                  <w:vMerge w:val="restart"/>
                  <w:vAlign w:val="center"/>
                </w:tcPr>
                <w:p>
                  <w:pPr>
                    <w:adjustRightInd w:val="0"/>
                    <w:snapToGrid w:val="0"/>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1</w:t>
                  </w:r>
                  <w:r>
                    <w:rPr>
                      <w:color w:val="000000" w:themeColor="text1"/>
                      <w:kern w:val="0"/>
                      <w:szCs w:val="21"/>
                      <w:lang w:bidi="en-US"/>
                      <w14:textFill>
                        <w14:solidFill>
                          <w14:schemeClr w14:val="tx1"/>
                        </w14:solidFill>
                      </w14:textFill>
                    </w:rPr>
                    <w:t>0000</w:t>
                  </w:r>
                </w:p>
              </w:tc>
              <w:tc>
                <w:tcPr>
                  <w:tcW w:w="366" w:type="pct"/>
                  <w:vMerge w:val="restart"/>
                  <w:vAlign w:val="center"/>
                </w:tcPr>
                <w:p>
                  <w:pPr>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20</w:t>
                  </w:r>
                </w:p>
              </w:tc>
              <w:tc>
                <w:tcPr>
                  <w:tcW w:w="309" w:type="pct"/>
                  <w:vMerge w:val="restart"/>
                  <w:vAlign w:val="center"/>
                </w:tcPr>
                <w:p>
                  <w:pPr>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7</w:t>
                  </w:r>
                  <w:r>
                    <w:rPr>
                      <w:color w:val="000000" w:themeColor="text1"/>
                      <w:kern w:val="0"/>
                      <w:szCs w:val="21"/>
                      <w:lang w:bidi="en-US"/>
                      <w14:textFill>
                        <w14:solidFill>
                          <w14:schemeClr w14:val="tx1"/>
                        </w14:solidFill>
                      </w14:textFill>
                    </w:rPr>
                    <w:t>200</w:t>
                  </w:r>
                </w:p>
              </w:tc>
              <w:tc>
                <w:tcPr>
                  <w:tcW w:w="225" w:type="pct"/>
                  <w:vMerge w:val="restart"/>
                  <w:vAlign w:val="center"/>
                </w:tcPr>
                <w:p>
                  <w:pPr>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正常</w:t>
                  </w:r>
                </w:p>
              </w:tc>
              <w:tc>
                <w:tcPr>
                  <w:tcW w:w="983" w:type="pct"/>
                  <w:gridSpan w:val="3"/>
                  <w:vAlign w:val="center"/>
                </w:tcPr>
                <w:p>
                  <w:pPr>
                    <w:widowControl/>
                    <w:spacing w:line="240" w:lineRule="exact"/>
                    <w:ind w:left="-105" w:leftChars="-50" w:right="-105" w:rightChars="-50"/>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P</w:t>
                  </w:r>
                  <w:r>
                    <w:rPr>
                      <w:color w:val="000000" w:themeColor="text1"/>
                      <w:kern w:val="0"/>
                      <w:szCs w:val="21"/>
                      <w:lang w:bidi="en-US"/>
                      <w14:textFill>
                        <w14:solidFill>
                          <w14:schemeClr w14:val="tx1"/>
                        </w14:solidFill>
                      </w14:textFill>
                    </w:rPr>
                    <w:t>M10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 w:type="dxa"/>
                  <w:bottom w:w="0" w:type="dxa"/>
                  <w:right w:w="4" w:type="dxa"/>
                </w:tblCellMar>
              </w:tblPrEx>
              <w:trPr>
                <w:trHeight w:val="153" w:hRule="atLeast"/>
                <w:jc w:val="center"/>
              </w:trPr>
              <w:tc>
                <w:tcPr>
                  <w:tcW w:w="508"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462" w:type="pct"/>
                  <w:vMerge w:val="continue"/>
                  <w:noWrap/>
                  <w:vAlign w:val="center"/>
                </w:tcPr>
                <w:p>
                  <w:pPr>
                    <w:widowControl/>
                    <w:jc w:val="center"/>
                    <w:rPr>
                      <w:color w:val="000000" w:themeColor="text1"/>
                      <w:kern w:val="0"/>
                      <w:szCs w:val="21"/>
                      <w:lang w:bidi="en-US"/>
                      <w14:textFill>
                        <w14:solidFill>
                          <w14:schemeClr w14:val="tx1"/>
                        </w14:solidFill>
                      </w14:textFill>
                    </w:rPr>
                  </w:pPr>
                </w:p>
              </w:tc>
              <w:tc>
                <w:tcPr>
                  <w:tcW w:w="519" w:type="pct"/>
                  <w:vMerge w:val="continue"/>
                  <w:noWrap/>
                  <w:vAlign w:val="center"/>
                </w:tcPr>
                <w:p>
                  <w:pPr>
                    <w:widowControl/>
                    <w:jc w:val="center"/>
                    <w:rPr>
                      <w:color w:val="000000" w:themeColor="text1"/>
                      <w:kern w:val="0"/>
                      <w:szCs w:val="21"/>
                      <w:lang w:bidi="en-US"/>
                      <w14:textFill>
                        <w14:solidFill>
                          <w14:schemeClr w14:val="tx1"/>
                        </w14:solidFill>
                      </w14:textFill>
                    </w:rPr>
                  </w:pPr>
                </w:p>
              </w:tc>
              <w:tc>
                <w:tcPr>
                  <w:tcW w:w="447"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339" w:type="pct"/>
                  <w:vMerge w:val="continue"/>
                  <w:vAlign w:val="center"/>
                </w:tcPr>
                <w:p>
                  <w:pPr>
                    <w:widowControl/>
                    <w:adjustRightInd w:val="0"/>
                    <w:snapToGrid w:val="0"/>
                    <w:jc w:val="center"/>
                    <w:rPr>
                      <w:color w:val="000000" w:themeColor="text1"/>
                      <w:kern w:val="0"/>
                      <w:szCs w:val="21"/>
                      <w:lang w:bidi="en-US"/>
                      <w14:textFill>
                        <w14:solidFill>
                          <w14:schemeClr w14:val="tx1"/>
                        </w14:solidFill>
                      </w14:textFill>
                    </w:rPr>
                  </w:pPr>
                </w:p>
              </w:tc>
              <w:tc>
                <w:tcPr>
                  <w:tcW w:w="339" w:type="pct"/>
                  <w:vMerge w:val="continue"/>
                  <w:vAlign w:val="center"/>
                </w:tcPr>
                <w:p>
                  <w:pPr>
                    <w:widowControl/>
                    <w:adjustRightInd w:val="0"/>
                    <w:snapToGrid w:val="0"/>
                    <w:jc w:val="center"/>
                    <w:rPr>
                      <w:color w:val="000000" w:themeColor="text1"/>
                      <w:kern w:val="0"/>
                      <w:szCs w:val="21"/>
                      <w:lang w:bidi="en-US"/>
                      <w14:textFill>
                        <w14:solidFill>
                          <w14:schemeClr w14:val="tx1"/>
                        </w14:solidFill>
                      </w14:textFill>
                    </w:rPr>
                  </w:pPr>
                </w:p>
              </w:tc>
              <w:tc>
                <w:tcPr>
                  <w:tcW w:w="502" w:type="pct"/>
                  <w:vMerge w:val="continue"/>
                  <w:vAlign w:val="center"/>
                </w:tcPr>
                <w:p>
                  <w:pPr>
                    <w:widowControl/>
                    <w:adjustRightInd w:val="0"/>
                    <w:snapToGrid w:val="0"/>
                    <w:jc w:val="center"/>
                    <w:rPr>
                      <w:color w:val="000000" w:themeColor="text1"/>
                      <w:kern w:val="0"/>
                      <w:szCs w:val="21"/>
                      <w:lang w:bidi="en-US"/>
                      <w14:textFill>
                        <w14:solidFill>
                          <w14:schemeClr w14:val="tx1"/>
                        </w14:solidFill>
                      </w14:textFill>
                    </w:rPr>
                  </w:pPr>
                </w:p>
              </w:tc>
              <w:tc>
                <w:tcPr>
                  <w:tcW w:w="366"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309"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225"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983" w:type="pct"/>
                  <w:gridSpan w:val="3"/>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 w:type="dxa"/>
                  <w:bottom w:w="0" w:type="dxa"/>
                  <w:right w:w="4" w:type="dxa"/>
                </w:tblCellMar>
              </w:tblPrEx>
              <w:trPr>
                <w:trHeight w:val="153" w:hRule="atLeast"/>
                <w:jc w:val="center"/>
              </w:trPr>
              <w:tc>
                <w:tcPr>
                  <w:tcW w:w="508" w:type="pct"/>
                  <w:vMerge w:val="restart"/>
                  <w:vAlign w:val="center"/>
                </w:tcPr>
                <w:p>
                  <w:pPr>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3</w:t>
                  </w:r>
                  <w:r>
                    <w:rPr>
                      <w:color w:val="000000" w:themeColor="text1"/>
                      <w:kern w:val="0"/>
                      <w:szCs w:val="21"/>
                      <w:lang w:bidi="en-US"/>
                      <w14:textFill>
                        <w14:solidFill>
                          <w14:schemeClr w14:val="tx1"/>
                        </w14:solidFill>
                      </w14:textFill>
                    </w:rPr>
                    <w:t>#</w:t>
                  </w:r>
                  <w:r>
                    <w:rPr>
                      <w:rFonts w:hint="eastAsia"/>
                      <w:color w:val="000000" w:themeColor="text1"/>
                      <w:kern w:val="0"/>
                      <w:szCs w:val="21"/>
                      <w:lang w:bidi="en-US"/>
                      <w14:textFill>
                        <w14:solidFill>
                          <w14:schemeClr w14:val="tx1"/>
                        </w14:solidFill>
                      </w14:textFill>
                    </w:rPr>
                    <w:t>排气筒</w:t>
                  </w:r>
                </w:p>
              </w:tc>
              <w:tc>
                <w:tcPr>
                  <w:tcW w:w="462" w:type="pct"/>
                  <w:vMerge w:val="restart"/>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282510.07</w:t>
                  </w:r>
                </w:p>
              </w:tc>
              <w:tc>
                <w:tcPr>
                  <w:tcW w:w="519" w:type="pct"/>
                  <w:vMerge w:val="restart"/>
                  <w:noWrap/>
                  <w:vAlign w:val="center"/>
                </w:tcPr>
                <w:p>
                  <w:pPr>
                    <w:widowControl/>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3806324.80</w:t>
                  </w:r>
                </w:p>
              </w:tc>
              <w:tc>
                <w:tcPr>
                  <w:tcW w:w="447" w:type="pct"/>
                  <w:vMerge w:val="restart"/>
                  <w:vAlign w:val="center"/>
                </w:tcPr>
                <w:p>
                  <w:pPr>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w:t>
                  </w:r>
                </w:p>
              </w:tc>
              <w:tc>
                <w:tcPr>
                  <w:tcW w:w="339" w:type="pct"/>
                  <w:vMerge w:val="restart"/>
                  <w:vAlign w:val="center"/>
                </w:tcPr>
                <w:p>
                  <w:pPr>
                    <w:adjustRightInd w:val="0"/>
                    <w:snapToGrid w:val="0"/>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1</w:t>
                  </w:r>
                  <w:r>
                    <w:rPr>
                      <w:color w:val="000000" w:themeColor="text1"/>
                      <w:kern w:val="0"/>
                      <w:szCs w:val="21"/>
                      <w:lang w:bidi="en-US"/>
                      <w14:textFill>
                        <w14:solidFill>
                          <w14:schemeClr w14:val="tx1"/>
                        </w14:solidFill>
                      </w14:textFill>
                    </w:rPr>
                    <w:t>5</w:t>
                  </w:r>
                </w:p>
              </w:tc>
              <w:tc>
                <w:tcPr>
                  <w:tcW w:w="339" w:type="pct"/>
                  <w:vMerge w:val="restart"/>
                  <w:vAlign w:val="center"/>
                </w:tcPr>
                <w:p>
                  <w:pPr>
                    <w:adjustRightInd w:val="0"/>
                    <w:snapToGrid w:val="0"/>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0</w:t>
                  </w:r>
                  <w:r>
                    <w:rPr>
                      <w:color w:val="000000" w:themeColor="text1"/>
                      <w:kern w:val="0"/>
                      <w:szCs w:val="21"/>
                      <w:lang w:bidi="en-US"/>
                      <w14:textFill>
                        <w14:solidFill>
                          <w14:schemeClr w14:val="tx1"/>
                        </w14:solidFill>
                      </w14:textFill>
                    </w:rPr>
                    <w:t>.3</w:t>
                  </w:r>
                </w:p>
              </w:tc>
              <w:tc>
                <w:tcPr>
                  <w:tcW w:w="502" w:type="pct"/>
                  <w:vMerge w:val="restart"/>
                  <w:vAlign w:val="center"/>
                </w:tcPr>
                <w:p>
                  <w:pPr>
                    <w:adjustRightInd w:val="0"/>
                    <w:snapToGrid w:val="0"/>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3233</w:t>
                  </w:r>
                </w:p>
              </w:tc>
              <w:tc>
                <w:tcPr>
                  <w:tcW w:w="366" w:type="pct"/>
                  <w:vMerge w:val="restart"/>
                  <w:vAlign w:val="center"/>
                </w:tcPr>
                <w:p>
                  <w:pPr>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2</w:t>
                  </w:r>
                  <w:r>
                    <w:rPr>
                      <w:color w:val="000000" w:themeColor="text1"/>
                      <w:kern w:val="0"/>
                      <w:szCs w:val="21"/>
                      <w:lang w:bidi="en-US"/>
                      <w14:textFill>
                        <w14:solidFill>
                          <w14:schemeClr w14:val="tx1"/>
                        </w14:solidFill>
                      </w14:textFill>
                    </w:rPr>
                    <w:t>0</w:t>
                  </w:r>
                </w:p>
              </w:tc>
              <w:tc>
                <w:tcPr>
                  <w:tcW w:w="309" w:type="pct"/>
                  <w:vMerge w:val="restart"/>
                  <w:vAlign w:val="center"/>
                </w:tcPr>
                <w:p>
                  <w:pPr>
                    <w:jc w:val="center"/>
                    <w:rPr>
                      <w:color w:val="000000" w:themeColor="text1"/>
                      <w:kern w:val="0"/>
                      <w:szCs w:val="21"/>
                      <w:lang w:bidi="en-US"/>
                      <w14:textFill>
                        <w14:solidFill>
                          <w14:schemeClr w14:val="tx1"/>
                        </w14:solidFill>
                      </w14:textFill>
                    </w:rPr>
                  </w:pPr>
                  <w:r>
                    <w:rPr>
                      <w:color w:val="000000" w:themeColor="text1"/>
                      <w:kern w:val="0"/>
                      <w:szCs w:val="21"/>
                      <w:lang w:bidi="en-US"/>
                      <w14:textFill>
                        <w14:solidFill>
                          <w14:schemeClr w14:val="tx1"/>
                        </w14:solidFill>
                      </w14:textFill>
                    </w:rPr>
                    <w:t>900</w:t>
                  </w:r>
                </w:p>
              </w:tc>
              <w:tc>
                <w:tcPr>
                  <w:tcW w:w="225" w:type="pct"/>
                  <w:vMerge w:val="restart"/>
                  <w:vAlign w:val="center"/>
                </w:tcPr>
                <w:p>
                  <w:pPr>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正常</w:t>
                  </w:r>
                </w:p>
              </w:tc>
              <w:tc>
                <w:tcPr>
                  <w:tcW w:w="360" w:type="pct"/>
                  <w:vAlign w:val="center"/>
                </w:tcPr>
                <w:p>
                  <w:pPr>
                    <w:widowControl/>
                    <w:spacing w:line="240" w:lineRule="exact"/>
                    <w:ind w:left="-105" w:leftChars="-50" w:right="-105" w:rightChars="-50"/>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P</w:t>
                  </w:r>
                  <w:r>
                    <w:rPr>
                      <w:color w:val="000000" w:themeColor="text1"/>
                      <w:kern w:val="0"/>
                      <w:szCs w:val="21"/>
                      <w:lang w:bidi="en-US"/>
                      <w14:textFill>
                        <w14:solidFill>
                          <w14:schemeClr w14:val="tx1"/>
                        </w14:solidFill>
                      </w14:textFill>
                    </w:rPr>
                    <w:t>M10</w:t>
                  </w:r>
                </w:p>
              </w:tc>
              <w:tc>
                <w:tcPr>
                  <w:tcW w:w="310" w:type="pct"/>
                  <w:vAlign w:val="center"/>
                </w:tcPr>
                <w:p>
                  <w:pPr>
                    <w:widowControl/>
                    <w:jc w:val="center"/>
                    <w:rPr>
                      <w:color w:val="000000" w:themeColor="text1"/>
                      <w:kern w:val="0"/>
                      <w:szCs w:val="21"/>
                      <w:lang w:bidi="en-US"/>
                      <w14:textFill>
                        <w14:solidFill>
                          <w14:schemeClr w14:val="tx1"/>
                        </w14:solidFill>
                      </w14:textFill>
                    </w:rPr>
                  </w:pPr>
                  <w:r>
                    <w:rPr>
                      <w:color w:val="000000" w:themeColor="text1"/>
                      <w:sz w:val="24"/>
                      <w:szCs w:val="20"/>
                      <w14:textFill>
                        <w14:solidFill>
                          <w14:schemeClr w14:val="tx1"/>
                        </w14:solidFill>
                      </w14:textFill>
                    </w:rPr>
                    <w:t>SO</w:t>
                  </w:r>
                  <w:r>
                    <w:rPr>
                      <w:color w:val="000000" w:themeColor="text1"/>
                      <w:sz w:val="24"/>
                      <w:szCs w:val="20"/>
                      <w:vertAlign w:val="subscript"/>
                      <w14:textFill>
                        <w14:solidFill>
                          <w14:schemeClr w14:val="tx1"/>
                        </w14:solidFill>
                      </w14:textFill>
                    </w:rPr>
                    <w:t>2</w:t>
                  </w:r>
                </w:p>
              </w:tc>
              <w:tc>
                <w:tcPr>
                  <w:tcW w:w="313" w:type="pct"/>
                </w:tcPr>
                <w:p>
                  <w:pPr>
                    <w:widowControl/>
                    <w:jc w:val="center"/>
                    <w:rPr>
                      <w:color w:val="000000" w:themeColor="text1"/>
                      <w:kern w:val="0"/>
                      <w:szCs w:val="21"/>
                      <w:lang w:bidi="en-US"/>
                      <w14:textFill>
                        <w14:solidFill>
                          <w14:schemeClr w14:val="tx1"/>
                        </w14:solidFill>
                      </w14:textFill>
                    </w:rPr>
                  </w:pPr>
                  <w:r>
                    <w:rPr>
                      <w:color w:val="000000" w:themeColor="text1"/>
                      <w:sz w:val="24"/>
                      <w:szCs w:val="20"/>
                      <w14:textFill>
                        <w14:solidFill>
                          <w14:schemeClr w14:val="tx1"/>
                        </w14:solidFill>
                      </w14:textFill>
                    </w:rPr>
                    <w:t>NO</w:t>
                  </w:r>
                  <w:r>
                    <w:rPr>
                      <w:color w:val="000000" w:themeColor="text1"/>
                      <w:sz w:val="24"/>
                      <w:szCs w:val="20"/>
                      <w:vertAlign w:val="subscript"/>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 w:type="dxa"/>
                  <w:bottom w:w="0" w:type="dxa"/>
                  <w:right w:w="4" w:type="dxa"/>
                </w:tblCellMar>
              </w:tblPrEx>
              <w:trPr>
                <w:trHeight w:val="153" w:hRule="atLeast"/>
                <w:jc w:val="center"/>
              </w:trPr>
              <w:tc>
                <w:tcPr>
                  <w:tcW w:w="508"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462" w:type="pct"/>
                  <w:vMerge w:val="continue"/>
                  <w:noWrap/>
                  <w:vAlign w:val="center"/>
                </w:tcPr>
                <w:p>
                  <w:pPr>
                    <w:widowControl/>
                    <w:jc w:val="center"/>
                    <w:rPr>
                      <w:color w:val="000000" w:themeColor="text1"/>
                      <w:kern w:val="0"/>
                      <w:szCs w:val="21"/>
                      <w:lang w:bidi="en-US"/>
                      <w14:textFill>
                        <w14:solidFill>
                          <w14:schemeClr w14:val="tx1"/>
                        </w14:solidFill>
                      </w14:textFill>
                    </w:rPr>
                  </w:pPr>
                </w:p>
              </w:tc>
              <w:tc>
                <w:tcPr>
                  <w:tcW w:w="519" w:type="pct"/>
                  <w:vMerge w:val="continue"/>
                  <w:noWrap/>
                  <w:vAlign w:val="center"/>
                </w:tcPr>
                <w:p>
                  <w:pPr>
                    <w:widowControl/>
                    <w:jc w:val="center"/>
                    <w:rPr>
                      <w:color w:val="000000" w:themeColor="text1"/>
                      <w:kern w:val="0"/>
                      <w:szCs w:val="21"/>
                      <w:lang w:bidi="en-US"/>
                      <w14:textFill>
                        <w14:solidFill>
                          <w14:schemeClr w14:val="tx1"/>
                        </w14:solidFill>
                      </w14:textFill>
                    </w:rPr>
                  </w:pPr>
                </w:p>
              </w:tc>
              <w:tc>
                <w:tcPr>
                  <w:tcW w:w="447"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339" w:type="pct"/>
                  <w:vMerge w:val="continue"/>
                  <w:vAlign w:val="center"/>
                </w:tcPr>
                <w:p>
                  <w:pPr>
                    <w:widowControl/>
                    <w:adjustRightInd w:val="0"/>
                    <w:snapToGrid w:val="0"/>
                    <w:jc w:val="center"/>
                    <w:rPr>
                      <w:color w:val="000000" w:themeColor="text1"/>
                      <w:kern w:val="0"/>
                      <w:szCs w:val="21"/>
                      <w:lang w:bidi="en-US"/>
                      <w14:textFill>
                        <w14:solidFill>
                          <w14:schemeClr w14:val="tx1"/>
                        </w14:solidFill>
                      </w14:textFill>
                    </w:rPr>
                  </w:pPr>
                </w:p>
              </w:tc>
              <w:tc>
                <w:tcPr>
                  <w:tcW w:w="339" w:type="pct"/>
                  <w:vMerge w:val="continue"/>
                  <w:vAlign w:val="center"/>
                </w:tcPr>
                <w:p>
                  <w:pPr>
                    <w:widowControl/>
                    <w:adjustRightInd w:val="0"/>
                    <w:snapToGrid w:val="0"/>
                    <w:jc w:val="center"/>
                    <w:rPr>
                      <w:color w:val="000000" w:themeColor="text1"/>
                      <w:kern w:val="0"/>
                      <w:szCs w:val="21"/>
                      <w:lang w:bidi="en-US"/>
                      <w14:textFill>
                        <w14:solidFill>
                          <w14:schemeClr w14:val="tx1"/>
                        </w14:solidFill>
                      </w14:textFill>
                    </w:rPr>
                  </w:pPr>
                </w:p>
              </w:tc>
              <w:tc>
                <w:tcPr>
                  <w:tcW w:w="502" w:type="pct"/>
                  <w:vMerge w:val="continue"/>
                  <w:vAlign w:val="center"/>
                </w:tcPr>
                <w:p>
                  <w:pPr>
                    <w:widowControl/>
                    <w:adjustRightInd w:val="0"/>
                    <w:snapToGrid w:val="0"/>
                    <w:jc w:val="center"/>
                    <w:rPr>
                      <w:color w:val="000000" w:themeColor="text1"/>
                      <w:kern w:val="0"/>
                      <w:szCs w:val="21"/>
                      <w:lang w:bidi="en-US"/>
                      <w14:textFill>
                        <w14:solidFill>
                          <w14:schemeClr w14:val="tx1"/>
                        </w14:solidFill>
                      </w14:textFill>
                    </w:rPr>
                  </w:pPr>
                </w:p>
              </w:tc>
              <w:tc>
                <w:tcPr>
                  <w:tcW w:w="366"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309"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225" w:type="pct"/>
                  <w:vMerge w:val="continue"/>
                  <w:vAlign w:val="center"/>
                </w:tcPr>
                <w:p>
                  <w:pPr>
                    <w:widowControl/>
                    <w:jc w:val="center"/>
                    <w:rPr>
                      <w:color w:val="000000" w:themeColor="text1"/>
                      <w:kern w:val="0"/>
                      <w:szCs w:val="21"/>
                      <w:lang w:bidi="en-US"/>
                      <w14:textFill>
                        <w14:solidFill>
                          <w14:schemeClr w14:val="tx1"/>
                        </w14:solidFill>
                      </w14:textFill>
                    </w:rPr>
                  </w:pPr>
                </w:p>
              </w:tc>
              <w:tc>
                <w:tcPr>
                  <w:tcW w:w="360" w:type="pct"/>
                  <w:vAlign w:val="center"/>
                </w:tcPr>
                <w:p>
                  <w:pPr>
                    <w:widowControl/>
                    <w:spacing w:line="240" w:lineRule="exact"/>
                    <w:ind w:left="-105" w:leftChars="-50" w:right="-105" w:rightChars="-50"/>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0</w:t>
                  </w:r>
                  <w:r>
                    <w:rPr>
                      <w:color w:val="000000" w:themeColor="text1"/>
                      <w:kern w:val="0"/>
                      <w:szCs w:val="21"/>
                      <w:lang w:bidi="en-US"/>
                      <w14:textFill>
                        <w14:solidFill>
                          <w14:schemeClr w14:val="tx1"/>
                        </w14:solidFill>
                      </w14:textFill>
                    </w:rPr>
                    <w:t>.018</w:t>
                  </w:r>
                </w:p>
              </w:tc>
              <w:tc>
                <w:tcPr>
                  <w:tcW w:w="310" w:type="pct"/>
                  <w:vAlign w:val="center"/>
                </w:tcPr>
                <w:p>
                  <w:pPr>
                    <w:widowControl/>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0</w:t>
                  </w:r>
                  <w:r>
                    <w:rPr>
                      <w:color w:val="000000" w:themeColor="text1"/>
                      <w:kern w:val="0"/>
                      <w:szCs w:val="21"/>
                      <w:lang w:bidi="en-US"/>
                      <w14:textFill>
                        <w14:solidFill>
                          <w14:schemeClr w14:val="tx1"/>
                        </w14:solidFill>
                      </w14:textFill>
                    </w:rPr>
                    <w:t>.03</w:t>
                  </w:r>
                </w:p>
              </w:tc>
              <w:tc>
                <w:tcPr>
                  <w:tcW w:w="313" w:type="pct"/>
                </w:tcPr>
                <w:p>
                  <w:pPr>
                    <w:widowControl/>
                    <w:jc w:val="center"/>
                    <w:rPr>
                      <w:color w:val="000000" w:themeColor="text1"/>
                      <w:kern w:val="0"/>
                      <w:szCs w:val="21"/>
                      <w:lang w:bidi="en-US"/>
                      <w14:textFill>
                        <w14:solidFill>
                          <w14:schemeClr w14:val="tx1"/>
                        </w14:solidFill>
                      </w14:textFill>
                    </w:rPr>
                  </w:pPr>
                  <w:r>
                    <w:rPr>
                      <w:rFonts w:hint="eastAsia"/>
                      <w:color w:val="000000" w:themeColor="text1"/>
                      <w:kern w:val="0"/>
                      <w:szCs w:val="21"/>
                      <w:lang w:bidi="en-US"/>
                      <w14:textFill>
                        <w14:solidFill>
                          <w14:schemeClr w14:val="tx1"/>
                        </w14:solidFill>
                      </w14:textFill>
                    </w:rPr>
                    <w:t>0</w:t>
                  </w:r>
                  <w:r>
                    <w:rPr>
                      <w:color w:val="000000" w:themeColor="text1"/>
                      <w:kern w:val="0"/>
                      <w:szCs w:val="21"/>
                      <w:lang w:bidi="en-US"/>
                      <w14:textFill>
                        <w14:solidFill>
                          <w14:schemeClr w14:val="tx1"/>
                        </w14:solidFill>
                      </w14:textFill>
                    </w:rPr>
                    <w:t>.091</w:t>
                  </w:r>
                </w:p>
              </w:tc>
            </w:tr>
          </w:tbl>
          <w:p>
            <w:pPr>
              <w:spacing w:before="156" w:beforeLines="50" w:line="360" w:lineRule="auto"/>
              <w:jc w:val="center"/>
              <w:rPr>
                <w:b/>
                <w:bCs/>
                <w:kern w:val="0"/>
                <w:sz w:val="24"/>
              </w:rPr>
            </w:pPr>
            <w:r>
              <w:rPr>
                <w:b/>
                <w:bCs/>
                <w:kern w:val="0"/>
                <w:sz w:val="24"/>
              </w:rPr>
              <w:t>表7</w:t>
            </w:r>
            <w:r>
              <w:rPr>
                <w:rFonts w:hint="eastAsia"/>
                <w:b/>
                <w:bCs/>
                <w:kern w:val="0"/>
                <w:sz w:val="24"/>
              </w:rPr>
              <w:t>-</w:t>
            </w:r>
            <w:r>
              <w:rPr>
                <w:b/>
                <w:bCs/>
                <w:kern w:val="0"/>
                <w:sz w:val="24"/>
              </w:rPr>
              <w:t xml:space="preserve">2 </w:t>
            </w:r>
            <w:r>
              <w:rPr>
                <w:rFonts w:hint="eastAsia"/>
                <w:b/>
                <w:bCs/>
                <w:kern w:val="0"/>
                <w:sz w:val="24"/>
              </w:rPr>
              <w:t xml:space="preserve">  </w:t>
            </w:r>
            <w:r>
              <w:rPr>
                <w:b/>
                <w:bCs/>
                <w:kern w:val="0"/>
                <w:sz w:val="24"/>
              </w:rPr>
              <w:t>本项目正常工况无组织面源排放参数</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404"/>
              <w:gridCol w:w="983"/>
              <w:gridCol w:w="1059"/>
              <w:gridCol w:w="1812"/>
              <w:gridCol w:w="913"/>
              <w:gridCol w:w="1096"/>
              <w:gridCol w:w="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42"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面源</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w:t>
                  </w:r>
                </w:p>
              </w:tc>
              <w:tc>
                <w:tcPr>
                  <w:tcW w:w="795"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w:t>
                  </w:r>
                </w:p>
              </w:tc>
              <w:tc>
                <w:tcPr>
                  <w:tcW w:w="557"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排放速率kg/h</w:t>
                  </w:r>
                </w:p>
              </w:tc>
              <w:tc>
                <w:tcPr>
                  <w:tcW w:w="600"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排放量t/a</w:t>
                  </w:r>
                </w:p>
              </w:tc>
              <w:tc>
                <w:tcPr>
                  <w:tcW w:w="1026" w:type="pct"/>
                  <w:vAlign w:val="center"/>
                </w:tcPr>
                <w:p>
                  <w:pPr>
                    <w:jc w:val="center"/>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面源面积m</w:t>
                  </w:r>
                  <w:r>
                    <w:rPr>
                      <w:rFonts w:hint="eastAsia"/>
                      <w:color w:val="000000" w:themeColor="text1"/>
                      <w:vertAlign w:val="superscript"/>
                      <w14:textFill>
                        <w14:solidFill>
                          <w14:schemeClr w14:val="tx1"/>
                        </w14:solidFill>
                      </w14:textFill>
                    </w:rPr>
                    <w:t>2</w:t>
                  </w:r>
                </w:p>
              </w:tc>
              <w:tc>
                <w:tcPr>
                  <w:tcW w:w="517"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面源高度</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m</w:t>
                  </w:r>
                </w:p>
              </w:tc>
              <w:tc>
                <w:tcPr>
                  <w:tcW w:w="621"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年排放小时数h</w:t>
                  </w:r>
                </w:p>
              </w:tc>
              <w:tc>
                <w:tcPr>
                  <w:tcW w:w="441"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排放</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车间</w:t>
                  </w:r>
                </w:p>
              </w:tc>
              <w:tc>
                <w:tcPr>
                  <w:tcW w:w="795"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苯乙烯</w:t>
                  </w:r>
                </w:p>
              </w:tc>
              <w:tc>
                <w:tcPr>
                  <w:tcW w:w="557"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.002</w:t>
                  </w:r>
                </w:p>
              </w:tc>
              <w:tc>
                <w:tcPr>
                  <w:tcW w:w="600"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.017</w:t>
                  </w:r>
                </w:p>
              </w:tc>
              <w:tc>
                <w:tcPr>
                  <w:tcW w:w="1026" w:type="pct"/>
                  <w:vMerge w:val="restart"/>
                  <w:vAlign w:val="center"/>
                </w:tcPr>
                <w:p>
                  <w:pPr>
                    <w:jc w:val="center"/>
                    <w:rPr>
                      <w:color w:val="000000" w:themeColor="text1"/>
                      <w:szCs w:val="21"/>
                      <w14:textFill>
                        <w14:solidFill>
                          <w14:schemeClr w14:val="tx1"/>
                        </w14:solidFill>
                      </w14:textFill>
                    </w:rPr>
                  </w:pPr>
                  <w:r>
                    <w:rPr>
                      <w:color w:val="000000" w:themeColor="text1"/>
                      <w14:textFill>
                        <w14:solidFill>
                          <w14:schemeClr w14:val="tx1"/>
                        </w14:solidFill>
                      </w14:textFill>
                    </w:rPr>
                    <w:t>3500</w:t>
                  </w:r>
                </w:p>
              </w:tc>
              <w:tc>
                <w:tcPr>
                  <w:tcW w:w="517" w:type="pct"/>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621" w:type="pct"/>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7200</w:t>
                  </w:r>
                </w:p>
              </w:tc>
              <w:tc>
                <w:tcPr>
                  <w:tcW w:w="441" w:type="pct"/>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vMerge w:val="continue"/>
                  <w:vAlign w:val="center"/>
                </w:tcPr>
                <w:p>
                  <w:pPr>
                    <w:jc w:val="center"/>
                    <w:rPr>
                      <w:color w:val="000000" w:themeColor="text1"/>
                      <w:szCs w:val="21"/>
                      <w14:textFill>
                        <w14:solidFill>
                          <w14:schemeClr w14:val="tx1"/>
                        </w14:solidFill>
                      </w14:textFill>
                    </w:rPr>
                  </w:pPr>
                </w:p>
              </w:tc>
              <w:tc>
                <w:tcPr>
                  <w:tcW w:w="795" w:type="pct"/>
                  <w:vAlign w:val="center"/>
                </w:tcPr>
                <w:p>
                  <w:pPr>
                    <w:jc w:val="center"/>
                    <w:rPr>
                      <w:rFonts w:ascii="宋体" w:hAnsi="Courier New"/>
                      <w:color w:val="000000" w:themeColor="text1"/>
                      <w:szCs w:val="21"/>
                      <w14:textFill>
                        <w14:solidFill>
                          <w14:schemeClr w14:val="tx1"/>
                        </w14:solidFill>
                      </w14:textFill>
                    </w:rPr>
                  </w:pPr>
                  <w:r>
                    <w:rPr>
                      <w:rFonts w:hint="eastAsia" w:ascii="宋体" w:hAnsi="Courier New"/>
                      <w:color w:val="000000" w:themeColor="text1"/>
                      <w:szCs w:val="21"/>
                      <w14:textFill>
                        <w14:solidFill>
                          <w14:schemeClr w14:val="tx1"/>
                        </w14:solidFill>
                      </w14:textFill>
                    </w:rPr>
                    <w:t>非甲烷总烃</w:t>
                  </w:r>
                </w:p>
              </w:tc>
              <w:tc>
                <w:tcPr>
                  <w:tcW w:w="557"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.027</w:t>
                  </w:r>
                </w:p>
              </w:tc>
              <w:tc>
                <w:tcPr>
                  <w:tcW w:w="600"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.196</w:t>
                  </w:r>
                </w:p>
              </w:tc>
              <w:tc>
                <w:tcPr>
                  <w:tcW w:w="1026" w:type="pct"/>
                  <w:vMerge w:val="continue"/>
                  <w:vAlign w:val="center"/>
                </w:tcPr>
                <w:p>
                  <w:pPr>
                    <w:jc w:val="center"/>
                    <w:rPr>
                      <w:color w:val="000000" w:themeColor="text1"/>
                      <w:szCs w:val="21"/>
                      <w14:textFill>
                        <w14:solidFill>
                          <w14:schemeClr w14:val="tx1"/>
                        </w14:solidFill>
                      </w14:textFill>
                    </w:rPr>
                  </w:pPr>
                </w:p>
              </w:tc>
              <w:tc>
                <w:tcPr>
                  <w:tcW w:w="517" w:type="pct"/>
                  <w:vMerge w:val="continue"/>
                  <w:vAlign w:val="center"/>
                </w:tcPr>
                <w:p>
                  <w:pPr>
                    <w:jc w:val="center"/>
                    <w:rPr>
                      <w:color w:val="000000" w:themeColor="text1"/>
                      <w:szCs w:val="21"/>
                      <w14:textFill>
                        <w14:solidFill>
                          <w14:schemeClr w14:val="tx1"/>
                        </w14:solidFill>
                      </w14:textFill>
                    </w:rPr>
                  </w:pPr>
                </w:p>
              </w:tc>
              <w:tc>
                <w:tcPr>
                  <w:tcW w:w="621" w:type="pct"/>
                  <w:vMerge w:val="continue"/>
                  <w:vAlign w:val="center"/>
                </w:tcPr>
                <w:p>
                  <w:pPr>
                    <w:jc w:val="center"/>
                    <w:rPr>
                      <w:color w:val="000000" w:themeColor="text1"/>
                      <w:szCs w:val="21"/>
                      <w14:textFill>
                        <w14:solidFill>
                          <w14:schemeClr w14:val="tx1"/>
                        </w14:solidFill>
                      </w14:textFill>
                    </w:rPr>
                  </w:pPr>
                </w:p>
              </w:tc>
              <w:tc>
                <w:tcPr>
                  <w:tcW w:w="441" w:type="pct"/>
                  <w:vMerge w:val="continue"/>
                  <w:vAlign w:val="center"/>
                </w:tcPr>
                <w:p>
                  <w:pPr>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42" w:type="pct"/>
                  <w:vMerge w:val="continue"/>
                  <w:tcBorders>
                    <w:bottom w:val="single" w:color="auto" w:sz="12" w:space="0"/>
                  </w:tcBorders>
                  <w:vAlign w:val="center"/>
                </w:tcPr>
                <w:p>
                  <w:pPr>
                    <w:jc w:val="center"/>
                    <w:rPr>
                      <w:color w:val="000000" w:themeColor="text1"/>
                      <w:szCs w:val="21"/>
                      <w14:textFill>
                        <w14:solidFill>
                          <w14:schemeClr w14:val="tx1"/>
                        </w14:solidFill>
                      </w14:textFill>
                    </w:rPr>
                  </w:pPr>
                </w:p>
              </w:tc>
              <w:tc>
                <w:tcPr>
                  <w:tcW w:w="795" w:type="pct"/>
                  <w:tcBorders>
                    <w:bottom w:val="single" w:color="auto" w:sz="12" w:space="0"/>
                  </w:tcBorders>
                  <w:vAlign w:val="center"/>
                </w:tcPr>
                <w:p>
                  <w:pPr>
                    <w:jc w:val="center"/>
                    <w:rPr>
                      <w:rFonts w:ascii="宋体" w:hAnsi="Courier New"/>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颗粒物</w:t>
                  </w:r>
                </w:p>
              </w:tc>
              <w:tc>
                <w:tcPr>
                  <w:tcW w:w="557" w:type="pct"/>
                  <w:tcBorders>
                    <w:bottom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.043</w:t>
                  </w:r>
                </w:p>
              </w:tc>
              <w:tc>
                <w:tcPr>
                  <w:tcW w:w="600" w:type="pct"/>
                  <w:tcBorders>
                    <w:bottom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.307</w:t>
                  </w:r>
                </w:p>
              </w:tc>
              <w:tc>
                <w:tcPr>
                  <w:tcW w:w="1026" w:type="pct"/>
                  <w:vMerge w:val="continue"/>
                  <w:tcBorders>
                    <w:bottom w:val="single" w:color="auto" w:sz="12" w:space="0"/>
                  </w:tcBorders>
                  <w:vAlign w:val="center"/>
                </w:tcPr>
                <w:p>
                  <w:pPr>
                    <w:jc w:val="center"/>
                    <w:rPr>
                      <w:color w:val="000000" w:themeColor="text1"/>
                      <w:szCs w:val="21"/>
                      <w14:textFill>
                        <w14:solidFill>
                          <w14:schemeClr w14:val="tx1"/>
                        </w14:solidFill>
                      </w14:textFill>
                    </w:rPr>
                  </w:pPr>
                </w:p>
              </w:tc>
              <w:tc>
                <w:tcPr>
                  <w:tcW w:w="517" w:type="pct"/>
                  <w:vMerge w:val="continue"/>
                  <w:tcBorders>
                    <w:bottom w:val="single" w:color="auto" w:sz="12" w:space="0"/>
                  </w:tcBorders>
                  <w:vAlign w:val="center"/>
                </w:tcPr>
                <w:p>
                  <w:pPr>
                    <w:jc w:val="center"/>
                    <w:rPr>
                      <w:color w:val="000000" w:themeColor="text1"/>
                      <w:szCs w:val="21"/>
                      <w14:textFill>
                        <w14:solidFill>
                          <w14:schemeClr w14:val="tx1"/>
                        </w14:solidFill>
                      </w14:textFill>
                    </w:rPr>
                  </w:pPr>
                </w:p>
              </w:tc>
              <w:tc>
                <w:tcPr>
                  <w:tcW w:w="621" w:type="pct"/>
                  <w:vMerge w:val="continue"/>
                  <w:tcBorders>
                    <w:bottom w:val="single" w:color="auto" w:sz="12" w:space="0"/>
                  </w:tcBorders>
                  <w:vAlign w:val="center"/>
                </w:tcPr>
                <w:p>
                  <w:pPr>
                    <w:jc w:val="center"/>
                    <w:rPr>
                      <w:color w:val="000000" w:themeColor="text1"/>
                      <w:szCs w:val="21"/>
                      <w14:textFill>
                        <w14:solidFill>
                          <w14:schemeClr w14:val="tx1"/>
                        </w14:solidFill>
                      </w14:textFill>
                    </w:rPr>
                  </w:pPr>
                </w:p>
              </w:tc>
              <w:tc>
                <w:tcPr>
                  <w:tcW w:w="441" w:type="pct"/>
                  <w:vMerge w:val="continue"/>
                  <w:tcBorders>
                    <w:bottom w:val="single" w:color="auto" w:sz="12" w:space="0"/>
                  </w:tcBorders>
                  <w:vAlign w:val="center"/>
                </w:tcPr>
                <w:p>
                  <w:pPr>
                    <w:jc w:val="center"/>
                    <w:rPr>
                      <w:color w:val="000000" w:themeColor="text1"/>
                      <w:szCs w:val="21"/>
                      <w14:textFill>
                        <w14:solidFill>
                          <w14:schemeClr w14:val="tx1"/>
                        </w14:solidFill>
                      </w14:textFill>
                    </w:rPr>
                  </w:pPr>
                </w:p>
              </w:tc>
            </w:tr>
          </w:tbl>
          <w:p>
            <w:pPr>
              <w:adjustRightInd w:val="0"/>
              <w:snapToGrid w:val="0"/>
              <w:jc w:val="center"/>
              <w:rPr>
                <w:b/>
                <w:bCs/>
                <w:kern w:val="0"/>
                <w:sz w:val="24"/>
              </w:rPr>
            </w:pPr>
            <w:r>
              <w:rPr>
                <w:rFonts w:hint="eastAsia"/>
                <w:b/>
                <w:bCs/>
                <w:kern w:val="0"/>
                <w:sz w:val="24"/>
              </w:rPr>
              <w:t>表</w:t>
            </w:r>
            <w:r>
              <w:rPr>
                <w:b/>
                <w:bCs/>
                <w:kern w:val="0"/>
                <w:sz w:val="24"/>
              </w:rPr>
              <w:t>7</w:t>
            </w:r>
            <w:r>
              <w:rPr>
                <w:rFonts w:hint="eastAsia"/>
                <w:b/>
                <w:bCs/>
                <w:kern w:val="0"/>
                <w:sz w:val="24"/>
              </w:rPr>
              <w:t>-</w:t>
            </w:r>
            <w:r>
              <w:rPr>
                <w:b/>
                <w:bCs/>
                <w:kern w:val="0"/>
                <w:sz w:val="24"/>
              </w:rPr>
              <w:t>3</w:t>
            </w:r>
            <w:r>
              <w:rPr>
                <w:rFonts w:hint="eastAsia"/>
                <w:b/>
                <w:bCs/>
                <w:kern w:val="0"/>
                <w:sz w:val="24"/>
              </w:rPr>
              <w:t xml:space="preserve">   估算模型参数表</w:t>
            </w:r>
          </w:p>
          <w:tbl>
            <w:tblPr>
              <w:tblStyle w:val="5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2943"/>
              <w:gridCol w:w="29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3" w:type="pct"/>
                  <w:gridSpan w:val="2"/>
                  <w:tcBorders>
                    <w:tl2br w:val="nil"/>
                    <w:tr2bl w:val="nil"/>
                  </w:tcBorders>
                  <w:vAlign w:val="center"/>
                </w:tcPr>
                <w:p>
                  <w:pPr>
                    <w:jc w:val="center"/>
                    <w:rPr>
                      <w:b/>
                      <w:bCs/>
                      <w:kern w:val="0"/>
                      <w:sz w:val="20"/>
                      <w:szCs w:val="21"/>
                    </w:rPr>
                  </w:pPr>
                  <w:r>
                    <w:rPr>
                      <w:b/>
                      <w:bCs/>
                      <w:kern w:val="0"/>
                      <w:sz w:val="20"/>
                      <w:szCs w:val="21"/>
                    </w:rPr>
                    <w:t>参数</w:t>
                  </w:r>
                </w:p>
              </w:tc>
              <w:tc>
                <w:tcPr>
                  <w:tcW w:w="1667" w:type="pct"/>
                  <w:tcBorders>
                    <w:tl2br w:val="nil"/>
                    <w:tr2bl w:val="nil"/>
                  </w:tcBorders>
                  <w:vAlign w:val="center"/>
                </w:tcPr>
                <w:p>
                  <w:pPr>
                    <w:jc w:val="center"/>
                    <w:rPr>
                      <w:b/>
                      <w:bCs/>
                      <w:kern w:val="0"/>
                      <w:sz w:val="20"/>
                      <w:szCs w:val="21"/>
                    </w:rPr>
                  </w:pPr>
                  <w:r>
                    <w:rPr>
                      <w:b/>
                      <w:bCs/>
                      <w:kern w:val="0"/>
                      <w:sz w:val="20"/>
                      <w:szCs w:val="21"/>
                    </w:rPr>
                    <w:t>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vMerge w:val="restart"/>
                  <w:tcBorders>
                    <w:tl2br w:val="nil"/>
                    <w:tr2bl w:val="nil"/>
                  </w:tcBorders>
                  <w:vAlign w:val="center"/>
                </w:tcPr>
                <w:p>
                  <w:pPr>
                    <w:jc w:val="center"/>
                    <w:rPr>
                      <w:kern w:val="0"/>
                      <w:sz w:val="20"/>
                      <w:szCs w:val="21"/>
                    </w:rPr>
                  </w:pPr>
                  <w:r>
                    <w:rPr>
                      <w:kern w:val="0"/>
                      <w:sz w:val="20"/>
                      <w:szCs w:val="21"/>
                    </w:rPr>
                    <w:t>城市/农村选项</w:t>
                  </w:r>
                </w:p>
              </w:tc>
              <w:tc>
                <w:tcPr>
                  <w:tcW w:w="1666" w:type="pct"/>
                  <w:tcBorders>
                    <w:tl2br w:val="nil"/>
                    <w:tr2bl w:val="nil"/>
                  </w:tcBorders>
                  <w:vAlign w:val="center"/>
                </w:tcPr>
                <w:p>
                  <w:pPr>
                    <w:jc w:val="center"/>
                    <w:rPr>
                      <w:kern w:val="0"/>
                      <w:sz w:val="20"/>
                      <w:szCs w:val="21"/>
                    </w:rPr>
                  </w:pPr>
                  <w:r>
                    <w:rPr>
                      <w:kern w:val="0"/>
                      <w:sz w:val="20"/>
                      <w:szCs w:val="21"/>
                    </w:rPr>
                    <w:t>城市/农村</w:t>
                  </w:r>
                </w:p>
              </w:tc>
              <w:tc>
                <w:tcPr>
                  <w:tcW w:w="1667" w:type="pct"/>
                  <w:tcBorders>
                    <w:tl2br w:val="nil"/>
                    <w:tr2bl w:val="nil"/>
                  </w:tcBorders>
                  <w:vAlign w:val="center"/>
                </w:tcPr>
                <w:p>
                  <w:pPr>
                    <w:jc w:val="center"/>
                    <w:rPr>
                      <w:kern w:val="0"/>
                      <w:sz w:val="20"/>
                      <w:szCs w:val="21"/>
                    </w:rPr>
                  </w:pPr>
                  <w:r>
                    <w:rPr>
                      <w:rFonts w:hint="eastAsia"/>
                      <w:kern w:val="0"/>
                      <w:sz w:val="20"/>
                      <w:szCs w:val="21"/>
                    </w:rPr>
                    <w:t>农村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vMerge w:val="continue"/>
                  <w:tcBorders>
                    <w:tl2br w:val="nil"/>
                    <w:tr2bl w:val="nil"/>
                  </w:tcBorders>
                  <w:vAlign w:val="center"/>
                </w:tcPr>
                <w:p>
                  <w:pPr>
                    <w:jc w:val="center"/>
                    <w:rPr>
                      <w:kern w:val="0"/>
                      <w:sz w:val="20"/>
                      <w:szCs w:val="21"/>
                    </w:rPr>
                  </w:pPr>
                </w:p>
              </w:tc>
              <w:tc>
                <w:tcPr>
                  <w:tcW w:w="1666" w:type="pct"/>
                  <w:tcBorders>
                    <w:tl2br w:val="nil"/>
                    <w:tr2bl w:val="nil"/>
                  </w:tcBorders>
                  <w:vAlign w:val="center"/>
                </w:tcPr>
                <w:p>
                  <w:pPr>
                    <w:jc w:val="center"/>
                    <w:rPr>
                      <w:kern w:val="0"/>
                      <w:sz w:val="20"/>
                      <w:szCs w:val="21"/>
                    </w:rPr>
                  </w:pPr>
                  <w:r>
                    <w:rPr>
                      <w:kern w:val="0"/>
                      <w:sz w:val="20"/>
                      <w:szCs w:val="21"/>
                    </w:rPr>
                    <w:t>人口数(城市选项时)</w:t>
                  </w:r>
                </w:p>
              </w:tc>
              <w:tc>
                <w:tcPr>
                  <w:tcW w:w="1667" w:type="pct"/>
                  <w:tcBorders>
                    <w:tl2br w:val="nil"/>
                    <w:tr2bl w:val="nil"/>
                  </w:tcBorders>
                  <w:vAlign w:val="center"/>
                </w:tcPr>
                <w:p>
                  <w:pPr>
                    <w:jc w:val="center"/>
                    <w:rPr>
                      <w:kern w:val="0"/>
                      <w:sz w:val="20"/>
                      <w:szCs w:val="21"/>
                    </w:rPr>
                  </w:pPr>
                  <w:r>
                    <w:rPr>
                      <w:rFonts w:hint="eastAsia"/>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3" w:type="pct"/>
                  <w:gridSpan w:val="2"/>
                  <w:tcBorders>
                    <w:tl2br w:val="nil"/>
                    <w:tr2bl w:val="nil"/>
                  </w:tcBorders>
                  <w:vAlign w:val="center"/>
                </w:tcPr>
                <w:p>
                  <w:pPr>
                    <w:jc w:val="center"/>
                    <w:rPr>
                      <w:kern w:val="0"/>
                      <w:sz w:val="20"/>
                      <w:szCs w:val="21"/>
                    </w:rPr>
                  </w:pPr>
                  <w:r>
                    <w:rPr>
                      <w:kern w:val="0"/>
                      <w:sz w:val="20"/>
                      <w:szCs w:val="21"/>
                    </w:rPr>
                    <w:t>最高环境温度/℃</w:t>
                  </w:r>
                </w:p>
              </w:tc>
              <w:tc>
                <w:tcPr>
                  <w:tcW w:w="1667" w:type="pct"/>
                  <w:tcBorders>
                    <w:tl2br w:val="nil"/>
                    <w:tr2bl w:val="nil"/>
                  </w:tcBorders>
                  <w:vAlign w:val="center"/>
                </w:tcPr>
                <w:p>
                  <w:pPr>
                    <w:jc w:val="center"/>
                    <w:rPr>
                      <w:kern w:val="0"/>
                      <w:sz w:val="20"/>
                      <w:szCs w:val="21"/>
                    </w:rPr>
                  </w:pPr>
                  <w:r>
                    <w:rPr>
                      <w:kern w:val="0"/>
                      <w:sz w:val="20"/>
                      <w:szCs w:val="21"/>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3" w:type="pct"/>
                  <w:gridSpan w:val="2"/>
                  <w:tcBorders>
                    <w:tl2br w:val="nil"/>
                    <w:tr2bl w:val="nil"/>
                  </w:tcBorders>
                  <w:vAlign w:val="center"/>
                </w:tcPr>
                <w:p>
                  <w:pPr>
                    <w:jc w:val="center"/>
                    <w:rPr>
                      <w:kern w:val="0"/>
                      <w:sz w:val="20"/>
                      <w:szCs w:val="21"/>
                    </w:rPr>
                  </w:pPr>
                  <w:r>
                    <w:rPr>
                      <w:kern w:val="0"/>
                      <w:sz w:val="20"/>
                      <w:szCs w:val="21"/>
                    </w:rPr>
                    <w:t>最低环境温度/℃</w:t>
                  </w:r>
                </w:p>
              </w:tc>
              <w:tc>
                <w:tcPr>
                  <w:tcW w:w="1667" w:type="pct"/>
                  <w:tcBorders>
                    <w:tl2br w:val="nil"/>
                    <w:tr2bl w:val="nil"/>
                  </w:tcBorders>
                  <w:vAlign w:val="center"/>
                </w:tcPr>
                <w:p>
                  <w:pPr>
                    <w:jc w:val="center"/>
                    <w:rPr>
                      <w:kern w:val="0"/>
                      <w:sz w:val="20"/>
                      <w:szCs w:val="21"/>
                    </w:rPr>
                  </w:pPr>
                  <w:r>
                    <w:rPr>
                      <w:kern w:val="0"/>
                      <w:sz w:val="20"/>
                      <w:szCs w:val="21"/>
                    </w:rPr>
                    <w:t>-19.7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3" w:type="pct"/>
                  <w:gridSpan w:val="2"/>
                  <w:tcBorders>
                    <w:tl2br w:val="nil"/>
                    <w:tr2bl w:val="nil"/>
                  </w:tcBorders>
                  <w:vAlign w:val="center"/>
                </w:tcPr>
                <w:p>
                  <w:pPr>
                    <w:jc w:val="center"/>
                    <w:rPr>
                      <w:kern w:val="0"/>
                      <w:sz w:val="20"/>
                      <w:szCs w:val="21"/>
                    </w:rPr>
                  </w:pPr>
                  <w:r>
                    <w:rPr>
                      <w:kern w:val="0"/>
                      <w:sz w:val="20"/>
                      <w:szCs w:val="21"/>
                    </w:rPr>
                    <w:t>土地利用类型</w:t>
                  </w:r>
                </w:p>
              </w:tc>
              <w:tc>
                <w:tcPr>
                  <w:tcW w:w="1667" w:type="pct"/>
                  <w:tcBorders>
                    <w:tl2br w:val="nil"/>
                    <w:tr2bl w:val="nil"/>
                  </w:tcBorders>
                  <w:vAlign w:val="center"/>
                </w:tcPr>
                <w:p>
                  <w:pPr>
                    <w:jc w:val="center"/>
                    <w:rPr>
                      <w:kern w:val="0"/>
                      <w:sz w:val="20"/>
                      <w:szCs w:val="21"/>
                    </w:rPr>
                  </w:pPr>
                  <w:r>
                    <w:rPr>
                      <w:rFonts w:hint="eastAsia"/>
                      <w:kern w:val="0"/>
                      <w:sz w:val="20"/>
                      <w:szCs w:val="21"/>
                    </w:rPr>
                    <w:t>农村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3" w:type="pct"/>
                  <w:gridSpan w:val="2"/>
                  <w:tcBorders>
                    <w:tl2br w:val="nil"/>
                    <w:tr2bl w:val="nil"/>
                  </w:tcBorders>
                  <w:vAlign w:val="center"/>
                </w:tcPr>
                <w:p>
                  <w:pPr>
                    <w:jc w:val="center"/>
                    <w:rPr>
                      <w:kern w:val="0"/>
                      <w:sz w:val="20"/>
                      <w:szCs w:val="21"/>
                    </w:rPr>
                  </w:pPr>
                  <w:r>
                    <w:rPr>
                      <w:kern w:val="0"/>
                      <w:sz w:val="20"/>
                      <w:szCs w:val="21"/>
                    </w:rPr>
                    <w:t>区域湿度条件</w:t>
                  </w:r>
                </w:p>
              </w:tc>
              <w:tc>
                <w:tcPr>
                  <w:tcW w:w="1667" w:type="pct"/>
                  <w:tcBorders>
                    <w:tl2br w:val="nil"/>
                    <w:tr2bl w:val="nil"/>
                  </w:tcBorders>
                  <w:vAlign w:val="center"/>
                </w:tcPr>
                <w:p>
                  <w:pPr>
                    <w:jc w:val="center"/>
                    <w:rPr>
                      <w:kern w:val="0"/>
                      <w:sz w:val="20"/>
                      <w:szCs w:val="21"/>
                    </w:rPr>
                  </w:pPr>
                  <w:r>
                    <w:rPr>
                      <w:rFonts w:hint="eastAsia" w:ascii="宋体" w:hAnsi="宋体" w:cs="宋体"/>
                    </w:rPr>
                    <w:t>中等湿度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vMerge w:val="restart"/>
                  <w:tcBorders>
                    <w:tl2br w:val="nil"/>
                    <w:tr2bl w:val="nil"/>
                  </w:tcBorders>
                  <w:vAlign w:val="center"/>
                </w:tcPr>
                <w:p>
                  <w:pPr>
                    <w:jc w:val="center"/>
                    <w:rPr>
                      <w:kern w:val="0"/>
                      <w:sz w:val="20"/>
                      <w:szCs w:val="21"/>
                    </w:rPr>
                  </w:pPr>
                  <w:r>
                    <w:rPr>
                      <w:kern w:val="0"/>
                      <w:sz w:val="20"/>
                      <w:szCs w:val="21"/>
                    </w:rPr>
                    <w:t>是否考虑地形</w:t>
                  </w:r>
                </w:p>
              </w:tc>
              <w:tc>
                <w:tcPr>
                  <w:tcW w:w="1666" w:type="pct"/>
                  <w:tcBorders>
                    <w:tl2br w:val="nil"/>
                    <w:tr2bl w:val="nil"/>
                  </w:tcBorders>
                  <w:vAlign w:val="center"/>
                </w:tcPr>
                <w:p>
                  <w:pPr>
                    <w:jc w:val="center"/>
                    <w:rPr>
                      <w:kern w:val="0"/>
                      <w:sz w:val="20"/>
                      <w:szCs w:val="21"/>
                    </w:rPr>
                  </w:pPr>
                  <w:r>
                    <w:rPr>
                      <w:kern w:val="0"/>
                      <w:sz w:val="20"/>
                      <w:szCs w:val="21"/>
                    </w:rPr>
                    <w:t>考虑地形</w:t>
                  </w:r>
                </w:p>
              </w:tc>
              <w:tc>
                <w:tcPr>
                  <w:tcW w:w="1667" w:type="pct"/>
                  <w:tcBorders>
                    <w:tl2br w:val="nil"/>
                    <w:tr2bl w:val="nil"/>
                  </w:tcBorders>
                  <w:vAlign w:val="center"/>
                </w:tcPr>
                <w:p>
                  <w:pPr>
                    <w:jc w:val="center"/>
                    <w:rPr>
                      <w:kern w:val="0"/>
                      <w:sz w:val="20"/>
                      <w:szCs w:val="21"/>
                    </w:rPr>
                  </w:pPr>
                  <w:r>
                    <w:rPr>
                      <w:spacing w:val="-10"/>
                      <w:kern w:val="0"/>
                      <w:sz w:val="20"/>
                      <w:szCs w:val="21"/>
                    </w:rPr>
                    <w:sym w:font="Wingdings 2" w:char="00A3"/>
                  </w:r>
                  <w:r>
                    <w:rPr>
                      <w:spacing w:val="-10"/>
                      <w:kern w:val="0"/>
                      <w:sz w:val="20"/>
                      <w:szCs w:val="21"/>
                    </w:rPr>
                    <w:t xml:space="preserve">是 </w:t>
                  </w:r>
                  <w:r>
                    <w:rPr>
                      <w:spacing w:val="-10"/>
                      <w:kern w:val="0"/>
                      <w:sz w:val="20"/>
                      <w:szCs w:val="21"/>
                    </w:rPr>
                    <w:sym w:font="Wingdings 2" w:char="0052"/>
                  </w:r>
                  <w:r>
                    <w:rPr>
                      <w:spacing w:val="-10"/>
                      <w:kern w:val="0"/>
                      <w:sz w:val="2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vMerge w:val="continue"/>
                  <w:tcBorders>
                    <w:tl2br w:val="nil"/>
                    <w:tr2bl w:val="nil"/>
                  </w:tcBorders>
                  <w:vAlign w:val="center"/>
                </w:tcPr>
                <w:p>
                  <w:pPr>
                    <w:jc w:val="center"/>
                    <w:rPr>
                      <w:kern w:val="0"/>
                      <w:sz w:val="20"/>
                      <w:szCs w:val="21"/>
                    </w:rPr>
                  </w:pPr>
                </w:p>
              </w:tc>
              <w:tc>
                <w:tcPr>
                  <w:tcW w:w="1666" w:type="pct"/>
                  <w:tcBorders>
                    <w:tl2br w:val="nil"/>
                    <w:tr2bl w:val="nil"/>
                  </w:tcBorders>
                  <w:vAlign w:val="center"/>
                </w:tcPr>
                <w:p>
                  <w:pPr>
                    <w:jc w:val="center"/>
                    <w:rPr>
                      <w:kern w:val="0"/>
                      <w:sz w:val="20"/>
                      <w:szCs w:val="21"/>
                    </w:rPr>
                  </w:pPr>
                  <w:r>
                    <w:rPr>
                      <w:kern w:val="0"/>
                      <w:sz w:val="20"/>
                      <w:szCs w:val="21"/>
                    </w:rPr>
                    <w:t>地形数据分辨率/m</w:t>
                  </w:r>
                </w:p>
              </w:tc>
              <w:tc>
                <w:tcPr>
                  <w:tcW w:w="1667" w:type="pct"/>
                  <w:tcBorders>
                    <w:tl2br w:val="nil"/>
                    <w:tr2bl w:val="nil"/>
                  </w:tcBorders>
                  <w:vAlign w:val="center"/>
                </w:tcPr>
                <w:p>
                  <w:pPr>
                    <w:jc w:val="center"/>
                    <w:rPr>
                      <w:kern w:val="0"/>
                      <w:sz w:val="20"/>
                      <w:szCs w:val="21"/>
                    </w:rPr>
                  </w:pPr>
                  <w:r>
                    <w:rPr>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vMerge w:val="restart"/>
                  <w:tcBorders>
                    <w:tl2br w:val="nil"/>
                    <w:tr2bl w:val="nil"/>
                  </w:tcBorders>
                  <w:vAlign w:val="center"/>
                </w:tcPr>
                <w:p>
                  <w:pPr>
                    <w:jc w:val="center"/>
                    <w:rPr>
                      <w:kern w:val="0"/>
                      <w:sz w:val="20"/>
                      <w:szCs w:val="21"/>
                    </w:rPr>
                  </w:pPr>
                  <w:r>
                    <w:rPr>
                      <w:kern w:val="0"/>
                      <w:sz w:val="20"/>
                      <w:szCs w:val="21"/>
                    </w:rPr>
                    <w:t>是否考虑岸线熏烟</w:t>
                  </w:r>
                </w:p>
              </w:tc>
              <w:tc>
                <w:tcPr>
                  <w:tcW w:w="1666" w:type="pct"/>
                  <w:tcBorders>
                    <w:tl2br w:val="nil"/>
                    <w:tr2bl w:val="nil"/>
                  </w:tcBorders>
                  <w:vAlign w:val="center"/>
                </w:tcPr>
                <w:p>
                  <w:pPr>
                    <w:jc w:val="center"/>
                    <w:rPr>
                      <w:kern w:val="0"/>
                      <w:sz w:val="20"/>
                      <w:szCs w:val="21"/>
                    </w:rPr>
                  </w:pPr>
                  <w:r>
                    <w:rPr>
                      <w:kern w:val="0"/>
                      <w:sz w:val="20"/>
                      <w:szCs w:val="21"/>
                    </w:rPr>
                    <w:t>考虑岸线熏烟</w:t>
                  </w:r>
                </w:p>
              </w:tc>
              <w:tc>
                <w:tcPr>
                  <w:tcW w:w="1667" w:type="pct"/>
                  <w:tcBorders>
                    <w:tl2br w:val="nil"/>
                    <w:tr2bl w:val="nil"/>
                  </w:tcBorders>
                  <w:vAlign w:val="center"/>
                </w:tcPr>
                <w:p>
                  <w:pPr>
                    <w:jc w:val="center"/>
                    <w:rPr>
                      <w:kern w:val="0"/>
                      <w:sz w:val="20"/>
                      <w:szCs w:val="21"/>
                    </w:rPr>
                  </w:pPr>
                  <w:r>
                    <w:rPr>
                      <w:spacing w:val="-10"/>
                      <w:kern w:val="0"/>
                      <w:sz w:val="20"/>
                      <w:szCs w:val="21"/>
                    </w:rPr>
                    <w:sym w:font="Wingdings 2" w:char="00A3"/>
                  </w:r>
                  <w:r>
                    <w:rPr>
                      <w:spacing w:val="-10"/>
                      <w:kern w:val="0"/>
                      <w:sz w:val="20"/>
                      <w:szCs w:val="21"/>
                    </w:rPr>
                    <w:t xml:space="preserve">是 </w:t>
                  </w:r>
                  <w:r>
                    <w:rPr>
                      <w:spacing w:val="-10"/>
                      <w:kern w:val="0"/>
                      <w:sz w:val="20"/>
                      <w:szCs w:val="21"/>
                    </w:rPr>
                    <w:sym w:font="Wingdings 2" w:char="0052"/>
                  </w:r>
                  <w:r>
                    <w:rPr>
                      <w:spacing w:val="-10"/>
                      <w:kern w:val="0"/>
                      <w:sz w:val="2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vMerge w:val="continue"/>
                  <w:tcBorders>
                    <w:tl2br w:val="nil"/>
                    <w:tr2bl w:val="nil"/>
                  </w:tcBorders>
                  <w:vAlign w:val="center"/>
                </w:tcPr>
                <w:p>
                  <w:pPr>
                    <w:jc w:val="center"/>
                    <w:rPr>
                      <w:kern w:val="0"/>
                      <w:sz w:val="20"/>
                      <w:szCs w:val="21"/>
                    </w:rPr>
                  </w:pPr>
                </w:p>
              </w:tc>
              <w:tc>
                <w:tcPr>
                  <w:tcW w:w="1666" w:type="pct"/>
                  <w:tcBorders>
                    <w:tl2br w:val="nil"/>
                    <w:tr2bl w:val="nil"/>
                  </w:tcBorders>
                  <w:vAlign w:val="center"/>
                </w:tcPr>
                <w:p>
                  <w:pPr>
                    <w:jc w:val="center"/>
                    <w:rPr>
                      <w:kern w:val="0"/>
                      <w:sz w:val="20"/>
                      <w:szCs w:val="21"/>
                    </w:rPr>
                  </w:pPr>
                  <w:r>
                    <w:rPr>
                      <w:kern w:val="0"/>
                      <w:sz w:val="20"/>
                      <w:szCs w:val="21"/>
                    </w:rPr>
                    <w:t>岸线距离/km</w:t>
                  </w:r>
                </w:p>
              </w:tc>
              <w:tc>
                <w:tcPr>
                  <w:tcW w:w="1667" w:type="pct"/>
                  <w:tcBorders>
                    <w:tl2br w:val="nil"/>
                    <w:tr2bl w:val="nil"/>
                  </w:tcBorders>
                  <w:vAlign w:val="center"/>
                </w:tcPr>
                <w:p>
                  <w:pPr>
                    <w:jc w:val="center"/>
                    <w:rPr>
                      <w:kern w:val="0"/>
                      <w:sz w:val="20"/>
                      <w:szCs w:val="21"/>
                    </w:rPr>
                  </w:pPr>
                  <w:r>
                    <w:rPr>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vMerge w:val="continue"/>
                  <w:tcBorders>
                    <w:tl2br w:val="nil"/>
                    <w:tr2bl w:val="nil"/>
                  </w:tcBorders>
                  <w:vAlign w:val="center"/>
                </w:tcPr>
                <w:p>
                  <w:pPr>
                    <w:jc w:val="center"/>
                    <w:rPr>
                      <w:kern w:val="0"/>
                      <w:sz w:val="20"/>
                      <w:szCs w:val="21"/>
                    </w:rPr>
                  </w:pPr>
                </w:p>
              </w:tc>
              <w:tc>
                <w:tcPr>
                  <w:tcW w:w="1666" w:type="pct"/>
                  <w:tcBorders>
                    <w:tl2br w:val="nil"/>
                    <w:tr2bl w:val="nil"/>
                  </w:tcBorders>
                  <w:vAlign w:val="center"/>
                </w:tcPr>
                <w:p>
                  <w:pPr>
                    <w:jc w:val="center"/>
                    <w:rPr>
                      <w:kern w:val="0"/>
                      <w:sz w:val="20"/>
                      <w:szCs w:val="21"/>
                    </w:rPr>
                  </w:pPr>
                  <w:r>
                    <w:rPr>
                      <w:kern w:val="0"/>
                      <w:sz w:val="20"/>
                      <w:szCs w:val="21"/>
                    </w:rPr>
                    <w:t>岸线方向/°</w:t>
                  </w:r>
                </w:p>
              </w:tc>
              <w:tc>
                <w:tcPr>
                  <w:tcW w:w="1667" w:type="pct"/>
                  <w:tcBorders>
                    <w:tl2br w:val="nil"/>
                    <w:tr2bl w:val="nil"/>
                  </w:tcBorders>
                  <w:vAlign w:val="center"/>
                </w:tcPr>
                <w:p>
                  <w:pPr>
                    <w:jc w:val="center"/>
                    <w:rPr>
                      <w:kern w:val="0"/>
                      <w:sz w:val="20"/>
                      <w:szCs w:val="21"/>
                    </w:rPr>
                  </w:pPr>
                  <w:r>
                    <w:rPr>
                      <w:kern w:val="0"/>
                      <w:sz w:val="20"/>
                      <w:szCs w:val="21"/>
                    </w:rPr>
                    <w:t>/</w:t>
                  </w:r>
                </w:p>
              </w:tc>
            </w:tr>
          </w:tbl>
          <w:p>
            <w:pPr>
              <w:widowControl/>
              <w:spacing w:line="460" w:lineRule="exact"/>
              <w:ind w:firstLine="480" w:firstLineChars="200"/>
              <w:rPr>
                <w:color w:val="000000"/>
                <w:kern w:val="0"/>
                <w:sz w:val="24"/>
                <w:lang w:bidi="en-US"/>
              </w:rPr>
            </w:pPr>
            <w:r>
              <w:rPr>
                <w:color w:val="000000"/>
                <w:kern w:val="0"/>
                <w:sz w:val="24"/>
                <w:lang w:bidi="en-US"/>
              </w:rPr>
              <w:t>（3）主要污染源速算模型计算结果</w:t>
            </w:r>
          </w:p>
          <w:p>
            <w:pPr>
              <w:widowControl/>
              <w:spacing w:line="460" w:lineRule="exact"/>
              <w:ind w:firstLine="480" w:firstLineChars="200"/>
              <w:rPr>
                <w:color w:val="000000"/>
                <w:kern w:val="0"/>
                <w:sz w:val="24"/>
                <w:lang w:bidi="en-US"/>
              </w:rPr>
            </w:pPr>
            <w:r>
              <w:rPr>
                <w:color w:val="000000"/>
                <w:kern w:val="0"/>
                <w:sz w:val="24"/>
                <w:lang w:bidi="en-US"/>
              </w:rPr>
              <w:t>项目主要污染源估算模型计算结果见表7-4</w:t>
            </w:r>
            <w:r>
              <w:rPr>
                <w:rFonts w:hint="eastAsia"/>
                <w:color w:val="000000"/>
                <w:kern w:val="0"/>
                <w:sz w:val="24"/>
                <w:lang w:bidi="en-US"/>
              </w:rPr>
              <w:t>。</w:t>
            </w:r>
          </w:p>
          <w:p>
            <w:pPr>
              <w:spacing w:before="156" w:beforeLines="50" w:line="360" w:lineRule="auto"/>
              <w:jc w:val="center"/>
              <w:rPr>
                <w:b/>
                <w:bCs/>
                <w:kern w:val="0"/>
                <w:sz w:val="24"/>
              </w:rPr>
            </w:pPr>
            <w:r>
              <w:rPr>
                <w:rFonts w:hint="eastAsia"/>
                <w:b/>
                <w:bCs/>
                <w:kern w:val="0"/>
                <w:sz w:val="24"/>
              </w:rPr>
              <w:t>表7-</w:t>
            </w:r>
            <w:r>
              <w:rPr>
                <w:b/>
                <w:bCs/>
                <w:kern w:val="0"/>
                <w:sz w:val="24"/>
              </w:rPr>
              <w:t>4</w:t>
            </w:r>
            <w:r>
              <w:rPr>
                <w:rFonts w:hint="eastAsia"/>
                <w:b/>
                <w:bCs/>
                <w:kern w:val="0"/>
                <w:sz w:val="24"/>
              </w:rPr>
              <w:t xml:space="preserve">   AERSREEN估算模式推荐的评价等级</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1265"/>
              <w:gridCol w:w="1427"/>
              <w:gridCol w:w="1457"/>
              <w:gridCol w:w="1293"/>
              <w:gridCol w:w="881"/>
              <w:gridCol w:w="1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306" w:type="pct"/>
                  <w:gridSpan w:val="2"/>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污染</w:t>
                  </w:r>
                  <w:r>
                    <w:rPr>
                      <w:rFonts w:hint="eastAsia"/>
                      <w:snapToGrid w:val="0"/>
                      <w:color w:val="000000" w:themeColor="text1"/>
                      <w:kern w:val="0"/>
                      <w:szCs w:val="21"/>
                      <w14:textFill>
                        <w14:solidFill>
                          <w14:schemeClr w14:val="tx1"/>
                        </w14:solidFill>
                      </w14:textFill>
                    </w:rPr>
                    <w:t>因子</w:t>
                  </w:r>
                </w:p>
              </w:tc>
              <w:tc>
                <w:tcPr>
                  <w:tcW w:w="809" w:type="pct"/>
                  <w:vAlign w:val="center"/>
                </w:tcPr>
                <w:p>
                  <w:pPr>
                    <w:adjustRightInd w:val="0"/>
                    <w:snapToGrid w:val="0"/>
                    <w:jc w:val="center"/>
                    <w:rPr>
                      <w:snapToGrid w:val="0"/>
                      <w:color w:val="000000" w:themeColor="text1"/>
                      <w:kern w:val="0"/>
                      <w:szCs w:val="21"/>
                      <w14:textFill>
                        <w14:solidFill>
                          <w14:schemeClr w14:val="tx1"/>
                        </w14:solidFill>
                      </w14:textFill>
                    </w:rPr>
                  </w:pPr>
                  <w:r>
                    <w:rPr>
                      <w:rFonts w:hint="eastAsia"/>
                      <w:snapToGrid w:val="0"/>
                      <w:color w:val="000000" w:themeColor="text1"/>
                      <w:kern w:val="0"/>
                      <w:szCs w:val="21"/>
                      <w14:textFill>
                        <w14:solidFill>
                          <w14:schemeClr w14:val="tx1"/>
                        </w14:solidFill>
                      </w14:textFill>
                    </w:rPr>
                    <w:t>最大落地浓度 (</w:t>
                  </w:r>
                  <w:r>
                    <w:rPr>
                      <w:snapToGrid w:val="0"/>
                      <w:color w:val="000000" w:themeColor="text1"/>
                      <w:kern w:val="0"/>
                      <w:szCs w:val="21"/>
                      <w14:textFill>
                        <w14:solidFill>
                          <w14:schemeClr w14:val="tx1"/>
                        </w14:solidFill>
                      </w14:textFill>
                    </w:rPr>
                    <w:t>µ</w:t>
                  </w:r>
                  <w:r>
                    <w:rPr>
                      <w:rFonts w:hint="eastAsia"/>
                      <w:snapToGrid w:val="0"/>
                      <w:color w:val="000000" w:themeColor="text1"/>
                      <w:kern w:val="0"/>
                      <w:szCs w:val="21"/>
                      <w14:textFill>
                        <w14:solidFill>
                          <w14:schemeClr w14:val="tx1"/>
                        </w14:solidFill>
                      </w14:textFill>
                    </w:rPr>
                    <w:t>g/m</w:t>
                  </w:r>
                  <w:r>
                    <w:rPr>
                      <w:rFonts w:hint="eastAsia"/>
                      <w:snapToGrid w:val="0"/>
                      <w:color w:val="000000" w:themeColor="text1"/>
                      <w:kern w:val="0"/>
                      <w:szCs w:val="21"/>
                      <w:vertAlign w:val="superscript"/>
                      <w14:textFill>
                        <w14:solidFill>
                          <w14:schemeClr w14:val="tx1"/>
                        </w14:solidFill>
                      </w14:textFill>
                    </w:rPr>
                    <w:t>3</w:t>
                  </w:r>
                  <w:r>
                    <w:rPr>
                      <w:rFonts w:hint="eastAsia"/>
                      <w:snapToGrid w:val="0"/>
                      <w:color w:val="000000" w:themeColor="text1"/>
                      <w:kern w:val="0"/>
                      <w:szCs w:val="21"/>
                      <w14:textFill>
                        <w14:solidFill>
                          <w14:schemeClr w14:val="tx1"/>
                        </w14:solidFill>
                      </w14:textFill>
                    </w:rPr>
                    <w:t>)</w:t>
                  </w:r>
                </w:p>
              </w:tc>
              <w:tc>
                <w:tcPr>
                  <w:tcW w:w="826" w:type="pct"/>
                  <w:vAlign w:val="center"/>
                </w:tcPr>
                <w:p>
                  <w:pPr>
                    <w:adjustRightInd w:val="0"/>
                    <w:snapToGrid w:val="0"/>
                    <w:jc w:val="center"/>
                    <w:rPr>
                      <w:snapToGrid w:val="0"/>
                      <w:color w:val="000000" w:themeColor="text1"/>
                      <w:kern w:val="0"/>
                      <w:szCs w:val="21"/>
                      <w14:textFill>
                        <w14:solidFill>
                          <w14:schemeClr w14:val="tx1"/>
                        </w14:solidFill>
                      </w14:textFill>
                    </w:rPr>
                  </w:pPr>
                  <w:r>
                    <w:rPr>
                      <w:bCs/>
                      <w:color w:val="000000" w:themeColor="text1"/>
                      <w:szCs w:val="21"/>
                      <w14:textFill>
                        <w14:solidFill>
                          <w14:schemeClr w14:val="tx1"/>
                        </w14:solidFill>
                      </w14:textFill>
                    </w:rPr>
                    <w:t>最大浓度落地点 (m)</w:t>
                  </w:r>
                </w:p>
              </w:tc>
              <w:tc>
                <w:tcPr>
                  <w:tcW w:w="733" w:type="pct"/>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评价标准 (µ</w:t>
                  </w:r>
                  <w:r>
                    <w:rPr>
                      <w:rFonts w:hint="eastAsia"/>
                      <w:snapToGrid w:val="0"/>
                      <w:color w:val="000000" w:themeColor="text1"/>
                      <w:kern w:val="0"/>
                      <w:szCs w:val="21"/>
                      <w14:textFill>
                        <w14:solidFill>
                          <w14:schemeClr w14:val="tx1"/>
                        </w14:solidFill>
                      </w14:textFill>
                    </w:rPr>
                    <w:t>g/m</w:t>
                  </w:r>
                  <w:r>
                    <w:rPr>
                      <w:rFonts w:hint="eastAsia"/>
                      <w:snapToGrid w:val="0"/>
                      <w:color w:val="000000" w:themeColor="text1"/>
                      <w:kern w:val="0"/>
                      <w:szCs w:val="21"/>
                      <w:vertAlign w:val="superscript"/>
                      <w14:textFill>
                        <w14:solidFill>
                          <w14:schemeClr w14:val="tx1"/>
                        </w14:solidFill>
                      </w14:textFill>
                    </w:rPr>
                    <w:t>3</w:t>
                  </w:r>
                  <w:r>
                    <w:rPr>
                      <w:snapToGrid w:val="0"/>
                      <w:color w:val="000000" w:themeColor="text1"/>
                      <w:kern w:val="0"/>
                      <w:szCs w:val="21"/>
                      <w14:textFill>
                        <w14:solidFill>
                          <w14:schemeClr w14:val="tx1"/>
                        </w14:solidFill>
                      </w14:textFill>
                    </w:rPr>
                    <w:t>)</w:t>
                  </w:r>
                </w:p>
              </w:tc>
              <w:tc>
                <w:tcPr>
                  <w:tcW w:w="499" w:type="pct"/>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占标率</w:t>
                  </w:r>
                </w:p>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w:t>
                  </w:r>
                </w:p>
              </w:tc>
              <w:tc>
                <w:tcPr>
                  <w:tcW w:w="827" w:type="pct"/>
                  <w:vAlign w:val="center"/>
                </w:tcPr>
                <w:p>
                  <w:pPr>
                    <w:widowControl/>
                    <w:adjustRightInd w:val="0"/>
                    <w:snapToGrid w:val="0"/>
                    <w:jc w:val="center"/>
                    <w:textAlignment w:val="center"/>
                    <w:rPr>
                      <w:bCs/>
                      <w:snapToGrid w:val="0"/>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推荐评价等级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89" w:type="pct"/>
                  <w:vMerge w:val="restart"/>
                  <w:vAlign w:val="center"/>
                </w:tcPr>
                <w:p>
                  <w:pPr>
                    <w:widowControl/>
                    <w:adjustRightInd w:val="0"/>
                    <w:snapToGrid w:val="0"/>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P1</w:t>
                  </w:r>
                  <w:r>
                    <w:rPr>
                      <w:rFonts w:hint="eastAsia"/>
                      <w:color w:val="000000" w:themeColor="text1"/>
                      <w:kern w:val="0"/>
                      <w:szCs w:val="21"/>
                      <w14:textFill>
                        <w14:solidFill>
                          <w14:schemeClr w14:val="tx1"/>
                        </w14:solidFill>
                      </w14:textFill>
                    </w:rPr>
                    <w:t>有组织</w:t>
                  </w:r>
                </w:p>
              </w:tc>
              <w:tc>
                <w:tcPr>
                  <w:tcW w:w="717"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苯乙烯</w:t>
                  </w:r>
                </w:p>
              </w:tc>
              <w:tc>
                <w:tcPr>
                  <w:tcW w:w="809" w:type="pct"/>
                  <w:vAlign w:val="center"/>
                </w:tcPr>
                <w:p>
                  <w:pPr>
                    <w:widowControl/>
                    <w:adjustRightInd w:val="0"/>
                    <w:snapToGrid w:val="0"/>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0.355452</w:t>
                  </w:r>
                </w:p>
              </w:tc>
              <w:tc>
                <w:tcPr>
                  <w:tcW w:w="826" w:type="pct"/>
                  <w:vAlign w:val="center"/>
                </w:tcPr>
                <w:p>
                  <w:pPr>
                    <w:widowControl/>
                    <w:adjustRightInd w:val="0"/>
                    <w:snapToGrid w:val="0"/>
                    <w:jc w:val="center"/>
                    <w:textAlignment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01</w:t>
                  </w:r>
                </w:p>
              </w:tc>
              <w:tc>
                <w:tcPr>
                  <w:tcW w:w="733" w:type="pct"/>
                  <w:vAlign w:val="center"/>
                </w:tcPr>
                <w:p>
                  <w:pPr>
                    <w:widowControl/>
                    <w:adjustRightInd w:val="0"/>
                    <w:snapToGrid w:val="0"/>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499" w:type="pct"/>
                  <w:vAlign w:val="center"/>
                </w:tcPr>
                <w:p>
                  <w:pPr>
                    <w:widowControl/>
                    <w:adjustRightInd w:val="0"/>
                    <w:snapToGrid w:val="0"/>
                    <w:jc w:val="center"/>
                    <w:textAlignment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.55</w:t>
                  </w:r>
                </w:p>
              </w:tc>
              <w:tc>
                <w:tcPr>
                  <w:tcW w:w="827" w:type="pct"/>
                  <w:vAlign w:val="center"/>
                </w:tcPr>
                <w:p>
                  <w:pPr>
                    <w:pStyle w:val="70"/>
                    <w:adjustRightInd w:val="0"/>
                    <w:snapToGrid w:val="0"/>
                    <w:spacing w:line="240" w:lineRule="auto"/>
                    <w:ind w:firstLine="0" w:firstLineChars="0"/>
                    <w:rPr>
                      <w:rFonts w:ascii="宋体" w:hAnsi="宋体" w:cs="宋体"/>
                      <w:color w:val="000000" w:themeColor="text1"/>
                      <w:sz w:val="21"/>
                      <w14:textFill>
                        <w14:solidFill>
                          <w14:schemeClr w14:val="tx1"/>
                        </w14:solidFill>
                      </w14:textFill>
                    </w:rPr>
                  </w:pPr>
                  <w:r>
                    <w:rPr>
                      <w:rFonts w:hint="eastAsia" w:ascii="宋体" w:hAnsi="宋体" w:cs="宋体"/>
                      <w:color w:val="000000" w:themeColor="text1"/>
                      <w:sz w:val="21"/>
                      <w14:textFill>
                        <w14:solidFill>
                          <w14:schemeClr w14:val="tx1"/>
                        </w14:solidFill>
                      </w14:textFill>
                    </w:rPr>
                    <w:t>二级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89" w:type="pct"/>
                  <w:vMerge w:val="continue"/>
                  <w:vAlign w:val="center"/>
                </w:tcPr>
                <w:p>
                  <w:pPr>
                    <w:widowControl/>
                    <w:adjustRightInd w:val="0"/>
                    <w:snapToGrid w:val="0"/>
                    <w:jc w:val="center"/>
                    <w:textAlignment w:val="center"/>
                    <w:rPr>
                      <w:color w:val="000000" w:themeColor="text1"/>
                      <w:kern w:val="0"/>
                      <w:szCs w:val="21"/>
                      <w14:textFill>
                        <w14:solidFill>
                          <w14:schemeClr w14:val="tx1"/>
                        </w14:solidFill>
                      </w14:textFill>
                    </w:rPr>
                  </w:pPr>
                </w:p>
              </w:tc>
              <w:tc>
                <w:tcPr>
                  <w:tcW w:w="717"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非甲烷总烃</w:t>
                  </w:r>
                </w:p>
              </w:tc>
              <w:tc>
                <w:tcPr>
                  <w:tcW w:w="809" w:type="pct"/>
                  <w:vAlign w:val="center"/>
                </w:tcPr>
                <w:p>
                  <w:pPr>
                    <w:widowControl/>
                    <w:adjustRightInd w:val="0"/>
                    <w:snapToGrid w:val="0"/>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3.6967</w:t>
                  </w:r>
                </w:p>
              </w:tc>
              <w:tc>
                <w:tcPr>
                  <w:tcW w:w="826" w:type="pct"/>
                  <w:vAlign w:val="center"/>
                </w:tcPr>
                <w:p>
                  <w:pPr>
                    <w:widowControl/>
                    <w:adjustRightInd w:val="0"/>
                    <w:snapToGrid w:val="0"/>
                    <w:jc w:val="center"/>
                    <w:textAlignment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01</w:t>
                  </w:r>
                </w:p>
              </w:tc>
              <w:tc>
                <w:tcPr>
                  <w:tcW w:w="733" w:type="pct"/>
                  <w:vAlign w:val="center"/>
                </w:tcPr>
                <w:p>
                  <w:pPr>
                    <w:widowControl/>
                    <w:adjustRightInd w:val="0"/>
                    <w:snapToGrid w:val="0"/>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2000</w:t>
                  </w:r>
                </w:p>
              </w:tc>
              <w:tc>
                <w:tcPr>
                  <w:tcW w:w="499" w:type="pct"/>
                  <w:vAlign w:val="center"/>
                </w:tcPr>
                <w:p>
                  <w:pPr>
                    <w:widowControl/>
                    <w:adjustRightInd w:val="0"/>
                    <w:snapToGrid w:val="0"/>
                    <w:jc w:val="center"/>
                    <w:textAlignment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.18</w:t>
                  </w:r>
                </w:p>
              </w:tc>
              <w:tc>
                <w:tcPr>
                  <w:tcW w:w="827" w:type="pct"/>
                  <w:vAlign w:val="center"/>
                </w:tcPr>
                <w:p>
                  <w:pPr>
                    <w:pStyle w:val="70"/>
                    <w:adjustRightInd w:val="0"/>
                    <w:snapToGrid w:val="0"/>
                    <w:spacing w:line="240" w:lineRule="auto"/>
                    <w:ind w:firstLine="0" w:firstLineChars="0"/>
                    <w:rPr>
                      <w:rFonts w:ascii="宋体" w:hAnsi="宋体" w:cs="宋体"/>
                      <w:color w:val="000000" w:themeColor="text1"/>
                      <w:sz w:val="21"/>
                      <w14:textFill>
                        <w14:solidFill>
                          <w14:schemeClr w14:val="tx1"/>
                        </w14:solidFill>
                      </w14:textFill>
                    </w:rPr>
                  </w:pPr>
                  <w:r>
                    <w:rPr>
                      <w:rFonts w:hint="eastAsia" w:ascii="宋体" w:hAnsi="宋体" w:cs="宋体"/>
                      <w:color w:val="000000" w:themeColor="text1"/>
                      <w:sz w:val="21"/>
                      <w14:textFill>
                        <w14:solidFill>
                          <w14:schemeClr w14:val="tx1"/>
                        </w14:solidFill>
                      </w14:textFill>
                    </w:rPr>
                    <w:t>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89" w:type="pct"/>
                  <w:vAlign w:val="center"/>
                </w:tcPr>
                <w:p>
                  <w:pPr>
                    <w:adjustRightInd w:val="0"/>
                    <w:snapToGrid w:val="0"/>
                    <w:jc w:val="center"/>
                    <w:textAlignment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P2</w:t>
                  </w:r>
                  <w:r>
                    <w:rPr>
                      <w:rFonts w:hint="eastAsia"/>
                      <w:color w:val="000000" w:themeColor="text1"/>
                      <w:kern w:val="0"/>
                      <w:szCs w:val="21"/>
                      <w14:textFill>
                        <w14:solidFill>
                          <w14:schemeClr w14:val="tx1"/>
                        </w14:solidFill>
                      </w14:textFill>
                    </w:rPr>
                    <w:t>有组织</w:t>
                  </w:r>
                </w:p>
              </w:tc>
              <w:tc>
                <w:tcPr>
                  <w:tcW w:w="717"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P</w:t>
                  </w:r>
                  <w:r>
                    <w:rPr>
                      <w:color w:val="000000" w:themeColor="text1"/>
                      <w:kern w:val="0"/>
                      <w:szCs w:val="21"/>
                      <w14:textFill>
                        <w14:solidFill>
                          <w14:schemeClr w14:val="tx1"/>
                        </w14:solidFill>
                      </w14:textFill>
                    </w:rPr>
                    <w:t>M</w:t>
                  </w:r>
                  <w:r>
                    <w:rPr>
                      <w:color w:val="000000" w:themeColor="text1"/>
                      <w:kern w:val="0"/>
                      <w:szCs w:val="21"/>
                      <w:vertAlign w:val="subscript"/>
                      <w14:textFill>
                        <w14:solidFill>
                          <w14:schemeClr w14:val="tx1"/>
                        </w14:solidFill>
                      </w14:textFill>
                    </w:rPr>
                    <w:t>10</w:t>
                  </w:r>
                </w:p>
              </w:tc>
              <w:tc>
                <w:tcPr>
                  <w:tcW w:w="809" w:type="pct"/>
                  <w:vAlign w:val="center"/>
                </w:tcPr>
                <w:p>
                  <w:pPr>
                    <w:widowControl/>
                    <w:adjustRightInd w:val="0"/>
                    <w:snapToGrid w:val="0"/>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0.56885</w:t>
                  </w:r>
                </w:p>
              </w:tc>
              <w:tc>
                <w:tcPr>
                  <w:tcW w:w="826" w:type="pct"/>
                  <w:vAlign w:val="center"/>
                </w:tcPr>
                <w:p>
                  <w:pPr>
                    <w:widowControl/>
                    <w:adjustRightInd w:val="0"/>
                    <w:snapToGrid w:val="0"/>
                    <w:jc w:val="center"/>
                    <w:textAlignment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01</w:t>
                  </w:r>
                </w:p>
              </w:tc>
              <w:tc>
                <w:tcPr>
                  <w:tcW w:w="733" w:type="pct"/>
                  <w:vAlign w:val="center"/>
                </w:tcPr>
                <w:p>
                  <w:pPr>
                    <w:widowControl/>
                    <w:adjustRightInd w:val="0"/>
                    <w:snapToGrid w:val="0"/>
                    <w:jc w:val="center"/>
                    <w:textAlignment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50</w:t>
                  </w:r>
                </w:p>
              </w:tc>
              <w:tc>
                <w:tcPr>
                  <w:tcW w:w="499" w:type="pct"/>
                  <w:vAlign w:val="center"/>
                </w:tcPr>
                <w:p>
                  <w:pPr>
                    <w:widowControl/>
                    <w:adjustRightInd w:val="0"/>
                    <w:snapToGrid w:val="0"/>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0.13</w:t>
                  </w:r>
                </w:p>
              </w:tc>
              <w:tc>
                <w:tcPr>
                  <w:tcW w:w="827" w:type="pct"/>
                  <w:vAlign w:val="center"/>
                </w:tcPr>
                <w:p>
                  <w:pPr>
                    <w:pStyle w:val="70"/>
                    <w:adjustRightInd w:val="0"/>
                    <w:snapToGrid w:val="0"/>
                    <w:spacing w:line="240" w:lineRule="auto"/>
                    <w:ind w:firstLine="0" w:firstLineChars="0"/>
                    <w:rPr>
                      <w:rFonts w:ascii="宋体" w:hAnsi="宋体" w:cs="宋体"/>
                      <w:color w:val="000000" w:themeColor="text1"/>
                      <w:sz w:val="21"/>
                      <w14:textFill>
                        <w14:solidFill>
                          <w14:schemeClr w14:val="tx1"/>
                        </w14:solidFill>
                      </w14:textFill>
                    </w:rPr>
                  </w:pPr>
                  <w:r>
                    <w:rPr>
                      <w:rFonts w:hint="eastAsia" w:ascii="宋体" w:hAnsi="宋体" w:cs="宋体"/>
                      <w:color w:val="000000" w:themeColor="text1"/>
                      <w:sz w:val="21"/>
                      <w14:textFill>
                        <w14:solidFill>
                          <w14:schemeClr w14:val="tx1"/>
                        </w14:solidFill>
                      </w14:textFill>
                    </w:rPr>
                    <w:t>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89" w:type="pct"/>
                  <w:vMerge w:val="restar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P3</w:t>
                  </w:r>
                  <w:r>
                    <w:rPr>
                      <w:rFonts w:hint="eastAsia"/>
                      <w:color w:val="000000" w:themeColor="text1"/>
                      <w:kern w:val="0"/>
                      <w:szCs w:val="21"/>
                      <w14:textFill>
                        <w14:solidFill>
                          <w14:schemeClr w14:val="tx1"/>
                        </w14:solidFill>
                      </w14:textFill>
                    </w:rPr>
                    <w:t>有组织</w:t>
                  </w:r>
                </w:p>
              </w:tc>
              <w:tc>
                <w:tcPr>
                  <w:tcW w:w="717"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S</w:t>
                  </w:r>
                  <w:r>
                    <w:rPr>
                      <w:color w:val="000000" w:themeColor="text1"/>
                      <w:kern w:val="0"/>
                      <w:szCs w:val="21"/>
                      <w14:textFill>
                        <w14:solidFill>
                          <w14:schemeClr w14:val="tx1"/>
                        </w14:solidFill>
                      </w14:textFill>
                    </w:rPr>
                    <w:t>O</w:t>
                  </w:r>
                  <w:r>
                    <w:rPr>
                      <w:color w:val="000000" w:themeColor="text1"/>
                      <w:kern w:val="0"/>
                      <w:szCs w:val="21"/>
                      <w:vertAlign w:val="subscript"/>
                      <w14:textFill>
                        <w14:solidFill>
                          <w14:schemeClr w14:val="tx1"/>
                        </w14:solidFill>
                      </w14:textFill>
                    </w:rPr>
                    <w:t>2</w:t>
                  </w:r>
                </w:p>
              </w:tc>
              <w:tc>
                <w:tcPr>
                  <w:tcW w:w="809" w:type="pct"/>
                  <w:vAlign w:val="center"/>
                </w:tcPr>
                <w:p>
                  <w:pPr>
                    <w:widowControl/>
                    <w:adjustRightInd w:val="0"/>
                    <w:snapToGrid w:val="0"/>
                    <w:jc w:val="center"/>
                    <w:textAlignment w:val="center"/>
                    <w:rPr>
                      <w:snapToGrid w:val="0"/>
                      <w:color w:val="000000" w:themeColor="text1"/>
                      <w:kern w:val="0"/>
                      <w:szCs w:val="21"/>
                      <w14:textFill>
                        <w14:solidFill>
                          <w14:schemeClr w14:val="tx1"/>
                        </w14:solidFill>
                      </w14:textFill>
                    </w:rPr>
                  </w:pPr>
                  <w:r>
                    <w:rPr>
                      <w:rFonts w:hint="eastAsia"/>
                      <w:snapToGrid w:val="0"/>
                      <w:color w:val="000000" w:themeColor="text1"/>
                      <w:kern w:val="0"/>
                      <w:szCs w:val="21"/>
                      <w14:textFill>
                        <w14:solidFill>
                          <w14:schemeClr w14:val="tx1"/>
                        </w14:solidFill>
                      </w14:textFill>
                    </w:rPr>
                    <w:t>3</w:t>
                  </w:r>
                  <w:r>
                    <w:rPr>
                      <w:snapToGrid w:val="0"/>
                      <w:color w:val="000000" w:themeColor="text1"/>
                      <w:kern w:val="0"/>
                      <w:szCs w:val="21"/>
                      <w14:textFill>
                        <w14:solidFill>
                          <w14:schemeClr w14:val="tx1"/>
                        </w14:solidFill>
                      </w14:textFill>
                    </w:rPr>
                    <w:t>.0424</w:t>
                  </w:r>
                </w:p>
              </w:tc>
              <w:tc>
                <w:tcPr>
                  <w:tcW w:w="826"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7</w:t>
                  </w:r>
                  <w:r>
                    <w:rPr>
                      <w:color w:val="000000" w:themeColor="text1"/>
                      <w:kern w:val="0"/>
                      <w:szCs w:val="21"/>
                      <w14:textFill>
                        <w14:solidFill>
                          <w14:schemeClr w14:val="tx1"/>
                        </w14:solidFill>
                      </w14:textFill>
                    </w:rPr>
                    <w:t>8</w:t>
                  </w:r>
                </w:p>
              </w:tc>
              <w:tc>
                <w:tcPr>
                  <w:tcW w:w="733"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r>
                    <w:rPr>
                      <w:color w:val="000000" w:themeColor="text1"/>
                      <w:kern w:val="0"/>
                      <w:szCs w:val="21"/>
                      <w14:textFill>
                        <w14:solidFill>
                          <w14:schemeClr w14:val="tx1"/>
                        </w14:solidFill>
                      </w14:textFill>
                    </w:rPr>
                    <w:t>00</w:t>
                  </w:r>
                </w:p>
              </w:tc>
              <w:tc>
                <w:tcPr>
                  <w:tcW w:w="499"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0</w:t>
                  </w:r>
                  <w:r>
                    <w:rPr>
                      <w:color w:val="000000" w:themeColor="text1"/>
                      <w:kern w:val="0"/>
                      <w:szCs w:val="21"/>
                      <w14:textFill>
                        <w14:solidFill>
                          <w14:schemeClr w14:val="tx1"/>
                        </w14:solidFill>
                      </w14:textFill>
                    </w:rPr>
                    <w:t>.61</w:t>
                  </w:r>
                </w:p>
              </w:tc>
              <w:tc>
                <w:tcPr>
                  <w:tcW w:w="827" w:type="pct"/>
                  <w:vAlign w:val="center"/>
                </w:tcPr>
                <w:p>
                  <w:pPr>
                    <w:pStyle w:val="70"/>
                    <w:adjustRightInd w:val="0"/>
                    <w:snapToGrid w:val="0"/>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89" w:type="pct"/>
                  <w:vMerge w:val="continue"/>
                  <w:vAlign w:val="center"/>
                </w:tcPr>
                <w:p>
                  <w:pPr>
                    <w:widowControl/>
                    <w:adjustRightInd w:val="0"/>
                    <w:snapToGrid w:val="0"/>
                    <w:jc w:val="center"/>
                    <w:textAlignment w:val="center"/>
                    <w:rPr>
                      <w:color w:val="000000" w:themeColor="text1"/>
                      <w:kern w:val="0"/>
                      <w:szCs w:val="21"/>
                      <w14:textFill>
                        <w14:solidFill>
                          <w14:schemeClr w14:val="tx1"/>
                        </w14:solidFill>
                      </w14:textFill>
                    </w:rPr>
                  </w:pPr>
                </w:p>
              </w:tc>
              <w:tc>
                <w:tcPr>
                  <w:tcW w:w="717"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P</w:t>
                  </w:r>
                  <w:r>
                    <w:rPr>
                      <w:color w:val="000000" w:themeColor="text1"/>
                      <w:kern w:val="0"/>
                      <w:szCs w:val="21"/>
                      <w14:textFill>
                        <w14:solidFill>
                          <w14:schemeClr w14:val="tx1"/>
                        </w14:solidFill>
                      </w14:textFill>
                    </w:rPr>
                    <w:t>M</w:t>
                  </w:r>
                  <w:r>
                    <w:rPr>
                      <w:color w:val="000000" w:themeColor="text1"/>
                      <w:kern w:val="0"/>
                      <w:szCs w:val="21"/>
                      <w:vertAlign w:val="subscript"/>
                      <w14:textFill>
                        <w14:solidFill>
                          <w14:schemeClr w14:val="tx1"/>
                        </w14:solidFill>
                      </w14:textFill>
                    </w:rPr>
                    <w:t>10</w:t>
                  </w:r>
                </w:p>
              </w:tc>
              <w:tc>
                <w:tcPr>
                  <w:tcW w:w="809" w:type="pct"/>
                  <w:vAlign w:val="center"/>
                </w:tcPr>
                <w:p>
                  <w:pPr>
                    <w:widowControl/>
                    <w:adjustRightInd w:val="0"/>
                    <w:snapToGrid w:val="0"/>
                    <w:jc w:val="center"/>
                    <w:textAlignment w:val="center"/>
                    <w:rPr>
                      <w:snapToGrid w:val="0"/>
                      <w:color w:val="000000" w:themeColor="text1"/>
                      <w:kern w:val="0"/>
                      <w:szCs w:val="21"/>
                      <w14:textFill>
                        <w14:solidFill>
                          <w14:schemeClr w14:val="tx1"/>
                        </w14:solidFill>
                      </w14:textFill>
                    </w:rPr>
                  </w:pPr>
                  <w:r>
                    <w:rPr>
                      <w:rFonts w:hint="eastAsia"/>
                      <w:snapToGrid w:val="0"/>
                      <w:color w:val="000000" w:themeColor="text1"/>
                      <w:kern w:val="0"/>
                      <w:szCs w:val="21"/>
                      <w14:textFill>
                        <w14:solidFill>
                          <w14:schemeClr w14:val="tx1"/>
                        </w14:solidFill>
                      </w14:textFill>
                    </w:rPr>
                    <w:t>1</w:t>
                  </w:r>
                  <w:r>
                    <w:rPr>
                      <w:snapToGrid w:val="0"/>
                      <w:color w:val="000000" w:themeColor="text1"/>
                      <w:kern w:val="0"/>
                      <w:szCs w:val="21"/>
                      <w14:textFill>
                        <w14:solidFill>
                          <w14:schemeClr w14:val="tx1"/>
                        </w14:solidFill>
                      </w14:textFill>
                    </w:rPr>
                    <w:t>.82544</w:t>
                  </w:r>
                </w:p>
              </w:tc>
              <w:tc>
                <w:tcPr>
                  <w:tcW w:w="826"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7</w:t>
                  </w:r>
                  <w:r>
                    <w:rPr>
                      <w:color w:val="000000" w:themeColor="text1"/>
                      <w:kern w:val="0"/>
                      <w:szCs w:val="21"/>
                      <w14:textFill>
                        <w14:solidFill>
                          <w14:schemeClr w14:val="tx1"/>
                        </w14:solidFill>
                      </w14:textFill>
                    </w:rPr>
                    <w:t>8</w:t>
                  </w:r>
                </w:p>
              </w:tc>
              <w:tc>
                <w:tcPr>
                  <w:tcW w:w="733"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w:t>
                  </w:r>
                  <w:r>
                    <w:rPr>
                      <w:color w:val="000000" w:themeColor="text1"/>
                      <w:kern w:val="0"/>
                      <w:szCs w:val="21"/>
                      <w14:textFill>
                        <w14:solidFill>
                          <w14:schemeClr w14:val="tx1"/>
                        </w14:solidFill>
                      </w14:textFill>
                    </w:rPr>
                    <w:t>50</w:t>
                  </w:r>
                </w:p>
              </w:tc>
              <w:tc>
                <w:tcPr>
                  <w:tcW w:w="499"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0</w:t>
                  </w:r>
                  <w:r>
                    <w:rPr>
                      <w:color w:val="000000" w:themeColor="text1"/>
                      <w:kern w:val="0"/>
                      <w:szCs w:val="21"/>
                      <w14:textFill>
                        <w14:solidFill>
                          <w14:schemeClr w14:val="tx1"/>
                        </w14:solidFill>
                      </w14:textFill>
                    </w:rPr>
                    <w:t>.41</w:t>
                  </w:r>
                </w:p>
              </w:tc>
              <w:tc>
                <w:tcPr>
                  <w:tcW w:w="827" w:type="pct"/>
                  <w:vAlign w:val="center"/>
                </w:tcPr>
                <w:p>
                  <w:pPr>
                    <w:pStyle w:val="70"/>
                    <w:adjustRightInd w:val="0"/>
                    <w:snapToGrid w:val="0"/>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89" w:type="pct"/>
                  <w:vMerge w:val="continue"/>
                  <w:vAlign w:val="center"/>
                </w:tcPr>
                <w:p>
                  <w:pPr>
                    <w:widowControl/>
                    <w:adjustRightInd w:val="0"/>
                    <w:snapToGrid w:val="0"/>
                    <w:jc w:val="center"/>
                    <w:textAlignment w:val="center"/>
                    <w:rPr>
                      <w:color w:val="000000" w:themeColor="text1"/>
                      <w:kern w:val="0"/>
                      <w:szCs w:val="21"/>
                      <w14:textFill>
                        <w14:solidFill>
                          <w14:schemeClr w14:val="tx1"/>
                        </w14:solidFill>
                      </w14:textFill>
                    </w:rPr>
                  </w:pPr>
                </w:p>
              </w:tc>
              <w:tc>
                <w:tcPr>
                  <w:tcW w:w="717"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N</w:t>
                  </w:r>
                  <w:r>
                    <w:rPr>
                      <w:color w:val="000000" w:themeColor="text1"/>
                      <w:kern w:val="0"/>
                      <w:szCs w:val="21"/>
                      <w14:textFill>
                        <w14:solidFill>
                          <w14:schemeClr w14:val="tx1"/>
                        </w14:solidFill>
                      </w14:textFill>
                    </w:rPr>
                    <w:t>O</w:t>
                  </w:r>
                  <w:r>
                    <w:rPr>
                      <w:color w:val="000000" w:themeColor="text1"/>
                      <w:kern w:val="0"/>
                      <w:szCs w:val="21"/>
                      <w:vertAlign w:val="subscript"/>
                      <w14:textFill>
                        <w14:solidFill>
                          <w14:schemeClr w14:val="tx1"/>
                        </w14:solidFill>
                      </w14:textFill>
                    </w:rPr>
                    <w:t>X</w:t>
                  </w:r>
                </w:p>
              </w:tc>
              <w:tc>
                <w:tcPr>
                  <w:tcW w:w="809" w:type="pct"/>
                  <w:vAlign w:val="center"/>
                </w:tcPr>
                <w:p>
                  <w:pPr>
                    <w:widowControl/>
                    <w:adjustRightInd w:val="0"/>
                    <w:snapToGrid w:val="0"/>
                    <w:jc w:val="center"/>
                    <w:textAlignment w:val="center"/>
                    <w:rPr>
                      <w:snapToGrid w:val="0"/>
                      <w:color w:val="000000" w:themeColor="text1"/>
                      <w:kern w:val="0"/>
                      <w:szCs w:val="21"/>
                      <w14:textFill>
                        <w14:solidFill>
                          <w14:schemeClr w14:val="tx1"/>
                        </w14:solidFill>
                      </w14:textFill>
                    </w:rPr>
                  </w:pPr>
                  <w:r>
                    <w:rPr>
                      <w:rFonts w:hint="eastAsia"/>
                      <w:snapToGrid w:val="0"/>
                      <w:color w:val="000000" w:themeColor="text1"/>
                      <w:kern w:val="0"/>
                      <w:szCs w:val="21"/>
                      <w14:textFill>
                        <w14:solidFill>
                          <w14:schemeClr w14:val="tx1"/>
                        </w14:solidFill>
                      </w14:textFill>
                    </w:rPr>
                    <w:t>9</w:t>
                  </w:r>
                  <w:r>
                    <w:rPr>
                      <w:snapToGrid w:val="0"/>
                      <w:color w:val="000000" w:themeColor="text1"/>
                      <w:kern w:val="0"/>
                      <w:szCs w:val="21"/>
                      <w14:textFill>
                        <w14:solidFill>
                          <w14:schemeClr w14:val="tx1"/>
                        </w14:solidFill>
                      </w14:textFill>
                    </w:rPr>
                    <w:t>.228615</w:t>
                  </w:r>
                </w:p>
              </w:tc>
              <w:tc>
                <w:tcPr>
                  <w:tcW w:w="826"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7</w:t>
                  </w:r>
                  <w:r>
                    <w:rPr>
                      <w:color w:val="000000" w:themeColor="text1"/>
                      <w:kern w:val="0"/>
                      <w:szCs w:val="21"/>
                      <w14:textFill>
                        <w14:solidFill>
                          <w14:schemeClr w14:val="tx1"/>
                        </w14:solidFill>
                      </w14:textFill>
                    </w:rPr>
                    <w:t>8</w:t>
                  </w:r>
                </w:p>
              </w:tc>
              <w:tc>
                <w:tcPr>
                  <w:tcW w:w="733"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50</w:t>
                  </w:r>
                </w:p>
              </w:tc>
              <w:tc>
                <w:tcPr>
                  <w:tcW w:w="499"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w:t>
                  </w:r>
                  <w:r>
                    <w:rPr>
                      <w:color w:val="000000" w:themeColor="text1"/>
                      <w:kern w:val="0"/>
                      <w:szCs w:val="21"/>
                      <w14:textFill>
                        <w14:solidFill>
                          <w14:schemeClr w14:val="tx1"/>
                        </w14:solidFill>
                      </w14:textFill>
                    </w:rPr>
                    <w:t>.69</w:t>
                  </w:r>
                </w:p>
              </w:tc>
              <w:tc>
                <w:tcPr>
                  <w:tcW w:w="827" w:type="pct"/>
                  <w:vAlign w:val="center"/>
                </w:tcPr>
                <w:p>
                  <w:pPr>
                    <w:pStyle w:val="70"/>
                    <w:adjustRightInd w:val="0"/>
                    <w:snapToGrid w:val="0"/>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二级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89" w:type="pct"/>
                  <w:vMerge w:val="restar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无组织</w:t>
                  </w:r>
                </w:p>
              </w:tc>
              <w:tc>
                <w:tcPr>
                  <w:tcW w:w="717"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苯乙烯</w:t>
                  </w:r>
                </w:p>
              </w:tc>
              <w:tc>
                <w:tcPr>
                  <w:tcW w:w="809" w:type="pct"/>
                  <w:vAlign w:val="center"/>
                </w:tcPr>
                <w:p>
                  <w:pPr>
                    <w:widowControl/>
                    <w:adjustRightInd w:val="0"/>
                    <w:snapToGrid w:val="0"/>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0.846318</w:t>
                  </w:r>
                </w:p>
              </w:tc>
              <w:tc>
                <w:tcPr>
                  <w:tcW w:w="826"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7</w:t>
                  </w:r>
                  <w:r>
                    <w:rPr>
                      <w:color w:val="000000" w:themeColor="text1"/>
                      <w:kern w:val="0"/>
                      <w:szCs w:val="21"/>
                      <w14:textFill>
                        <w14:solidFill>
                          <w14:schemeClr w14:val="tx1"/>
                        </w14:solidFill>
                      </w14:textFill>
                    </w:rPr>
                    <w:t>5</w:t>
                  </w:r>
                </w:p>
              </w:tc>
              <w:tc>
                <w:tcPr>
                  <w:tcW w:w="733"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c>
                <w:tcPr>
                  <w:tcW w:w="499"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8.46</w:t>
                  </w:r>
                </w:p>
              </w:tc>
              <w:tc>
                <w:tcPr>
                  <w:tcW w:w="827" w:type="pct"/>
                  <w:vAlign w:val="center"/>
                </w:tcPr>
                <w:p>
                  <w:pPr>
                    <w:pStyle w:val="70"/>
                    <w:adjustRightInd w:val="0"/>
                    <w:snapToGrid w:val="0"/>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二级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89" w:type="pct"/>
                  <w:vMerge w:val="continue"/>
                  <w:vAlign w:val="center"/>
                </w:tcPr>
                <w:p>
                  <w:pPr>
                    <w:widowControl/>
                    <w:adjustRightInd w:val="0"/>
                    <w:snapToGrid w:val="0"/>
                    <w:jc w:val="center"/>
                    <w:textAlignment w:val="center"/>
                    <w:rPr>
                      <w:color w:val="000000" w:themeColor="text1"/>
                      <w:kern w:val="0"/>
                      <w:szCs w:val="21"/>
                      <w14:textFill>
                        <w14:solidFill>
                          <w14:schemeClr w14:val="tx1"/>
                        </w14:solidFill>
                      </w14:textFill>
                    </w:rPr>
                  </w:pPr>
                </w:p>
              </w:tc>
              <w:tc>
                <w:tcPr>
                  <w:tcW w:w="717"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非甲烷总烃</w:t>
                  </w:r>
                </w:p>
              </w:tc>
              <w:tc>
                <w:tcPr>
                  <w:tcW w:w="809" w:type="pct"/>
                  <w:vAlign w:val="center"/>
                </w:tcPr>
                <w:p>
                  <w:pPr>
                    <w:widowControl/>
                    <w:adjustRightInd w:val="0"/>
                    <w:snapToGrid w:val="0"/>
                    <w:jc w:val="center"/>
                    <w:textAlignment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11.42665</w:t>
                  </w:r>
                </w:p>
              </w:tc>
              <w:tc>
                <w:tcPr>
                  <w:tcW w:w="826"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7</w:t>
                  </w:r>
                  <w:r>
                    <w:rPr>
                      <w:color w:val="000000" w:themeColor="text1"/>
                      <w:kern w:val="0"/>
                      <w:szCs w:val="21"/>
                      <w14:textFill>
                        <w14:solidFill>
                          <w14:schemeClr w14:val="tx1"/>
                        </w14:solidFill>
                      </w14:textFill>
                    </w:rPr>
                    <w:t>5</w:t>
                  </w:r>
                </w:p>
              </w:tc>
              <w:tc>
                <w:tcPr>
                  <w:tcW w:w="733"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000</w:t>
                  </w:r>
                </w:p>
              </w:tc>
              <w:tc>
                <w:tcPr>
                  <w:tcW w:w="499"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0</w:t>
                  </w:r>
                  <w:r>
                    <w:rPr>
                      <w:color w:val="000000" w:themeColor="text1"/>
                      <w:kern w:val="0"/>
                      <w:szCs w:val="21"/>
                      <w14:textFill>
                        <w14:solidFill>
                          <w14:schemeClr w14:val="tx1"/>
                        </w14:solidFill>
                      </w14:textFill>
                    </w:rPr>
                    <w:t>.57</w:t>
                  </w:r>
                </w:p>
              </w:tc>
              <w:tc>
                <w:tcPr>
                  <w:tcW w:w="827" w:type="pct"/>
                  <w:vAlign w:val="center"/>
                </w:tcPr>
                <w:p>
                  <w:pPr>
                    <w:pStyle w:val="70"/>
                    <w:adjustRightInd w:val="0"/>
                    <w:snapToGrid w:val="0"/>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89" w:type="pct"/>
                  <w:vMerge w:val="continue"/>
                  <w:vAlign w:val="center"/>
                </w:tcPr>
                <w:p>
                  <w:pPr>
                    <w:widowControl/>
                    <w:adjustRightInd w:val="0"/>
                    <w:snapToGrid w:val="0"/>
                    <w:jc w:val="center"/>
                    <w:textAlignment w:val="center"/>
                    <w:rPr>
                      <w:color w:val="000000" w:themeColor="text1"/>
                      <w:kern w:val="0"/>
                      <w:szCs w:val="21"/>
                      <w14:textFill>
                        <w14:solidFill>
                          <w14:schemeClr w14:val="tx1"/>
                        </w14:solidFill>
                      </w14:textFill>
                    </w:rPr>
                  </w:pPr>
                </w:p>
              </w:tc>
              <w:tc>
                <w:tcPr>
                  <w:tcW w:w="717"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TSP</w:t>
                  </w:r>
                </w:p>
              </w:tc>
              <w:tc>
                <w:tcPr>
                  <w:tcW w:w="809" w:type="pct"/>
                  <w:vAlign w:val="center"/>
                </w:tcPr>
                <w:p>
                  <w:pPr>
                    <w:widowControl/>
                    <w:adjustRightInd w:val="0"/>
                    <w:snapToGrid w:val="0"/>
                    <w:jc w:val="center"/>
                    <w:textAlignment w:val="center"/>
                    <w:rPr>
                      <w:snapToGrid w:val="0"/>
                      <w:color w:val="000000" w:themeColor="text1"/>
                      <w:kern w:val="0"/>
                      <w:szCs w:val="21"/>
                      <w14:textFill>
                        <w14:solidFill>
                          <w14:schemeClr w14:val="tx1"/>
                        </w14:solidFill>
                      </w14:textFill>
                    </w:rPr>
                  </w:pPr>
                  <w:r>
                    <w:rPr>
                      <w:color w:val="000000" w:themeColor="text1"/>
                      <w:kern w:val="0"/>
                      <w:sz w:val="20"/>
                      <w:szCs w:val="21"/>
                      <w14:textFill>
                        <w14:solidFill>
                          <w14:schemeClr w14:val="tx1"/>
                        </w14:solidFill>
                      </w14:textFill>
                    </w:rPr>
                    <w:t>18.198</w:t>
                  </w:r>
                </w:p>
              </w:tc>
              <w:tc>
                <w:tcPr>
                  <w:tcW w:w="826"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7</w:t>
                  </w:r>
                  <w:r>
                    <w:rPr>
                      <w:color w:val="000000" w:themeColor="text1"/>
                      <w:kern w:val="0"/>
                      <w:szCs w:val="21"/>
                      <w14:textFill>
                        <w14:solidFill>
                          <w14:schemeClr w14:val="tx1"/>
                        </w14:solidFill>
                      </w14:textFill>
                    </w:rPr>
                    <w:t>5</w:t>
                  </w:r>
                </w:p>
              </w:tc>
              <w:tc>
                <w:tcPr>
                  <w:tcW w:w="733"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9</w:t>
                  </w:r>
                  <w:r>
                    <w:rPr>
                      <w:color w:val="000000" w:themeColor="text1"/>
                      <w:kern w:val="0"/>
                      <w:szCs w:val="21"/>
                      <w14:textFill>
                        <w14:solidFill>
                          <w14:schemeClr w14:val="tx1"/>
                        </w14:solidFill>
                      </w14:textFill>
                    </w:rPr>
                    <w:t>00</w:t>
                  </w:r>
                </w:p>
              </w:tc>
              <w:tc>
                <w:tcPr>
                  <w:tcW w:w="499" w:type="pct"/>
                  <w:vAlign w:val="center"/>
                </w:tcPr>
                <w:p>
                  <w:pPr>
                    <w:widowControl/>
                    <w:adjustRightInd w:val="0"/>
                    <w:snapToGrid w:val="0"/>
                    <w:jc w:val="center"/>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.02</w:t>
                  </w:r>
                </w:p>
              </w:tc>
              <w:tc>
                <w:tcPr>
                  <w:tcW w:w="827" w:type="pct"/>
                  <w:vAlign w:val="center"/>
                </w:tcPr>
                <w:p>
                  <w:pPr>
                    <w:pStyle w:val="70"/>
                    <w:adjustRightInd w:val="0"/>
                    <w:snapToGrid w:val="0"/>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二级</w:t>
                  </w:r>
                </w:p>
              </w:tc>
            </w:tr>
          </w:tbl>
          <w:p>
            <w:pPr>
              <w:numPr>
                <w:ilvl w:val="0"/>
                <w:numId w:val="2"/>
              </w:numPr>
              <w:adjustRightInd w:val="0"/>
              <w:snapToGrid w:val="0"/>
              <w:spacing w:line="360" w:lineRule="auto"/>
              <w:ind w:firstLine="480" w:firstLineChars="200"/>
              <w:rPr>
                <w:kern w:val="0"/>
                <w:sz w:val="24"/>
              </w:rPr>
            </w:pPr>
            <w:r>
              <w:rPr>
                <w:kern w:val="0"/>
                <w:sz w:val="24"/>
              </w:rPr>
              <w:t>预测结果</w:t>
            </w:r>
          </w:p>
          <w:p>
            <w:pPr>
              <w:adjustRightInd w:val="0"/>
              <w:snapToGrid w:val="0"/>
              <w:ind w:firstLine="480"/>
              <w:jc w:val="left"/>
              <w:rPr>
                <w:kern w:val="0"/>
                <w:sz w:val="24"/>
              </w:rPr>
            </w:pPr>
            <w:r>
              <w:rPr>
                <w:kern w:val="0"/>
                <w:sz w:val="24"/>
              </w:rPr>
              <w:t>项目主要污染源估算模型计算结果见表7-5</w:t>
            </w:r>
            <w:r>
              <w:rPr>
                <w:rFonts w:hint="eastAsia"/>
                <w:kern w:val="0"/>
                <w:sz w:val="24"/>
              </w:rPr>
              <w:t>、7-</w:t>
            </w:r>
            <w:r>
              <w:rPr>
                <w:kern w:val="0"/>
                <w:sz w:val="24"/>
              </w:rPr>
              <w:t>6</w:t>
            </w:r>
            <w:r>
              <w:rPr>
                <w:rFonts w:hint="eastAsia"/>
                <w:kern w:val="0"/>
                <w:sz w:val="24"/>
              </w:rPr>
              <w:t>、7-</w:t>
            </w:r>
            <w:r>
              <w:rPr>
                <w:kern w:val="0"/>
                <w:sz w:val="24"/>
              </w:rPr>
              <w:t>7</w:t>
            </w:r>
            <w:r>
              <w:rPr>
                <w:rFonts w:hint="eastAsia"/>
                <w:kern w:val="0"/>
                <w:sz w:val="24"/>
              </w:rPr>
              <w:t>和7-</w:t>
            </w:r>
            <w:r>
              <w:rPr>
                <w:kern w:val="0"/>
                <w:sz w:val="24"/>
              </w:rPr>
              <w:t>8</w:t>
            </w:r>
            <w:r>
              <w:rPr>
                <w:rFonts w:hint="eastAsia"/>
                <w:kern w:val="0"/>
                <w:sz w:val="24"/>
              </w:rPr>
              <w:t>。</w:t>
            </w:r>
          </w:p>
          <w:p>
            <w:pPr>
              <w:spacing w:before="156" w:beforeLines="50" w:line="360" w:lineRule="auto"/>
              <w:jc w:val="center"/>
              <w:rPr>
                <w:b/>
                <w:bCs/>
                <w:kern w:val="0"/>
                <w:sz w:val="24"/>
              </w:rPr>
            </w:pPr>
            <w:r>
              <w:rPr>
                <w:b/>
                <w:bCs/>
                <w:kern w:val="0"/>
                <w:sz w:val="24"/>
              </w:rPr>
              <w:t>表7-5   本项目</w:t>
            </w:r>
            <w:r>
              <w:rPr>
                <w:rFonts w:hint="eastAsia"/>
                <w:b/>
                <w:bCs/>
                <w:kern w:val="0"/>
                <w:sz w:val="24"/>
              </w:rPr>
              <w:t>P</w:t>
            </w:r>
            <w:r>
              <w:rPr>
                <w:b/>
                <w:bCs/>
                <w:kern w:val="0"/>
                <w:sz w:val="24"/>
              </w:rPr>
              <w:t>1</w:t>
            </w:r>
            <w:r>
              <w:rPr>
                <w:rFonts w:hint="eastAsia"/>
                <w:b/>
                <w:bCs/>
                <w:kern w:val="0"/>
                <w:sz w:val="24"/>
              </w:rPr>
              <w:t>排气筒有组织废气</w:t>
            </w:r>
            <w:r>
              <w:rPr>
                <w:b/>
                <w:bCs/>
                <w:kern w:val="0"/>
                <w:sz w:val="24"/>
              </w:rPr>
              <w:t>预测果一览表</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776"/>
              <w:gridCol w:w="1769"/>
              <w:gridCol w:w="9"/>
              <w:gridCol w:w="1774"/>
              <w:gridCol w:w="1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pct"/>
                  <w:vMerge w:val="restart"/>
                  <w:vAlign w:val="center"/>
                </w:tcPr>
                <w:p>
                  <w:pPr>
                    <w:snapToGrid w:val="0"/>
                    <w:jc w:val="center"/>
                    <w:rPr>
                      <w:color w:val="00B0F0"/>
                      <w:kern w:val="0"/>
                      <w:sz w:val="20"/>
                      <w:szCs w:val="21"/>
                    </w:rPr>
                  </w:pPr>
                  <w:r>
                    <w:rPr>
                      <w:color w:val="00B0F0"/>
                      <w:kern w:val="0"/>
                      <w:sz w:val="20"/>
                      <w:szCs w:val="21"/>
                    </w:rPr>
                    <w:t>距离（m）</w:t>
                  </w:r>
                </w:p>
                <w:p>
                  <w:pPr>
                    <w:ind w:firstLine="200" w:firstLineChars="100"/>
                    <w:jc w:val="center"/>
                    <w:rPr>
                      <w:color w:val="00B0F0"/>
                      <w:kern w:val="0"/>
                      <w:sz w:val="20"/>
                      <w:szCs w:val="21"/>
                    </w:rPr>
                  </w:pPr>
                  <w:r>
                    <w:rPr>
                      <w:color w:val="00B0F0"/>
                      <w:kern w:val="0"/>
                      <w:sz w:val="20"/>
                      <w:szCs w:val="21"/>
                    </w:rPr>
                    <w:t>污染物</w:t>
                  </w:r>
                </w:p>
              </w:tc>
              <w:tc>
                <w:tcPr>
                  <w:tcW w:w="2008" w:type="pct"/>
                  <w:gridSpan w:val="2"/>
                  <w:vAlign w:val="center"/>
                </w:tcPr>
                <w:p>
                  <w:pPr>
                    <w:jc w:val="center"/>
                    <w:rPr>
                      <w:color w:val="00B0F0"/>
                      <w:kern w:val="0"/>
                      <w:sz w:val="20"/>
                      <w:szCs w:val="21"/>
                      <w:lang w:bidi="en-US"/>
                    </w:rPr>
                  </w:pPr>
                  <w:r>
                    <w:rPr>
                      <w:rFonts w:hint="eastAsia"/>
                      <w:color w:val="00B0F0"/>
                      <w:kern w:val="0"/>
                      <w:sz w:val="20"/>
                      <w:szCs w:val="21"/>
                      <w:lang w:bidi="en-US"/>
                    </w:rPr>
                    <w:t>苯乙烯</w:t>
                  </w:r>
                </w:p>
              </w:tc>
              <w:tc>
                <w:tcPr>
                  <w:tcW w:w="2018" w:type="pct"/>
                  <w:gridSpan w:val="3"/>
                  <w:vAlign w:val="center"/>
                </w:tcPr>
                <w:p>
                  <w:pPr>
                    <w:jc w:val="center"/>
                    <w:rPr>
                      <w:color w:val="00B0F0"/>
                      <w:kern w:val="0"/>
                      <w:sz w:val="20"/>
                      <w:szCs w:val="21"/>
                      <w:lang w:bidi="en-US"/>
                    </w:rPr>
                  </w:pPr>
                  <w:r>
                    <w:rPr>
                      <w:rFonts w:hint="eastAsia"/>
                      <w:color w:val="00B0F0"/>
                      <w:kern w:val="0"/>
                      <w:sz w:val="20"/>
                      <w:szCs w:val="21"/>
                      <w:lang w:bidi="en-US"/>
                    </w:rPr>
                    <w:t>非甲烷总烃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vAlign w:val="center"/>
                </w:tcPr>
                <w:p>
                  <w:pPr>
                    <w:jc w:val="center"/>
                    <w:rPr>
                      <w:color w:val="00B0F0"/>
                      <w:kern w:val="0"/>
                      <w:sz w:val="20"/>
                      <w:szCs w:val="21"/>
                    </w:rPr>
                  </w:pPr>
                </w:p>
              </w:tc>
              <w:tc>
                <w:tcPr>
                  <w:tcW w:w="1006" w:type="pct"/>
                  <w:vAlign w:val="center"/>
                </w:tcPr>
                <w:p>
                  <w:pPr>
                    <w:jc w:val="center"/>
                    <w:rPr>
                      <w:color w:val="00B0F0"/>
                      <w:kern w:val="0"/>
                      <w:sz w:val="20"/>
                      <w:szCs w:val="21"/>
                    </w:rPr>
                  </w:pPr>
                  <w:r>
                    <w:rPr>
                      <w:color w:val="00B0F0"/>
                      <w:kern w:val="0"/>
                      <w:sz w:val="20"/>
                      <w:szCs w:val="21"/>
                    </w:rPr>
                    <w:t>浓度（ug/m</w:t>
                  </w:r>
                  <w:r>
                    <w:rPr>
                      <w:color w:val="00B0F0"/>
                      <w:kern w:val="0"/>
                      <w:sz w:val="20"/>
                      <w:szCs w:val="21"/>
                      <w:vertAlign w:val="superscript"/>
                    </w:rPr>
                    <w:t>3</w:t>
                  </w:r>
                  <w:r>
                    <w:rPr>
                      <w:color w:val="00B0F0"/>
                      <w:kern w:val="0"/>
                      <w:sz w:val="20"/>
                      <w:szCs w:val="21"/>
                    </w:rPr>
                    <w:t>）</w:t>
                  </w:r>
                </w:p>
              </w:tc>
              <w:tc>
                <w:tcPr>
                  <w:tcW w:w="1007" w:type="pct"/>
                  <w:gridSpan w:val="2"/>
                  <w:vAlign w:val="center"/>
                </w:tcPr>
                <w:p>
                  <w:pPr>
                    <w:pStyle w:val="6"/>
                    <w:jc w:val="center"/>
                    <w:rPr>
                      <w:color w:val="00B0F0"/>
                      <w:kern w:val="0"/>
                      <w:sz w:val="20"/>
                    </w:rPr>
                  </w:pPr>
                  <w:r>
                    <w:rPr>
                      <w:color w:val="00B0F0"/>
                      <w:kern w:val="0"/>
                      <w:sz w:val="20"/>
                    </w:rPr>
                    <w:t>占标率%</w:t>
                  </w:r>
                </w:p>
              </w:tc>
              <w:tc>
                <w:tcPr>
                  <w:tcW w:w="1005" w:type="pct"/>
                  <w:vAlign w:val="center"/>
                </w:tcPr>
                <w:p>
                  <w:pPr>
                    <w:pStyle w:val="6"/>
                    <w:jc w:val="center"/>
                    <w:rPr>
                      <w:color w:val="00B0F0"/>
                      <w:kern w:val="0"/>
                      <w:sz w:val="20"/>
                    </w:rPr>
                  </w:pPr>
                  <w:r>
                    <w:rPr>
                      <w:color w:val="00B0F0"/>
                      <w:kern w:val="0"/>
                      <w:sz w:val="20"/>
                    </w:rPr>
                    <w:t>浓度（ug/m</w:t>
                  </w:r>
                  <w:r>
                    <w:rPr>
                      <w:color w:val="00B0F0"/>
                      <w:kern w:val="0"/>
                      <w:sz w:val="20"/>
                      <w:vertAlign w:val="superscript"/>
                    </w:rPr>
                    <w:t>3</w:t>
                  </w:r>
                  <w:r>
                    <w:rPr>
                      <w:color w:val="00B0F0"/>
                      <w:kern w:val="0"/>
                      <w:sz w:val="20"/>
                    </w:rPr>
                    <w:t>）</w:t>
                  </w:r>
                </w:p>
              </w:tc>
              <w:tc>
                <w:tcPr>
                  <w:tcW w:w="1008" w:type="pct"/>
                  <w:vAlign w:val="center"/>
                </w:tcPr>
                <w:p>
                  <w:pPr>
                    <w:pStyle w:val="6"/>
                    <w:jc w:val="center"/>
                    <w:rPr>
                      <w:color w:val="00B0F0"/>
                      <w:kern w:val="0"/>
                      <w:sz w:val="20"/>
                    </w:rPr>
                  </w:pPr>
                  <w:r>
                    <w:rPr>
                      <w:color w:val="00B0F0"/>
                      <w:kern w:val="0"/>
                      <w:sz w:val="20"/>
                    </w:rPr>
                    <w:t>占标率%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rFonts w:hint="eastAsia"/>
                      <w:color w:val="00B0F0"/>
                      <w:kern w:val="0"/>
                      <w:sz w:val="20"/>
                      <w:szCs w:val="21"/>
                    </w:rPr>
                    <w:t>1</w:t>
                  </w:r>
                  <w:r>
                    <w:rPr>
                      <w:color w:val="00B0F0"/>
                      <w:kern w:val="0"/>
                      <w:sz w:val="20"/>
                      <w:szCs w:val="21"/>
                    </w:rPr>
                    <w:t>0</w:t>
                  </w:r>
                </w:p>
              </w:tc>
              <w:tc>
                <w:tcPr>
                  <w:tcW w:w="1006"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.000383</w:t>
                  </w:r>
                </w:p>
              </w:tc>
              <w:tc>
                <w:tcPr>
                  <w:tcW w:w="1007" w:type="pct"/>
                  <w:gridSpan w:val="2"/>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.00</w:t>
                  </w:r>
                </w:p>
              </w:tc>
              <w:tc>
                <w:tcPr>
                  <w:tcW w:w="1005" w:type="pct"/>
                  <w:vAlign w:val="center"/>
                </w:tcPr>
                <w:p>
                  <w:pPr>
                    <w:jc w:val="center"/>
                    <w:rPr>
                      <w:color w:val="00B0F0"/>
                      <w:kern w:val="0"/>
                      <w:sz w:val="20"/>
                      <w:szCs w:val="21"/>
                    </w:rPr>
                  </w:pPr>
                  <w:r>
                    <w:rPr>
                      <w:color w:val="00B0F0"/>
                      <w:kern w:val="0"/>
                      <w:sz w:val="20"/>
                      <w:szCs w:val="21"/>
                    </w:rPr>
                    <w:t>0.003987</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rFonts w:hint="eastAsia"/>
                      <w:color w:val="00B0F0"/>
                      <w:kern w:val="0"/>
                      <w:sz w:val="20"/>
                      <w:szCs w:val="21"/>
                    </w:rPr>
                    <w:t>50</w:t>
                  </w:r>
                </w:p>
              </w:tc>
              <w:tc>
                <w:tcPr>
                  <w:tcW w:w="1006" w:type="pct"/>
                  <w:vAlign w:val="center"/>
                </w:tcPr>
                <w:p>
                  <w:pPr>
                    <w:jc w:val="center"/>
                    <w:rPr>
                      <w:color w:val="00B0F0"/>
                      <w:kern w:val="0"/>
                      <w:sz w:val="20"/>
                      <w:szCs w:val="21"/>
                    </w:rPr>
                  </w:pPr>
                  <w:r>
                    <w:rPr>
                      <w:color w:val="00B0F0"/>
                      <w:kern w:val="0"/>
                      <w:sz w:val="20"/>
                      <w:szCs w:val="21"/>
                    </w:rPr>
                    <w:t>0.200288</w:t>
                  </w:r>
                </w:p>
              </w:tc>
              <w:tc>
                <w:tcPr>
                  <w:tcW w:w="1007" w:type="pct"/>
                  <w:gridSpan w:val="2"/>
                  <w:vAlign w:val="center"/>
                </w:tcPr>
                <w:p>
                  <w:pPr>
                    <w:jc w:val="center"/>
                    <w:rPr>
                      <w:color w:val="00B0F0"/>
                      <w:kern w:val="0"/>
                      <w:sz w:val="20"/>
                      <w:szCs w:val="21"/>
                    </w:rPr>
                  </w:pPr>
                  <w:r>
                    <w:rPr>
                      <w:rFonts w:hint="eastAsia"/>
                      <w:color w:val="00B0F0"/>
                      <w:kern w:val="0"/>
                      <w:sz w:val="20"/>
                      <w:szCs w:val="21"/>
                    </w:rPr>
                    <w:t>2</w:t>
                  </w:r>
                  <w:r>
                    <w:rPr>
                      <w:color w:val="00B0F0"/>
                      <w:kern w:val="0"/>
                      <w:sz w:val="20"/>
                      <w:szCs w:val="21"/>
                    </w:rPr>
                    <w:t>.00</w:t>
                  </w:r>
                </w:p>
              </w:tc>
              <w:tc>
                <w:tcPr>
                  <w:tcW w:w="1005" w:type="pct"/>
                  <w:vAlign w:val="center"/>
                </w:tcPr>
                <w:p>
                  <w:pPr>
                    <w:jc w:val="center"/>
                    <w:rPr>
                      <w:color w:val="00B0F0"/>
                      <w:kern w:val="0"/>
                      <w:sz w:val="20"/>
                      <w:szCs w:val="21"/>
                    </w:rPr>
                  </w:pPr>
                  <w:r>
                    <w:rPr>
                      <w:color w:val="00B0F0"/>
                      <w:kern w:val="0"/>
                      <w:sz w:val="20"/>
                      <w:szCs w:val="21"/>
                    </w:rPr>
                    <w:t>2.083</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color w:val="00B0F0"/>
                      <w:kern w:val="0"/>
                      <w:sz w:val="20"/>
                      <w:szCs w:val="21"/>
                    </w:rPr>
                    <w:t>100</w:t>
                  </w:r>
                </w:p>
              </w:tc>
              <w:tc>
                <w:tcPr>
                  <w:tcW w:w="1006" w:type="pct"/>
                  <w:vAlign w:val="center"/>
                </w:tcPr>
                <w:p>
                  <w:pPr>
                    <w:jc w:val="center"/>
                    <w:rPr>
                      <w:color w:val="00B0F0"/>
                      <w:kern w:val="0"/>
                      <w:sz w:val="20"/>
                      <w:szCs w:val="21"/>
                    </w:rPr>
                  </w:pPr>
                  <w:r>
                    <w:rPr>
                      <w:color w:val="00B0F0"/>
                      <w:kern w:val="0"/>
                      <w:sz w:val="20"/>
                      <w:szCs w:val="21"/>
                    </w:rPr>
                    <w:t>0.355452</w:t>
                  </w:r>
                </w:p>
              </w:tc>
              <w:tc>
                <w:tcPr>
                  <w:tcW w:w="1007" w:type="pct"/>
                  <w:gridSpan w:val="2"/>
                  <w:vAlign w:val="center"/>
                </w:tcPr>
                <w:p>
                  <w:pPr>
                    <w:jc w:val="center"/>
                    <w:rPr>
                      <w:color w:val="00B0F0"/>
                      <w:kern w:val="0"/>
                      <w:sz w:val="20"/>
                      <w:szCs w:val="21"/>
                    </w:rPr>
                  </w:pPr>
                  <w:r>
                    <w:rPr>
                      <w:rFonts w:hint="eastAsia"/>
                      <w:color w:val="00B0F0"/>
                      <w:kern w:val="0"/>
                      <w:sz w:val="20"/>
                      <w:szCs w:val="21"/>
                    </w:rPr>
                    <w:t>3</w:t>
                  </w:r>
                  <w:r>
                    <w:rPr>
                      <w:color w:val="00B0F0"/>
                      <w:kern w:val="0"/>
                      <w:sz w:val="20"/>
                      <w:szCs w:val="21"/>
                    </w:rPr>
                    <w:t>.55</w:t>
                  </w:r>
                </w:p>
              </w:tc>
              <w:tc>
                <w:tcPr>
                  <w:tcW w:w="1005" w:type="pct"/>
                  <w:vAlign w:val="center"/>
                </w:tcPr>
                <w:p>
                  <w:pPr>
                    <w:jc w:val="center"/>
                    <w:rPr>
                      <w:color w:val="00B0F0"/>
                      <w:kern w:val="0"/>
                      <w:sz w:val="20"/>
                      <w:szCs w:val="21"/>
                    </w:rPr>
                  </w:pPr>
                  <w:r>
                    <w:rPr>
                      <w:color w:val="00B0F0"/>
                      <w:kern w:val="0"/>
                      <w:sz w:val="20"/>
                      <w:szCs w:val="21"/>
                    </w:rPr>
                    <w:t>3.6967</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rFonts w:hint="eastAsia"/>
                      <w:color w:val="00B0F0"/>
                      <w:kern w:val="0"/>
                      <w:sz w:val="20"/>
                      <w:szCs w:val="21"/>
                    </w:rPr>
                    <w:t>10</w:t>
                  </w:r>
                  <w:r>
                    <w:rPr>
                      <w:color w:val="00B0F0"/>
                      <w:kern w:val="0"/>
                      <w:sz w:val="20"/>
                      <w:szCs w:val="21"/>
                    </w:rPr>
                    <w:t>1</w:t>
                  </w:r>
                </w:p>
              </w:tc>
              <w:tc>
                <w:tcPr>
                  <w:tcW w:w="1006" w:type="pct"/>
                  <w:vAlign w:val="center"/>
                </w:tcPr>
                <w:p>
                  <w:pPr>
                    <w:jc w:val="center"/>
                    <w:rPr>
                      <w:color w:val="00B0F0"/>
                      <w:kern w:val="0"/>
                      <w:sz w:val="20"/>
                      <w:szCs w:val="21"/>
                    </w:rPr>
                  </w:pPr>
                  <w:r>
                    <w:rPr>
                      <w:color w:val="00B0F0"/>
                      <w:kern w:val="0"/>
                      <w:sz w:val="20"/>
                      <w:szCs w:val="21"/>
                    </w:rPr>
                    <w:t>0.355452</w:t>
                  </w:r>
                </w:p>
              </w:tc>
              <w:tc>
                <w:tcPr>
                  <w:tcW w:w="1007" w:type="pct"/>
                  <w:gridSpan w:val="2"/>
                  <w:vAlign w:val="center"/>
                </w:tcPr>
                <w:p>
                  <w:pPr>
                    <w:jc w:val="center"/>
                    <w:rPr>
                      <w:color w:val="00B0F0"/>
                      <w:kern w:val="0"/>
                      <w:sz w:val="20"/>
                      <w:szCs w:val="21"/>
                    </w:rPr>
                  </w:pPr>
                  <w:r>
                    <w:rPr>
                      <w:rFonts w:hint="eastAsia"/>
                      <w:color w:val="00B0F0"/>
                      <w:kern w:val="0"/>
                      <w:sz w:val="20"/>
                      <w:szCs w:val="21"/>
                    </w:rPr>
                    <w:t>3</w:t>
                  </w:r>
                  <w:r>
                    <w:rPr>
                      <w:color w:val="00B0F0"/>
                      <w:kern w:val="0"/>
                      <w:sz w:val="20"/>
                      <w:szCs w:val="21"/>
                    </w:rPr>
                    <w:t>.55</w:t>
                  </w:r>
                </w:p>
              </w:tc>
              <w:tc>
                <w:tcPr>
                  <w:tcW w:w="1005" w:type="pct"/>
                  <w:vAlign w:val="center"/>
                </w:tcPr>
                <w:p>
                  <w:pPr>
                    <w:jc w:val="center"/>
                    <w:rPr>
                      <w:color w:val="00B0F0"/>
                      <w:kern w:val="0"/>
                      <w:sz w:val="20"/>
                      <w:szCs w:val="21"/>
                    </w:rPr>
                  </w:pPr>
                  <w:r>
                    <w:rPr>
                      <w:color w:val="00B0F0"/>
                      <w:kern w:val="0"/>
                      <w:sz w:val="20"/>
                      <w:szCs w:val="21"/>
                    </w:rPr>
                    <w:t>3.6967</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rFonts w:hint="eastAsia"/>
                      <w:color w:val="00B0F0"/>
                      <w:kern w:val="0"/>
                      <w:sz w:val="20"/>
                      <w:szCs w:val="21"/>
                    </w:rPr>
                    <w:t>200</w:t>
                  </w:r>
                </w:p>
              </w:tc>
              <w:tc>
                <w:tcPr>
                  <w:tcW w:w="1006" w:type="pct"/>
                  <w:vAlign w:val="center"/>
                </w:tcPr>
                <w:p>
                  <w:pPr>
                    <w:jc w:val="center"/>
                    <w:rPr>
                      <w:color w:val="00B0F0"/>
                      <w:kern w:val="0"/>
                      <w:sz w:val="20"/>
                      <w:szCs w:val="21"/>
                    </w:rPr>
                  </w:pPr>
                  <w:r>
                    <w:rPr>
                      <w:color w:val="00B0F0"/>
                      <w:kern w:val="0"/>
                      <w:sz w:val="20"/>
                      <w:szCs w:val="21"/>
                    </w:rPr>
                    <w:t>0.306298</w:t>
                  </w:r>
                </w:p>
              </w:tc>
              <w:tc>
                <w:tcPr>
                  <w:tcW w:w="1007" w:type="pct"/>
                  <w:gridSpan w:val="2"/>
                  <w:vAlign w:val="center"/>
                </w:tcPr>
                <w:p>
                  <w:pPr>
                    <w:jc w:val="center"/>
                    <w:rPr>
                      <w:color w:val="00B0F0"/>
                      <w:kern w:val="0"/>
                      <w:sz w:val="20"/>
                      <w:szCs w:val="21"/>
                    </w:rPr>
                  </w:pPr>
                  <w:r>
                    <w:rPr>
                      <w:rFonts w:hint="eastAsia"/>
                      <w:color w:val="00B0F0"/>
                      <w:kern w:val="0"/>
                      <w:sz w:val="20"/>
                      <w:szCs w:val="21"/>
                    </w:rPr>
                    <w:t>3</w:t>
                  </w:r>
                  <w:r>
                    <w:rPr>
                      <w:color w:val="00B0F0"/>
                      <w:kern w:val="0"/>
                      <w:sz w:val="20"/>
                      <w:szCs w:val="21"/>
                    </w:rPr>
                    <w:t>.06</w:t>
                  </w:r>
                </w:p>
              </w:tc>
              <w:tc>
                <w:tcPr>
                  <w:tcW w:w="1005" w:type="pct"/>
                  <w:vAlign w:val="center"/>
                </w:tcPr>
                <w:p>
                  <w:pPr>
                    <w:jc w:val="center"/>
                    <w:rPr>
                      <w:color w:val="00B0F0"/>
                      <w:kern w:val="0"/>
                      <w:sz w:val="20"/>
                      <w:szCs w:val="21"/>
                    </w:rPr>
                  </w:pPr>
                  <w:r>
                    <w:rPr>
                      <w:color w:val="00B0F0"/>
                      <w:kern w:val="0"/>
                      <w:sz w:val="20"/>
                      <w:szCs w:val="21"/>
                    </w:rPr>
                    <w:t>3.1855</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color w:val="00B0F0"/>
                      <w:kern w:val="0"/>
                      <w:sz w:val="20"/>
                      <w:szCs w:val="21"/>
                    </w:rPr>
                    <w:t>300</w:t>
                  </w:r>
                </w:p>
              </w:tc>
              <w:tc>
                <w:tcPr>
                  <w:tcW w:w="1006" w:type="pct"/>
                  <w:vAlign w:val="center"/>
                </w:tcPr>
                <w:p>
                  <w:pPr>
                    <w:jc w:val="center"/>
                    <w:rPr>
                      <w:color w:val="00B0F0"/>
                      <w:kern w:val="0"/>
                      <w:sz w:val="20"/>
                      <w:szCs w:val="21"/>
                    </w:rPr>
                  </w:pPr>
                  <w:r>
                    <w:rPr>
                      <w:color w:val="00B0F0"/>
                      <w:kern w:val="0"/>
                      <w:sz w:val="20"/>
                      <w:szCs w:val="21"/>
                    </w:rPr>
                    <w:t>0.338</w:t>
                  </w:r>
                </w:p>
              </w:tc>
              <w:tc>
                <w:tcPr>
                  <w:tcW w:w="1007" w:type="pct"/>
                  <w:gridSpan w:val="2"/>
                  <w:vAlign w:val="center"/>
                </w:tcPr>
                <w:p>
                  <w:pPr>
                    <w:jc w:val="center"/>
                    <w:rPr>
                      <w:color w:val="00B0F0"/>
                      <w:kern w:val="0"/>
                      <w:sz w:val="20"/>
                      <w:szCs w:val="21"/>
                    </w:rPr>
                  </w:pPr>
                  <w:r>
                    <w:rPr>
                      <w:rFonts w:hint="eastAsia"/>
                      <w:color w:val="00B0F0"/>
                      <w:kern w:val="0"/>
                      <w:sz w:val="20"/>
                      <w:szCs w:val="21"/>
                    </w:rPr>
                    <w:t>3</w:t>
                  </w:r>
                  <w:r>
                    <w:rPr>
                      <w:color w:val="00B0F0"/>
                      <w:kern w:val="0"/>
                      <w:sz w:val="20"/>
                      <w:szCs w:val="21"/>
                    </w:rPr>
                    <w:t>.38</w:t>
                  </w:r>
                </w:p>
              </w:tc>
              <w:tc>
                <w:tcPr>
                  <w:tcW w:w="1005" w:type="pct"/>
                  <w:vAlign w:val="center"/>
                </w:tcPr>
                <w:p>
                  <w:pPr>
                    <w:jc w:val="center"/>
                    <w:rPr>
                      <w:color w:val="00B0F0"/>
                      <w:kern w:val="0"/>
                      <w:sz w:val="20"/>
                      <w:szCs w:val="21"/>
                    </w:rPr>
                  </w:pPr>
                  <w:r>
                    <w:rPr>
                      <w:color w:val="00B0F0"/>
                      <w:kern w:val="0"/>
                      <w:sz w:val="20"/>
                      <w:szCs w:val="21"/>
                    </w:rPr>
                    <w:t>3.5152</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color w:val="00B0F0"/>
                      <w:kern w:val="0"/>
                      <w:sz w:val="20"/>
                      <w:szCs w:val="21"/>
                    </w:rPr>
                    <w:t>400</w:t>
                  </w:r>
                </w:p>
              </w:tc>
              <w:tc>
                <w:tcPr>
                  <w:tcW w:w="1006" w:type="pct"/>
                  <w:vAlign w:val="center"/>
                </w:tcPr>
                <w:p>
                  <w:pPr>
                    <w:jc w:val="center"/>
                    <w:rPr>
                      <w:color w:val="00B0F0"/>
                      <w:kern w:val="0"/>
                      <w:sz w:val="20"/>
                      <w:szCs w:val="21"/>
                    </w:rPr>
                  </w:pPr>
                  <w:r>
                    <w:rPr>
                      <w:color w:val="00B0F0"/>
                      <w:kern w:val="0"/>
                      <w:sz w:val="20"/>
                      <w:szCs w:val="21"/>
                    </w:rPr>
                    <w:t>0.294481</w:t>
                  </w:r>
                </w:p>
              </w:tc>
              <w:tc>
                <w:tcPr>
                  <w:tcW w:w="1007" w:type="pct"/>
                  <w:gridSpan w:val="2"/>
                  <w:vAlign w:val="center"/>
                </w:tcPr>
                <w:p>
                  <w:pPr>
                    <w:jc w:val="center"/>
                    <w:rPr>
                      <w:color w:val="00B0F0"/>
                      <w:kern w:val="0"/>
                      <w:sz w:val="20"/>
                      <w:szCs w:val="21"/>
                    </w:rPr>
                  </w:pPr>
                  <w:r>
                    <w:rPr>
                      <w:rFonts w:hint="eastAsia"/>
                      <w:color w:val="00B0F0"/>
                      <w:kern w:val="0"/>
                      <w:sz w:val="20"/>
                      <w:szCs w:val="21"/>
                    </w:rPr>
                    <w:t>2</w:t>
                  </w:r>
                  <w:r>
                    <w:rPr>
                      <w:color w:val="00B0F0"/>
                      <w:kern w:val="0"/>
                      <w:sz w:val="20"/>
                      <w:szCs w:val="21"/>
                    </w:rPr>
                    <w:t>.94</w:t>
                  </w:r>
                </w:p>
              </w:tc>
              <w:tc>
                <w:tcPr>
                  <w:tcW w:w="1005" w:type="pct"/>
                  <w:vAlign w:val="center"/>
                </w:tcPr>
                <w:p>
                  <w:pPr>
                    <w:jc w:val="center"/>
                    <w:rPr>
                      <w:color w:val="00B0F0"/>
                      <w:kern w:val="0"/>
                      <w:sz w:val="20"/>
                      <w:szCs w:val="21"/>
                    </w:rPr>
                  </w:pPr>
                  <w:r>
                    <w:rPr>
                      <w:color w:val="00B0F0"/>
                      <w:kern w:val="0"/>
                      <w:sz w:val="20"/>
                      <w:szCs w:val="21"/>
                    </w:rPr>
                    <w:t>3.0626</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color w:val="00B0F0"/>
                      <w:kern w:val="0"/>
                      <w:sz w:val="20"/>
                      <w:szCs w:val="21"/>
                    </w:rPr>
                    <w:t>500</w:t>
                  </w:r>
                </w:p>
              </w:tc>
              <w:tc>
                <w:tcPr>
                  <w:tcW w:w="1006" w:type="pct"/>
                  <w:vAlign w:val="center"/>
                </w:tcPr>
                <w:p>
                  <w:pPr>
                    <w:jc w:val="center"/>
                    <w:rPr>
                      <w:color w:val="00B0F0"/>
                      <w:kern w:val="0"/>
                      <w:sz w:val="20"/>
                      <w:szCs w:val="21"/>
                    </w:rPr>
                  </w:pPr>
                  <w:r>
                    <w:rPr>
                      <w:color w:val="00B0F0"/>
                      <w:kern w:val="0"/>
                      <w:sz w:val="20"/>
                      <w:szCs w:val="21"/>
                    </w:rPr>
                    <w:t>0.246952</w:t>
                  </w:r>
                </w:p>
              </w:tc>
              <w:tc>
                <w:tcPr>
                  <w:tcW w:w="1007" w:type="pct"/>
                  <w:gridSpan w:val="2"/>
                  <w:vAlign w:val="center"/>
                </w:tcPr>
                <w:p>
                  <w:pPr>
                    <w:jc w:val="center"/>
                    <w:rPr>
                      <w:color w:val="00B0F0"/>
                      <w:kern w:val="0"/>
                      <w:sz w:val="20"/>
                      <w:szCs w:val="21"/>
                    </w:rPr>
                  </w:pPr>
                  <w:r>
                    <w:rPr>
                      <w:rFonts w:hint="eastAsia"/>
                      <w:color w:val="00B0F0"/>
                      <w:kern w:val="0"/>
                      <w:sz w:val="20"/>
                      <w:szCs w:val="21"/>
                    </w:rPr>
                    <w:t>2</w:t>
                  </w:r>
                  <w:r>
                    <w:rPr>
                      <w:color w:val="00B0F0"/>
                      <w:kern w:val="0"/>
                      <w:sz w:val="20"/>
                      <w:szCs w:val="21"/>
                    </w:rPr>
                    <w:t>.47</w:t>
                  </w:r>
                </w:p>
              </w:tc>
              <w:tc>
                <w:tcPr>
                  <w:tcW w:w="1005" w:type="pct"/>
                  <w:vAlign w:val="center"/>
                </w:tcPr>
                <w:p>
                  <w:pPr>
                    <w:jc w:val="center"/>
                    <w:rPr>
                      <w:color w:val="00B0F0"/>
                      <w:kern w:val="0"/>
                      <w:sz w:val="20"/>
                      <w:szCs w:val="21"/>
                    </w:rPr>
                  </w:pPr>
                  <w:r>
                    <w:rPr>
                      <w:color w:val="00B0F0"/>
                      <w:kern w:val="0"/>
                      <w:sz w:val="20"/>
                      <w:szCs w:val="21"/>
                    </w:rPr>
                    <w:t>2.5683</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color w:val="00B0F0"/>
                      <w:kern w:val="0"/>
                      <w:sz w:val="20"/>
                      <w:szCs w:val="21"/>
                    </w:rPr>
                    <w:t>600</w:t>
                  </w:r>
                </w:p>
              </w:tc>
              <w:tc>
                <w:tcPr>
                  <w:tcW w:w="1006" w:type="pct"/>
                  <w:vAlign w:val="center"/>
                </w:tcPr>
                <w:p>
                  <w:pPr>
                    <w:jc w:val="center"/>
                    <w:rPr>
                      <w:color w:val="00B0F0"/>
                      <w:kern w:val="0"/>
                      <w:sz w:val="20"/>
                      <w:szCs w:val="21"/>
                    </w:rPr>
                  </w:pPr>
                  <w:r>
                    <w:rPr>
                      <w:color w:val="00B0F0"/>
                      <w:kern w:val="0"/>
                      <w:sz w:val="20"/>
                      <w:szCs w:val="21"/>
                    </w:rPr>
                    <w:t>0.223298</w:t>
                  </w:r>
                </w:p>
              </w:tc>
              <w:tc>
                <w:tcPr>
                  <w:tcW w:w="1007" w:type="pct"/>
                  <w:gridSpan w:val="2"/>
                  <w:vAlign w:val="center"/>
                </w:tcPr>
                <w:p>
                  <w:pPr>
                    <w:jc w:val="center"/>
                    <w:rPr>
                      <w:color w:val="00B0F0"/>
                      <w:kern w:val="0"/>
                      <w:sz w:val="20"/>
                      <w:szCs w:val="21"/>
                    </w:rPr>
                  </w:pPr>
                  <w:r>
                    <w:rPr>
                      <w:rFonts w:hint="eastAsia"/>
                      <w:color w:val="00B0F0"/>
                      <w:kern w:val="0"/>
                      <w:sz w:val="20"/>
                      <w:szCs w:val="21"/>
                    </w:rPr>
                    <w:t>2</w:t>
                  </w:r>
                  <w:r>
                    <w:rPr>
                      <w:color w:val="00B0F0"/>
                      <w:kern w:val="0"/>
                      <w:sz w:val="20"/>
                      <w:szCs w:val="21"/>
                    </w:rPr>
                    <w:t>.23</w:t>
                  </w:r>
                </w:p>
              </w:tc>
              <w:tc>
                <w:tcPr>
                  <w:tcW w:w="1005" w:type="pct"/>
                  <w:vAlign w:val="center"/>
                </w:tcPr>
                <w:p>
                  <w:pPr>
                    <w:jc w:val="center"/>
                    <w:rPr>
                      <w:color w:val="00B0F0"/>
                      <w:kern w:val="0"/>
                      <w:sz w:val="20"/>
                      <w:szCs w:val="21"/>
                    </w:rPr>
                  </w:pPr>
                  <w:r>
                    <w:rPr>
                      <w:color w:val="00B0F0"/>
                      <w:kern w:val="0"/>
                      <w:sz w:val="20"/>
                      <w:szCs w:val="21"/>
                    </w:rPr>
                    <w:t>2.3223</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color w:val="00B0F0"/>
                      <w:kern w:val="0"/>
                      <w:sz w:val="20"/>
                      <w:szCs w:val="21"/>
                    </w:rPr>
                    <w:t>700</w:t>
                  </w:r>
                </w:p>
              </w:tc>
              <w:tc>
                <w:tcPr>
                  <w:tcW w:w="1006" w:type="pct"/>
                  <w:vAlign w:val="center"/>
                </w:tcPr>
                <w:p>
                  <w:pPr>
                    <w:jc w:val="center"/>
                    <w:rPr>
                      <w:color w:val="00B0F0"/>
                      <w:kern w:val="0"/>
                      <w:sz w:val="20"/>
                      <w:szCs w:val="21"/>
                    </w:rPr>
                  </w:pPr>
                  <w:r>
                    <w:rPr>
                      <w:color w:val="00B0F0"/>
                      <w:kern w:val="0"/>
                      <w:sz w:val="20"/>
                      <w:szCs w:val="21"/>
                    </w:rPr>
                    <w:t>0.221356</w:t>
                  </w:r>
                </w:p>
              </w:tc>
              <w:tc>
                <w:tcPr>
                  <w:tcW w:w="1007" w:type="pct"/>
                  <w:gridSpan w:val="2"/>
                  <w:vAlign w:val="center"/>
                </w:tcPr>
                <w:p>
                  <w:pPr>
                    <w:jc w:val="center"/>
                    <w:rPr>
                      <w:color w:val="00B0F0"/>
                      <w:kern w:val="0"/>
                      <w:sz w:val="20"/>
                      <w:szCs w:val="21"/>
                    </w:rPr>
                  </w:pPr>
                  <w:r>
                    <w:rPr>
                      <w:rFonts w:hint="eastAsia"/>
                      <w:color w:val="00B0F0"/>
                      <w:kern w:val="0"/>
                      <w:sz w:val="20"/>
                      <w:szCs w:val="21"/>
                    </w:rPr>
                    <w:t>2</w:t>
                  </w:r>
                  <w:r>
                    <w:rPr>
                      <w:color w:val="00B0F0"/>
                      <w:kern w:val="0"/>
                      <w:sz w:val="20"/>
                      <w:szCs w:val="21"/>
                    </w:rPr>
                    <w:t>.21</w:t>
                  </w:r>
                </w:p>
              </w:tc>
              <w:tc>
                <w:tcPr>
                  <w:tcW w:w="1005" w:type="pct"/>
                  <w:vAlign w:val="center"/>
                </w:tcPr>
                <w:p>
                  <w:pPr>
                    <w:jc w:val="center"/>
                    <w:rPr>
                      <w:color w:val="00B0F0"/>
                      <w:kern w:val="0"/>
                      <w:sz w:val="20"/>
                      <w:szCs w:val="21"/>
                    </w:rPr>
                  </w:pPr>
                  <w:r>
                    <w:rPr>
                      <w:color w:val="00B0F0"/>
                      <w:kern w:val="0"/>
                      <w:sz w:val="20"/>
                      <w:szCs w:val="21"/>
                    </w:rPr>
                    <w:t>2.3021</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color w:val="00B0F0"/>
                      <w:kern w:val="0"/>
                      <w:sz w:val="20"/>
                      <w:szCs w:val="21"/>
                    </w:rPr>
                    <w:t>800</w:t>
                  </w:r>
                </w:p>
              </w:tc>
              <w:tc>
                <w:tcPr>
                  <w:tcW w:w="1006" w:type="pct"/>
                  <w:vAlign w:val="center"/>
                </w:tcPr>
                <w:p>
                  <w:pPr>
                    <w:jc w:val="center"/>
                    <w:rPr>
                      <w:color w:val="00B0F0"/>
                      <w:kern w:val="0"/>
                      <w:sz w:val="20"/>
                      <w:szCs w:val="21"/>
                    </w:rPr>
                  </w:pPr>
                  <w:r>
                    <w:rPr>
                      <w:color w:val="00B0F0"/>
                      <w:kern w:val="0"/>
                      <w:sz w:val="20"/>
                      <w:szCs w:val="21"/>
                    </w:rPr>
                    <w:t>0.213654</w:t>
                  </w:r>
                </w:p>
              </w:tc>
              <w:tc>
                <w:tcPr>
                  <w:tcW w:w="1007" w:type="pct"/>
                  <w:gridSpan w:val="2"/>
                  <w:vAlign w:val="center"/>
                </w:tcPr>
                <w:p>
                  <w:pPr>
                    <w:jc w:val="center"/>
                    <w:rPr>
                      <w:color w:val="00B0F0"/>
                      <w:kern w:val="0"/>
                      <w:sz w:val="20"/>
                      <w:szCs w:val="21"/>
                    </w:rPr>
                  </w:pPr>
                  <w:r>
                    <w:rPr>
                      <w:rFonts w:hint="eastAsia"/>
                      <w:color w:val="00B0F0"/>
                      <w:kern w:val="0"/>
                      <w:sz w:val="20"/>
                      <w:szCs w:val="21"/>
                    </w:rPr>
                    <w:t>2</w:t>
                  </w:r>
                  <w:r>
                    <w:rPr>
                      <w:color w:val="00B0F0"/>
                      <w:kern w:val="0"/>
                      <w:sz w:val="20"/>
                      <w:szCs w:val="21"/>
                    </w:rPr>
                    <w:t>.14</w:t>
                  </w:r>
                </w:p>
              </w:tc>
              <w:tc>
                <w:tcPr>
                  <w:tcW w:w="1005" w:type="pct"/>
                  <w:vAlign w:val="center"/>
                </w:tcPr>
                <w:p>
                  <w:pPr>
                    <w:jc w:val="center"/>
                    <w:rPr>
                      <w:color w:val="00B0F0"/>
                      <w:kern w:val="0"/>
                      <w:sz w:val="20"/>
                      <w:szCs w:val="21"/>
                    </w:rPr>
                  </w:pPr>
                  <w:r>
                    <w:rPr>
                      <w:color w:val="00B0F0"/>
                      <w:kern w:val="0"/>
                      <w:sz w:val="20"/>
                      <w:szCs w:val="21"/>
                    </w:rPr>
                    <w:t>2.222</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color w:val="00B0F0"/>
                      <w:kern w:val="0"/>
                      <w:sz w:val="20"/>
                      <w:szCs w:val="21"/>
                    </w:rPr>
                    <w:t>900</w:t>
                  </w:r>
                </w:p>
              </w:tc>
              <w:tc>
                <w:tcPr>
                  <w:tcW w:w="1006" w:type="pct"/>
                  <w:vAlign w:val="center"/>
                </w:tcPr>
                <w:p>
                  <w:pPr>
                    <w:jc w:val="center"/>
                    <w:rPr>
                      <w:color w:val="00B0F0"/>
                      <w:kern w:val="0"/>
                      <w:sz w:val="20"/>
                      <w:szCs w:val="21"/>
                    </w:rPr>
                  </w:pPr>
                  <w:r>
                    <w:rPr>
                      <w:color w:val="00B0F0"/>
                      <w:kern w:val="0"/>
                      <w:sz w:val="20"/>
                      <w:szCs w:val="21"/>
                    </w:rPr>
                    <w:t>0.203385</w:t>
                  </w:r>
                </w:p>
              </w:tc>
              <w:tc>
                <w:tcPr>
                  <w:tcW w:w="1007" w:type="pct"/>
                  <w:gridSpan w:val="2"/>
                  <w:vAlign w:val="center"/>
                </w:tcPr>
                <w:p>
                  <w:pPr>
                    <w:jc w:val="center"/>
                    <w:rPr>
                      <w:color w:val="00B0F0"/>
                      <w:kern w:val="0"/>
                      <w:sz w:val="20"/>
                      <w:szCs w:val="21"/>
                    </w:rPr>
                  </w:pPr>
                  <w:r>
                    <w:rPr>
                      <w:rFonts w:hint="eastAsia"/>
                      <w:color w:val="00B0F0"/>
                      <w:kern w:val="0"/>
                      <w:sz w:val="20"/>
                      <w:szCs w:val="21"/>
                    </w:rPr>
                    <w:t>2</w:t>
                  </w:r>
                  <w:r>
                    <w:rPr>
                      <w:color w:val="00B0F0"/>
                      <w:kern w:val="0"/>
                      <w:sz w:val="20"/>
                      <w:szCs w:val="21"/>
                    </w:rPr>
                    <w:t>.03</w:t>
                  </w:r>
                </w:p>
              </w:tc>
              <w:tc>
                <w:tcPr>
                  <w:tcW w:w="1005" w:type="pct"/>
                  <w:vAlign w:val="center"/>
                </w:tcPr>
                <w:p>
                  <w:pPr>
                    <w:jc w:val="center"/>
                    <w:rPr>
                      <w:color w:val="00B0F0"/>
                      <w:kern w:val="0"/>
                      <w:sz w:val="20"/>
                      <w:szCs w:val="21"/>
                    </w:rPr>
                  </w:pPr>
                  <w:r>
                    <w:rPr>
                      <w:color w:val="00B0F0"/>
                      <w:kern w:val="0"/>
                      <w:sz w:val="20"/>
                      <w:szCs w:val="21"/>
                    </w:rPr>
                    <w:t>2.1152</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color w:val="00B0F0"/>
                      <w:kern w:val="0"/>
                      <w:sz w:val="20"/>
                      <w:szCs w:val="21"/>
                    </w:rPr>
                    <w:t>1000</w:t>
                  </w:r>
                </w:p>
              </w:tc>
              <w:tc>
                <w:tcPr>
                  <w:tcW w:w="1006" w:type="pct"/>
                  <w:vAlign w:val="center"/>
                </w:tcPr>
                <w:p>
                  <w:pPr>
                    <w:jc w:val="center"/>
                    <w:rPr>
                      <w:color w:val="00B0F0"/>
                      <w:kern w:val="0"/>
                      <w:sz w:val="20"/>
                      <w:szCs w:val="21"/>
                    </w:rPr>
                  </w:pPr>
                  <w:r>
                    <w:rPr>
                      <w:color w:val="00B0F0"/>
                      <w:kern w:val="0"/>
                      <w:sz w:val="20"/>
                      <w:szCs w:val="21"/>
                    </w:rPr>
                    <w:t>0.192221</w:t>
                  </w:r>
                </w:p>
              </w:tc>
              <w:tc>
                <w:tcPr>
                  <w:tcW w:w="1007" w:type="pct"/>
                  <w:gridSpan w:val="2"/>
                  <w:vAlign w:val="center"/>
                </w:tcPr>
                <w:p>
                  <w:pPr>
                    <w:jc w:val="center"/>
                    <w:rPr>
                      <w:color w:val="00B0F0"/>
                      <w:kern w:val="0"/>
                      <w:sz w:val="20"/>
                      <w:szCs w:val="21"/>
                    </w:rPr>
                  </w:pPr>
                  <w:r>
                    <w:rPr>
                      <w:rFonts w:hint="eastAsia"/>
                      <w:color w:val="00B0F0"/>
                      <w:kern w:val="0"/>
                      <w:sz w:val="20"/>
                      <w:szCs w:val="21"/>
                    </w:rPr>
                    <w:t>1</w:t>
                  </w:r>
                  <w:r>
                    <w:rPr>
                      <w:color w:val="00B0F0"/>
                      <w:kern w:val="0"/>
                      <w:sz w:val="20"/>
                      <w:szCs w:val="21"/>
                    </w:rPr>
                    <w:t>.92</w:t>
                  </w:r>
                </w:p>
              </w:tc>
              <w:tc>
                <w:tcPr>
                  <w:tcW w:w="1005" w:type="pct"/>
                  <w:vAlign w:val="center"/>
                </w:tcPr>
                <w:p>
                  <w:pPr>
                    <w:jc w:val="center"/>
                    <w:rPr>
                      <w:color w:val="00B0F0"/>
                      <w:kern w:val="0"/>
                      <w:sz w:val="20"/>
                      <w:szCs w:val="21"/>
                    </w:rPr>
                  </w:pPr>
                  <w:r>
                    <w:rPr>
                      <w:color w:val="00B0F0"/>
                      <w:kern w:val="0"/>
                      <w:sz w:val="20"/>
                      <w:szCs w:val="21"/>
                    </w:rPr>
                    <w:t>1.9991</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rFonts w:hint="eastAsia"/>
                      <w:color w:val="00B0F0"/>
                      <w:kern w:val="0"/>
                      <w:sz w:val="20"/>
                      <w:szCs w:val="21"/>
                    </w:rPr>
                    <w:t>1</w:t>
                  </w:r>
                  <w:r>
                    <w:rPr>
                      <w:color w:val="00B0F0"/>
                      <w:kern w:val="0"/>
                      <w:sz w:val="20"/>
                      <w:szCs w:val="21"/>
                    </w:rPr>
                    <w:t>500</w:t>
                  </w:r>
                </w:p>
              </w:tc>
              <w:tc>
                <w:tcPr>
                  <w:tcW w:w="1006" w:type="pct"/>
                  <w:vAlign w:val="center"/>
                </w:tcPr>
                <w:p>
                  <w:pPr>
                    <w:jc w:val="center"/>
                    <w:rPr>
                      <w:color w:val="00B0F0"/>
                      <w:kern w:val="0"/>
                      <w:sz w:val="20"/>
                      <w:szCs w:val="21"/>
                    </w:rPr>
                  </w:pPr>
                  <w:r>
                    <w:rPr>
                      <w:color w:val="00B0F0"/>
                      <w:kern w:val="0"/>
                      <w:sz w:val="20"/>
                      <w:szCs w:val="21"/>
                    </w:rPr>
                    <w:t>0.142077</w:t>
                  </w:r>
                </w:p>
              </w:tc>
              <w:tc>
                <w:tcPr>
                  <w:tcW w:w="1007" w:type="pct"/>
                  <w:gridSpan w:val="2"/>
                  <w:vAlign w:val="center"/>
                </w:tcPr>
                <w:p>
                  <w:pPr>
                    <w:jc w:val="center"/>
                    <w:rPr>
                      <w:color w:val="00B0F0"/>
                      <w:kern w:val="0"/>
                      <w:sz w:val="20"/>
                      <w:szCs w:val="21"/>
                    </w:rPr>
                  </w:pPr>
                  <w:r>
                    <w:rPr>
                      <w:rFonts w:hint="eastAsia"/>
                      <w:color w:val="00B0F0"/>
                      <w:kern w:val="0"/>
                      <w:sz w:val="20"/>
                      <w:szCs w:val="21"/>
                    </w:rPr>
                    <w:t>1</w:t>
                  </w:r>
                  <w:r>
                    <w:rPr>
                      <w:color w:val="00B0F0"/>
                      <w:kern w:val="0"/>
                      <w:sz w:val="20"/>
                      <w:szCs w:val="21"/>
                    </w:rPr>
                    <w:t>.42</w:t>
                  </w:r>
                </w:p>
              </w:tc>
              <w:tc>
                <w:tcPr>
                  <w:tcW w:w="1005" w:type="pct"/>
                  <w:vAlign w:val="center"/>
                </w:tcPr>
                <w:p>
                  <w:pPr>
                    <w:jc w:val="center"/>
                    <w:rPr>
                      <w:color w:val="00B0F0"/>
                      <w:kern w:val="0"/>
                      <w:sz w:val="20"/>
                      <w:szCs w:val="21"/>
                    </w:rPr>
                  </w:pPr>
                  <w:r>
                    <w:rPr>
                      <w:color w:val="00B0F0"/>
                      <w:kern w:val="0"/>
                      <w:sz w:val="20"/>
                      <w:szCs w:val="21"/>
                    </w:rPr>
                    <w:t>1.4776</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color w:val="00B0F0"/>
                      <w:kern w:val="0"/>
                      <w:sz w:val="20"/>
                      <w:szCs w:val="21"/>
                    </w:rPr>
                    <w:t>2000</w:t>
                  </w:r>
                </w:p>
              </w:tc>
              <w:tc>
                <w:tcPr>
                  <w:tcW w:w="1006" w:type="pct"/>
                  <w:vAlign w:val="center"/>
                </w:tcPr>
                <w:p>
                  <w:pPr>
                    <w:jc w:val="center"/>
                    <w:rPr>
                      <w:color w:val="00B0F0"/>
                      <w:kern w:val="0"/>
                      <w:sz w:val="20"/>
                      <w:szCs w:val="21"/>
                    </w:rPr>
                  </w:pPr>
                  <w:r>
                    <w:rPr>
                      <w:color w:val="00B0F0"/>
                      <w:kern w:val="0"/>
                      <w:sz w:val="20"/>
                      <w:szCs w:val="21"/>
                    </w:rPr>
                    <w:t>0.107962</w:t>
                  </w:r>
                </w:p>
              </w:tc>
              <w:tc>
                <w:tcPr>
                  <w:tcW w:w="1007" w:type="pct"/>
                  <w:gridSpan w:val="2"/>
                  <w:vAlign w:val="center"/>
                </w:tcPr>
                <w:p>
                  <w:pPr>
                    <w:jc w:val="center"/>
                    <w:rPr>
                      <w:color w:val="00B0F0"/>
                      <w:kern w:val="0"/>
                      <w:sz w:val="20"/>
                      <w:szCs w:val="21"/>
                    </w:rPr>
                  </w:pPr>
                  <w:r>
                    <w:rPr>
                      <w:rFonts w:hint="eastAsia"/>
                      <w:color w:val="00B0F0"/>
                      <w:kern w:val="0"/>
                      <w:sz w:val="20"/>
                      <w:szCs w:val="21"/>
                    </w:rPr>
                    <w:t>1</w:t>
                  </w:r>
                  <w:r>
                    <w:rPr>
                      <w:color w:val="00B0F0"/>
                      <w:kern w:val="0"/>
                      <w:sz w:val="20"/>
                      <w:szCs w:val="21"/>
                    </w:rPr>
                    <w:t>.08</w:t>
                  </w:r>
                </w:p>
              </w:tc>
              <w:tc>
                <w:tcPr>
                  <w:tcW w:w="1005" w:type="pct"/>
                  <w:vAlign w:val="center"/>
                </w:tcPr>
                <w:p>
                  <w:pPr>
                    <w:jc w:val="center"/>
                    <w:rPr>
                      <w:color w:val="00B0F0"/>
                      <w:kern w:val="0"/>
                      <w:sz w:val="20"/>
                      <w:szCs w:val="21"/>
                    </w:rPr>
                  </w:pPr>
                  <w:r>
                    <w:rPr>
                      <w:color w:val="00B0F0"/>
                      <w:kern w:val="0"/>
                      <w:sz w:val="20"/>
                      <w:szCs w:val="21"/>
                    </w:rPr>
                    <w:t>1.1228</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color w:val="00B0F0"/>
                      <w:kern w:val="0"/>
                      <w:sz w:val="20"/>
                      <w:szCs w:val="21"/>
                    </w:rPr>
                  </w:pPr>
                  <w:r>
                    <w:rPr>
                      <w:color w:val="00B0F0"/>
                      <w:kern w:val="0"/>
                      <w:sz w:val="20"/>
                      <w:szCs w:val="21"/>
                    </w:rPr>
                    <w:t>2500</w:t>
                  </w:r>
                </w:p>
              </w:tc>
              <w:tc>
                <w:tcPr>
                  <w:tcW w:w="1006" w:type="pct"/>
                  <w:vAlign w:val="center"/>
                </w:tcPr>
                <w:p>
                  <w:pPr>
                    <w:jc w:val="center"/>
                    <w:rPr>
                      <w:color w:val="00B0F0"/>
                      <w:kern w:val="0"/>
                      <w:sz w:val="20"/>
                      <w:szCs w:val="21"/>
                    </w:rPr>
                  </w:pPr>
                  <w:r>
                    <w:rPr>
                      <w:color w:val="00B0F0"/>
                      <w:kern w:val="0"/>
                      <w:sz w:val="20"/>
                      <w:szCs w:val="21"/>
                    </w:rPr>
                    <w:t>0.085385</w:t>
                  </w:r>
                </w:p>
              </w:tc>
              <w:tc>
                <w:tcPr>
                  <w:tcW w:w="1007" w:type="pct"/>
                  <w:gridSpan w:val="2"/>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.85</w:t>
                  </w:r>
                </w:p>
              </w:tc>
              <w:tc>
                <w:tcPr>
                  <w:tcW w:w="1005" w:type="pct"/>
                  <w:vAlign w:val="center"/>
                </w:tcPr>
                <w:p>
                  <w:pPr>
                    <w:jc w:val="center"/>
                    <w:rPr>
                      <w:color w:val="00B0F0"/>
                      <w:kern w:val="0"/>
                      <w:sz w:val="20"/>
                      <w:szCs w:val="21"/>
                    </w:rPr>
                  </w:pPr>
                  <w:r>
                    <w:rPr>
                      <w:color w:val="00B0F0"/>
                      <w:kern w:val="0"/>
                      <w:sz w:val="20"/>
                      <w:szCs w:val="21"/>
                    </w:rPr>
                    <w:t>0.888</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rFonts w:eastAsia="新宋体"/>
                      <w:color w:val="00B0F0"/>
                      <w:kern w:val="0"/>
                      <w:sz w:val="20"/>
                      <w:szCs w:val="21"/>
                    </w:rPr>
                  </w:pPr>
                  <w:r>
                    <w:rPr>
                      <w:rFonts w:eastAsia="新宋体"/>
                      <w:color w:val="00B0F0"/>
                      <w:kern w:val="0"/>
                      <w:sz w:val="20"/>
                      <w:szCs w:val="21"/>
                    </w:rPr>
                    <w:t>下风向最大浓度</w:t>
                  </w:r>
                </w:p>
              </w:tc>
              <w:tc>
                <w:tcPr>
                  <w:tcW w:w="1006" w:type="pct"/>
                  <w:vAlign w:val="center"/>
                </w:tcPr>
                <w:p>
                  <w:pPr>
                    <w:jc w:val="center"/>
                    <w:rPr>
                      <w:color w:val="00B0F0"/>
                      <w:kern w:val="0"/>
                      <w:sz w:val="20"/>
                      <w:szCs w:val="21"/>
                    </w:rPr>
                  </w:pPr>
                  <w:r>
                    <w:rPr>
                      <w:color w:val="00B0F0"/>
                      <w:kern w:val="0"/>
                      <w:sz w:val="20"/>
                      <w:szCs w:val="21"/>
                    </w:rPr>
                    <w:t>0.355452</w:t>
                  </w:r>
                </w:p>
              </w:tc>
              <w:tc>
                <w:tcPr>
                  <w:tcW w:w="1007" w:type="pct"/>
                  <w:gridSpan w:val="2"/>
                  <w:vAlign w:val="center"/>
                </w:tcPr>
                <w:p>
                  <w:pPr>
                    <w:jc w:val="center"/>
                    <w:rPr>
                      <w:color w:val="00B0F0"/>
                      <w:kern w:val="0"/>
                      <w:sz w:val="20"/>
                      <w:szCs w:val="21"/>
                    </w:rPr>
                  </w:pPr>
                  <w:r>
                    <w:rPr>
                      <w:rFonts w:hint="eastAsia"/>
                      <w:color w:val="00B0F0"/>
                      <w:kern w:val="0"/>
                      <w:sz w:val="20"/>
                      <w:szCs w:val="21"/>
                    </w:rPr>
                    <w:t>3</w:t>
                  </w:r>
                  <w:r>
                    <w:rPr>
                      <w:color w:val="00B0F0"/>
                      <w:kern w:val="0"/>
                      <w:sz w:val="20"/>
                      <w:szCs w:val="21"/>
                    </w:rPr>
                    <w:t>.55</w:t>
                  </w:r>
                </w:p>
              </w:tc>
              <w:tc>
                <w:tcPr>
                  <w:tcW w:w="1005" w:type="pct"/>
                  <w:vAlign w:val="center"/>
                </w:tcPr>
                <w:p>
                  <w:pPr>
                    <w:jc w:val="center"/>
                    <w:rPr>
                      <w:color w:val="00B0F0"/>
                      <w:kern w:val="0"/>
                      <w:sz w:val="20"/>
                      <w:szCs w:val="21"/>
                    </w:rPr>
                  </w:pPr>
                  <w:r>
                    <w:rPr>
                      <w:color w:val="00B0F0"/>
                      <w:kern w:val="0"/>
                      <w:sz w:val="20"/>
                      <w:szCs w:val="21"/>
                    </w:rPr>
                    <w:t>3.6967</w:t>
                  </w:r>
                </w:p>
              </w:tc>
              <w:tc>
                <w:tcPr>
                  <w:tcW w:w="100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Align w:val="center"/>
                </w:tcPr>
                <w:p>
                  <w:pPr>
                    <w:jc w:val="center"/>
                    <w:rPr>
                      <w:rFonts w:eastAsia="新宋体"/>
                      <w:color w:val="00B0F0"/>
                      <w:kern w:val="0"/>
                      <w:sz w:val="20"/>
                      <w:szCs w:val="21"/>
                    </w:rPr>
                  </w:pPr>
                  <w:r>
                    <w:rPr>
                      <w:rFonts w:eastAsia="新宋体"/>
                      <w:color w:val="00B0F0"/>
                      <w:kern w:val="0"/>
                      <w:sz w:val="20"/>
                      <w:szCs w:val="21"/>
                    </w:rPr>
                    <w:t>下风向最大浓度出现距离</w:t>
                  </w:r>
                </w:p>
              </w:tc>
              <w:tc>
                <w:tcPr>
                  <w:tcW w:w="4026" w:type="pct"/>
                  <w:gridSpan w:val="5"/>
                  <w:vAlign w:val="center"/>
                </w:tcPr>
                <w:p>
                  <w:pPr>
                    <w:jc w:val="center"/>
                    <w:rPr>
                      <w:color w:val="00B0F0"/>
                      <w:kern w:val="0"/>
                      <w:sz w:val="20"/>
                      <w:szCs w:val="21"/>
                    </w:rPr>
                  </w:pPr>
                  <w:r>
                    <w:rPr>
                      <w:rFonts w:hint="eastAsia"/>
                      <w:color w:val="00B0F0"/>
                      <w:kern w:val="0"/>
                      <w:sz w:val="20"/>
                      <w:szCs w:val="21"/>
                    </w:rPr>
                    <w:t>1</w:t>
                  </w:r>
                  <w:r>
                    <w:rPr>
                      <w:color w:val="00B0F0"/>
                      <w:kern w:val="0"/>
                      <w:sz w:val="20"/>
                      <w:szCs w:val="21"/>
                    </w:rPr>
                    <w:t>01</w:t>
                  </w:r>
                </w:p>
              </w:tc>
            </w:tr>
          </w:tbl>
          <w:p>
            <w:pPr>
              <w:spacing w:before="156" w:beforeLines="50" w:line="360" w:lineRule="auto"/>
              <w:jc w:val="center"/>
              <w:rPr>
                <w:b/>
                <w:bCs/>
                <w:kern w:val="0"/>
                <w:sz w:val="24"/>
              </w:rPr>
            </w:pPr>
            <w:r>
              <w:rPr>
                <w:b/>
                <w:bCs/>
                <w:kern w:val="0"/>
                <w:sz w:val="24"/>
              </w:rPr>
              <w:t>表7-6   本项目</w:t>
            </w:r>
            <w:r>
              <w:rPr>
                <w:rFonts w:hint="eastAsia"/>
                <w:b/>
                <w:bCs/>
                <w:kern w:val="0"/>
                <w:sz w:val="24"/>
              </w:rPr>
              <w:t>P</w:t>
            </w:r>
            <w:r>
              <w:rPr>
                <w:b/>
                <w:bCs/>
                <w:kern w:val="0"/>
                <w:sz w:val="24"/>
              </w:rPr>
              <w:t>2</w:t>
            </w:r>
            <w:r>
              <w:rPr>
                <w:rFonts w:hint="eastAsia"/>
                <w:b/>
                <w:bCs/>
                <w:kern w:val="0"/>
                <w:sz w:val="24"/>
              </w:rPr>
              <w:t>排气筒有组织粉尘</w:t>
            </w:r>
            <w:r>
              <w:rPr>
                <w:b/>
                <w:bCs/>
                <w:kern w:val="0"/>
                <w:sz w:val="24"/>
              </w:rPr>
              <w:t>预测结果一览表</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81"/>
              <w:gridCol w:w="2973"/>
              <w:gridCol w:w="2958"/>
              <w:gridCol w:w="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558" w:hRule="atLeast"/>
                <w:jc w:val="center"/>
              </w:trPr>
              <w:tc>
                <w:tcPr>
                  <w:tcW w:w="1632" w:type="pct"/>
                  <w:vMerge w:val="restart"/>
                  <w:vAlign w:val="center"/>
                </w:tcPr>
                <w:p>
                  <w:pPr>
                    <w:snapToGrid w:val="0"/>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距离（m）</w:t>
                  </w:r>
                </w:p>
                <w:p>
                  <w:pPr>
                    <w:ind w:firstLine="200" w:firstLineChars="100"/>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污染物</w:t>
                  </w:r>
                </w:p>
              </w:tc>
              <w:tc>
                <w:tcPr>
                  <w:tcW w:w="3360" w:type="pct"/>
                  <w:gridSpan w:val="2"/>
                  <w:vAlign w:val="center"/>
                </w:tcPr>
                <w:p>
                  <w:pPr>
                    <w:jc w:val="center"/>
                    <w:rPr>
                      <w:color w:val="000000"/>
                      <w:kern w:val="0"/>
                      <w:sz w:val="20"/>
                      <w:szCs w:val="21"/>
                      <w:lang w:bidi="en-US"/>
                    </w:rPr>
                  </w:pPr>
                  <w:r>
                    <w:rPr>
                      <w:rFonts w:hint="eastAsia"/>
                      <w:kern w:val="0"/>
                      <w:sz w:val="20"/>
                      <w:szCs w:val="21"/>
                    </w:rPr>
                    <w:t>P</w:t>
                  </w:r>
                  <w:r>
                    <w:rPr>
                      <w:kern w:val="0"/>
                      <w:sz w:val="20"/>
                      <w:szCs w:val="21"/>
                    </w:rPr>
                    <w:t>M</w:t>
                  </w:r>
                  <w:r>
                    <w:rPr>
                      <w:kern w:val="0"/>
                      <w:sz w:val="20"/>
                      <w:szCs w:val="21"/>
                      <w:vertAlign w:val="subscript"/>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Merge w:val="continue"/>
                  <w:vAlign w:val="center"/>
                </w:tcPr>
                <w:p>
                  <w:pPr>
                    <w:jc w:val="center"/>
                    <w:rPr>
                      <w:color w:val="000000" w:themeColor="text1"/>
                      <w:kern w:val="0"/>
                      <w:sz w:val="20"/>
                      <w:szCs w:val="21"/>
                      <w14:textFill>
                        <w14:solidFill>
                          <w14:schemeClr w14:val="tx1"/>
                        </w14:solidFill>
                      </w14:textFill>
                    </w:rPr>
                  </w:pPr>
                </w:p>
              </w:tc>
              <w:tc>
                <w:tcPr>
                  <w:tcW w:w="1684"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浓度（ug/m</w:t>
                  </w:r>
                  <w:r>
                    <w:rPr>
                      <w:color w:val="000000" w:themeColor="text1"/>
                      <w:kern w:val="0"/>
                      <w:sz w:val="20"/>
                      <w:szCs w:val="21"/>
                      <w:vertAlign w:val="superscript"/>
                      <w14:textFill>
                        <w14:solidFill>
                          <w14:schemeClr w14:val="tx1"/>
                        </w14:solidFill>
                      </w14:textFill>
                    </w:rPr>
                    <w:t>3</w:t>
                  </w:r>
                  <w:r>
                    <w:rPr>
                      <w:color w:val="000000" w:themeColor="text1"/>
                      <w:kern w:val="0"/>
                      <w:sz w:val="20"/>
                      <w:szCs w:val="21"/>
                      <w14:textFill>
                        <w14:solidFill>
                          <w14:schemeClr w14:val="tx1"/>
                        </w14:solidFill>
                      </w14:textFill>
                    </w:rPr>
                    <w:t>）</w:t>
                  </w:r>
                </w:p>
              </w:tc>
              <w:tc>
                <w:tcPr>
                  <w:tcW w:w="1684" w:type="pct"/>
                  <w:gridSpan w:val="2"/>
                  <w:vAlign w:val="center"/>
                </w:tcPr>
                <w:p>
                  <w:pPr>
                    <w:pStyle w:val="6"/>
                    <w:jc w:val="center"/>
                    <w:rPr>
                      <w:color w:val="000000" w:themeColor="text1"/>
                      <w:kern w:val="0"/>
                      <w:sz w:val="20"/>
                      <w14:textFill>
                        <w14:solidFill>
                          <w14:schemeClr w14:val="tx1"/>
                        </w14:solidFill>
                      </w14:textFill>
                    </w:rPr>
                  </w:pPr>
                  <w:r>
                    <w:rPr>
                      <w:color w:val="000000" w:themeColor="text1"/>
                      <w:kern w:val="0"/>
                      <w:sz w:val="20"/>
                      <w14:textFill>
                        <w14:solidFill>
                          <w14:schemeClr w14:val="tx1"/>
                        </w14:solidFill>
                      </w14:textFill>
                    </w:rPr>
                    <w:t>占标率%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1</w:t>
                  </w:r>
                  <w:r>
                    <w:rPr>
                      <w:color w:val="000000" w:themeColor="text1"/>
                      <w:kern w:val="0"/>
                      <w:sz w:val="20"/>
                      <w:szCs w:val="21"/>
                      <w14:textFill>
                        <w14:solidFill>
                          <w14:schemeClr w14:val="tx1"/>
                        </w14:solidFill>
                      </w14:textFill>
                    </w:rPr>
                    <w:t>0</w:t>
                  </w:r>
                </w:p>
              </w:tc>
              <w:tc>
                <w:tcPr>
                  <w:tcW w:w="1684" w:type="pct"/>
                  <w:vAlign w:val="center"/>
                </w:tcPr>
                <w:p>
                  <w:pPr>
                    <w:jc w:val="center"/>
                    <w:rPr>
                      <w:kern w:val="0"/>
                      <w:sz w:val="20"/>
                      <w:szCs w:val="21"/>
                    </w:rPr>
                  </w:pPr>
                  <w:r>
                    <w:rPr>
                      <w:rFonts w:hint="eastAsia"/>
                      <w:kern w:val="0"/>
                      <w:sz w:val="20"/>
                      <w:szCs w:val="21"/>
                    </w:rPr>
                    <w:t>0</w:t>
                  </w:r>
                  <w:r>
                    <w:rPr>
                      <w:kern w:val="0"/>
                      <w:sz w:val="20"/>
                      <w:szCs w:val="21"/>
                    </w:rPr>
                    <w:t>.000613</w:t>
                  </w:r>
                </w:p>
              </w:tc>
              <w:tc>
                <w:tcPr>
                  <w:tcW w:w="1684" w:type="pct"/>
                  <w:gridSpan w:val="2"/>
                  <w:vAlign w:val="center"/>
                </w:tcPr>
                <w:p>
                  <w:pPr>
                    <w:jc w:val="center"/>
                    <w:rPr>
                      <w:kern w:val="0"/>
                      <w:sz w:val="20"/>
                      <w:szCs w:val="21"/>
                    </w:rPr>
                  </w:pPr>
                  <w:r>
                    <w:rPr>
                      <w:rFonts w:hint="eastAsia"/>
                      <w:kern w:val="0"/>
                      <w:sz w:val="20"/>
                      <w:szCs w:val="21"/>
                    </w:rPr>
                    <w:t>0</w:t>
                  </w:r>
                  <w:r>
                    <w:rPr>
                      <w:kern w:val="0"/>
                      <w:sz w:val="20"/>
                      <w:szCs w:val="21"/>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50</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.32052</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100</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.56884</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10</w:t>
                  </w:r>
                  <w:r>
                    <w:rPr>
                      <w:color w:val="000000" w:themeColor="text1"/>
                      <w:kern w:val="0"/>
                      <w:sz w:val="20"/>
                      <w:szCs w:val="21"/>
                      <w14:textFill>
                        <w14:solidFill>
                          <w14:schemeClr w14:val="tx1"/>
                        </w14:solidFill>
                      </w14:textFill>
                    </w:rPr>
                    <w:t>1</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.56885</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200</w:t>
                  </w:r>
                </w:p>
              </w:tc>
              <w:tc>
                <w:tcPr>
                  <w:tcW w:w="1684" w:type="pct"/>
                  <w:vAlign w:val="center"/>
                </w:tcPr>
                <w:p>
                  <w:pPr>
                    <w:jc w:val="center"/>
                    <w:rPr>
                      <w:kern w:val="0"/>
                      <w:sz w:val="20"/>
                      <w:szCs w:val="21"/>
                    </w:rPr>
                  </w:pPr>
                  <w:r>
                    <w:rPr>
                      <w:rFonts w:hint="eastAsia"/>
                      <w:kern w:val="0"/>
                      <w:sz w:val="20"/>
                      <w:szCs w:val="21"/>
                    </w:rPr>
                    <w:t>0</w:t>
                  </w:r>
                  <w:r>
                    <w:rPr>
                      <w:kern w:val="0"/>
                      <w:sz w:val="20"/>
                      <w:szCs w:val="21"/>
                    </w:rPr>
                    <w:t>.49018</w:t>
                  </w:r>
                </w:p>
              </w:tc>
              <w:tc>
                <w:tcPr>
                  <w:tcW w:w="1684" w:type="pct"/>
                  <w:gridSpan w:val="2"/>
                  <w:vAlign w:val="center"/>
                </w:tcPr>
                <w:p>
                  <w:pPr>
                    <w:jc w:val="center"/>
                    <w:rPr>
                      <w:kern w:val="0"/>
                      <w:sz w:val="20"/>
                      <w:szCs w:val="21"/>
                    </w:rPr>
                  </w:pPr>
                  <w:r>
                    <w:rPr>
                      <w:rFonts w:hint="eastAsia"/>
                      <w:kern w:val="0"/>
                      <w:sz w:val="20"/>
                      <w:szCs w:val="21"/>
                    </w:rPr>
                    <w:t>0</w:t>
                  </w:r>
                  <w:r>
                    <w:rPr>
                      <w:kern w:val="0"/>
                      <w:sz w:val="20"/>
                      <w:szCs w:val="21"/>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300</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.54091</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400</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.47127</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500</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.39521</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600</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.35736</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700</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.35424</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800</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.34192</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900</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.32548</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1000</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.30761</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1</w:t>
                  </w:r>
                  <w:r>
                    <w:rPr>
                      <w:color w:val="000000" w:themeColor="text1"/>
                      <w:kern w:val="0"/>
                      <w:sz w:val="20"/>
                      <w:szCs w:val="21"/>
                      <w14:textFill>
                        <w14:solidFill>
                          <w14:schemeClr w14:val="tx1"/>
                        </w14:solidFill>
                      </w14:textFill>
                    </w:rPr>
                    <w:t>500</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.22736</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2000</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.17278</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2500</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.13664</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rFonts w:eastAsia="新宋体"/>
                      <w:color w:val="000000" w:themeColor="text1"/>
                      <w:kern w:val="0"/>
                      <w:sz w:val="20"/>
                      <w:szCs w:val="21"/>
                      <w14:textFill>
                        <w14:solidFill>
                          <w14:schemeClr w14:val="tx1"/>
                        </w14:solidFill>
                      </w14:textFill>
                    </w:rPr>
                  </w:pPr>
                  <w:r>
                    <w:rPr>
                      <w:rFonts w:eastAsia="新宋体"/>
                      <w:color w:val="000000" w:themeColor="text1"/>
                      <w:kern w:val="0"/>
                      <w:sz w:val="20"/>
                      <w:szCs w:val="21"/>
                      <w14:textFill>
                        <w14:solidFill>
                          <w14:schemeClr w14:val="tx1"/>
                        </w14:solidFill>
                      </w14:textFill>
                    </w:rPr>
                    <w:t>下风向最大浓度</w:t>
                  </w:r>
                </w:p>
              </w:tc>
              <w:tc>
                <w:tcPr>
                  <w:tcW w:w="168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.56885</w:t>
                  </w:r>
                </w:p>
              </w:tc>
              <w:tc>
                <w:tcPr>
                  <w:tcW w:w="1684" w:type="pct"/>
                  <w:gridSpan w:val="2"/>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vAlign w:val="center"/>
                </w:tcPr>
                <w:p>
                  <w:pPr>
                    <w:jc w:val="center"/>
                    <w:rPr>
                      <w:rFonts w:eastAsia="新宋体"/>
                      <w:color w:val="000000" w:themeColor="text1"/>
                      <w:kern w:val="0"/>
                      <w:sz w:val="20"/>
                      <w:szCs w:val="21"/>
                      <w14:textFill>
                        <w14:solidFill>
                          <w14:schemeClr w14:val="tx1"/>
                        </w14:solidFill>
                      </w14:textFill>
                    </w:rPr>
                  </w:pPr>
                  <w:r>
                    <w:rPr>
                      <w:rFonts w:eastAsia="新宋体"/>
                      <w:color w:val="000000" w:themeColor="text1"/>
                      <w:kern w:val="0"/>
                      <w:sz w:val="20"/>
                      <w:szCs w:val="21"/>
                      <w14:textFill>
                        <w14:solidFill>
                          <w14:schemeClr w14:val="tx1"/>
                        </w14:solidFill>
                      </w14:textFill>
                    </w:rPr>
                    <w:t>下风向最大浓度出现距离</w:t>
                  </w:r>
                </w:p>
              </w:tc>
              <w:tc>
                <w:tcPr>
                  <w:tcW w:w="3368" w:type="pct"/>
                  <w:gridSpan w:val="3"/>
                  <w:tcBorders>
                    <w:right w:val="single" w:color="auto" w:sz="12" w:space="0"/>
                  </w:tcBorders>
                  <w:vAlign w:val="center"/>
                </w:tcPr>
                <w:p>
                  <w:pPr>
                    <w:jc w:val="center"/>
                    <w:rPr>
                      <w:kern w:val="0"/>
                      <w:sz w:val="20"/>
                      <w:szCs w:val="21"/>
                    </w:rPr>
                  </w:pPr>
                  <w:r>
                    <w:rPr>
                      <w:rFonts w:hint="eastAsia"/>
                      <w:kern w:val="0"/>
                      <w:sz w:val="20"/>
                      <w:szCs w:val="21"/>
                    </w:rPr>
                    <w:t>1</w:t>
                  </w:r>
                  <w:r>
                    <w:rPr>
                      <w:kern w:val="0"/>
                      <w:sz w:val="20"/>
                      <w:szCs w:val="21"/>
                    </w:rPr>
                    <w:t>01</w:t>
                  </w:r>
                </w:p>
              </w:tc>
            </w:tr>
          </w:tbl>
          <w:p>
            <w:pPr>
              <w:spacing w:before="156" w:beforeLines="50" w:line="360" w:lineRule="auto"/>
              <w:jc w:val="center"/>
              <w:rPr>
                <w:b/>
                <w:bCs/>
                <w:kern w:val="0"/>
                <w:sz w:val="24"/>
              </w:rPr>
            </w:pPr>
            <w:r>
              <w:rPr>
                <w:b/>
                <w:bCs/>
                <w:kern w:val="0"/>
                <w:sz w:val="24"/>
              </w:rPr>
              <w:t>表7-7   本项目</w:t>
            </w:r>
            <w:r>
              <w:rPr>
                <w:rFonts w:hint="eastAsia"/>
                <w:b/>
                <w:bCs/>
                <w:kern w:val="0"/>
                <w:sz w:val="24"/>
              </w:rPr>
              <w:t>P</w:t>
            </w:r>
            <w:r>
              <w:rPr>
                <w:b/>
                <w:bCs/>
                <w:kern w:val="0"/>
                <w:sz w:val="24"/>
              </w:rPr>
              <w:t>3</w:t>
            </w:r>
            <w:r>
              <w:rPr>
                <w:rFonts w:hint="eastAsia"/>
                <w:b/>
                <w:bCs/>
                <w:kern w:val="0"/>
                <w:sz w:val="24"/>
              </w:rPr>
              <w:t>排气筒锅炉废气</w:t>
            </w:r>
            <w:r>
              <w:rPr>
                <w:b/>
                <w:bCs/>
                <w:kern w:val="0"/>
                <w:sz w:val="24"/>
              </w:rPr>
              <w:t>预测结果一览表</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266"/>
              <w:gridCol w:w="1266"/>
              <w:gridCol w:w="1264"/>
              <w:gridCol w:w="1276"/>
              <w:gridCol w:w="1267"/>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5" w:type="pct"/>
                  <w:vMerge w:val="restart"/>
                  <w:vAlign w:val="center"/>
                </w:tcPr>
                <w:p>
                  <w:pPr>
                    <w:snapToGrid w:val="0"/>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距离（m）</w:t>
                  </w:r>
                </w:p>
                <w:p>
                  <w:pPr>
                    <w:ind w:firstLine="200" w:firstLineChars="100"/>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污染物</w:t>
                  </w:r>
                </w:p>
              </w:tc>
              <w:tc>
                <w:tcPr>
                  <w:tcW w:w="1434" w:type="pct"/>
                  <w:gridSpan w:val="2"/>
                  <w:vAlign w:val="center"/>
                </w:tcPr>
                <w:p>
                  <w:pPr>
                    <w:jc w:val="center"/>
                    <w:rPr>
                      <w:color w:val="000000"/>
                      <w:kern w:val="0"/>
                      <w:sz w:val="20"/>
                      <w:szCs w:val="21"/>
                      <w:lang w:bidi="en-US"/>
                    </w:rPr>
                  </w:pPr>
                  <w:r>
                    <w:rPr>
                      <w:rFonts w:hint="eastAsia"/>
                      <w:color w:val="000000"/>
                      <w:kern w:val="0"/>
                      <w:sz w:val="20"/>
                      <w:szCs w:val="21"/>
                      <w:lang w:bidi="en-US"/>
                    </w:rPr>
                    <w:t>S</w:t>
                  </w:r>
                  <w:r>
                    <w:rPr>
                      <w:color w:val="000000"/>
                      <w:kern w:val="0"/>
                      <w:sz w:val="20"/>
                      <w:szCs w:val="21"/>
                      <w:lang w:bidi="en-US"/>
                    </w:rPr>
                    <w:t>O</w:t>
                  </w:r>
                  <w:r>
                    <w:rPr>
                      <w:color w:val="000000"/>
                      <w:kern w:val="0"/>
                      <w:sz w:val="20"/>
                      <w:szCs w:val="21"/>
                      <w:vertAlign w:val="subscript"/>
                      <w:lang w:bidi="en-US"/>
                    </w:rPr>
                    <w:t>2</w:t>
                  </w:r>
                </w:p>
              </w:tc>
              <w:tc>
                <w:tcPr>
                  <w:tcW w:w="1439" w:type="pct"/>
                  <w:gridSpan w:val="2"/>
                  <w:vAlign w:val="center"/>
                </w:tcPr>
                <w:p>
                  <w:pPr>
                    <w:jc w:val="center"/>
                    <w:rPr>
                      <w:color w:val="000000"/>
                      <w:kern w:val="0"/>
                      <w:sz w:val="20"/>
                      <w:szCs w:val="21"/>
                      <w:lang w:bidi="en-US"/>
                    </w:rPr>
                  </w:pPr>
                  <w:r>
                    <w:rPr>
                      <w:rFonts w:hint="eastAsia"/>
                      <w:color w:val="000000"/>
                      <w:kern w:val="0"/>
                      <w:sz w:val="20"/>
                      <w:szCs w:val="21"/>
                      <w:lang w:bidi="en-US"/>
                    </w:rPr>
                    <w:t>P</w:t>
                  </w:r>
                  <w:r>
                    <w:rPr>
                      <w:color w:val="000000"/>
                      <w:kern w:val="0"/>
                      <w:sz w:val="20"/>
                      <w:szCs w:val="21"/>
                      <w:lang w:bidi="en-US"/>
                    </w:rPr>
                    <w:t>M</w:t>
                  </w:r>
                  <w:r>
                    <w:rPr>
                      <w:color w:val="000000"/>
                      <w:kern w:val="0"/>
                      <w:sz w:val="20"/>
                      <w:szCs w:val="21"/>
                      <w:vertAlign w:val="subscript"/>
                      <w:lang w:bidi="en-US"/>
                    </w:rPr>
                    <w:t>10</w:t>
                  </w:r>
                </w:p>
              </w:tc>
              <w:tc>
                <w:tcPr>
                  <w:tcW w:w="1432" w:type="pct"/>
                  <w:gridSpan w:val="2"/>
                  <w:vAlign w:val="center"/>
                </w:tcPr>
                <w:p>
                  <w:pPr>
                    <w:jc w:val="center"/>
                    <w:rPr>
                      <w:color w:val="000000"/>
                      <w:kern w:val="0"/>
                      <w:sz w:val="20"/>
                      <w:szCs w:val="21"/>
                      <w:lang w:bidi="en-US"/>
                    </w:rPr>
                  </w:pPr>
                  <w:r>
                    <w:rPr>
                      <w:rFonts w:hint="eastAsia"/>
                      <w:color w:val="000000"/>
                      <w:kern w:val="0"/>
                      <w:sz w:val="20"/>
                      <w:szCs w:val="21"/>
                      <w:lang w:bidi="en-US"/>
                    </w:rPr>
                    <w:t>N</w:t>
                  </w:r>
                  <w:r>
                    <w:rPr>
                      <w:color w:val="000000"/>
                      <w:kern w:val="0"/>
                      <w:sz w:val="20"/>
                      <w:szCs w:val="21"/>
                      <w:lang w:bidi="en-US"/>
                    </w:rPr>
                    <w:t>O</w:t>
                  </w:r>
                  <w:r>
                    <w:rPr>
                      <w:color w:val="000000"/>
                      <w:kern w:val="0"/>
                      <w:sz w:val="20"/>
                      <w:szCs w:val="21"/>
                      <w:vertAlign w:val="subscript"/>
                      <w:lang w:bidi="en-US"/>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Merge w:val="continue"/>
                  <w:vAlign w:val="center"/>
                </w:tcPr>
                <w:p>
                  <w:pPr>
                    <w:jc w:val="center"/>
                    <w:rPr>
                      <w:color w:val="000000" w:themeColor="text1"/>
                      <w:kern w:val="0"/>
                      <w:sz w:val="20"/>
                      <w:szCs w:val="21"/>
                      <w14:textFill>
                        <w14:solidFill>
                          <w14:schemeClr w14:val="tx1"/>
                        </w14:solidFill>
                      </w14:textFill>
                    </w:rPr>
                  </w:pP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浓度（ug/m</w:t>
                  </w:r>
                  <w:r>
                    <w:rPr>
                      <w:color w:val="000000" w:themeColor="text1"/>
                      <w:kern w:val="0"/>
                      <w:sz w:val="20"/>
                      <w:szCs w:val="21"/>
                      <w:vertAlign w:val="superscript"/>
                      <w14:textFill>
                        <w14:solidFill>
                          <w14:schemeClr w14:val="tx1"/>
                        </w14:solidFill>
                      </w14:textFill>
                    </w:rPr>
                    <w:t>3</w:t>
                  </w:r>
                  <w:r>
                    <w:rPr>
                      <w:color w:val="000000" w:themeColor="text1"/>
                      <w:kern w:val="0"/>
                      <w:sz w:val="20"/>
                      <w:szCs w:val="21"/>
                      <w14:textFill>
                        <w14:solidFill>
                          <w14:schemeClr w14:val="tx1"/>
                        </w14:solidFill>
                      </w14:textFill>
                    </w:rPr>
                    <w:t>）</w:t>
                  </w:r>
                </w:p>
              </w:tc>
              <w:tc>
                <w:tcPr>
                  <w:tcW w:w="717" w:type="pct"/>
                  <w:vAlign w:val="center"/>
                </w:tcPr>
                <w:p>
                  <w:pPr>
                    <w:pStyle w:val="6"/>
                    <w:jc w:val="center"/>
                    <w:rPr>
                      <w:color w:val="000000" w:themeColor="text1"/>
                      <w:kern w:val="0"/>
                      <w:sz w:val="20"/>
                      <w14:textFill>
                        <w14:solidFill>
                          <w14:schemeClr w14:val="tx1"/>
                        </w14:solidFill>
                      </w14:textFill>
                    </w:rPr>
                  </w:pPr>
                  <w:r>
                    <w:rPr>
                      <w:color w:val="000000" w:themeColor="text1"/>
                      <w:kern w:val="0"/>
                      <w:sz w:val="20"/>
                      <w14:textFill>
                        <w14:solidFill>
                          <w14:schemeClr w14:val="tx1"/>
                        </w14:solidFill>
                      </w14:textFill>
                    </w:rPr>
                    <w:t>占标率%</w:t>
                  </w:r>
                </w:p>
              </w:tc>
              <w:tc>
                <w:tcPr>
                  <w:tcW w:w="716" w:type="pct"/>
                  <w:vAlign w:val="center"/>
                </w:tcPr>
                <w:p>
                  <w:pPr>
                    <w:pStyle w:val="6"/>
                    <w:jc w:val="center"/>
                    <w:rPr>
                      <w:color w:val="000000" w:themeColor="text1"/>
                      <w:kern w:val="0"/>
                      <w:sz w:val="20"/>
                      <w14:textFill>
                        <w14:solidFill>
                          <w14:schemeClr w14:val="tx1"/>
                        </w14:solidFill>
                      </w14:textFill>
                    </w:rPr>
                  </w:pPr>
                  <w:r>
                    <w:rPr>
                      <w:color w:val="000000" w:themeColor="text1"/>
                      <w:kern w:val="0"/>
                      <w:sz w:val="20"/>
                      <w14:textFill>
                        <w14:solidFill>
                          <w14:schemeClr w14:val="tx1"/>
                        </w14:solidFill>
                      </w14:textFill>
                    </w:rPr>
                    <w:t>浓度（ug/m</w:t>
                  </w:r>
                  <w:r>
                    <w:rPr>
                      <w:color w:val="000000" w:themeColor="text1"/>
                      <w:kern w:val="0"/>
                      <w:sz w:val="20"/>
                      <w:vertAlign w:val="superscript"/>
                      <w14:textFill>
                        <w14:solidFill>
                          <w14:schemeClr w14:val="tx1"/>
                        </w14:solidFill>
                      </w14:textFill>
                    </w:rPr>
                    <w:t>3</w:t>
                  </w:r>
                  <w:r>
                    <w:rPr>
                      <w:color w:val="000000" w:themeColor="text1"/>
                      <w:kern w:val="0"/>
                      <w:sz w:val="20"/>
                      <w14:textFill>
                        <w14:solidFill>
                          <w14:schemeClr w14:val="tx1"/>
                        </w14:solidFill>
                      </w14:textFill>
                    </w:rPr>
                    <w:t>）</w:t>
                  </w:r>
                </w:p>
              </w:tc>
              <w:tc>
                <w:tcPr>
                  <w:tcW w:w="723" w:type="pct"/>
                  <w:vAlign w:val="center"/>
                </w:tcPr>
                <w:p>
                  <w:pPr>
                    <w:pStyle w:val="6"/>
                    <w:jc w:val="center"/>
                    <w:rPr>
                      <w:color w:val="000000" w:themeColor="text1"/>
                      <w:kern w:val="0"/>
                      <w:sz w:val="20"/>
                      <w14:textFill>
                        <w14:solidFill>
                          <w14:schemeClr w14:val="tx1"/>
                        </w14:solidFill>
                      </w14:textFill>
                    </w:rPr>
                  </w:pPr>
                  <w:r>
                    <w:rPr>
                      <w:color w:val="000000" w:themeColor="text1"/>
                      <w:kern w:val="0"/>
                      <w:sz w:val="20"/>
                      <w14:textFill>
                        <w14:solidFill>
                          <w14:schemeClr w14:val="tx1"/>
                        </w14:solidFill>
                      </w14:textFill>
                    </w:rPr>
                    <w:t>占标率%</w:t>
                  </w:r>
                </w:p>
              </w:tc>
              <w:tc>
                <w:tcPr>
                  <w:tcW w:w="718" w:type="pct"/>
                  <w:vAlign w:val="center"/>
                </w:tcPr>
                <w:p>
                  <w:pPr>
                    <w:pStyle w:val="6"/>
                    <w:jc w:val="center"/>
                    <w:rPr>
                      <w:color w:val="000000" w:themeColor="text1"/>
                      <w:kern w:val="0"/>
                      <w:sz w:val="20"/>
                      <w14:textFill>
                        <w14:solidFill>
                          <w14:schemeClr w14:val="tx1"/>
                        </w14:solidFill>
                      </w14:textFill>
                    </w:rPr>
                  </w:pPr>
                  <w:r>
                    <w:rPr>
                      <w:color w:val="000000" w:themeColor="text1"/>
                      <w:kern w:val="0"/>
                      <w:sz w:val="20"/>
                      <w14:textFill>
                        <w14:solidFill>
                          <w14:schemeClr w14:val="tx1"/>
                        </w14:solidFill>
                      </w14:textFill>
                    </w:rPr>
                    <w:t>浓度（ug/m</w:t>
                  </w:r>
                  <w:r>
                    <w:rPr>
                      <w:color w:val="000000" w:themeColor="text1"/>
                      <w:kern w:val="0"/>
                      <w:sz w:val="20"/>
                      <w:vertAlign w:val="superscript"/>
                      <w14:textFill>
                        <w14:solidFill>
                          <w14:schemeClr w14:val="tx1"/>
                        </w14:solidFill>
                      </w14:textFill>
                    </w:rPr>
                    <w:t>3</w:t>
                  </w:r>
                  <w:r>
                    <w:rPr>
                      <w:color w:val="000000" w:themeColor="text1"/>
                      <w:kern w:val="0"/>
                      <w:sz w:val="20"/>
                      <w14:textFill>
                        <w14:solidFill>
                          <w14:schemeClr w14:val="tx1"/>
                        </w14:solidFill>
                      </w14:textFill>
                    </w:rPr>
                    <w:t>）</w:t>
                  </w:r>
                </w:p>
              </w:tc>
              <w:tc>
                <w:tcPr>
                  <w:tcW w:w="714" w:type="pct"/>
                  <w:vAlign w:val="center"/>
                </w:tcPr>
                <w:p>
                  <w:pPr>
                    <w:pStyle w:val="6"/>
                    <w:jc w:val="center"/>
                    <w:rPr>
                      <w:color w:val="000000" w:themeColor="text1"/>
                      <w:kern w:val="0"/>
                      <w:sz w:val="20"/>
                      <w14:textFill>
                        <w14:solidFill>
                          <w14:schemeClr w14:val="tx1"/>
                        </w14:solidFill>
                      </w14:textFill>
                    </w:rPr>
                  </w:pPr>
                  <w:r>
                    <w:rPr>
                      <w:color w:val="000000" w:themeColor="text1"/>
                      <w:kern w:val="0"/>
                      <w:sz w:val="20"/>
                      <w14:textFill>
                        <w14:solidFill>
                          <w14:schemeClr w14:val="tx1"/>
                        </w14:solidFill>
                      </w14:textFill>
                    </w:rPr>
                    <w:t>占标率%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1</w:t>
                  </w:r>
                  <w:r>
                    <w:rPr>
                      <w:color w:val="000000" w:themeColor="text1"/>
                      <w:kern w:val="0"/>
                      <w:sz w:val="20"/>
                      <w:szCs w:val="21"/>
                      <w14:textFill>
                        <w14:solidFill>
                          <w14:schemeClr w14:val="tx1"/>
                        </w14:solidFill>
                      </w14:textFill>
                    </w:rPr>
                    <w:t>0</w:t>
                  </w:r>
                </w:p>
              </w:tc>
              <w:tc>
                <w:tcPr>
                  <w:tcW w:w="717" w:type="pct"/>
                  <w:vAlign w:val="center"/>
                </w:tcPr>
                <w:p>
                  <w:pPr>
                    <w:jc w:val="center"/>
                    <w:rPr>
                      <w:kern w:val="0"/>
                      <w:sz w:val="20"/>
                      <w:szCs w:val="21"/>
                    </w:rPr>
                  </w:pPr>
                  <w:r>
                    <w:rPr>
                      <w:kern w:val="0"/>
                      <w:sz w:val="20"/>
                      <w:szCs w:val="21"/>
                    </w:rPr>
                    <w:t>0.016812</w:t>
                  </w:r>
                </w:p>
              </w:tc>
              <w:tc>
                <w:tcPr>
                  <w:tcW w:w="717" w:type="pct"/>
                  <w:vAlign w:val="center"/>
                </w:tcPr>
                <w:p>
                  <w:pPr>
                    <w:jc w:val="center"/>
                    <w:rPr>
                      <w:kern w:val="0"/>
                      <w:sz w:val="20"/>
                      <w:szCs w:val="21"/>
                    </w:rPr>
                  </w:pPr>
                  <w:r>
                    <w:rPr>
                      <w:rFonts w:hint="eastAsia"/>
                      <w:kern w:val="0"/>
                      <w:sz w:val="20"/>
                      <w:szCs w:val="21"/>
                    </w:rPr>
                    <w:t>0</w:t>
                  </w:r>
                  <w:r>
                    <w:rPr>
                      <w:kern w:val="0"/>
                      <w:sz w:val="20"/>
                      <w:szCs w:val="21"/>
                    </w:rPr>
                    <w:t>.00</w:t>
                  </w:r>
                </w:p>
              </w:tc>
              <w:tc>
                <w:tcPr>
                  <w:tcW w:w="716" w:type="pct"/>
                  <w:vAlign w:val="center"/>
                </w:tcPr>
                <w:p>
                  <w:pPr>
                    <w:jc w:val="center"/>
                    <w:rPr>
                      <w:kern w:val="0"/>
                      <w:sz w:val="20"/>
                      <w:szCs w:val="21"/>
                    </w:rPr>
                  </w:pPr>
                  <w:r>
                    <w:rPr>
                      <w:kern w:val="0"/>
                      <w:sz w:val="20"/>
                      <w:szCs w:val="21"/>
                    </w:rPr>
                    <w:t>0.010087</w:t>
                  </w:r>
                </w:p>
              </w:tc>
              <w:tc>
                <w:tcPr>
                  <w:tcW w:w="723" w:type="pct"/>
                  <w:vAlign w:val="center"/>
                </w:tcPr>
                <w:p>
                  <w:pPr>
                    <w:jc w:val="center"/>
                    <w:rPr>
                      <w:kern w:val="0"/>
                      <w:sz w:val="20"/>
                      <w:szCs w:val="21"/>
                    </w:rPr>
                  </w:pPr>
                  <w:r>
                    <w:rPr>
                      <w:rFonts w:hint="eastAsia"/>
                      <w:kern w:val="0"/>
                      <w:sz w:val="20"/>
                      <w:szCs w:val="21"/>
                    </w:rPr>
                    <w:t>0</w:t>
                  </w:r>
                  <w:r>
                    <w:rPr>
                      <w:kern w:val="0"/>
                      <w:sz w:val="20"/>
                      <w:szCs w:val="21"/>
                    </w:rPr>
                    <w:t>.00</w:t>
                  </w:r>
                </w:p>
              </w:tc>
              <w:tc>
                <w:tcPr>
                  <w:tcW w:w="718" w:type="pct"/>
                  <w:vAlign w:val="center"/>
                </w:tcPr>
                <w:p>
                  <w:pPr>
                    <w:jc w:val="center"/>
                    <w:rPr>
                      <w:kern w:val="0"/>
                      <w:sz w:val="20"/>
                      <w:szCs w:val="21"/>
                    </w:rPr>
                  </w:pPr>
                  <w:r>
                    <w:rPr>
                      <w:kern w:val="0"/>
                      <w:sz w:val="20"/>
                      <w:szCs w:val="21"/>
                    </w:rPr>
                    <w:t>0.050996</w:t>
                  </w:r>
                </w:p>
              </w:tc>
              <w:tc>
                <w:tcPr>
                  <w:tcW w:w="714" w:type="pct"/>
                  <w:vAlign w:val="center"/>
                </w:tcPr>
                <w:p>
                  <w:pPr>
                    <w:jc w:val="center"/>
                    <w:rPr>
                      <w:kern w:val="0"/>
                      <w:sz w:val="20"/>
                      <w:szCs w:val="21"/>
                    </w:rPr>
                  </w:pPr>
                  <w:r>
                    <w:rPr>
                      <w:rFonts w:hint="eastAsia"/>
                      <w:kern w:val="0"/>
                      <w:sz w:val="20"/>
                      <w:szCs w:val="21"/>
                    </w:rPr>
                    <w:t>0</w:t>
                  </w:r>
                  <w:r>
                    <w:rPr>
                      <w:kern w:val="0"/>
                      <w:sz w:val="20"/>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50</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2.2305</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.45</w:t>
                  </w:r>
                </w:p>
              </w:tc>
              <w:tc>
                <w:tcPr>
                  <w:tcW w:w="716" w:type="pct"/>
                  <w:vAlign w:val="center"/>
                </w:tcPr>
                <w:p>
                  <w:pPr>
                    <w:jc w:val="center"/>
                    <w:rPr>
                      <w:kern w:val="0"/>
                      <w:sz w:val="20"/>
                      <w:szCs w:val="21"/>
                    </w:rPr>
                  </w:pPr>
                  <w:r>
                    <w:rPr>
                      <w:kern w:val="0"/>
                      <w:sz w:val="20"/>
                      <w:szCs w:val="21"/>
                    </w:rPr>
                    <w:t>1.3383</w:t>
                  </w:r>
                </w:p>
              </w:tc>
              <w:tc>
                <w:tcPr>
                  <w:tcW w:w="723" w:type="pct"/>
                  <w:vAlign w:val="center"/>
                </w:tcPr>
                <w:p>
                  <w:pPr>
                    <w:jc w:val="center"/>
                    <w:rPr>
                      <w:kern w:val="0"/>
                      <w:sz w:val="20"/>
                      <w:szCs w:val="21"/>
                    </w:rPr>
                  </w:pPr>
                  <w:r>
                    <w:rPr>
                      <w:rFonts w:hint="eastAsia"/>
                      <w:kern w:val="0"/>
                      <w:sz w:val="20"/>
                      <w:szCs w:val="21"/>
                    </w:rPr>
                    <w:t>0</w:t>
                  </w:r>
                  <w:r>
                    <w:rPr>
                      <w:kern w:val="0"/>
                      <w:sz w:val="20"/>
                      <w:szCs w:val="21"/>
                    </w:rPr>
                    <w:t>.30</w:t>
                  </w:r>
                </w:p>
              </w:tc>
              <w:tc>
                <w:tcPr>
                  <w:tcW w:w="718" w:type="pct"/>
                  <w:vAlign w:val="center"/>
                </w:tcPr>
                <w:p>
                  <w:pPr>
                    <w:jc w:val="center"/>
                    <w:rPr>
                      <w:kern w:val="0"/>
                      <w:sz w:val="20"/>
                      <w:szCs w:val="21"/>
                    </w:rPr>
                  </w:pPr>
                  <w:r>
                    <w:rPr>
                      <w:kern w:val="0"/>
                      <w:sz w:val="20"/>
                      <w:szCs w:val="21"/>
                    </w:rPr>
                    <w:t>6.765851</w:t>
                  </w:r>
                </w:p>
              </w:tc>
              <w:tc>
                <w:tcPr>
                  <w:tcW w:w="714" w:type="pct"/>
                  <w:vAlign w:val="center"/>
                </w:tcPr>
                <w:p>
                  <w:pPr>
                    <w:jc w:val="center"/>
                    <w:rPr>
                      <w:kern w:val="0"/>
                      <w:sz w:val="20"/>
                      <w:szCs w:val="21"/>
                    </w:rPr>
                  </w:pPr>
                  <w:r>
                    <w:rPr>
                      <w:rFonts w:hint="eastAsia"/>
                      <w:kern w:val="0"/>
                      <w:sz w:val="20"/>
                      <w:szCs w:val="21"/>
                    </w:rPr>
                    <w:t>2</w:t>
                  </w:r>
                  <w:r>
                    <w:rPr>
                      <w:kern w:val="0"/>
                      <w:sz w:val="20"/>
                      <w:szCs w:val="21"/>
                    </w:rPr>
                    <w:t>.71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78</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3.0424</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.61</w:t>
                  </w:r>
                </w:p>
              </w:tc>
              <w:tc>
                <w:tcPr>
                  <w:tcW w:w="716" w:type="pct"/>
                  <w:vAlign w:val="center"/>
                </w:tcPr>
                <w:p>
                  <w:pPr>
                    <w:jc w:val="center"/>
                    <w:rPr>
                      <w:kern w:val="0"/>
                      <w:sz w:val="20"/>
                      <w:szCs w:val="21"/>
                    </w:rPr>
                  </w:pPr>
                  <w:r>
                    <w:rPr>
                      <w:kern w:val="0"/>
                      <w:sz w:val="20"/>
                      <w:szCs w:val="21"/>
                    </w:rPr>
                    <w:t>1.82544</w:t>
                  </w:r>
                </w:p>
              </w:tc>
              <w:tc>
                <w:tcPr>
                  <w:tcW w:w="723" w:type="pct"/>
                  <w:vAlign w:val="center"/>
                </w:tcPr>
                <w:p>
                  <w:pPr>
                    <w:jc w:val="center"/>
                    <w:rPr>
                      <w:kern w:val="0"/>
                      <w:sz w:val="20"/>
                      <w:szCs w:val="21"/>
                    </w:rPr>
                  </w:pPr>
                  <w:r>
                    <w:rPr>
                      <w:rFonts w:hint="eastAsia"/>
                      <w:kern w:val="0"/>
                      <w:sz w:val="20"/>
                      <w:szCs w:val="21"/>
                    </w:rPr>
                    <w:t>0</w:t>
                  </w:r>
                  <w:r>
                    <w:rPr>
                      <w:kern w:val="0"/>
                      <w:sz w:val="20"/>
                      <w:szCs w:val="21"/>
                    </w:rPr>
                    <w:t>.41</w:t>
                  </w:r>
                </w:p>
              </w:tc>
              <w:tc>
                <w:tcPr>
                  <w:tcW w:w="718" w:type="pct"/>
                  <w:vAlign w:val="center"/>
                </w:tcPr>
                <w:p>
                  <w:pPr>
                    <w:jc w:val="center"/>
                    <w:rPr>
                      <w:kern w:val="0"/>
                      <w:sz w:val="20"/>
                      <w:szCs w:val="21"/>
                    </w:rPr>
                  </w:pPr>
                  <w:r>
                    <w:rPr>
                      <w:kern w:val="0"/>
                      <w:sz w:val="20"/>
                      <w:szCs w:val="21"/>
                    </w:rPr>
                    <w:t>9.228615</w:t>
                  </w:r>
                </w:p>
              </w:tc>
              <w:tc>
                <w:tcPr>
                  <w:tcW w:w="714" w:type="pct"/>
                  <w:vAlign w:val="center"/>
                </w:tcPr>
                <w:p>
                  <w:pPr>
                    <w:jc w:val="center"/>
                    <w:rPr>
                      <w:kern w:val="0"/>
                      <w:sz w:val="20"/>
                      <w:szCs w:val="21"/>
                    </w:rPr>
                  </w:pPr>
                  <w:r>
                    <w:rPr>
                      <w:rFonts w:hint="eastAsia"/>
                      <w:kern w:val="0"/>
                      <w:sz w:val="20"/>
                      <w:szCs w:val="21"/>
                    </w:rPr>
                    <w:t>3</w:t>
                  </w:r>
                  <w:r>
                    <w:rPr>
                      <w:kern w:val="0"/>
                      <w:sz w:val="20"/>
                      <w:szCs w:val="21"/>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10</w:t>
                  </w:r>
                  <w:r>
                    <w:rPr>
                      <w:color w:val="000000" w:themeColor="text1"/>
                      <w:kern w:val="0"/>
                      <w:sz w:val="20"/>
                      <w:szCs w:val="21"/>
                      <w14:textFill>
                        <w14:solidFill>
                          <w14:schemeClr w14:val="tx1"/>
                        </w14:solidFill>
                      </w14:textFill>
                    </w:rPr>
                    <w:t>0</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2.8217</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.56</w:t>
                  </w:r>
                </w:p>
              </w:tc>
              <w:tc>
                <w:tcPr>
                  <w:tcW w:w="716" w:type="pct"/>
                  <w:vAlign w:val="center"/>
                </w:tcPr>
                <w:p>
                  <w:pPr>
                    <w:jc w:val="center"/>
                    <w:rPr>
                      <w:kern w:val="0"/>
                      <w:sz w:val="20"/>
                      <w:szCs w:val="21"/>
                    </w:rPr>
                  </w:pPr>
                  <w:r>
                    <w:rPr>
                      <w:kern w:val="0"/>
                      <w:sz w:val="20"/>
                      <w:szCs w:val="21"/>
                    </w:rPr>
                    <w:t>1.69302</w:t>
                  </w:r>
                </w:p>
              </w:tc>
              <w:tc>
                <w:tcPr>
                  <w:tcW w:w="723" w:type="pct"/>
                  <w:vAlign w:val="center"/>
                </w:tcPr>
                <w:p>
                  <w:pPr>
                    <w:jc w:val="center"/>
                    <w:rPr>
                      <w:kern w:val="0"/>
                      <w:sz w:val="20"/>
                      <w:szCs w:val="21"/>
                    </w:rPr>
                  </w:pPr>
                  <w:r>
                    <w:rPr>
                      <w:rFonts w:hint="eastAsia"/>
                      <w:kern w:val="0"/>
                      <w:sz w:val="20"/>
                      <w:szCs w:val="21"/>
                    </w:rPr>
                    <w:t>0</w:t>
                  </w:r>
                  <w:r>
                    <w:rPr>
                      <w:kern w:val="0"/>
                      <w:sz w:val="20"/>
                      <w:szCs w:val="21"/>
                    </w:rPr>
                    <w:t>.38</w:t>
                  </w:r>
                </w:p>
              </w:tc>
              <w:tc>
                <w:tcPr>
                  <w:tcW w:w="718" w:type="pct"/>
                  <w:vAlign w:val="center"/>
                </w:tcPr>
                <w:p>
                  <w:pPr>
                    <w:jc w:val="center"/>
                    <w:rPr>
                      <w:kern w:val="0"/>
                      <w:sz w:val="20"/>
                      <w:szCs w:val="21"/>
                    </w:rPr>
                  </w:pPr>
                  <w:r>
                    <w:rPr>
                      <w:kern w:val="0"/>
                      <w:sz w:val="20"/>
                      <w:szCs w:val="21"/>
                    </w:rPr>
                    <w:t>8.559159</w:t>
                  </w:r>
                </w:p>
              </w:tc>
              <w:tc>
                <w:tcPr>
                  <w:tcW w:w="714" w:type="pct"/>
                  <w:vAlign w:val="center"/>
                </w:tcPr>
                <w:p>
                  <w:pPr>
                    <w:jc w:val="center"/>
                    <w:rPr>
                      <w:kern w:val="0"/>
                      <w:sz w:val="20"/>
                      <w:szCs w:val="21"/>
                    </w:rPr>
                  </w:pPr>
                  <w:r>
                    <w:rPr>
                      <w:rFonts w:hint="eastAsia"/>
                      <w:kern w:val="0"/>
                      <w:sz w:val="20"/>
                      <w:szCs w:val="21"/>
                    </w:rPr>
                    <w:t>3</w:t>
                  </w:r>
                  <w:r>
                    <w:rPr>
                      <w:kern w:val="0"/>
                      <w:sz w:val="20"/>
                      <w:szCs w:val="21"/>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200</w:t>
                  </w:r>
                </w:p>
              </w:tc>
              <w:tc>
                <w:tcPr>
                  <w:tcW w:w="717" w:type="pct"/>
                  <w:vAlign w:val="center"/>
                </w:tcPr>
                <w:p>
                  <w:pPr>
                    <w:jc w:val="center"/>
                    <w:rPr>
                      <w:kern w:val="0"/>
                      <w:sz w:val="20"/>
                      <w:szCs w:val="21"/>
                    </w:rPr>
                  </w:pPr>
                  <w:r>
                    <w:rPr>
                      <w:kern w:val="0"/>
                      <w:sz w:val="20"/>
                      <w:szCs w:val="21"/>
                    </w:rPr>
                    <w:t>1.8383</w:t>
                  </w:r>
                </w:p>
              </w:tc>
              <w:tc>
                <w:tcPr>
                  <w:tcW w:w="717" w:type="pct"/>
                  <w:vAlign w:val="center"/>
                </w:tcPr>
                <w:p>
                  <w:pPr>
                    <w:jc w:val="center"/>
                    <w:rPr>
                      <w:kern w:val="0"/>
                      <w:sz w:val="20"/>
                      <w:szCs w:val="21"/>
                    </w:rPr>
                  </w:pPr>
                  <w:r>
                    <w:rPr>
                      <w:rFonts w:hint="eastAsia"/>
                      <w:kern w:val="0"/>
                      <w:sz w:val="20"/>
                      <w:szCs w:val="21"/>
                    </w:rPr>
                    <w:t>0</w:t>
                  </w:r>
                  <w:r>
                    <w:rPr>
                      <w:kern w:val="0"/>
                      <w:sz w:val="20"/>
                      <w:szCs w:val="21"/>
                    </w:rPr>
                    <w:t>.37</w:t>
                  </w:r>
                </w:p>
              </w:tc>
              <w:tc>
                <w:tcPr>
                  <w:tcW w:w="716" w:type="pct"/>
                  <w:vAlign w:val="center"/>
                </w:tcPr>
                <w:p>
                  <w:pPr>
                    <w:jc w:val="center"/>
                    <w:rPr>
                      <w:kern w:val="0"/>
                      <w:sz w:val="20"/>
                      <w:szCs w:val="21"/>
                    </w:rPr>
                  </w:pPr>
                  <w:r>
                    <w:rPr>
                      <w:kern w:val="0"/>
                      <w:sz w:val="20"/>
                      <w:szCs w:val="21"/>
                    </w:rPr>
                    <w:t>1.10298</w:t>
                  </w:r>
                </w:p>
              </w:tc>
              <w:tc>
                <w:tcPr>
                  <w:tcW w:w="723" w:type="pct"/>
                  <w:vAlign w:val="center"/>
                </w:tcPr>
                <w:p>
                  <w:pPr>
                    <w:jc w:val="center"/>
                    <w:rPr>
                      <w:kern w:val="0"/>
                      <w:sz w:val="20"/>
                      <w:szCs w:val="21"/>
                    </w:rPr>
                  </w:pPr>
                  <w:r>
                    <w:rPr>
                      <w:rFonts w:hint="eastAsia"/>
                      <w:kern w:val="0"/>
                      <w:sz w:val="20"/>
                      <w:szCs w:val="21"/>
                    </w:rPr>
                    <w:t>0</w:t>
                  </w:r>
                  <w:r>
                    <w:rPr>
                      <w:kern w:val="0"/>
                      <w:sz w:val="20"/>
                      <w:szCs w:val="21"/>
                    </w:rPr>
                    <w:t>.25</w:t>
                  </w:r>
                </w:p>
              </w:tc>
              <w:tc>
                <w:tcPr>
                  <w:tcW w:w="718" w:type="pct"/>
                  <w:vAlign w:val="center"/>
                </w:tcPr>
                <w:p>
                  <w:pPr>
                    <w:jc w:val="center"/>
                    <w:rPr>
                      <w:kern w:val="0"/>
                      <w:sz w:val="20"/>
                      <w:szCs w:val="21"/>
                    </w:rPr>
                  </w:pPr>
                  <w:r>
                    <w:rPr>
                      <w:kern w:val="0"/>
                      <w:sz w:val="20"/>
                      <w:szCs w:val="21"/>
                    </w:rPr>
                    <w:t>5.576179</w:t>
                  </w:r>
                </w:p>
              </w:tc>
              <w:tc>
                <w:tcPr>
                  <w:tcW w:w="714" w:type="pct"/>
                  <w:vAlign w:val="center"/>
                </w:tcPr>
                <w:p>
                  <w:pPr>
                    <w:jc w:val="center"/>
                    <w:rPr>
                      <w:kern w:val="0"/>
                      <w:sz w:val="20"/>
                      <w:szCs w:val="21"/>
                    </w:rPr>
                  </w:pPr>
                  <w:r>
                    <w:rPr>
                      <w:rFonts w:hint="eastAsia"/>
                      <w:kern w:val="0"/>
                      <w:sz w:val="20"/>
                      <w:szCs w:val="21"/>
                    </w:rPr>
                    <w:t>2</w:t>
                  </w:r>
                  <w:r>
                    <w:rPr>
                      <w:kern w:val="0"/>
                      <w:sz w:val="20"/>
                      <w:szCs w:val="21"/>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300</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2.0285</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.41</w:t>
                  </w:r>
                </w:p>
              </w:tc>
              <w:tc>
                <w:tcPr>
                  <w:tcW w:w="716" w:type="pct"/>
                  <w:vAlign w:val="center"/>
                </w:tcPr>
                <w:p>
                  <w:pPr>
                    <w:jc w:val="center"/>
                    <w:rPr>
                      <w:kern w:val="0"/>
                      <w:sz w:val="20"/>
                      <w:szCs w:val="21"/>
                    </w:rPr>
                  </w:pPr>
                  <w:r>
                    <w:rPr>
                      <w:kern w:val="0"/>
                      <w:sz w:val="20"/>
                      <w:szCs w:val="21"/>
                    </w:rPr>
                    <w:t>1.2171</w:t>
                  </w:r>
                </w:p>
              </w:tc>
              <w:tc>
                <w:tcPr>
                  <w:tcW w:w="723" w:type="pct"/>
                  <w:vAlign w:val="center"/>
                </w:tcPr>
                <w:p>
                  <w:pPr>
                    <w:jc w:val="center"/>
                    <w:rPr>
                      <w:kern w:val="0"/>
                      <w:sz w:val="20"/>
                      <w:szCs w:val="21"/>
                    </w:rPr>
                  </w:pPr>
                  <w:r>
                    <w:rPr>
                      <w:rFonts w:hint="eastAsia"/>
                      <w:kern w:val="0"/>
                      <w:sz w:val="20"/>
                      <w:szCs w:val="21"/>
                    </w:rPr>
                    <w:t>0</w:t>
                  </w:r>
                  <w:r>
                    <w:rPr>
                      <w:kern w:val="0"/>
                      <w:sz w:val="20"/>
                      <w:szCs w:val="21"/>
                    </w:rPr>
                    <w:t>.27</w:t>
                  </w:r>
                </w:p>
              </w:tc>
              <w:tc>
                <w:tcPr>
                  <w:tcW w:w="718"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6.153118</w:t>
                  </w:r>
                </w:p>
              </w:tc>
              <w:tc>
                <w:tcPr>
                  <w:tcW w:w="714"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2</w:t>
                  </w:r>
                  <w:r>
                    <w:rPr>
                      <w:color w:val="000000" w:themeColor="text1"/>
                      <w:kern w:val="0"/>
                      <w:sz w:val="20"/>
                      <w:szCs w:val="21"/>
                      <w14:textFill>
                        <w14:solidFill>
                          <w14:schemeClr w14:val="tx1"/>
                        </w14:solidFill>
                      </w14:textFill>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400</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1.7674</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.35</w:t>
                  </w:r>
                </w:p>
              </w:tc>
              <w:tc>
                <w:tcPr>
                  <w:tcW w:w="716" w:type="pct"/>
                  <w:vAlign w:val="center"/>
                </w:tcPr>
                <w:p>
                  <w:pPr>
                    <w:jc w:val="center"/>
                    <w:rPr>
                      <w:kern w:val="0"/>
                      <w:sz w:val="20"/>
                      <w:szCs w:val="21"/>
                    </w:rPr>
                  </w:pPr>
                  <w:r>
                    <w:rPr>
                      <w:color w:val="000000" w:themeColor="text1"/>
                      <w:kern w:val="0"/>
                      <w:sz w:val="20"/>
                      <w:szCs w:val="21"/>
                      <w14:textFill>
                        <w14:solidFill>
                          <w14:schemeClr w14:val="tx1"/>
                        </w14:solidFill>
                      </w14:textFill>
                    </w:rPr>
                    <w:t>1.06044</w:t>
                  </w:r>
                </w:p>
              </w:tc>
              <w:tc>
                <w:tcPr>
                  <w:tcW w:w="723" w:type="pct"/>
                  <w:vAlign w:val="center"/>
                </w:tcPr>
                <w:p>
                  <w:pPr>
                    <w:jc w:val="center"/>
                    <w:rPr>
                      <w:kern w:val="0"/>
                      <w:sz w:val="20"/>
                      <w:szCs w:val="21"/>
                    </w:rPr>
                  </w:pPr>
                  <w:r>
                    <w:rPr>
                      <w:rFonts w:hint="eastAsia"/>
                      <w:kern w:val="0"/>
                      <w:sz w:val="20"/>
                      <w:szCs w:val="21"/>
                    </w:rPr>
                    <w:t>0</w:t>
                  </w:r>
                  <w:r>
                    <w:rPr>
                      <w:kern w:val="0"/>
                      <w:sz w:val="20"/>
                      <w:szCs w:val="21"/>
                    </w:rPr>
                    <w:t>.24</w:t>
                  </w:r>
                </w:p>
              </w:tc>
              <w:tc>
                <w:tcPr>
                  <w:tcW w:w="718" w:type="pct"/>
                  <w:vAlign w:val="center"/>
                </w:tcPr>
                <w:p>
                  <w:pPr>
                    <w:jc w:val="center"/>
                    <w:rPr>
                      <w:kern w:val="0"/>
                      <w:sz w:val="20"/>
                      <w:szCs w:val="21"/>
                    </w:rPr>
                  </w:pPr>
                  <w:r>
                    <w:rPr>
                      <w:color w:val="000000" w:themeColor="text1"/>
                      <w:kern w:val="0"/>
                      <w:sz w:val="20"/>
                      <w:szCs w:val="21"/>
                      <w14:textFill>
                        <w14:solidFill>
                          <w14:schemeClr w14:val="tx1"/>
                        </w14:solidFill>
                      </w14:textFill>
                    </w:rPr>
                    <w:t>5.361114</w:t>
                  </w:r>
                </w:p>
              </w:tc>
              <w:tc>
                <w:tcPr>
                  <w:tcW w:w="714" w:type="pct"/>
                  <w:vAlign w:val="center"/>
                </w:tcPr>
                <w:p>
                  <w:pPr>
                    <w:jc w:val="center"/>
                    <w:rPr>
                      <w:kern w:val="0"/>
                      <w:sz w:val="20"/>
                      <w:szCs w:val="21"/>
                    </w:rPr>
                  </w:pPr>
                  <w:r>
                    <w:rPr>
                      <w:rFonts w:hint="eastAsia"/>
                      <w:kern w:val="0"/>
                      <w:sz w:val="20"/>
                      <w:szCs w:val="21"/>
                    </w:rPr>
                    <w:t>2</w:t>
                  </w:r>
                  <w:r>
                    <w:rPr>
                      <w:kern w:val="0"/>
                      <w:sz w:val="20"/>
                      <w:szCs w:val="21"/>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500</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1.4821</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.30</w:t>
                  </w:r>
                </w:p>
              </w:tc>
              <w:tc>
                <w:tcPr>
                  <w:tcW w:w="716" w:type="pct"/>
                  <w:vAlign w:val="center"/>
                </w:tcPr>
                <w:p>
                  <w:pPr>
                    <w:jc w:val="center"/>
                    <w:rPr>
                      <w:kern w:val="0"/>
                      <w:sz w:val="20"/>
                      <w:szCs w:val="21"/>
                    </w:rPr>
                  </w:pPr>
                  <w:r>
                    <w:rPr>
                      <w:color w:val="000000" w:themeColor="text1"/>
                      <w:kern w:val="0"/>
                      <w:sz w:val="20"/>
                      <w:szCs w:val="21"/>
                      <w14:textFill>
                        <w14:solidFill>
                          <w14:schemeClr w14:val="tx1"/>
                        </w14:solidFill>
                      </w14:textFill>
                    </w:rPr>
                    <w:t>0.88926</w:t>
                  </w:r>
                </w:p>
              </w:tc>
              <w:tc>
                <w:tcPr>
                  <w:tcW w:w="723" w:type="pct"/>
                  <w:vAlign w:val="center"/>
                </w:tcPr>
                <w:p>
                  <w:pPr>
                    <w:jc w:val="center"/>
                    <w:rPr>
                      <w:kern w:val="0"/>
                      <w:sz w:val="20"/>
                      <w:szCs w:val="21"/>
                    </w:rPr>
                  </w:pPr>
                  <w:r>
                    <w:rPr>
                      <w:rFonts w:hint="eastAsia"/>
                      <w:kern w:val="0"/>
                      <w:sz w:val="20"/>
                      <w:szCs w:val="21"/>
                    </w:rPr>
                    <w:t>0</w:t>
                  </w:r>
                  <w:r>
                    <w:rPr>
                      <w:kern w:val="0"/>
                      <w:sz w:val="20"/>
                      <w:szCs w:val="21"/>
                    </w:rPr>
                    <w:t>.20</w:t>
                  </w:r>
                </w:p>
              </w:tc>
              <w:tc>
                <w:tcPr>
                  <w:tcW w:w="718" w:type="pct"/>
                  <w:vAlign w:val="center"/>
                </w:tcPr>
                <w:p>
                  <w:pPr>
                    <w:jc w:val="center"/>
                    <w:rPr>
                      <w:kern w:val="0"/>
                      <w:sz w:val="20"/>
                      <w:szCs w:val="21"/>
                    </w:rPr>
                  </w:pPr>
                  <w:r>
                    <w:rPr>
                      <w:color w:val="000000" w:themeColor="text1"/>
                      <w:kern w:val="0"/>
                      <w:sz w:val="20"/>
                      <w:szCs w:val="21"/>
                      <w14:textFill>
                        <w14:solidFill>
                          <w14:schemeClr w14:val="tx1"/>
                        </w14:solidFill>
                      </w14:textFill>
                    </w:rPr>
                    <w:t>4.495705</w:t>
                  </w:r>
                </w:p>
              </w:tc>
              <w:tc>
                <w:tcPr>
                  <w:tcW w:w="714" w:type="pct"/>
                  <w:vAlign w:val="center"/>
                </w:tcPr>
                <w:p>
                  <w:pPr>
                    <w:jc w:val="center"/>
                    <w:rPr>
                      <w:kern w:val="0"/>
                      <w:sz w:val="20"/>
                      <w:szCs w:val="21"/>
                    </w:rPr>
                  </w:pPr>
                  <w:r>
                    <w:rPr>
                      <w:rFonts w:hint="eastAsia"/>
                      <w:kern w:val="0"/>
                      <w:sz w:val="20"/>
                      <w:szCs w:val="21"/>
                    </w:rPr>
                    <w:t>1</w:t>
                  </w:r>
                  <w:r>
                    <w:rPr>
                      <w:kern w:val="0"/>
                      <w:sz w:val="20"/>
                      <w:szCs w:val="21"/>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600</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1.3402</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.27</w:t>
                  </w:r>
                </w:p>
              </w:tc>
              <w:tc>
                <w:tcPr>
                  <w:tcW w:w="716" w:type="pct"/>
                  <w:vAlign w:val="center"/>
                </w:tcPr>
                <w:p>
                  <w:pPr>
                    <w:jc w:val="center"/>
                    <w:rPr>
                      <w:kern w:val="0"/>
                      <w:sz w:val="20"/>
                      <w:szCs w:val="21"/>
                    </w:rPr>
                  </w:pPr>
                  <w:r>
                    <w:rPr>
                      <w:color w:val="000000" w:themeColor="text1"/>
                      <w:kern w:val="0"/>
                      <w:sz w:val="20"/>
                      <w:szCs w:val="21"/>
                      <w14:textFill>
                        <w14:solidFill>
                          <w14:schemeClr w14:val="tx1"/>
                        </w14:solidFill>
                      </w14:textFill>
                    </w:rPr>
                    <w:t>0.80412</w:t>
                  </w:r>
                </w:p>
              </w:tc>
              <w:tc>
                <w:tcPr>
                  <w:tcW w:w="723" w:type="pct"/>
                  <w:vAlign w:val="center"/>
                </w:tcPr>
                <w:p>
                  <w:pPr>
                    <w:jc w:val="center"/>
                    <w:rPr>
                      <w:kern w:val="0"/>
                      <w:sz w:val="20"/>
                      <w:szCs w:val="21"/>
                    </w:rPr>
                  </w:pPr>
                  <w:r>
                    <w:rPr>
                      <w:rFonts w:hint="eastAsia"/>
                      <w:kern w:val="0"/>
                      <w:sz w:val="20"/>
                      <w:szCs w:val="21"/>
                    </w:rPr>
                    <w:t>0</w:t>
                  </w:r>
                  <w:r>
                    <w:rPr>
                      <w:kern w:val="0"/>
                      <w:sz w:val="20"/>
                      <w:szCs w:val="21"/>
                    </w:rPr>
                    <w:t>.18</w:t>
                  </w:r>
                </w:p>
              </w:tc>
              <w:tc>
                <w:tcPr>
                  <w:tcW w:w="718" w:type="pct"/>
                  <w:vAlign w:val="center"/>
                </w:tcPr>
                <w:p>
                  <w:pPr>
                    <w:jc w:val="center"/>
                    <w:rPr>
                      <w:kern w:val="0"/>
                      <w:sz w:val="20"/>
                      <w:szCs w:val="21"/>
                    </w:rPr>
                  </w:pPr>
                  <w:r>
                    <w:rPr>
                      <w:color w:val="000000" w:themeColor="text1"/>
                      <w:kern w:val="0"/>
                      <w:sz w:val="20"/>
                      <w:szCs w:val="21"/>
                      <w14:textFill>
                        <w14:solidFill>
                          <w14:schemeClr w14:val="tx1"/>
                        </w14:solidFill>
                      </w14:textFill>
                    </w:rPr>
                    <w:t>4.065274</w:t>
                  </w:r>
                </w:p>
              </w:tc>
              <w:tc>
                <w:tcPr>
                  <w:tcW w:w="714" w:type="pct"/>
                  <w:vAlign w:val="center"/>
                </w:tcPr>
                <w:p>
                  <w:pPr>
                    <w:jc w:val="center"/>
                    <w:rPr>
                      <w:kern w:val="0"/>
                      <w:sz w:val="20"/>
                      <w:szCs w:val="21"/>
                    </w:rPr>
                  </w:pPr>
                  <w:r>
                    <w:rPr>
                      <w:rFonts w:hint="eastAsia"/>
                      <w:kern w:val="0"/>
                      <w:sz w:val="20"/>
                      <w:szCs w:val="21"/>
                    </w:rPr>
                    <w:t>1</w:t>
                  </w:r>
                  <w:r>
                    <w:rPr>
                      <w:kern w:val="0"/>
                      <w:sz w:val="20"/>
                      <w:szCs w:val="21"/>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700</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1.3285</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.27</w:t>
                  </w:r>
                </w:p>
              </w:tc>
              <w:tc>
                <w:tcPr>
                  <w:tcW w:w="716" w:type="pct"/>
                  <w:vAlign w:val="center"/>
                </w:tcPr>
                <w:p>
                  <w:pPr>
                    <w:jc w:val="center"/>
                    <w:rPr>
                      <w:kern w:val="0"/>
                      <w:sz w:val="20"/>
                      <w:szCs w:val="21"/>
                    </w:rPr>
                  </w:pPr>
                  <w:r>
                    <w:rPr>
                      <w:color w:val="000000" w:themeColor="text1"/>
                      <w:kern w:val="0"/>
                      <w:sz w:val="20"/>
                      <w:szCs w:val="21"/>
                      <w14:textFill>
                        <w14:solidFill>
                          <w14:schemeClr w14:val="tx1"/>
                        </w14:solidFill>
                      </w14:textFill>
                    </w:rPr>
                    <w:t>0.7971</w:t>
                  </w:r>
                </w:p>
              </w:tc>
              <w:tc>
                <w:tcPr>
                  <w:tcW w:w="723" w:type="pct"/>
                  <w:vAlign w:val="center"/>
                </w:tcPr>
                <w:p>
                  <w:pPr>
                    <w:jc w:val="center"/>
                    <w:rPr>
                      <w:kern w:val="0"/>
                      <w:sz w:val="20"/>
                      <w:szCs w:val="21"/>
                    </w:rPr>
                  </w:pPr>
                  <w:r>
                    <w:rPr>
                      <w:rFonts w:hint="eastAsia"/>
                      <w:kern w:val="0"/>
                      <w:sz w:val="20"/>
                      <w:szCs w:val="21"/>
                    </w:rPr>
                    <w:t>0</w:t>
                  </w:r>
                  <w:r>
                    <w:rPr>
                      <w:kern w:val="0"/>
                      <w:sz w:val="20"/>
                      <w:szCs w:val="21"/>
                    </w:rPr>
                    <w:t>.18</w:t>
                  </w:r>
                </w:p>
              </w:tc>
              <w:tc>
                <w:tcPr>
                  <w:tcW w:w="718" w:type="pct"/>
                  <w:vAlign w:val="center"/>
                </w:tcPr>
                <w:p>
                  <w:pPr>
                    <w:jc w:val="center"/>
                    <w:rPr>
                      <w:kern w:val="0"/>
                      <w:sz w:val="20"/>
                      <w:szCs w:val="21"/>
                    </w:rPr>
                  </w:pPr>
                  <w:r>
                    <w:rPr>
                      <w:color w:val="000000" w:themeColor="text1"/>
                      <w:kern w:val="0"/>
                      <w:sz w:val="20"/>
                      <w:szCs w:val="21"/>
                      <w14:textFill>
                        <w14:solidFill>
                          <w14:schemeClr w14:val="tx1"/>
                        </w14:solidFill>
                      </w14:textFill>
                    </w:rPr>
                    <w:t>4.029784</w:t>
                  </w:r>
                </w:p>
              </w:tc>
              <w:tc>
                <w:tcPr>
                  <w:tcW w:w="714" w:type="pct"/>
                  <w:vAlign w:val="center"/>
                </w:tcPr>
                <w:p>
                  <w:pPr>
                    <w:jc w:val="center"/>
                    <w:rPr>
                      <w:kern w:val="0"/>
                      <w:sz w:val="20"/>
                      <w:szCs w:val="21"/>
                    </w:rPr>
                  </w:pPr>
                  <w:r>
                    <w:rPr>
                      <w:rFonts w:hint="eastAsia"/>
                      <w:kern w:val="0"/>
                      <w:sz w:val="20"/>
                      <w:szCs w:val="21"/>
                    </w:rPr>
                    <w:t>1</w:t>
                  </w:r>
                  <w:r>
                    <w:rPr>
                      <w:kern w:val="0"/>
                      <w:sz w:val="20"/>
                      <w:szCs w:val="21"/>
                    </w:rPr>
                    <w:t>.61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800</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1.2823</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.26</w:t>
                  </w:r>
                </w:p>
              </w:tc>
              <w:tc>
                <w:tcPr>
                  <w:tcW w:w="716" w:type="pct"/>
                  <w:vAlign w:val="center"/>
                </w:tcPr>
                <w:p>
                  <w:pPr>
                    <w:jc w:val="center"/>
                    <w:rPr>
                      <w:kern w:val="0"/>
                      <w:sz w:val="20"/>
                      <w:szCs w:val="21"/>
                    </w:rPr>
                  </w:pPr>
                  <w:r>
                    <w:rPr>
                      <w:color w:val="000000" w:themeColor="text1"/>
                      <w:kern w:val="0"/>
                      <w:sz w:val="20"/>
                      <w:szCs w:val="21"/>
                      <w14:textFill>
                        <w14:solidFill>
                          <w14:schemeClr w14:val="tx1"/>
                        </w14:solidFill>
                      </w14:textFill>
                    </w:rPr>
                    <w:t>0.76938</w:t>
                  </w:r>
                </w:p>
              </w:tc>
              <w:tc>
                <w:tcPr>
                  <w:tcW w:w="723" w:type="pct"/>
                  <w:vAlign w:val="center"/>
                </w:tcPr>
                <w:p>
                  <w:pPr>
                    <w:jc w:val="center"/>
                    <w:rPr>
                      <w:kern w:val="0"/>
                      <w:sz w:val="20"/>
                      <w:szCs w:val="21"/>
                    </w:rPr>
                  </w:pPr>
                  <w:r>
                    <w:rPr>
                      <w:rFonts w:hint="eastAsia"/>
                      <w:kern w:val="0"/>
                      <w:sz w:val="20"/>
                      <w:szCs w:val="21"/>
                    </w:rPr>
                    <w:t>0</w:t>
                  </w:r>
                  <w:r>
                    <w:rPr>
                      <w:kern w:val="0"/>
                      <w:sz w:val="20"/>
                      <w:szCs w:val="21"/>
                    </w:rPr>
                    <w:t>.17</w:t>
                  </w:r>
                </w:p>
              </w:tc>
              <w:tc>
                <w:tcPr>
                  <w:tcW w:w="718" w:type="pct"/>
                  <w:vAlign w:val="center"/>
                </w:tcPr>
                <w:p>
                  <w:pPr>
                    <w:jc w:val="center"/>
                    <w:rPr>
                      <w:kern w:val="0"/>
                      <w:sz w:val="20"/>
                      <w:szCs w:val="21"/>
                    </w:rPr>
                  </w:pPr>
                  <w:r>
                    <w:rPr>
                      <w:color w:val="000000" w:themeColor="text1"/>
                      <w:kern w:val="0"/>
                      <w:sz w:val="20"/>
                      <w:szCs w:val="21"/>
                      <w14:textFill>
                        <w14:solidFill>
                          <w14:schemeClr w14:val="tx1"/>
                        </w14:solidFill>
                      </w14:textFill>
                    </w:rPr>
                    <w:t>3.889644</w:t>
                  </w:r>
                </w:p>
              </w:tc>
              <w:tc>
                <w:tcPr>
                  <w:tcW w:w="714" w:type="pct"/>
                  <w:vAlign w:val="center"/>
                </w:tcPr>
                <w:p>
                  <w:pPr>
                    <w:jc w:val="center"/>
                    <w:rPr>
                      <w:kern w:val="0"/>
                      <w:sz w:val="20"/>
                      <w:szCs w:val="21"/>
                    </w:rPr>
                  </w:pPr>
                  <w:r>
                    <w:rPr>
                      <w:rFonts w:hint="eastAsia"/>
                      <w:kern w:val="0"/>
                      <w:sz w:val="20"/>
                      <w:szCs w:val="21"/>
                    </w:rPr>
                    <w:t>1</w:t>
                  </w:r>
                  <w:r>
                    <w:rPr>
                      <w:kern w:val="0"/>
                      <w:sz w:val="20"/>
                      <w:szCs w:val="21"/>
                    </w:rPr>
                    <w:t>.56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900</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1.2206</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.24</w:t>
                  </w:r>
                </w:p>
              </w:tc>
              <w:tc>
                <w:tcPr>
                  <w:tcW w:w="716" w:type="pct"/>
                  <w:vAlign w:val="center"/>
                </w:tcPr>
                <w:p>
                  <w:pPr>
                    <w:jc w:val="center"/>
                    <w:rPr>
                      <w:kern w:val="0"/>
                      <w:sz w:val="20"/>
                      <w:szCs w:val="21"/>
                    </w:rPr>
                  </w:pPr>
                  <w:r>
                    <w:rPr>
                      <w:color w:val="000000" w:themeColor="text1"/>
                      <w:kern w:val="0"/>
                      <w:sz w:val="20"/>
                      <w:szCs w:val="21"/>
                      <w14:textFill>
                        <w14:solidFill>
                          <w14:schemeClr w14:val="tx1"/>
                        </w14:solidFill>
                      </w14:textFill>
                    </w:rPr>
                    <w:t>0.73236</w:t>
                  </w:r>
                </w:p>
              </w:tc>
              <w:tc>
                <w:tcPr>
                  <w:tcW w:w="723" w:type="pct"/>
                  <w:vAlign w:val="center"/>
                </w:tcPr>
                <w:p>
                  <w:pPr>
                    <w:jc w:val="center"/>
                    <w:rPr>
                      <w:kern w:val="0"/>
                      <w:sz w:val="20"/>
                      <w:szCs w:val="21"/>
                    </w:rPr>
                  </w:pPr>
                  <w:r>
                    <w:rPr>
                      <w:rFonts w:hint="eastAsia"/>
                      <w:kern w:val="0"/>
                      <w:sz w:val="20"/>
                      <w:szCs w:val="21"/>
                    </w:rPr>
                    <w:t>0</w:t>
                  </w:r>
                  <w:r>
                    <w:rPr>
                      <w:kern w:val="0"/>
                      <w:sz w:val="20"/>
                      <w:szCs w:val="21"/>
                    </w:rPr>
                    <w:t>.16</w:t>
                  </w:r>
                </w:p>
              </w:tc>
              <w:tc>
                <w:tcPr>
                  <w:tcW w:w="718" w:type="pct"/>
                  <w:vAlign w:val="center"/>
                </w:tcPr>
                <w:p>
                  <w:pPr>
                    <w:jc w:val="center"/>
                    <w:rPr>
                      <w:kern w:val="0"/>
                      <w:sz w:val="20"/>
                      <w:szCs w:val="21"/>
                    </w:rPr>
                  </w:pPr>
                  <w:r>
                    <w:rPr>
                      <w:color w:val="000000" w:themeColor="text1"/>
                      <w:kern w:val="0"/>
                      <w:sz w:val="20"/>
                      <w:szCs w:val="21"/>
                      <w14:textFill>
                        <w14:solidFill>
                          <w14:schemeClr w14:val="tx1"/>
                        </w14:solidFill>
                      </w14:textFill>
                    </w:rPr>
                    <w:t>3.702487</w:t>
                  </w:r>
                </w:p>
              </w:tc>
              <w:tc>
                <w:tcPr>
                  <w:tcW w:w="714" w:type="pct"/>
                  <w:vAlign w:val="center"/>
                </w:tcPr>
                <w:p>
                  <w:pPr>
                    <w:jc w:val="center"/>
                    <w:rPr>
                      <w:kern w:val="0"/>
                      <w:sz w:val="20"/>
                      <w:szCs w:val="21"/>
                    </w:rPr>
                  </w:pPr>
                  <w:r>
                    <w:rPr>
                      <w:rFonts w:hint="eastAsia"/>
                      <w:kern w:val="0"/>
                      <w:sz w:val="20"/>
                      <w:szCs w:val="21"/>
                    </w:rPr>
                    <w:t>1</w:t>
                  </w:r>
                  <w:r>
                    <w:rPr>
                      <w:kern w:val="0"/>
                      <w:sz w:val="20"/>
                      <w:szCs w:val="21"/>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1000</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1.1536</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.23</w:t>
                  </w:r>
                </w:p>
              </w:tc>
              <w:tc>
                <w:tcPr>
                  <w:tcW w:w="716" w:type="pct"/>
                  <w:vAlign w:val="center"/>
                </w:tcPr>
                <w:p>
                  <w:pPr>
                    <w:jc w:val="center"/>
                    <w:rPr>
                      <w:kern w:val="0"/>
                      <w:sz w:val="20"/>
                      <w:szCs w:val="21"/>
                    </w:rPr>
                  </w:pPr>
                  <w:r>
                    <w:rPr>
                      <w:color w:val="000000" w:themeColor="text1"/>
                      <w:kern w:val="0"/>
                      <w:sz w:val="20"/>
                      <w:szCs w:val="21"/>
                      <w14:textFill>
                        <w14:solidFill>
                          <w14:schemeClr w14:val="tx1"/>
                        </w14:solidFill>
                      </w14:textFill>
                    </w:rPr>
                    <w:t>0.69216</w:t>
                  </w:r>
                </w:p>
              </w:tc>
              <w:tc>
                <w:tcPr>
                  <w:tcW w:w="723" w:type="pct"/>
                  <w:vAlign w:val="center"/>
                </w:tcPr>
                <w:p>
                  <w:pPr>
                    <w:jc w:val="center"/>
                    <w:rPr>
                      <w:kern w:val="0"/>
                      <w:sz w:val="20"/>
                      <w:szCs w:val="21"/>
                    </w:rPr>
                  </w:pPr>
                  <w:r>
                    <w:rPr>
                      <w:rFonts w:hint="eastAsia"/>
                      <w:kern w:val="0"/>
                      <w:sz w:val="20"/>
                      <w:szCs w:val="21"/>
                    </w:rPr>
                    <w:t>0</w:t>
                  </w:r>
                  <w:r>
                    <w:rPr>
                      <w:kern w:val="0"/>
                      <w:sz w:val="20"/>
                      <w:szCs w:val="21"/>
                    </w:rPr>
                    <w:t>.15</w:t>
                  </w:r>
                </w:p>
              </w:tc>
              <w:tc>
                <w:tcPr>
                  <w:tcW w:w="718" w:type="pct"/>
                  <w:vAlign w:val="center"/>
                </w:tcPr>
                <w:p>
                  <w:pPr>
                    <w:jc w:val="center"/>
                    <w:rPr>
                      <w:kern w:val="0"/>
                      <w:sz w:val="20"/>
                      <w:szCs w:val="21"/>
                    </w:rPr>
                  </w:pPr>
                  <w:r>
                    <w:rPr>
                      <w:color w:val="000000" w:themeColor="text1"/>
                      <w:kern w:val="0"/>
                      <w:sz w:val="20"/>
                      <w:szCs w:val="21"/>
                      <w14:textFill>
                        <w14:solidFill>
                          <w14:schemeClr w14:val="tx1"/>
                        </w14:solidFill>
                      </w14:textFill>
                    </w:rPr>
                    <w:t>3.499254</w:t>
                  </w:r>
                </w:p>
              </w:tc>
              <w:tc>
                <w:tcPr>
                  <w:tcW w:w="714" w:type="pct"/>
                  <w:vAlign w:val="center"/>
                </w:tcPr>
                <w:p>
                  <w:pPr>
                    <w:jc w:val="center"/>
                    <w:rPr>
                      <w:kern w:val="0"/>
                      <w:sz w:val="20"/>
                      <w:szCs w:val="21"/>
                    </w:rPr>
                  </w:pPr>
                  <w:r>
                    <w:rPr>
                      <w:rFonts w:hint="eastAsia"/>
                      <w:kern w:val="0"/>
                      <w:sz w:val="20"/>
                      <w:szCs w:val="21"/>
                    </w:rPr>
                    <w:t>1</w:t>
                  </w:r>
                  <w:r>
                    <w:rPr>
                      <w:kern w:val="0"/>
                      <w:sz w:val="20"/>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1</w:t>
                  </w:r>
                  <w:r>
                    <w:rPr>
                      <w:color w:val="000000" w:themeColor="text1"/>
                      <w:kern w:val="0"/>
                      <w:sz w:val="20"/>
                      <w:szCs w:val="21"/>
                      <w14:textFill>
                        <w14:solidFill>
                          <w14:schemeClr w14:val="tx1"/>
                        </w14:solidFill>
                      </w14:textFill>
                    </w:rPr>
                    <w:t>500</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0.85267</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.17</w:t>
                  </w:r>
                </w:p>
              </w:tc>
              <w:tc>
                <w:tcPr>
                  <w:tcW w:w="716" w:type="pct"/>
                  <w:vAlign w:val="center"/>
                </w:tcPr>
                <w:p>
                  <w:pPr>
                    <w:jc w:val="center"/>
                    <w:rPr>
                      <w:kern w:val="0"/>
                      <w:sz w:val="20"/>
                      <w:szCs w:val="21"/>
                    </w:rPr>
                  </w:pPr>
                  <w:r>
                    <w:rPr>
                      <w:color w:val="000000" w:themeColor="text1"/>
                      <w:kern w:val="0"/>
                      <w:sz w:val="20"/>
                      <w:szCs w:val="21"/>
                      <w14:textFill>
                        <w14:solidFill>
                          <w14:schemeClr w14:val="tx1"/>
                        </w14:solidFill>
                      </w14:textFill>
                    </w:rPr>
                    <w:t>0.511602</w:t>
                  </w:r>
                </w:p>
              </w:tc>
              <w:tc>
                <w:tcPr>
                  <w:tcW w:w="723" w:type="pct"/>
                  <w:vAlign w:val="center"/>
                </w:tcPr>
                <w:p>
                  <w:pPr>
                    <w:jc w:val="center"/>
                    <w:rPr>
                      <w:kern w:val="0"/>
                      <w:sz w:val="20"/>
                      <w:szCs w:val="21"/>
                    </w:rPr>
                  </w:pPr>
                  <w:r>
                    <w:rPr>
                      <w:rFonts w:hint="eastAsia"/>
                      <w:kern w:val="0"/>
                      <w:sz w:val="20"/>
                      <w:szCs w:val="21"/>
                    </w:rPr>
                    <w:t>0</w:t>
                  </w:r>
                  <w:r>
                    <w:rPr>
                      <w:kern w:val="0"/>
                      <w:sz w:val="20"/>
                      <w:szCs w:val="21"/>
                    </w:rPr>
                    <w:t>.11</w:t>
                  </w:r>
                </w:p>
              </w:tc>
              <w:tc>
                <w:tcPr>
                  <w:tcW w:w="718" w:type="pct"/>
                  <w:vAlign w:val="center"/>
                </w:tcPr>
                <w:p>
                  <w:pPr>
                    <w:jc w:val="center"/>
                    <w:rPr>
                      <w:kern w:val="0"/>
                      <w:sz w:val="20"/>
                      <w:szCs w:val="21"/>
                    </w:rPr>
                  </w:pPr>
                  <w:r>
                    <w:rPr>
                      <w:color w:val="000000" w:themeColor="text1"/>
                      <w:kern w:val="0"/>
                      <w:sz w:val="20"/>
                      <w:szCs w:val="21"/>
                      <w14:textFill>
                        <w14:solidFill>
                          <w14:schemeClr w14:val="tx1"/>
                        </w14:solidFill>
                      </w14:textFill>
                    </w:rPr>
                    <w:t>2.586433</w:t>
                  </w:r>
                </w:p>
              </w:tc>
              <w:tc>
                <w:tcPr>
                  <w:tcW w:w="714" w:type="pct"/>
                  <w:vAlign w:val="center"/>
                </w:tcPr>
                <w:p>
                  <w:pPr>
                    <w:jc w:val="center"/>
                    <w:rPr>
                      <w:kern w:val="0"/>
                      <w:sz w:val="20"/>
                      <w:szCs w:val="21"/>
                    </w:rPr>
                  </w:pPr>
                  <w:r>
                    <w:rPr>
                      <w:rFonts w:hint="eastAsia"/>
                      <w:kern w:val="0"/>
                      <w:sz w:val="20"/>
                      <w:szCs w:val="21"/>
                    </w:rPr>
                    <w:t>1</w:t>
                  </w:r>
                  <w:r>
                    <w:rPr>
                      <w:kern w:val="0"/>
                      <w:sz w:val="20"/>
                      <w:szCs w:val="21"/>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2000</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0.64795</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.13</w:t>
                  </w:r>
                </w:p>
              </w:tc>
              <w:tc>
                <w:tcPr>
                  <w:tcW w:w="716" w:type="pct"/>
                  <w:vAlign w:val="center"/>
                </w:tcPr>
                <w:p>
                  <w:pPr>
                    <w:jc w:val="center"/>
                    <w:rPr>
                      <w:kern w:val="0"/>
                      <w:sz w:val="20"/>
                      <w:szCs w:val="21"/>
                    </w:rPr>
                  </w:pPr>
                  <w:r>
                    <w:rPr>
                      <w:color w:val="000000" w:themeColor="text1"/>
                      <w:kern w:val="0"/>
                      <w:sz w:val="20"/>
                      <w:szCs w:val="21"/>
                      <w14:textFill>
                        <w14:solidFill>
                          <w14:schemeClr w14:val="tx1"/>
                        </w14:solidFill>
                      </w14:textFill>
                    </w:rPr>
                    <w:t>0.38877</w:t>
                  </w:r>
                </w:p>
              </w:tc>
              <w:tc>
                <w:tcPr>
                  <w:tcW w:w="723" w:type="pct"/>
                  <w:vAlign w:val="center"/>
                </w:tcPr>
                <w:p>
                  <w:pPr>
                    <w:jc w:val="center"/>
                    <w:rPr>
                      <w:kern w:val="0"/>
                      <w:sz w:val="20"/>
                      <w:szCs w:val="21"/>
                    </w:rPr>
                  </w:pPr>
                  <w:r>
                    <w:rPr>
                      <w:rFonts w:hint="eastAsia"/>
                      <w:kern w:val="0"/>
                      <w:sz w:val="20"/>
                      <w:szCs w:val="21"/>
                    </w:rPr>
                    <w:t>0</w:t>
                  </w:r>
                  <w:r>
                    <w:rPr>
                      <w:kern w:val="0"/>
                      <w:sz w:val="20"/>
                      <w:szCs w:val="21"/>
                    </w:rPr>
                    <w:t>.09</w:t>
                  </w:r>
                </w:p>
              </w:tc>
              <w:tc>
                <w:tcPr>
                  <w:tcW w:w="718" w:type="pct"/>
                  <w:vAlign w:val="center"/>
                </w:tcPr>
                <w:p>
                  <w:pPr>
                    <w:jc w:val="center"/>
                    <w:rPr>
                      <w:kern w:val="0"/>
                      <w:sz w:val="20"/>
                      <w:szCs w:val="21"/>
                    </w:rPr>
                  </w:pPr>
                  <w:r>
                    <w:rPr>
                      <w:color w:val="000000" w:themeColor="text1"/>
                      <w:kern w:val="0"/>
                      <w:sz w:val="20"/>
                      <w:szCs w:val="21"/>
                      <w14:textFill>
                        <w14:solidFill>
                          <w14:schemeClr w14:val="tx1"/>
                        </w14:solidFill>
                      </w14:textFill>
                    </w:rPr>
                    <w:t>1.965449</w:t>
                  </w:r>
                </w:p>
              </w:tc>
              <w:tc>
                <w:tcPr>
                  <w:tcW w:w="714" w:type="pct"/>
                  <w:vAlign w:val="center"/>
                </w:tcPr>
                <w:p>
                  <w:pPr>
                    <w:jc w:val="center"/>
                    <w:rPr>
                      <w:kern w:val="0"/>
                      <w:sz w:val="20"/>
                      <w:szCs w:val="21"/>
                    </w:rPr>
                  </w:pPr>
                  <w:r>
                    <w:rPr>
                      <w:rFonts w:hint="eastAsia"/>
                      <w:kern w:val="0"/>
                      <w:sz w:val="20"/>
                      <w:szCs w:val="21"/>
                    </w:rPr>
                    <w:t>0</w:t>
                  </w:r>
                  <w:r>
                    <w:rPr>
                      <w:kern w:val="0"/>
                      <w:sz w:val="20"/>
                      <w:szCs w:val="21"/>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2500</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0.51244</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.10</w:t>
                  </w:r>
                </w:p>
              </w:tc>
              <w:tc>
                <w:tcPr>
                  <w:tcW w:w="716" w:type="pct"/>
                  <w:vAlign w:val="center"/>
                </w:tcPr>
                <w:p>
                  <w:pPr>
                    <w:jc w:val="center"/>
                    <w:rPr>
                      <w:kern w:val="0"/>
                      <w:sz w:val="20"/>
                      <w:szCs w:val="21"/>
                    </w:rPr>
                  </w:pPr>
                  <w:r>
                    <w:rPr>
                      <w:color w:val="000000" w:themeColor="text1"/>
                      <w:kern w:val="0"/>
                      <w:sz w:val="20"/>
                      <w:szCs w:val="21"/>
                      <w14:textFill>
                        <w14:solidFill>
                          <w14:schemeClr w14:val="tx1"/>
                        </w14:solidFill>
                      </w14:textFill>
                    </w:rPr>
                    <w:t>0.307464</w:t>
                  </w:r>
                </w:p>
              </w:tc>
              <w:tc>
                <w:tcPr>
                  <w:tcW w:w="723" w:type="pct"/>
                  <w:vAlign w:val="center"/>
                </w:tcPr>
                <w:p>
                  <w:pPr>
                    <w:jc w:val="center"/>
                    <w:rPr>
                      <w:kern w:val="0"/>
                      <w:sz w:val="20"/>
                      <w:szCs w:val="21"/>
                    </w:rPr>
                  </w:pPr>
                  <w:r>
                    <w:rPr>
                      <w:rFonts w:hint="eastAsia"/>
                      <w:kern w:val="0"/>
                      <w:sz w:val="20"/>
                      <w:szCs w:val="21"/>
                    </w:rPr>
                    <w:t>0</w:t>
                  </w:r>
                  <w:r>
                    <w:rPr>
                      <w:kern w:val="0"/>
                      <w:sz w:val="20"/>
                      <w:szCs w:val="21"/>
                    </w:rPr>
                    <w:t>.07</w:t>
                  </w:r>
                </w:p>
              </w:tc>
              <w:tc>
                <w:tcPr>
                  <w:tcW w:w="718" w:type="pct"/>
                  <w:vAlign w:val="center"/>
                </w:tcPr>
                <w:p>
                  <w:pPr>
                    <w:jc w:val="center"/>
                    <w:rPr>
                      <w:kern w:val="0"/>
                      <w:sz w:val="20"/>
                      <w:szCs w:val="21"/>
                    </w:rPr>
                  </w:pPr>
                  <w:r>
                    <w:rPr>
                      <w:color w:val="000000" w:themeColor="text1"/>
                      <w:kern w:val="0"/>
                      <w:sz w:val="20"/>
                      <w:szCs w:val="21"/>
                      <w14:textFill>
                        <w14:solidFill>
                          <w14:schemeClr w14:val="tx1"/>
                        </w14:solidFill>
                      </w14:textFill>
                    </w:rPr>
                    <w:t>1.554402</w:t>
                  </w:r>
                </w:p>
              </w:tc>
              <w:tc>
                <w:tcPr>
                  <w:tcW w:w="714" w:type="pct"/>
                  <w:vAlign w:val="center"/>
                </w:tcPr>
                <w:p>
                  <w:pPr>
                    <w:jc w:val="center"/>
                    <w:rPr>
                      <w:kern w:val="0"/>
                      <w:sz w:val="20"/>
                      <w:szCs w:val="21"/>
                    </w:rPr>
                  </w:pPr>
                  <w:r>
                    <w:rPr>
                      <w:rFonts w:hint="eastAsia"/>
                      <w:kern w:val="0"/>
                      <w:sz w:val="20"/>
                      <w:szCs w:val="21"/>
                    </w:rPr>
                    <w:t>0</w:t>
                  </w:r>
                  <w:r>
                    <w:rPr>
                      <w:kern w:val="0"/>
                      <w:sz w:val="20"/>
                      <w:szCs w:val="21"/>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rFonts w:eastAsia="新宋体"/>
                      <w:color w:val="000000" w:themeColor="text1"/>
                      <w:kern w:val="0"/>
                      <w:sz w:val="20"/>
                      <w:szCs w:val="21"/>
                      <w14:textFill>
                        <w14:solidFill>
                          <w14:schemeClr w14:val="tx1"/>
                        </w14:solidFill>
                      </w14:textFill>
                    </w:rPr>
                  </w:pPr>
                  <w:r>
                    <w:rPr>
                      <w:rFonts w:eastAsia="新宋体"/>
                      <w:color w:val="000000" w:themeColor="text1"/>
                      <w:kern w:val="0"/>
                      <w:sz w:val="20"/>
                      <w:szCs w:val="21"/>
                      <w14:textFill>
                        <w14:solidFill>
                          <w14:schemeClr w14:val="tx1"/>
                        </w14:solidFill>
                      </w14:textFill>
                    </w:rPr>
                    <w:t>下风向最大浓</w:t>
                  </w:r>
                </w:p>
              </w:tc>
              <w:tc>
                <w:tcPr>
                  <w:tcW w:w="717" w:type="pct"/>
                  <w:vAlign w:val="center"/>
                </w:tcPr>
                <w:p>
                  <w:pPr>
                    <w:jc w:val="center"/>
                    <w:rPr>
                      <w:color w:val="000000" w:themeColor="text1"/>
                      <w:kern w:val="0"/>
                      <w:sz w:val="20"/>
                      <w:szCs w:val="21"/>
                      <w14:textFill>
                        <w14:solidFill>
                          <w14:schemeClr w14:val="tx1"/>
                        </w14:solidFill>
                      </w14:textFill>
                    </w:rPr>
                  </w:pPr>
                  <w:r>
                    <w:rPr>
                      <w:color w:val="000000" w:themeColor="text1"/>
                      <w:kern w:val="0"/>
                      <w:sz w:val="20"/>
                      <w:szCs w:val="21"/>
                      <w14:textFill>
                        <w14:solidFill>
                          <w14:schemeClr w14:val="tx1"/>
                        </w14:solidFill>
                      </w14:textFill>
                    </w:rPr>
                    <w:t>3.0424</w:t>
                  </w:r>
                </w:p>
              </w:tc>
              <w:tc>
                <w:tcPr>
                  <w:tcW w:w="717" w:type="pct"/>
                  <w:vAlign w:val="center"/>
                </w:tcPr>
                <w:p>
                  <w:pPr>
                    <w:jc w:val="center"/>
                    <w:rPr>
                      <w:color w:val="000000" w:themeColor="text1"/>
                      <w:kern w:val="0"/>
                      <w:sz w:val="20"/>
                      <w:szCs w:val="21"/>
                      <w14:textFill>
                        <w14:solidFill>
                          <w14:schemeClr w14:val="tx1"/>
                        </w14:solidFill>
                      </w14:textFill>
                    </w:rPr>
                  </w:pPr>
                  <w:r>
                    <w:rPr>
                      <w:rFonts w:hint="eastAsia"/>
                      <w:color w:val="000000" w:themeColor="text1"/>
                      <w:kern w:val="0"/>
                      <w:sz w:val="20"/>
                      <w:szCs w:val="21"/>
                      <w14:textFill>
                        <w14:solidFill>
                          <w14:schemeClr w14:val="tx1"/>
                        </w14:solidFill>
                      </w14:textFill>
                    </w:rPr>
                    <w:t>0</w:t>
                  </w:r>
                  <w:r>
                    <w:rPr>
                      <w:color w:val="000000" w:themeColor="text1"/>
                      <w:kern w:val="0"/>
                      <w:sz w:val="20"/>
                      <w:szCs w:val="21"/>
                      <w14:textFill>
                        <w14:solidFill>
                          <w14:schemeClr w14:val="tx1"/>
                        </w14:solidFill>
                      </w14:textFill>
                    </w:rPr>
                    <w:t>.61</w:t>
                  </w:r>
                </w:p>
              </w:tc>
              <w:tc>
                <w:tcPr>
                  <w:tcW w:w="716" w:type="pct"/>
                  <w:vAlign w:val="center"/>
                </w:tcPr>
                <w:p>
                  <w:pPr>
                    <w:jc w:val="center"/>
                    <w:rPr>
                      <w:kern w:val="0"/>
                      <w:sz w:val="20"/>
                      <w:szCs w:val="21"/>
                    </w:rPr>
                  </w:pPr>
                  <w:r>
                    <w:rPr>
                      <w:kern w:val="0"/>
                      <w:sz w:val="20"/>
                      <w:szCs w:val="21"/>
                    </w:rPr>
                    <w:t>1.82544</w:t>
                  </w:r>
                </w:p>
              </w:tc>
              <w:tc>
                <w:tcPr>
                  <w:tcW w:w="723" w:type="pct"/>
                  <w:vAlign w:val="center"/>
                </w:tcPr>
                <w:p>
                  <w:pPr>
                    <w:jc w:val="center"/>
                    <w:rPr>
                      <w:kern w:val="0"/>
                      <w:sz w:val="20"/>
                      <w:szCs w:val="21"/>
                    </w:rPr>
                  </w:pPr>
                  <w:r>
                    <w:rPr>
                      <w:rFonts w:hint="eastAsia"/>
                      <w:kern w:val="0"/>
                      <w:sz w:val="20"/>
                      <w:szCs w:val="21"/>
                    </w:rPr>
                    <w:t>0</w:t>
                  </w:r>
                  <w:r>
                    <w:rPr>
                      <w:kern w:val="0"/>
                      <w:sz w:val="20"/>
                      <w:szCs w:val="21"/>
                    </w:rPr>
                    <w:t>.41</w:t>
                  </w:r>
                </w:p>
              </w:tc>
              <w:tc>
                <w:tcPr>
                  <w:tcW w:w="718" w:type="pct"/>
                  <w:vAlign w:val="center"/>
                </w:tcPr>
                <w:p>
                  <w:pPr>
                    <w:jc w:val="center"/>
                    <w:rPr>
                      <w:kern w:val="0"/>
                      <w:sz w:val="20"/>
                      <w:szCs w:val="21"/>
                    </w:rPr>
                  </w:pPr>
                  <w:r>
                    <w:rPr>
                      <w:kern w:val="0"/>
                      <w:sz w:val="20"/>
                      <w:szCs w:val="21"/>
                    </w:rPr>
                    <w:t>9.228615</w:t>
                  </w:r>
                </w:p>
              </w:tc>
              <w:tc>
                <w:tcPr>
                  <w:tcW w:w="714" w:type="pct"/>
                  <w:vAlign w:val="center"/>
                </w:tcPr>
                <w:p>
                  <w:pPr>
                    <w:jc w:val="center"/>
                    <w:rPr>
                      <w:kern w:val="0"/>
                      <w:sz w:val="20"/>
                      <w:szCs w:val="21"/>
                    </w:rPr>
                  </w:pPr>
                  <w:r>
                    <w:rPr>
                      <w:rFonts w:hint="eastAsia"/>
                      <w:kern w:val="0"/>
                      <w:sz w:val="20"/>
                      <w:szCs w:val="21"/>
                    </w:rPr>
                    <w:t>3</w:t>
                  </w:r>
                  <w:r>
                    <w:rPr>
                      <w:kern w:val="0"/>
                      <w:sz w:val="20"/>
                      <w:szCs w:val="21"/>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rFonts w:eastAsia="新宋体"/>
                      <w:color w:val="000000" w:themeColor="text1"/>
                      <w:kern w:val="0"/>
                      <w:sz w:val="20"/>
                      <w:szCs w:val="21"/>
                      <w14:textFill>
                        <w14:solidFill>
                          <w14:schemeClr w14:val="tx1"/>
                        </w14:solidFill>
                      </w14:textFill>
                    </w:rPr>
                  </w:pPr>
                  <w:r>
                    <w:rPr>
                      <w:rFonts w:eastAsia="新宋体"/>
                      <w:color w:val="000000" w:themeColor="text1"/>
                      <w:kern w:val="0"/>
                      <w:sz w:val="20"/>
                      <w:szCs w:val="21"/>
                      <w14:textFill>
                        <w14:solidFill>
                          <w14:schemeClr w14:val="tx1"/>
                        </w14:solidFill>
                      </w14:textFill>
                    </w:rPr>
                    <w:t>下风向最大浓度出现距离</w:t>
                  </w:r>
                </w:p>
              </w:tc>
              <w:tc>
                <w:tcPr>
                  <w:tcW w:w="4305" w:type="pct"/>
                  <w:gridSpan w:val="6"/>
                  <w:vAlign w:val="center"/>
                </w:tcPr>
                <w:p>
                  <w:pPr>
                    <w:jc w:val="center"/>
                    <w:rPr>
                      <w:kern w:val="0"/>
                      <w:sz w:val="20"/>
                      <w:szCs w:val="21"/>
                    </w:rPr>
                  </w:pPr>
                  <w:r>
                    <w:rPr>
                      <w:kern w:val="0"/>
                      <w:sz w:val="20"/>
                      <w:szCs w:val="21"/>
                    </w:rPr>
                    <w:t>78</w:t>
                  </w:r>
                </w:p>
              </w:tc>
            </w:tr>
          </w:tbl>
          <w:p>
            <w:pPr>
              <w:spacing w:before="156" w:beforeLines="50" w:line="360" w:lineRule="auto"/>
              <w:jc w:val="center"/>
              <w:rPr>
                <w:b/>
                <w:bCs/>
                <w:kern w:val="0"/>
                <w:sz w:val="24"/>
              </w:rPr>
            </w:pPr>
          </w:p>
          <w:p>
            <w:pPr>
              <w:spacing w:before="156" w:beforeLines="50" w:line="360" w:lineRule="auto"/>
              <w:jc w:val="center"/>
              <w:rPr>
                <w:b/>
                <w:bCs/>
                <w:kern w:val="0"/>
                <w:sz w:val="24"/>
              </w:rPr>
            </w:pPr>
          </w:p>
          <w:p>
            <w:pPr>
              <w:spacing w:before="156" w:beforeLines="50" w:line="360" w:lineRule="auto"/>
              <w:jc w:val="center"/>
              <w:rPr>
                <w:b/>
                <w:bCs/>
                <w:kern w:val="0"/>
                <w:sz w:val="24"/>
              </w:rPr>
            </w:pPr>
          </w:p>
          <w:p>
            <w:pPr>
              <w:spacing w:before="156" w:beforeLines="50" w:line="360" w:lineRule="auto"/>
              <w:jc w:val="center"/>
              <w:rPr>
                <w:b/>
                <w:bCs/>
                <w:kern w:val="0"/>
                <w:sz w:val="24"/>
              </w:rPr>
            </w:pPr>
            <w:r>
              <w:rPr>
                <w:b/>
                <w:bCs/>
                <w:kern w:val="0"/>
                <w:sz w:val="24"/>
              </w:rPr>
              <w:t>表7-8   本项目</w:t>
            </w:r>
            <w:r>
              <w:rPr>
                <w:rFonts w:hint="eastAsia"/>
                <w:b/>
                <w:bCs/>
                <w:kern w:val="0"/>
                <w:sz w:val="24"/>
              </w:rPr>
              <w:t>无组织废气</w:t>
            </w:r>
            <w:r>
              <w:rPr>
                <w:b/>
                <w:bCs/>
                <w:kern w:val="0"/>
                <w:sz w:val="24"/>
              </w:rPr>
              <w:t>预测结果一览表</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266"/>
              <w:gridCol w:w="1266"/>
              <w:gridCol w:w="1264"/>
              <w:gridCol w:w="1276"/>
              <w:gridCol w:w="1267"/>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5" w:type="pct"/>
                  <w:vMerge w:val="restart"/>
                  <w:vAlign w:val="center"/>
                </w:tcPr>
                <w:p>
                  <w:pPr>
                    <w:snapToGrid w:val="0"/>
                    <w:jc w:val="center"/>
                    <w:rPr>
                      <w:color w:val="00B0F0"/>
                      <w:kern w:val="0"/>
                      <w:sz w:val="20"/>
                      <w:szCs w:val="21"/>
                    </w:rPr>
                  </w:pPr>
                  <w:r>
                    <w:rPr>
                      <w:color w:val="00B0F0"/>
                      <w:kern w:val="0"/>
                      <w:sz w:val="20"/>
                      <w:szCs w:val="21"/>
                    </w:rPr>
                    <w:t>距离（m）</w:t>
                  </w:r>
                </w:p>
                <w:p>
                  <w:pPr>
                    <w:ind w:firstLine="200" w:firstLineChars="100"/>
                    <w:jc w:val="center"/>
                    <w:rPr>
                      <w:color w:val="00B0F0"/>
                      <w:kern w:val="0"/>
                      <w:sz w:val="20"/>
                      <w:szCs w:val="21"/>
                    </w:rPr>
                  </w:pPr>
                  <w:r>
                    <w:rPr>
                      <w:color w:val="00B0F0"/>
                      <w:kern w:val="0"/>
                      <w:sz w:val="20"/>
                      <w:szCs w:val="21"/>
                    </w:rPr>
                    <w:t>污染物</w:t>
                  </w:r>
                </w:p>
              </w:tc>
              <w:tc>
                <w:tcPr>
                  <w:tcW w:w="1434" w:type="pct"/>
                  <w:gridSpan w:val="2"/>
                  <w:vAlign w:val="center"/>
                </w:tcPr>
                <w:p>
                  <w:pPr>
                    <w:jc w:val="center"/>
                    <w:rPr>
                      <w:color w:val="00B0F0"/>
                      <w:kern w:val="0"/>
                      <w:sz w:val="20"/>
                      <w:szCs w:val="21"/>
                      <w:lang w:bidi="en-US"/>
                    </w:rPr>
                  </w:pPr>
                  <w:r>
                    <w:rPr>
                      <w:color w:val="00B0F0"/>
                      <w:kern w:val="0"/>
                      <w:sz w:val="20"/>
                      <w:szCs w:val="21"/>
                      <w:lang w:bidi="en-US"/>
                    </w:rPr>
                    <w:t>TSP</w:t>
                  </w:r>
                </w:p>
              </w:tc>
              <w:tc>
                <w:tcPr>
                  <w:tcW w:w="1439" w:type="pct"/>
                  <w:gridSpan w:val="2"/>
                  <w:vAlign w:val="center"/>
                </w:tcPr>
                <w:p>
                  <w:pPr>
                    <w:jc w:val="center"/>
                    <w:rPr>
                      <w:color w:val="00B0F0"/>
                      <w:kern w:val="0"/>
                      <w:sz w:val="20"/>
                      <w:szCs w:val="21"/>
                      <w:lang w:bidi="en-US"/>
                    </w:rPr>
                  </w:pPr>
                  <w:r>
                    <w:rPr>
                      <w:rFonts w:hint="eastAsia"/>
                      <w:color w:val="00B0F0"/>
                      <w:kern w:val="0"/>
                      <w:sz w:val="20"/>
                      <w:szCs w:val="21"/>
                      <w:lang w:bidi="en-US"/>
                    </w:rPr>
                    <w:t>非甲烷总烃</w:t>
                  </w:r>
                </w:p>
              </w:tc>
              <w:tc>
                <w:tcPr>
                  <w:tcW w:w="1432" w:type="pct"/>
                  <w:gridSpan w:val="2"/>
                  <w:vAlign w:val="center"/>
                </w:tcPr>
                <w:p>
                  <w:pPr>
                    <w:jc w:val="center"/>
                    <w:rPr>
                      <w:color w:val="00B0F0"/>
                      <w:kern w:val="0"/>
                      <w:sz w:val="20"/>
                      <w:szCs w:val="21"/>
                      <w:lang w:bidi="en-US"/>
                    </w:rPr>
                  </w:pPr>
                  <w:r>
                    <w:rPr>
                      <w:rFonts w:hint="eastAsia"/>
                      <w:color w:val="00B0F0"/>
                      <w:kern w:val="0"/>
                      <w:sz w:val="20"/>
                      <w:szCs w:val="21"/>
                      <w:lang w:bidi="en-US"/>
                    </w:rPr>
                    <w:t>苯乙烯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Merge w:val="continue"/>
                  <w:vAlign w:val="center"/>
                </w:tcPr>
                <w:p>
                  <w:pPr>
                    <w:jc w:val="center"/>
                    <w:rPr>
                      <w:color w:val="00B0F0"/>
                      <w:kern w:val="0"/>
                      <w:sz w:val="20"/>
                      <w:szCs w:val="21"/>
                    </w:rPr>
                  </w:pPr>
                </w:p>
              </w:tc>
              <w:tc>
                <w:tcPr>
                  <w:tcW w:w="717" w:type="pct"/>
                  <w:vAlign w:val="center"/>
                </w:tcPr>
                <w:p>
                  <w:pPr>
                    <w:jc w:val="center"/>
                    <w:rPr>
                      <w:color w:val="00B0F0"/>
                      <w:kern w:val="0"/>
                      <w:sz w:val="20"/>
                      <w:szCs w:val="21"/>
                    </w:rPr>
                  </w:pPr>
                  <w:r>
                    <w:rPr>
                      <w:color w:val="00B0F0"/>
                      <w:kern w:val="0"/>
                      <w:sz w:val="20"/>
                      <w:szCs w:val="21"/>
                    </w:rPr>
                    <w:t>浓度（ug/m</w:t>
                  </w:r>
                  <w:r>
                    <w:rPr>
                      <w:color w:val="00B0F0"/>
                      <w:kern w:val="0"/>
                      <w:sz w:val="20"/>
                      <w:szCs w:val="21"/>
                      <w:vertAlign w:val="superscript"/>
                    </w:rPr>
                    <w:t>3</w:t>
                  </w:r>
                  <w:r>
                    <w:rPr>
                      <w:color w:val="00B0F0"/>
                      <w:kern w:val="0"/>
                      <w:sz w:val="20"/>
                      <w:szCs w:val="21"/>
                    </w:rPr>
                    <w:t>）</w:t>
                  </w:r>
                </w:p>
              </w:tc>
              <w:tc>
                <w:tcPr>
                  <w:tcW w:w="717" w:type="pct"/>
                  <w:vAlign w:val="center"/>
                </w:tcPr>
                <w:p>
                  <w:pPr>
                    <w:pStyle w:val="6"/>
                    <w:jc w:val="center"/>
                    <w:rPr>
                      <w:color w:val="00B0F0"/>
                      <w:kern w:val="0"/>
                      <w:sz w:val="20"/>
                    </w:rPr>
                  </w:pPr>
                  <w:r>
                    <w:rPr>
                      <w:color w:val="00B0F0"/>
                      <w:kern w:val="0"/>
                      <w:sz w:val="20"/>
                    </w:rPr>
                    <w:t>占标率%</w:t>
                  </w:r>
                </w:p>
              </w:tc>
              <w:tc>
                <w:tcPr>
                  <w:tcW w:w="716" w:type="pct"/>
                  <w:vAlign w:val="center"/>
                </w:tcPr>
                <w:p>
                  <w:pPr>
                    <w:pStyle w:val="6"/>
                    <w:jc w:val="center"/>
                    <w:rPr>
                      <w:color w:val="00B0F0"/>
                      <w:kern w:val="0"/>
                      <w:sz w:val="20"/>
                    </w:rPr>
                  </w:pPr>
                  <w:r>
                    <w:rPr>
                      <w:color w:val="00B0F0"/>
                      <w:kern w:val="0"/>
                      <w:sz w:val="20"/>
                    </w:rPr>
                    <w:t>浓度（ug/m</w:t>
                  </w:r>
                  <w:r>
                    <w:rPr>
                      <w:color w:val="00B0F0"/>
                      <w:kern w:val="0"/>
                      <w:sz w:val="20"/>
                      <w:vertAlign w:val="superscript"/>
                    </w:rPr>
                    <w:t>3</w:t>
                  </w:r>
                  <w:r>
                    <w:rPr>
                      <w:color w:val="00B0F0"/>
                      <w:kern w:val="0"/>
                      <w:sz w:val="20"/>
                    </w:rPr>
                    <w:t>）</w:t>
                  </w:r>
                </w:p>
              </w:tc>
              <w:tc>
                <w:tcPr>
                  <w:tcW w:w="723" w:type="pct"/>
                  <w:vAlign w:val="center"/>
                </w:tcPr>
                <w:p>
                  <w:pPr>
                    <w:pStyle w:val="6"/>
                    <w:jc w:val="center"/>
                    <w:rPr>
                      <w:color w:val="00B0F0"/>
                      <w:kern w:val="0"/>
                      <w:sz w:val="20"/>
                    </w:rPr>
                  </w:pPr>
                  <w:r>
                    <w:rPr>
                      <w:color w:val="00B0F0"/>
                      <w:kern w:val="0"/>
                      <w:sz w:val="20"/>
                    </w:rPr>
                    <w:t>占标率%</w:t>
                  </w:r>
                </w:p>
              </w:tc>
              <w:tc>
                <w:tcPr>
                  <w:tcW w:w="718" w:type="pct"/>
                  <w:vAlign w:val="center"/>
                </w:tcPr>
                <w:p>
                  <w:pPr>
                    <w:pStyle w:val="6"/>
                    <w:jc w:val="center"/>
                    <w:rPr>
                      <w:color w:val="00B0F0"/>
                      <w:kern w:val="0"/>
                      <w:sz w:val="20"/>
                    </w:rPr>
                  </w:pPr>
                  <w:r>
                    <w:rPr>
                      <w:color w:val="00B0F0"/>
                      <w:kern w:val="0"/>
                      <w:sz w:val="20"/>
                    </w:rPr>
                    <w:t>浓度（ug/m</w:t>
                  </w:r>
                  <w:r>
                    <w:rPr>
                      <w:color w:val="00B0F0"/>
                      <w:kern w:val="0"/>
                      <w:sz w:val="20"/>
                      <w:vertAlign w:val="superscript"/>
                    </w:rPr>
                    <w:t>3</w:t>
                  </w:r>
                  <w:r>
                    <w:rPr>
                      <w:color w:val="00B0F0"/>
                      <w:kern w:val="0"/>
                      <w:sz w:val="20"/>
                    </w:rPr>
                    <w:t>）</w:t>
                  </w:r>
                </w:p>
              </w:tc>
              <w:tc>
                <w:tcPr>
                  <w:tcW w:w="714" w:type="pct"/>
                  <w:vAlign w:val="center"/>
                </w:tcPr>
                <w:p>
                  <w:pPr>
                    <w:pStyle w:val="6"/>
                    <w:jc w:val="center"/>
                    <w:rPr>
                      <w:color w:val="00B0F0"/>
                      <w:kern w:val="0"/>
                      <w:sz w:val="20"/>
                    </w:rPr>
                  </w:pPr>
                  <w:r>
                    <w:rPr>
                      <w:color w:val="00B0F0"/>
                      <w:kern w:val="0"/>
                      <w:sz w:val="20"/>
                    </w:rPr>
                    <w:t>占标率%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rFonts w:hint="eastAsia"/>
                      <w:color w:val="00B0F0"/>
                      <w:kern w:val="0"/>
                      <w:sz w:val="20"/>
                      <w:szCs w:val="21"/>
                    </w:rPr>
                    <w:t>1</w:t>
                  </w:r>
                  <w:r>
                    <w:rPr>
                      <w:color w:val="00B0F0"/>
                      <w:kern w:val="0"/>
                      <w:sz w:val="20"/>
                      <w:szCs w:val="21"/>
                    </w:rPr>
                    <w:t>0</w:t>
                  </w:r>
                </w:p>
              </w:tc>
              <w:tc>
                <w:tcPr>
                  <w:tcW w:w="717" w:type="pct"/>
                  <w:vAlign w:val="center"/>
                </w:tcPr>
                <w:p>
                  <w:pPr>
                    <w:jc w:val="center"/>
                    <w:rPr>
                      <w:color w:val="00B0F0"/>
                      <w:kern w:val="0"/>
                      <w:sz w:val="20"/>
                      <w:szCs w:val="21"/>
                    </w:rPr>
                  </w:pPr>
                  <w:r>
                    <w:rPr>
                      <w:color w:val="00B0F0"/>
                      <w:kern w:val="0"/>
                      <w:sz w:val="20"/>
                      <w:szCs w:val="21"/>
                    </w:rPr>
                    <w:t>12.452</w:t>
                  </w:r>
                </w:p>
              </w:tc>
              <w:tc>
                <w:tcPr>
                  <w:tcW w:w="717" w:type="pct"/>
                  <w:vAlign w:val="center"/>
                </w:tcPr>
                <w:p>
                  <w:pPr>
                    <w:jc w:val="center"/>
                    <w:rPr>
                      <w:color w:val="00B0F0"/>
                      <w:kern w:val="0"/>
                      <w:sz w:val="20"/>
                      <w:szCs w:val="21"/>
                    </w:rPr>
                  </w:pPr>
                  <w:r>
                    <w:rPr>
                      <w:color w:val="00B0F0"/>
                      <w:kern w:val="0"/>
                      <w:sz w:val="20"/>
                      <w:szCs w:val="21"/>
                    </w:rPr>
                    <w:t>1.38</w:t>
                  </w:r>
                </w:p>
              </w:tc>
              <w:tc>
                <w:tcPr>
                  <w:tcW w:w="716" w:type="pct"/>
                  <w:vAlign w:val="center"/>
                </w:tcPr>
                <w:p>
                  <w:pPr>
                    <w:jc w:val="center"/>
                    <w:rPr>
                      <w:color w:val="00B0F0"/>
                      <w:kern w:val="0"/>
                      <w:sz w:val="20"/>
                      <w:szCs w:val="21"/>
                    </w:rPr>
                  </w:pPr>
                  <w:r>
                    <w:rPr>
                      <w:color w:val="00B0F0"/>
                      <w:kern w:val="0"/>
                      <w:sz w:val="20"/>
                      <w:szCs w:val="21"/>
                    </w:rPr>
                    <w:t>7.818697</w:t>
                  </w:r>
                </w:p>
              </w:tc>
              <w:tc>
                <w:tcPr>
                  <w:tcW w:w="723" w:type="pct"/>
                  <w:vAlign w:val="center"/>
                </w:tcPr>
                <w:p>
                  <w:pPr>
                    <w:jc w:val="center"/>
                    <w:rPr>
                      <w:color w:val="00B0F0"/>
                      <w:kern w:val="0"/>
                      <w:sz w:val="20"/>
                      <w:szCs w:val="21"/>
                    </w:rPr>
                  </w:pPr>
                  <w:r>
                    <w:rPr>
                      <w:color w:val="00B0F0"/>
                      <w:kern w:val="0"/>
                      <w:sz w:val="20"/>
                      <w:szCs w:val="21"/>
                    </w:rPr>
                    <w:t>0.39</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.579136</w:t>
                  </w:r>
                </w:p>
              </w:tc>
              <w:tc>
                <w:tcPr>
                  <w:tcW w:w="714" w:type="pct"/>
                  <w:vAlign w:val="center"/>
                </w:tcPr>
                <w:p>
                  <w:pPr>
                    <w:jc w:val="center"/>
                    <w:rPr>
                      <w:color w:val="00B0F0"/>
                      <w:kern w:val="0"/>
                      <w:sz w:val="20"/>
                      <w:szCs w:val="21"/>
                    </w:rPr>
                  </w:pPr>
                  <w:r>
                    <w:rPr>
                      <w:rFonts w:hint="eastAsia"/>
                      <w:color w:val="00B0F0"/>
                      <w:kern w:val="0"/>
                      <w:sz w:val="20"/>
                      <w:szCs w:val="21"/>
                    </w:rPr>
                    <w:t>5</w:t>
                  </w:r>
                  <w:r>
                    <w:rPr>
                      <w:color w:val="00B0F0"/>
                      <w:kern w:val="0"/>
                      <w:sz w:val="20"/>
                      <w:szCs w:val="21"/>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color w:val="00B0F0"/>
                      <w:kern w:val="0"/>
                      <w:sz w:val="20"/>
                      <w:szCs w:val="21"/>
                    </w:rPr>
                    <w:t>50</w:t>
                  </w:r>
                </w:p>
              </w:tc>
              <w:tc>
                <w:tcPr>
                  <w:tcW w:w="717" w:type="pct"/>
                  <w:vAlign w:val="center"/>
                </w:tcPr>
                <w:p>
                  <w:pPr>
                    <w:jc w:val="center"/>
                    <w:rPr>
                      <w:color w:val="00B0F0"/>
                      <w:kern w:val="0"/>
                      <w:sz w:val="20"/>
                      <w:szCs w:val="21"/>
                    </w:rPr>
                  </w:pPr>
                  <w:r>
                    <w:rPr>
                      <w:color w:val="00B0F0"/>
                      <w:kern w:val="0"/>
                      <w:sz w:val="20"/>
                      <w:szCs w:val="21"/>
                    </w:rPr>
                    <w:t>17.03</w:t>
                  </w:r>
                </w:p>
              </w:tc>
              <w:tc>
                <w:tcPr>
                  <w:tcW w:w="717" w:type="pct"/>
                  <w:vAlign w:val="center"/>
                </w:tcPr>
                <w:p>
                  <w:pPr>
                    <w:jc w:val="center"/>
                    <w:rPr>
                      <w:color w:val="00B0F0"/>
                      <w:kern w:val="0"/>
                      <w:sz w:val="20"/>
                      <w:szCs w:val="21"/>
                    </w:rPr>
                  </w:pPr>
                  <w:r>
                    <w:rPr>
                      <w:color w:val="00B0F0"/>
                      <w:kern w:val="0"/>
                      <w:sz w:val="20"/>
                      <w:szCs w:val="21"/>
                    </w:rPr>
                    <w:t>1.59</w:t>
                  </w:r>
                </w:p>
              </w:tc>
              <w:tc>
                <w:tcPr>
                  <w:tcW w:w="716" w:type="pct"/>
                  <w:vAlign w:val="center"/>
                </w:tcPr>
                <w:p>
                  <w:pPr>
                    <w:jc w:val="center"/>
                    <w:rPr>
                      <w:color w:val="00B0F0"/>
                      <w:kern w:val="0"/>
                      <w:sz w:val="20"/>
                      <w:szCs w:val="21"/>
                    </w:rPr>
                  </w:pPr>
                  <w:r>
                    <w:rPr>
                      <w:color w:val="00B0F0"/>
                      <w:kern w:val="0"/>
                      <w:sz w:val="20"/>
                      <w:szCs w:val="21"/>
                    </w:rPr>
                    <w:t>10.69326</w:t>
                  </w:r>
                </w:p>
              </w:tc>
              <w:tc>
                <w:tcPr>
                  <w:tcW w:w="723" w:type="pct"/>
                  <w:vAlign w:val="center"/>
                </w:tcPr>
                <w:p>
                  <w:pPr>
                    <w:jc w:val="center"/>
                    <w:rPr>
                      <w:color w:val="00B0F0"/>
                      <w:kern w:val="0"/>
                      <w:sz w:val="20"/>
                      <w:szCs w:val="21"/>
                    </w:rPr>
                  </w:pPr>
                  <w:r>
                    <w:rPr>
                      <w:color w:val="00B0F0"/>
                      <w:kern w:val="0"/>
                      <w:sz w:val="20"/>
                      <w:szCs w:val="21"/>
                    </w:rPr>
                    <w:t>0.45</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.792</w:t>
                  </w:r>
                </w:p>
              </w:tc>
              <w:tc>
                <w:tcPr>
                  <w:tcW w:w="714" w:type="pct"/>
                  <w:vAlign w:val="center"/>
                </w:tcPr>
                <w:p>
                  <w:pPr>
                    <w:jc w:val="center"/>
                    <w:rPr>
                      <w:color w:val="00B0F0"/>
                      <w:kern w:val="0"/>
                      <w:sz w:val="20"/>
                      <w:szCs w:val="21"/>
                    </w:rPr>
                  </w:pPr>
                  <w:r>
                    <w:rPr>
                      <w:rFonts w:hint="eastAsia"/>
                      <w:color w:val="00B0F0"/>
                      <w:kern w:val="0"/>
                      <w:sz w:val="20"/>
                      <w:szCs w:val="21"/>
                    </w:rPr>
                    <w:t>7</w:t>
                  </w:r>
                  <w:r>
                    <w:rPr>
                      <w:color w:val="00B0F0"/>
                      <w:kern w:val="0"/>
                      <w:sz w:val="20"/>
                      <w:szCs w:val="21"/>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color w:val="00B0F0"/>
                      <w:kern w:val="0"/>
                      <w:sz w:val="20"/>
                      <w:szCs w:val="21"/>
                    </w:rPr>
                    <w:t>75</w:t>
                  </w:r>
                </w:p>
              </w:tc>
              <w:tc>
                <w:tcPr>
                  <w:tcW w:w="717" w:type="pct"/>
                  <w:vAlign w:val="center"/>
                </w:tcPr>
                <w:p>
                  <w:pPr>
                    <w:jc w:val="center"/>
                    <w:rPr>
                      <w:color w:val="00B0F0"/>
                      <w:kern w:val="0"/>
                      <w:sz w:val="20"/>
                      <w:szCs w:val="21"/>
                    </w:rPr>
                  </w:pPr>
                  <w:r>
                    <w:rPr>
                      <w:color w:val="00B0F0"/>
                      <w:kern w:val="0"/>
                      <w:sz w:val="20"/>
                      <w:szCs w:val="21"/>
                    </w:rPr>
                    <w:t>18.198</w:t>
                  </w:r>
                </w:p>
              </w:tc>
              <w:tc>
                <w:tcPr>
                  <w:tcW w:w="717" w:type="pct"/>
                  <w:vAlign w:val="center"/>
                </w:tcPr>
                <w:p>
                  <w:pPr>
                    <w:jc w:val="center"/>
                    <w:rPr>
                      <w:color w:val="00B0F0"/>
                      <w:kern w:val="0"/>
                      <w:sz w:val="20"/>
                      <w:szCs w:val="21"/>
                    </w:rPr>
                  </w:pPr>
                  <w:r>
                    <w:rPr>
                      <w:color w:val="00B0F0"/>
                      <w:kern w:val="0"/>
                      <w:sz w:val="20"/>
                      <w:szCs w:val="21"/>
                    </w:rPr>
                    <w:t>2.02</w:t>
                  </w:r>
                </w:p>
              </w:tc>
              <w:tc>
                <w:tcPr>
                  <w:tcW w:w="716" w:type="pct"/>
                  <w:vAlign w:val="center"/>
                </w:tcPr>
                <w:p>
                  <w:pPr>
                    <w:jc w:val="center"/>
                    <w:rPr>
                      <w:color w:val="00B0F0"/>
                      <w:kern w:val="0"/>
                      <w:sz w:val="20"/>
                      <w:szCs w:val="21"/>
                    </w:rPr>
                  </w:pPr>
                  <w:r>
                    <w:rPr>
                      <w:color w:val="00B0F0"/>
                      <w:kern w:val="0"/>
                      <w:sz w:val="20"/>
                      <w:szCs w:val="21"/>
                    </w:rPr>
                    <w:t>11.42665</w:t>
                  </w:r>
                </w:p>
              </w:tc>
              <w:tc>
                <w:tcPr>
                  <w:tcW w:w="723" w:type="pct"/>
                  <w:vAlign w:val="center"/>
                </w:tcPr>
                <w:p>
                  <w:pPr>
                    <w:jc w:val="center"/>
                    <w:rPr>
                      <w:color w:val="00B0F0"/>
                      <w:kern w:val="0"/>
                      <w:sz w:val="20"/>
                      <w:szCs w:val="21"/>
                    </w:rPr>
                  </w:pPr>
                  <w:r>
                    <w:rPr>
                      <w:color w:val="00B0F0"/>
                      <w:kern w:val="0"/>
                      <w:sz w:val="20"/>
                      <w:szCs w:val="21"/>
                    </w:rPr>
                    <w:t>0.57</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.846318</w:t>
                  </w:r>
                </w:p>
              </w:tc>
              <w:tc>
                <w:tcPr>
                  <w:tcW w:w="714" w:type="pct"/>
                  <w:vAlign w:val="center"/>
                </w:tcPr>
                <w:p>
                  <w:pPr>
                    <w:jc w:val="center"/>
                    <w:rPr>
                      <w:color w:val="00B0F0"/>
                      <w:kern w:val="0"/>
                      <w:sz w:val="20"/>
                      <w:szCs w:val="21"/>
                    </w:rPr>
                  </w:pPr>
                  <w:r>
                    <w:rPr>
                      <w:rFonts w:hint="eastAsia"/>
                      <w:color w:val="00B0F0"/>
                      <w:kern w:val="0"/>
                      <w:sz w:val="20"/>
                      <w:szCs w:val="21"/>
                    </w:rPr>
                    <w:t>8</w:t>
                  </w:r>
                  <w:r>
                    <w:rPr>
                      <w:color w:val="00B0F0"/>
                      <w:kern w:val="0"/>
                      <w:sz w:val="20"/>
                      <w:szCs w:val="21"/>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rFonts w:hint="eastAsia"/>
                      <w:color w:val="00B0F0"/>
                      <w:kern w:val="0"/>
                      <w:sz w:val="20"/>
                      <w:szCs w:val="21"/>
                    </w:rPr>
                    <w:t>10</w:t>
                  </w:r>
                  <w:r>
                    <w:rPr>
                      <w:color w:val="00B0F0"/>
                      <w:kern w:val="0"/>
                      <w:sz w:val="20"/>
                      <w:szCs w:val="21"/>
                    </w:rPr>
                    <w:t>0</w:t>
                  </w:r>
                </w:p>
              </w:tc>
              <w:tc>
                <w:tcPr>
                  <w:tcW w:w="717" w:type="pct"/>
                  <w:vAlign w:val="center"/>
                </w:tcPr>
                <w:p>
                  <w:pPr>
                    <w:jc w:val="center"/>
                    <w:rPr>
                      <w:color w:val="00B0F0"/>
                      <w:kern w:val="0"/>
                      <w:sz w:val="20"/>
                      <w:szCs w:val="21"/>
                    </w:rPr>
                  </w:pPr>
                  <w:r>
                    <w:rPr>
                      <w:color w:val="00B0F0"/>
                      <w:kern w:val="0"/>
                      <w:sz w:val="20"/>
                      <w:szCs w:val="21"/>
                    </w:rPr>
                    <w:t>15.702</w:t>
                  </w:r>
                </w:p>
              </w:tc>
              <w:tc>
                <w:tcPr>
                  <w:tcW w:w="717" w:type="pct"/>
                  <w:vAlign w:val="center"/>
                </w:tcPr>
                <w:p>
                  <w:pPr>
                    <w:jc w:val="center"/>
                    <w:rPr>
                      <w:color w:val="00B0F0"/>
                      <w:kern w:val="0"/>
                      <w:sz w:val="20"/>
                      <w:szCs w:val="21"/>
                    </w:rPr>
                  </w:pPr>
                  <w:r>
                    <w:rPr>
                      <w:color w:val="00B0F0"/>
                      <w:kern w:val="0"/>
                      <w:sz w:val="20"/>
                      <w:szCs w:val="21"/>
                    </w:rPr>
                    <w:t>1.74</w:t>
                  </w:r>
                </w:p>
              </w:tc>
              <w:tc>
                <w:tcPr>
                  <w:tcW w:w="716" w:type="pct"/>
                  <w:vAlign w:val="center"/>
                </w:tcPr>
                <w:p>
                  <w:pPr>
                    <w:jc w:val="center"/>
                    <w:rPr>
                      <w:color w:val="00B0F0"/>
                      <w:kern w:val="0"/>
                      <w:sz w:val="20"/>
                      <w:szCs w:val="21"/>
                    </w:rPr>
                  </w:pPr>
                  <w:r>
                    <w:rPr>
                      <w:color w:val="00B0F0"/>
                      <w:kern w:val="0"/>
                      <w:sz w:val="20"/>
                      <w:szCs w:val="21"/>
                    </w:rPr>
                    <w:t>9.859395</w:t>
                  </w:r>
                </w:p>
              </w:tc>
              <w:tc>
                <w:tcPr>
                  <w:tcW w:w="723" w:type="pct"/>
                  <w:vAlign w:val="center"/>
                </w:tcPr>
                <w:p>
                  <w:pPr>
                    <w:jc w:val="center"/>
                    <w:rPr>
                      <w:color w:val="00B0F0"/>
                      <w:kern w:val="0"/>
                      <w:sz w:val="20"/>
                      <w:szCs w:val="21"/>
                    </w:rPr>
                  </w:pPr>
                  <w:r>
                    <w:rPr>
                      <w:color w:val="00B0F0"/>
                      <w:kern w:val="0"/>
                      <w:sz w:val="20"/>
                      <w:szCs w:val="21"/>
                    </w:rPr>
                    <w:t>0.49</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.730273</w:t>
                  </w:r>
                </w:p>
              </w:tc>
              <w:tc>
                <w:tcPr>
                  <w:tcW w:w="714" w:type="pct"/>
                  <w:vAlign w:val="center"/>
                </w:tcPr>
                <w:p>
                  <w:pPr>
                    <w:jc w:val="center"/>
                    <w:rPr>
                      <w:color w:val="00B0F0"/>
                      <w:kern w:val="0"/>
                      <w:sz w:val="20"/>
                      <w:szCs w:val="21"/>
                    </w:rPr>
                  </w:pPr>
                  <w:r>
                    <w:rPr>
                      <w:rFonts w:hint="eastAsia"/>
                      <w:color w:val="00B0F0"/>
                      <w:kern w:val="0"/>
                      <w:sz w:val="20"/>
                      <w:szCs w:val="21"/>
                    </w:rPr>
                    <w:t>7</w:t>
                  </w:r>
                  <w:r>
                    <w:rPr>
                      <w:color w:val="00B0F0"/>
                      <w:kern w:val="0"/>
                      <w:sz w:val="2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rFonts w:hint="eastAsia"/>
                      <w:color w:val="00B0F0"/>
                      <w:kern w:val="0"/>
                      <w:sz w:val="20"/>
                      <w:szCs w:val="21"/>
                    </w:rPr>
                    <w:t>200</w:t>
                  </w:r>
                </w:p>
              </w:tc>
              <w:tc>
                <w:tcPr>
                  <w:tcW w:w="717" w:type="pct"/>
                  <w:vAlign w:val="center"/>
                </w:tcPr>
                <w:p>
                  <w:pPr>
                    <w:jc w:val="center"/>
                    <w:rPr>
                      <w:color w:val="00B0F0"/>
                      <w:kern w:val="0"/>
                      <w:sz w:val="20"/>
                      <w:szCs w:val="21"/>
                    </w:rPr>
                  </w:pPr>
                  <w:r>
                    <w:rPr>
                      <w:color w:val="00B0F0"/>
                      <w:kern w:val="0"/>
                      <w:sz w:val="20"/>
                      <w:szCs w:val="21"/>
                    </w:rPr>
                    <w:t>8.2107</w:t>
                  </w:r>
                </w:p>
              </w:tc>
              <w:tc>
                <w:tcPr>
                  <w:tcW w:w="717" w:type="pct"/>
                  <w:vAlign w:val="center"/>
                </w:tcPr>
                <w:p>
                  <w:pPr>
                    <w:jc w:val="center"/>
                    <w:rPr>
                      <w:color w:val="00B0F0"/>
                      <w:kern w:val="0"/>
                      <w:sz w:val="20"/>
                      <w:szCs w:val="21"/>
                    </w:rPr>
                  </w:pPr>
                  <w:r>
                    <w:rPr>
                      <w:color w:val="00B0F0"/>
                      <w:kern w:val="0"/>
                      <w:sz w:val="20"/>
                      <w:szCs w:val="21"/>
                    </w:rPr>
                    <w:t>0.91</w:t>
                  </w:r>
                </w:p>
              </w:tc>
              <w:tc>
                <w:tcPr>
                  <w:tcW w:w="716" w:type="pct"/>
                  <w:vAlign w:val="center"/>
                </w:tcPr>
                <w:p>
                  <w:pPr>
                    <w:jc w:val="center"/>
                    <w:rPr>
                      <w:color w:val="00B0F0"/>
                      <w:kern w:val="0"/>
                      <w:sz w:val="20"/>
                      <w:szCs w:val="21"/>
                    </w:rPr>
                  </w:pPr>
                  <w:r>
                    <w:rPr>
                      <w:color w:val="00B0F0"/>
                      <w:kern w:val="0"/>
                      <w:sz w:val="20"/>
                      <w:szCs w:val="21"/>
                    </w:rPr>
                    <w:t>5.155556</w:t>
                  </w:r>
                </w:p>
              </w:tc>
              <w:tc>
                <w:tcPr>
                  <w:tcW w:w="723" w:type="pct"/>
                  <w:vAlign w:val="center"/>
                </w:tcPr>
                <w:p>
                  <w:pPr>
                    <w:jc w:val="center"/>
                    <w:rPr>
                      <w:color w:val="00B0F0"/>
                      <w:kern w:val="0"/>
                      <w:sz w:val="20"/>
                      <w:szCs w:val="21"/>
                    </w:rPr>
                  </w:pPr>
                  <w:r>
                    <w:rPr>
                      <w:color w:val="00B0F0"/>
                      <w:kern w:val="0"/>
                      <w:sz w:val="20"/>
                      <w:szCs w:val="21"/>
                    </w:rPr>
                    <w:t>0.26</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.381855</w:t>
                  </w:r>
                </w:p>
              </w:tc>
              <w:tc>
                <w:tcPr>
                  <w:tcW w:w="714" w:type="pct"/>
                  <w:vAlign w:val="center"/>
                </w:tcPr>
                <w:p>
                  <w:pPr>
                    <w:jc w:val="center"/>
                    <w:rPr>
                      <w:color w:val="00B0F0"/>
                      <w:kern w:val="0"/>
                      <w:sz w:val="20"/>
                      <w:szCs w:val="21"/>
                    </w:rPr>
                  </w:pPr>
                  <w:r>
                    <w:rPr>
                      <w:rFonts w:hint="eastAsia"/>
                      <w:color w:val="00B0F0"/>
                      <w:kern w:val="0"/>
                      <w:sz w:val="20"/>
                      <w:szCs w:val="21"/>
                    </w:rPr>
                    <w:t>3</w:t>
                  </w:r>
                  <w:r>
                    <w:rPr>
                      <w:color w:val="00B0F0"/>
                      <w:kern w:val="0"/>
                      <w:sz w:val="20"/>
                      <w:szCs w:val="21"/>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color w:val="00B0F0"/>
                      <w:kern w:val="0"/>
                      <w:sz w:val="20"/>
                      <w:szCs w:val="21"/>
                    </w:rPr>
                    <w:t>300</w:t>
                  </w:r>
                </w:p>
              </w:tc>
              <w:tc>
                <w:tcPr>
                  <w:tcW w:w="717" w:type="pct"/>
                  <w:vAlign w:val="center"/>
                </w:tcPr>
                <w:p>
                  <w:pPr>
                    <w:jc w:val="center"/>
                    <w:rPr>
                      <w:color w:val="00B0F0"/>
                      <w:kern w:val="0"/>
                      <w:sz w:val="20"/>
                      <w:szCs w:val="21"/>
                    </w:rPr>
                  </w:pPr>
                  <w:r>
                    <w:rPr>
                      <w:color w:val="00B0F0"/>
                      <w:kern w:val="0"/>
                      <w:sz w:val="20"/>
                      <w:szCs w:val="21"/>
                    </w:rPr>
                    <w:t>6.0874</w:t>
                  </w:r>
                </w:p>
              </w:tc>
              <w:tc>
                <w:tcPr>
                  <w:tcW w:w="717" w:type="pct"/>
                  <w:vAlign w:val="center"/>
                </w:tcPr>
                <w:p>
                  <w:pPr>
                    <w:jc w:val="center"/>
                    <w:rPr>
                      <w:color w:val="00B0F0"/>
                      <w:kern w:val="0"/>
                      <w:sz w:val="20"/>
                      <w:szCs w:val="21"/>
                    </w:rPr>
                  </w:pPr>
                  <w:r>
                    <w:rPr>
                      <w:color w:val="00B0F0"/>
                      <w:kern w:val="0"/>
                      <w:sz w:val="20"/>
                      <w:szCs w:val="21"/>
                    </w:rPr>
                    <w:t>0.68</w:t>
                  </w:r>
                </w:p>
              </w:tc>
              <w:tc>
                <w:tcPr>
                  <w:tcW w:w="716" w:type="pct"/>
                  <w:vAlign w:val="center"/>
                </w:tcPr>
                <w:p>
                  <w:pPr>
                    <w:jc w:val="center"/>
                    <w:rPr>
                      <w:color w:val="00B0F0"/>
                      <w:kern w:val="0"/>
                      <w:sz w:val="20"/>
                      <w:szCs w:val="21"/>
                    </w:rPr>
                  </w:pPr>
                  <w:r>
                    <w:rPr>
                      <w:color w:val="00B0F0"/>
                      <w:kern w:val="0"/>
                      <w:sz w:val="20"/>
                      <w:szCs w:val="21"/>
                    </w:rPr>
                    <w:t>3.822321</w:t>
                  </w:r>
                </w:p>
              </w:tc>
              <w:tc>
                <w:tcPr>
                  <w:tcW w:w="723" w:type="pct"/>
                  <w:vAlign w:val="center"/>
                </w:tcPr>
                <w:p>
                  <w:pPr>
                    <w:jc w:val="center"/>
                    <w:rPr>
                      <w:color w:val="00B0F0"/>
                      <w:kern w:val="0"/>
                      <w:sz w:val="20"/>
                      <w:szCs w:val="21"/>
                    </w:rPr>
                  </w:pPr>
                  <w:r>
                    <w:rPr>
                      <w:color w:val="00B0F0"/>
                      <w:kern w:val="0"/>
                      <w:sz w:val="20"/>
                      <w:szCs w:val="21"/>
                    </w:rPr>
                    <w:t>0.19</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.283105</w:t>
                  </w:r>
                </w:p>
              </w:tc>
              <w:tc>
                <w:tcPr>
                  <w:tcW w:w="714" w:type="pct"/>
                  <w:vAlign w:val="center"/>
                </w:tcPr>
                <w:p>
                  <w:pPr>
                    <w:jc w:val="center"/>
                    <w:rPr>
                      <w:color w:val="00B0F0"/>
                      <w:kern w:val="0"/>
                      <w:sz w:val="20"/>
                      <w:szCs w:val="21"/>
                    </w:rPr>
                  </w:pPr>
                  <w:r>
                    <w:rPr>
                      <w:rFonts w:hint="eastAsia"/>
                      <w:color w:val="00B0F0"/>
                      <w:kern w:val="0"/>
                      <w:sz w:val="20"/>
                      <w:szCs w:val="21"/>
                    </w:rPr>
                    <w:t>2</w:t>
                  </w:r>
                  <w:r>
                    <w:rPr>
                      <w:color w:val="00B0F0"/>
                      <w:kern w:val="0"/>
                      <w:sz w:val="20"/>
                      <w:szCs w:val="21"/>
                    </w:rPr>
                    <w:t>.83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color w:val="00B0F0"/>
                      <w:kern w:val="0"/>
                      <w:sz w:val="20"/>
                      <w:szCs w:val="21"/>
                    </w:rPr>
                    <w:t>400</w:t>
                  </w:r>
                </w:p>
              </w:tc>
              <w:tc>
                <w:tcPr>
                  <w:tcW w:w="717" w:type="pct"/>
                  <w:vAlign w:val="center"/>
                </w:tcPr>
                <w:p>
                  <w:pPr>
                    <w:jc w:val="center"/>
                    <w:rPr>
                      <w:color w:val="00B0F0"/>
                      <w:kern w:val="0"/>
                      <w:sz w:val="20"/>
                      <w:szCs w:val="21"/>
                    </w:rPr>
                  </w:pPr>
                  <w:r>
                    <w:rPr>
                      <w:color w:val="00B0F0"/>
                      <w:kern w:val="0"/>
                      <w:sz w:val="20"/>
                      <w:szCs w:val="21"/>
                    </w:rPr>
                    <w:t>5.277801</w:t>
                  </w:r>
                </w:p>
              </w:tc>
              <w:tc>
                <w:tcPr>
                  <w:tcW w:w="717" w:type="pct"/>
                  <w:vAlign w:val="center"/>
                </w:tcPr>
                <w:p>
                  <w:pPr>
                    <w:jc w:val="center"/>
                    <w:rPr>
                      <w:color w:val="00B0F0"/>
                      <w:kern w:val="0"/>
                      <w:sz w:val="20"/>
                      <w:szCs w:val="21"/>
                    </w:rPr>
                  </w:pPr>
                  <w:r>
                    <w:rPr>
                      <w:color w:val="00B0F0"/>
                      <w:kern w:val="0"/>
                      <w:sz w:val="20"/>
                      <w:szCs w:val="21"/>
                    </w:rPr>
                    <w:t>0.59</w:t>
                  </w:r>
                </w:p>
              </w:tc>
              <w:tc>
                <w:tcPr>
                  <w:tcW w:w="716" w:type="pct"/>
                  <w:vAlign w:val="center"/>
                </w:tcPr>
                <w:p>
                  <w:pPr>
                    <w:jc w:val="center"/>
                    <w:rPr>
                      <w:color w:val="00B0F0"/>
                      <w:kern w:val="0"/>
                      <w:sz w:val="20"/>
                      <w:szCs w:val="21"/>
                    </w:rPr>
                  </w:pPr>
                  <w:r>
                    <w:rPr>
                      <w:color w:val="00B0F0"/>
                      <w:kern w:val="0"/>
                      <w:sz w:val="20"/>
                      <w:szCs w:val="21"/>
                    </w:rPr>
                    <w:t>3.313967</w:t>
                  </w:r>
                </w:p>
              </w:tc>
              <w:tc>
                <w:tcPr>
                  <w:tcW w:w="723" w:type="pct"/>
                  <w:vAlign w:val="center"/>
                </w:tcPr>
                <w:p>
                  <w:pPr>
                    <w:jc w:val="center"/>
                    <w:rPr>
                      <w:color w:val="00B0F0"/>
                      <w:kern w:val="0"/>
                      <w:sz w:val="20"/>
                      <w:szCs w:val="21"/>
                    </w:rPr>
                  </w:pPr>
                  <w:r>
                    <w:rPr>
                      <w:color w:val="00B0F0"/>
                      <w:kern w:val="0"/>
                      <w:sz w:val="20"/>
                      <w:szCs w:val="21"/>
                    </w:rPr>
                    <w:t>0.17</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.24545</w:t>
                  </w:r>
                </w:p>
              </w:tc>
              <w:tc>
                <w:tcPr>
                  <w:tcW w:w="714" w:type="pct"/>
                  <w:vAlign w:val="center"/>
                </w:tcPr>
                <w:p>
                  <w:pPr>
                    <w:jc w:val="center"/>
                    <w:rPr>
                      <w:color w:val="00B0F0"/>
                      <w:kern w:val="0"/>
                      <w:sz w:val="20"/>
                      <w:szCs w:val="21"/>
                    </w:rPr>
                  </w:pPr>
                  <w:r>
                    <w:rPr>
                      <w:rFonts w:hint="eastAsia"/>
                      <w:color w:val="00B0F0"/>
                      <w:kern w:val="0"/>
                      <w:sz w:val="20"/>
                      <w:szCs w:val="21"/>
                    </w:rPr>
                    <w:t>2</w:t>
                  </w:r>
                  <w:r>
                    <w:rPr>
                      <w:color w:val="00B0F0"/>
                      <w:kern w:val="0"/>
                      <w:sz w:val="20"/>
                      <w:szCs w:val="21"/>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color w:val="00B0F0"/>
                      <w:kern w:val="0"/>
                      <w:sz w:val="20"/>
                      <w:szCs w:val="21"/>
                    </w:rPr>
                    <w:t>500</w:t>
                  </w:r>
                </w:p>
              </w:tc>
              <w:tc>
                <w:tcPr>
                  <w:tcW w:w="717" w:type="pct"/>
                  <w:vAlign w:val="center"/>
                </w:tcPr>
                <w:p>
                  <w:pPr>
                    <w:jc w:val="center"/>
                    <w:rPr>
                      <w:color w:val="00B0F0"/>
                      <w:kern w:val="0"/>
                      <w:sz w:val="20"/>
                      <w:szCs w:val="21"/>
                    </w:rPr>
                  </w:pPr>
                  <w:r>
                    <w:rPr>
                      <w:color w:val="00B0F0"/>
                      <w:kern w:val="0"/>
                      <w:sz w:val="20"/>
                      <w:szCs w:val="21"/>
                    </w:rPr>
                    <w:t>4.8924</w:t>
                  </w:r>
                </w:p>
              </w:tc>
              <w:tc>
                <w:tcPr>
                  <w:tcW w:w="717" w:type="pct"/>
                  <w:vAlign w:val="center"/>
                </w:tcPr>
                <w:p>
                  <w:pPr>
                    <w:jc w:val="center"/>
                    <w:rPr>
                      <w:color w:val="00B0F0"/>
                      <w:kern w:val="0"/>
                      <w:sz w:val="20"/>
                      <w:szCs w:val="21"/>
                    </w:rPr>
                  </w:pPr>
                  <w:r>
                    <w:rPr>
                      <w:color w:val="00B0F0"/>
                      <w:kern w:val="0"/>
                      <w:sz w:val="20"/>
                      <w:szCs w:val="21"/>
                    </w:rPr>
                    <w:t>0.54</w:t>
                  </w:r>
                </w:p>
              </w:tc>
              <w:tc>
                <w:tcPr>
                  <w:tcW w:w="716" w:type="pct"/>
                  <w:vAlign w:val="center"/>
                </w:tcPr>
                <w:p>
                  <w:pPr>
                    <w:jc w:val="center"/>
                    <w:rPr>
                      <w:color w:val="00B0F0"/>
                      <w:kern w:val="0"/>
                      <w:sz w:val="20"/>
                      <w:szCs w:val="21"/>
                    </w:rPr>
                  </w:pPr>
                  <w:r>
                    <w:rPr>
                      <w:color w:val="00B0F0"/>
                      <w:kern w:val="0"/>
                      <w:sz w:val="20"/>
                      <w:szCs w:val="21"/>
                    </w:rPr>
                    <w:t>3.071972</w:t>
                  </w:r>
                </w:p>
              </w:tc>
              <w:tc>
                <w:tcPr>
                  <w:tcW w:w="723" w:type="pct"/>
                  <w:vAlign w:val="center"/>
                </w:tcPr>
                <w:p>
                  <w:pPr>
                    <w:jc w:val="center"/>
                    <w:rPr>
                      <w:color w:val="00B0F0"/>
                      <w:kern w:val="0"/>
                      <w:sz w:val="20"/>
                      <w:szCs w:val="21"/>
                    </w:rPr>
                  </w:pPr>
                  <w:r>
                    <w:rPr>
                      <w:color w:val="00B0F0"/>
                      <w:kern w:val="0"/>
                      <w:sz w:val="20"/>
                      <w:szCs w:val="21"/>
                    </w:rPr>
                    <w:t>0.15</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.227532</w:t>
                  </w:r>
                </w:p>
              </w:tc>
              <w:tc>
                <w:tcPr>
                  <w:tcW w:w="714" w:type="pct"/>
                  <w:vAlign w:val="center"/>
                </w:tcPr>
                <w:p>
                  <w:pPr>
                    <w:jc w:val="center"/>
                    <w:rPr>
                      <w:color w:val="00B0F0"/>
                      <w:kern w:val="0"/>
                      <w:sz w:val="20"/>
                      <w:szCs w:val="21"/>
                    </w:rPr>
                  </w:pPr>
                  <w:r>
                    <w:rPr>
                      <w:rFonts w:hint="eastAsia"/>
                      <w:color w:val="00B0F0"/>
                      <w:kern w:val="0"/>
                      <w:sz w:val="20"/>
                      <w:szCs w:val="21"/>
                    </w:rPr>
                    <w:t>2</w:t>
                  </w:r>
                  <w:r>
                    <w:rPr>
                      <w:color w:val="00B0F0"/>
                      <w:kern w:val="0"/>
                      <w:sz w:val="20"/>
                      <w:szCs w:val="21"/>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color w:val="00B0F0"/>
                      <w:kern w:val="0"/>
                      <w:sz w:val="20"/>
                      <w:szCs w:val="21"/>
                    </w:rPr>
                    <w:t>600</w:t>
                  </w:r>
                </w:p>
              </w:tc>
              <w:tc>
                <w:tcPr>
                  <w:tcW w:w="717" w:type="pct"/>
                  <w:vAlign w:val="center"/>
                </w:tcPr>
                <w:p>
                  <w:pPr>
                    <w:jc w:val="center"/>
                    <w:rPr>
                      <w:color w:val="00B0F0"/>
                      <w:kern w:val="0"/>
                      <w:sz w:val="20"/>
                      <w:szCs w:val="21"/>
                    </w:rPr>
                  </w:pPr>
                  <w:r>
                    <w:rPr>
                      <w:color w:val="00B0F0"/>
                      <w:kern w:val="0"/>
                      <w:sz w:val="20"/>
                      <w:szCs w:val="21"/>
                    </w:rPr>
                    <w:t>4.6081</w:t>
                  </w:r>
                </w:p>
              </w:tc>
              <w:tc>
                <w:tcPr>
                  <w:tcW w:w="717" w:type="pct"/>
                  <w:vAlign w:val="center"/>
                </w:tcPr>
                <w:p>
                  <w:pPr>
                    <w:jc w:val="center"/>
                    <w:rPr>
                      <w:color w:val="00B0F0"/>
                      <w:kern w:val="0"/>
                      <w:sz w:val="20"/>
                      <w:szCs w:val="21"/>
                    </w:rPr>
                  </w:pPr>
                  <w:r>
                    <w:rPr>
                      <w:color w:val="00B0F0"/>
                      <w:kern w:val="0"/>
                      <w:sz w:val="20"/>
                      <w:szCs w:val="21"/>
                    </w:rPr>
                    <w:t>0.51</w:t>
                  </w:r>
                </w:p>
              </w:tc>
              <w:tc>
                <w:tcPr>
                  <w:tcW w:w="716" w:type="pct"/>
                  <w:vAlign w:val="center"/>
                </w:tcPr>
                <w:p>
                  <w:pPr>
                    <w:jc w:val="center"/>
                    <w:rPr>
                      <w:color w:val="00B0F0"/>
                      <w:kern w:val="0"/>
                      <w:sz w:val="20"/>
                      <w:szCs w:val="21"/>
                    </w:rPr>
                  </w:pPr>
                  <w:r>
                    <w:rPr>
                      <w:color w:val="00B0F0"/>
                      <w:kern w:val="0"/>
                      <w:sz w:val="20"/>
                      <w:szCs w:val="21"/>
                    </w:rPr>
                    <w:t>2.893458</w:t>
                  </w:r>
                </w:p>
              </w:tc>
              <w:tc>
                <w:tcPr>
                  <w:tcW w:w="723" w:type="pct"/>
                  <w:vAlign w:val="center"/>
                </w:tcPr>
                <w:p>
                  <w:pPr>
                    <w:jc w:val="center"/>
                    <w:rPr>
                      <w:color w:val="00B0F0"/>
                      <w:kern w:val="0"/>
                      <w:sz w:val="20"/>
                      <w:szCs w:val="21"/>
                    </w:rPr>
                  </w:pPr>
                  <w:r>
                    <w:rPr>
                      <w:color w:val="00B0F0"/>
                      <w:kern w:val="0"/>
                      <w:sz w:val="20"/>
                      <w:szCs w:val="21"/>
                    </w:rPr>
                    <w:t>0.14</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.214309</w:t>
                  </w:r>
                </w:p>
              </w:tc>
              <w:tc>
                <w:tcPr>
                  <w:tcW w:w="714" w:type="pct"/>
                  <w:vAlign w:val="center"/>
                </w:tcPr>
                <w:p>
                  <w:pPr>
                    <w:jc w:val="center"/>
                    <w:rPr>
                      <w:color w:val="00B0F0"/>
                      <w:kern w:val="0"/>
                      <w:sz w:val="20"/>
                      <w:szCs w:val="21"/>
                    </w:rPr>
                  </w:pPr>
                  <w:r>
                    <w:rPr>
                      <w:rFonts w:hint="eastAsia"/>
                      <w:color w:val="00B0F0"/>
                      <w:kern w:val="0"/>
                      <w:sz w:val="20"/>
                      <w:szCs w:val="21"/>
                    </w:rPr>
                    <w:t>2</w:t>
                  </w:r>
                  <w:r>
                    <w:rPr>
                      <w:color w:val="00B0F0"/>
                      <w:kern w:val="0"/>
                      <w:sz w:val="20"/>
                      <w:szCs w:val="21"/>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color w:val="00B0F0"/>
                      <w:kern w:val="0"/>
                      <w:sz w:val="20"/>
                      <w:szCs w:val="21"/>
                    </w:rPr>
                    <w:t>700</w:t>
                  </w:r>
                </w:p>
              </w:tc>
              <w:tc>
                <w:tcPr>
                  <w:tcW w:w="717" w:type="pct"/>
                  <w:vAlign w:val="center"/>
                </w:tcPr>
                <w:p>
                  <w:pPr>
                    <w:jc w:val="center"/>
                    <w:rPr>
                      <w:color w:val="00B0F0"/>
                      <w:kern w:val="0"/>
                      <w:sz w:val="20"/>
                      <w:szCs w:val="21"/>
                    </w:rPr>
                  </w:pPr>
                  <w:r>
                    <w:rPr>
                      <w:color w:val="00B0F0"/>
                      <w:kern w:val="0"/>
                      <w:sz w:val="20"/>
                      <w:szCs w:val="21"/>
                    </w:rPr>
                    <w:t>4.3806</w:t>
                  </w:r>
                </w:p>
              </w:tc>
              <w:tc>
                <w:tcPr>
                  <w:tcW w:w="717" w:type="pct"/>
                  <w:vAlign w:val="center"/>
                </w:tcPr>
                <w:p>
                  <w:pPr>
                    <w:jc w:val="center"/>
                    <w:rPr>
                      <w:color w:val="00B0F0"/>
                      <w:kern w:val="0"/>
                      <w:sz w:val="20"/>
                      <w:szCs w:val="21"/>
                    </w:rPr>
                  </w:pPr>
                  <w:r>
                    <w:rPr>
                      <w:color w:val="00B0F0"/>
                      <w:kern w:val="0"/>
                      <w:sz w:val="20"/>
                      <w:szCs w:val="21"/>
                    </w:rPr>
                    <w:t>0.49</w:t>
                  </w:r>
                </w:p>
              </w:tc>
              <w:tc>
                <w:tcPr>
                  <w:tcW w:w="716" w:type="pct"/>
                  <w:vAlign w:val="center"/>
                </w:tcPr>
                <w:p>
                  <w:pPr>
                    <w:jc w:val="center"/>
                    <w:rPr>
                      <w:color w:val="00B0F0"/>
                      <w:kern w:val="0"/>
                      <w:sz w:val="20"/>
                      <w:szCs w:val="21"/>
                    </w:rPr>
                  </w:pPr>
                  <w:r>
                    <w:rPr>
                      <w:color w:val="00B0F0"/>
                      <w:kern w:val="0"/>
                      <w:sz w:val="20"/>
                      <w:szCs w:val="21"/>
                    </w:rPr>
                    <w:t>2.750609</w:t>
                  </w:r>
                </w:p>
              </w:tc>
              <w:tc>
                <w:tcPr>
                  <w:tcW w:w="723" w:type="pct"/>
                  <w:vAlign w:val="center"/>
                </w:tcPr>
                <w:p>
                  <w:pPr>
                    <w:jc w:val="center"/>
                    <w:rPr>
                      <w:color w:val="00B0F0"/>
                      <w:kern w:val="0"/>
                      <w:sz w:val="20"/>
                      <w:szCs w:val="21"/>
                    </w:rPr>
                  </w:pPr>
                  <w:r>
                    <w:rPr>
                      <w:color w:val="00B0F0"/>
                      <w:kern w:val="0"/>
                      <w:sz w:val="20"/>
                      <w:szCs w:val="21"/>
                    </w:rPr>
                    <w:t>0.14</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.203727</w:t>
                  </w:r>
                </w:p>
              </w:tc>
              <w:tc>
                <w:tcPr>
                  <w:tcW w:w="714" w:type="pct"/>
                  <w:vAlign w:val="center"/>
                </w:tcPr>
                <w:p>
                  <w:pPr>
                    <w:jc w:val="center"/>
                    <w:rPr>
                      <w:color w:val="00B0F0"/>
                      <w:kern w:val="0"/>
                      <w:sz w:val="20"/>
                      <w:szCs w:val="21"/>
                    </w:rPr>
                  </w:pPr>
                  <w:r>
                    <w:rPr>
                      <w:rFonts w:hint="eastAsia"/>
                      <w:color w:val="00B0F0"/>
                      <w:kern w:val="0"/>
                      <w:sz w:val="20"/>
                      <w:szCs w:val="21"/>
                    </w:rPr>
                    <w:t>2</w:t>
                  </w:r>
                  <w:r>
                    <w:rPr>
                      <w:color w:val="00B0F0"/>
                      <w:kern w:val="0"/>
                      <w:sz w:val="20"/>
                      <w:szCs w:val="21"/>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color w:val="00B0F0"/>
                      <w:kern w:val="0"/>
                      <w:sz w:val="20"/>
                      <w:szCs w:val="21"/>
                    </w:rPr>
                    <w:t>800</w:t>
                  </w:r>
                </w:p>
              </w:tc>
              <w:tc>
                <w:tcPr>
                  <w:tcW w:w="717" w:type="pct"/>
                  <w:vAlign w:val="center"/>
                </w:tcPr>
                <w:p>
                  <w:pPr>
                    <w:jc w:val="center"/>
                    <w:rPr>
                      <w:color w:val="00B0F0"/>
                      <w:kern w:val="0"/>
                      <w:sz w:val="20"/>
                      <w:szCs w:val="21"/>
                    </w:rPr>
                  </w:pPr>
                  <w:r>
                    <w:rPr>
                      <w:color w:val="00B0F0"/>
                      <w:kern w:val="0"/>
                      <w:sz w:val="20"/>
                      <w:szCs w:val="21"/>
                    </w:rPr>
                    <w:t>4.1926</w:t>
                  </w:r>
                </w:p>
              </w:tc>
              <w:tc>
                <w:tcPr>
                  <w:tcW w:w="717" w:type="pct"/>
                  <w:vAlign w:val="center"/>
                </w:tcPr>
                <w:p>
                  <w:pPr>
                    <w:jc w:val="center"/>
                    <w:rPr>
                      <w:color w:val="00B0F0"/>
                      <w:kern w:val="0"/>
                      <w:sz w:val="20"/>
                      <w:szCs w:val="21"/>
                    </w:rPr>
                  </w:pPr>
                  <w:r>
                    <w:rPr>
                      <w:color w:val="00B0F0"/>
                      <w:kern w:val="0"/>
                      <w:sz w:val="20"/>
                      <w:szCs w:val="21"/>
                    </w:rPr>
                    <w:t>0.47</w:t>
                  </w:r>
                </w:p>
              </w:tc>
              <w:tc>
                <w:tcPr>
                  <w:tcW w:w="716" w:type="pct"/>
                  <w:vAlign w:val="center"/>
                </w:tcPr>
                <w:p>
                  <w:pPr>
                    <w:jc w:val="center"/>
                    <w:rPr>
                      <w:color w:val="00B0F0"/>
                      <w:kern w:val="0"/>
                      <w:sz w:val="20"/>
                      <w:szCs w:val="21"/>
                    </w:rPr>
                  </w:pPr>
                  <w:r>
                    <w:rPr>
                      <w:color w:val="00B0F0"/>
                      <w:kern w:val="0"/>
                      <w:sz w:val="20"/>
                      <w:szCs w:val="21"/>
                    </w:rPr>
                    <w:t>2.632563</w:t>
                  </w:r>
                </w:p>
              </w:tc>
              <w:tc>
                <w:tcPr>
                  <w:tcW w:w="723" w:type="pct"/>
                  <w:vAlign w:val="center"/>
                </w:tcPr>
                <w:p>
                  <w:pPr>
                    <w:jc w:val="center"/>
                    <w:rPr>
                      <w:color w:val="00B0F0"/>
                      <w:kern w:val="0"/>
                      <w:sz w:val="20"/>
                      <w:szCs w:val="21"/>
                    </w:rPr>
                  </w:pPr>
                  <w:r>
                    <w:rPr>
                      <w:color w:val="00B0F0"/>
                      <w:kern w:val="0"/>
                      <w:sz w:val="20"/>
                      <w:szCs w:val="21"/>
                    </w:rPr>
                    <w:t>0.13</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.194986</w:t>
                  </w:r>
                </w:p>
              </w:tc>
              <w:tc>
                <w:tcPr>
                  <w:tcW w:w="714" w:type="pct"/>
                  <w:vAlign w:val="center"/>
                </w:tcPr>
                <w:p>
                  <w:pPr>
                    <w:jc w:val="center"/>
                    <w:rPr>
                      <w:color w:val="00B0F0"/>
                      <w:kern w:val="0"/>
                      <w:sz w:val="20"/>
                      <w:szCs w:val="21"/>
                    </w:rPr>
                  </w:pPr>
                  <w:r>
                    <w:rPr>
                      <w:rFonts w:hint="eastAsia"/>
                      <w:color w:val="00B0F0"/>
                      <w:kern w:val="0"/>
                      <w:sz w:val="20"/>
                      <w:szCs w:val="21"/>
                    </w:rPr>
                    <w:t>1</w:t>
                  </w:r>
                  <w:r>
                    <w:rPr>
                      <w:color w:val="00B0F0"/>
                      <w:kern w:val="0"/>
                      <w:sz w:val="20"/>
                      <w:szCs w:val="21"/>
                    </w:rPr>
                    <w:t>.95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color w:val="00B0F0"/>
                      <w:kern w:val="0"/>
                      <w:sz w:val="20"/>
                      <w:szCs w:val="21"/>
                    </w:rPr>
                    <w:t>900</w:t>
                  </w:r>
                </w:p>
              </w:tc>
              <w:tc>
                <w:tcPr>
                  <w:tcW w:w="717" w:type="pct"/>
                  <w:vAlign w:val="center"/>
                </w:tcPr>
                <w:p>
                  <w:pPr>
                    <w:jc w:val="center"/>
                    <w:rPr>
                      <w:color w:val="00B0F0"/>
                      <w:kern w:val="0"/>
                      <w:sz w:val="20"/>
                      <w:szCs w:val="21"/>
                    </w:rPr>
                  </w:pPr>
                  <w:r>
                    <w:rPr>
                      <w:color w:val="00B0F0"/>
                      <w:kern w:val="0"/>
                      <w:sz w:val="20"/>
                      <w:szCs w:val="21"/>
                    </w:rPr>
                    <w:t>4.032001</w:t>
                  </w:r>
                </w:p>
              </w:tc>
              <w:tc>
                <w:tcPr>
                  <w:tcW w:w="717" w:type="pct"/>
                  <w:vAlign w:val="center"/>
                </w:tcPr>
                <w:p>
                  <w:pPr>
                    <w:jc w:val="center"/>
                    <w:rPr>
                      <w:color w:val="00B0F0"/>
                      <w:kern w:val="0"/>
                      <w:sz w:val="20"/>
                      <w:szCs w:val="21"/>
                    </w:rPr>
                  </w:pPr>
                  <w:r>
                    <w:rPr>
                      <w:color w:val="00B0F0"/>
                      <w:kern w:val="0"/>
                      <w:sz w:val="20"/>
                      <w:szCs w:val="21"/>
                    </w:rPr>
                    <w:t>0.45</w:t>
                  </w:r>
                </w:p>
              </w:tc>
              <w:tc>
                <w:tcPr>
                  <w:tcW w:w="716" w:type="pct"/>
                  <w:vAlign w:val="center"/>
                </w:tcPr>
                <w:p>
                  <w:pPr>
                    <w:jc w:val="center"/>
                    <w:rPr>
                      <w:color w:val="00B0F0"/>
                      <w:kern w:val="0"/>
                      <w:sz w:val="20"/>
                      <w:szCs w:val="21"/>
                    </w:rPr>
                  </w:pPr>
                  <w:r>
                    <w:rPr>
                      <w:color w:val="00B0F0"/>
                      <w:kern w:val="0"/>
                      <w:sz w:val="20"/>
                      <w:szCs w:val="21"/>
                    </w:rPr>
                    <w:t>2.531721</w:t>
                  </w:r>
                </w:p>
              </w:tc>
              <w:tc>
                <w:tcPr>
                  <w:tcW w:w="723" w:type="pct"/>
                  <w:vAlign w:val="center"/>
                </w:tcPr>
                <w:p>
                  <w:pPr>
                    <w:jc w:val="center"/>
                    <w:rPr>
                      <w:color w:val="00B0F0"/>
                      <w:kern w:val="0"/>
                      <w:sz w:val="20"/>
                      <w:szCs w:val="21"/>
                    </w:rPr>
                  </w:pPr>
                  <w:r>
                    <w:rPr>
                      <w:color w:val="00B0F0"/>
                      <w:kern w:val="0"/>
                      <w:sz w:val="20"/>
                      <w:szCs w:val="21"/>
                    </w:rPr>
                    <w:t>0.13</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.187518</w:t>
                  </w:r>
                </w:p>
              </w:tc>
              <w:tc>
                <w:tcPr>
                  <w:tcW w:w="714" w:type="pct"/>
                  <w:vAlign w:val="center"/>
                </w:tcPr>
                <w:p>
                  <w:pPr>
                    <w:jc w:val="center"/>
                    <w:rPr>
                      <w:color w:val="00B0F0"/>
                      <w:kern w:val="0"/>
                      <w:sz w:val="20"/>
                      <w:szCs w:val="21"/>
                    </w:rPr>
                  </w:pPr>
                  <w:r>
                    <w:rPr>
                      <w:rFonts w:hint="eastAsia"/>
                      <w:color w:val="00B0F0"/>
                      <w:kern w:val="0"/>
                      <w:sz w:val="20"/>
                      <w:szCs w:val="21"/>
                    </w:rPr>
                    <w:t>1</w:t>
                  </w:r>
                  <w:r>
                    <w:rPr>
                      <w:color w:val="00B0F0"/>
                      <w:kern w:val="0"/>
                      <w:sz w:val="20"/>
                      <w:szCs w:val="21"/>
                    </w:rPr>
                    <w:t>.89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color w:val="00B0F0"/>
                      <w:kern w:val="0"/>
                      <w:sz w:val="20"/>
                      <w:szCs w:val="21"/>
                    </w:rPr>
                    <w:t>1000</w:t>
                  </w:r>
                </w:p>
              </w:tc>
              <w:tc>
                <w:tcPr>
                  <w:tcW w:w="717" w:type="pct"/>
                  <w:vAlign w:val="center"/>
                </w:tcPr>
                <w:p>
                  <w:pPr>
                    <w:jc w:val="center"/>
                    <w:rPr>
                      <w:color w:val="00B0F0"/>
                      <w:kern w:val="0"/>
                      <w:sz w:val="20"/>
                      <w:szCs w:val="21"/>
                    </w:rPr>
                  </w:pPr>
                  <w:r>
                    <w:rPr>
                      <w:color w:val="00B0F0"/>
                      <w:kern w:val="0"/>
                      <w:sz w:val="20"/>
                      <w:szCs w:val="21"/>
                    </w:rPr>
                    <w:t>3.8889</w:t>
                  </w:r>
                </w:p>
              </w:tc>
              <w:tc>
                <w:tcPr>
                  <w:tcW w:w="717" w:type="pct"/>
                  <w:vAlign w:val="center"/>
                </w:tcPr>
                <w:p>
                  <w:pPr>
                    <w:jc w:val="center"/>
                    <w:rPr>
                      <w:color w:val="00B0F0"/>
                      <w:kern w:val="0"/>
                      <w:sz w:val="20"/>
                      <w:szCs w:val="21"/>
                    </w:rPr>
                  </w:pPr>
                  <w:r>
                    <w:rPr>
                      <w:color w:val="00B0F0"/>
                      <w:kern w:val="0"/>
                      <w:sz w:val="20"/>
                      <w:szCs w:val="21"/>
                    </w:rPr>
                    <w:t>0.43</w:t>
                  </w:r>
                </w:p>
              </w:tc>
              <w:tc>
                <w:tcPr>
                  <w:tcW w:w="716" w:type="pct"/>
                  <w:vAlign w:val="center"/>
                </w:tcPr>
                <w:p>
                  <w:pPr>
                    <w:jc w:val="center"/>
                    <w:rPr>
                      <w:color w:val="00B0F0"/>
                      <w:kern w:val="0"/>
                      <w:sz w:val="20"/>
                      <w:szCs w:val="21"/>
                    </w:rPr>
                  </w:pPr>
                  <w:r>
                    <w:rPr>
                      <w:color w:val="00B0F0"/>
                      <w:kern w:val="0"/>
                      <w:sz w:val="20"/>
                      <w:szCs w:val="21"/>
                    </w:rPr>
                    <w:t>2.441868</w:t>
                  </w:r>
                </w:p>
              </w:tc>
              <w:tc>
                <w:tcPr>
                  <w:tcW w:w="723" w:type="pct"/>
                  <w:vAlign w:val="center"/>
                </w:tcPr>
                <w:p>
                  <w:pPr>
                    <w:jc w:val="center"/>
                    <w:rPr>
                      <w:color w:val="00B0F0"/>
                      <w:kern w:val="0"/>
                      <w:sz w:val="20"/>
                      <w:szCs w:val="21"/>
                    </w:rPr>
                  </w:pPr>
                  <w:r>
                    <w:rPr>
                      <w:color w:val="00B0F0"/>
                      <w:kern w:val="0"/>
                      <w:sz w:val="20"/>
                      <w:szCs w:val="21"/>
                    </w:rPr>
                    <w:t>0.12</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.180859</w:t>
                  </w:r>
                </w:p>
              </w:tc>
              <w:tc>
                <w:tcPr>
                  <w:tcW w:w="714" w:type="pct"/>
                  <w:vAlign w:val="center"/>
                </w:tcPr>
                <w:p>
                  <w:pPr>
                    <w:jc w:val="center"/>
                    <w:rPr>
                      <w:color w:val="00B0F0"/>
                      <w:kern w:val="0"/>
                      <w:sz w:val="20"/>
                      <w:szCs w:val="21"/>
                    </w:rPr>
                  </w:pPr>
                  <w:r>
                    <w:rPr>
                      <w:rFonts w:hint="eastAsia"/>
                      <w:color w:val="00B0F0"/>
                      <w:kern w:val="0"/>
                      <w:sz w:val="20"/>
                      <w:szCs w:val="21"/>
                    </w:rPr>
                    <w:t>1</w:t>
                  </w:r>
                  <w:r>
                    <w:rPr>
                      <w:color w:val="00B0F0"/>
                      <w:kern w:val="0"/>
                      <w:sz w:val="20"/>
                      <w:szCs w:val="21"/>
                    </w:rPr>
                    <w:t>.81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rFonts w:hint="eastAsia"/>
                      <w:color w:val="00B0F0"/>
                      <w:kern w:val="0"/>
                      <w:sz w:val="20"/>
                      <w:szCs w:val="21"/>
                    </w:rPr>
                    <w:t>1</w:t>
                  </w:r>
                  <w:r>
                    <w:rPr>
                      <w:color w:val="00B0F0"/>
                      <w:kern w:val="0"/>
                      <w:sz w:val="20"/>
                      <w:szCs w:val="21"/>
                    </w:rPr>
                    <w:t>500</w:t>
                  </w:r>
                </w:p>
              </w:tc>
              <w:tc>
                <w:tcPr>
                  <w:tcW w:w="717" w:type="pct"/>
                  <w:vAlign w:val="center"/>
                </w:tcPr>
                <w:p>
                  <w:pPr>
                    <w:jc w:val="center"/>
                    <w:rPr>
                      <w:color w:val="00B0F0"/>
                      <w:kern w:val="0"/>
                      <w:sz w:val="20"/>
                      <w:szCs w:val="21"/>
                    </w:rPr>
                  </w:pPr>
                  <w:r>
                    <w:rPr>
                      <w:color w:val="00B0F0"/>
                      <w:kern w:val="0"/>
                      <w:sz w:val="20"/>
                      <w:szCs w:val="21"/>
                    </w:rPr>
                    <w:t>3.3368</w:t>
                  </w:r>
                </w:p>
              </w:tc>
              <w:tc>
                <w:tcPr>
                  <w:tcW w:w="717" w:type="pct"/>
                  <w:vAlign w:val="center"/>
                </w:tcPr>
                <w:p>
                  <w:pPr>
                    <w:jc w:val="center"/>
                    <w:rPr>
                      <w:color w:val="00B0F0"/>
                      <w:kern w:val="0"/>
                      <w:sz w:val="20"/>
                      <w:szCs w:val="21"/>
                    </w:rPr>
                  </w:pPr>
                  <w:r>
                    <w:rPr>
                      <w:color w:val="00B0F0"/>
                      <w:kern w:val="0"/>
                      <w:sz w:val="20"/>
                      <w:szCs w:val="21"/>
                    </w:rPr>
                    <w:t>0.37</w:t>
                  </w:r>
                </w:p>
              </w:tc>
              <w:tc>
                <w:tcPr>
                  <w:tcW w:w="716" w:type="pct"/>
                  <w:vAlign w:val="center"/>
                </w:tcPr>
                <w:p>
                  <w:pPr>
                    <w:jc w:val="center"/>
                    <w:rPr>
                      <w:color w:val="00B0F0"/>
                      <w:kern w:val="0"/>
                      <w:sz w:val="20"/>
                      <w:szCs w:val="21"/>
                    </w:rPr>
                  </w:pPr>
                  <w:r>
                    <w:rPr>
                      <w:color w:val="00B0F0"/>
                      <w:kern w:val="0"/>
                      <w:sz w:val="20"/>
                      <w:szCs w:val="21"/>
                    </w:rPr>
                    <w:t>2.0952</w:t>
                  </w:r>
                </w:p>
              </w:tc>
              <w:tc>
                <w:tcPr>
                  <w:tcW w:w="723" w:type="pct"/>
                  <w:vAlign w:val="center"/>
                </w:tcPr>
                <w:p>
                  <w:pPr>
                    <w:jc w:val="center"/>
                    <w:rPr>
                      <w:color w:val="00B0F0"/>
                      <w:kern w:val="0"/>
                      <w:sz w:val="20"/>
                      <w:szCs w:val="21"/>
                    </w:rPr>
                  </w:pPr>
                  <w:r>
                    <w:rPr>
                      <w:color w:val="00B0F0"/>
                      <w:kern w:val="0"/>
                      <w:sz w:val="20"/>
                      <w:szCs w:val="21"/>
                    </w:rPr>
                    <w:t>0.10</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.156305</w:t>
                  </w:r>
                </w:p>
              </w:tc>
              <w:tc>
                <w:tcPr>
                  <w:tcW w:w="714" w:type="pct"/>
                  <w:vAlign w:val="center"/>
                </w:tcPr>
                <w:p>
                  <w:pPr>
                    <w:jc w:val="center"/>
                    <w:rPr>
                      <w:color w:val="00B0F0"/>
                      <w:kern w:val="0"/>
                      <w:sz w:val="20"/>
                      <w:szCs w:val="21"/>
                    </w:rPr>
                  </w:pPr>
                  <w:r>
                    <w:rPr>
                      <w:rFonts w:hint="eastAsia"/>
                      <w:color w:val="00B0F0"/>
                      <w:kern w:val="0"/>
                      <w:sz w:val="20"/>
                      <w:szCs w:val="21"/>
                    </w:rPr>
                    <w:t>1</w:t>
                  </w:r>
                  <w:r>
                    <w:rPr>
                      <w:color w:val="00B0F0"/>
                      <w:kern w:val="0"/>
                      <w:sz w:val="20"/>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color w:val="00B0F0"/>
                      <w:kern w:val="0"/>
                      <w:sz w:val="20"/>
                      <w:szCs w:val="21"/>
                    </w:rPr>
                    <w:t>2000</w:t>
                  </w:r>
                </w:p>
              </w:tc>
              <w:tc>
                <w:tcPr>
                  <w:tcW w:w="717" w:type="pct"/>
                  <w:vAlign w:val="center"/>
                </w:tcPr>
                <w:p>
                  <w:pPr>
                    <w:jc w:val="center"/>
                    <w:rPr>
                      <w:color w:val="00B0F0"/>
                      <w:kern w:val="0"/>
                      <w:sz w:val="20"/>
                      <w:szCs w:val="21"/>
                    </w:rPr>
                  </w:pPr>
                  <w:r>
                    <w:rPr>
                      <w:color w:val="00B0F0"/>
                      <w:kern w:val="0"/>
                      <w:sz w:val="20"/>
                      <w:szCs w:val="21"/>
                    </w:rPr>
                    <w:t>2.9192</w:t>
                  </w:r>
                </w:p>
              </w:tc>
              <w:tc>
                <w:tcPr>
                  <w:tcW w:w="717" w:type="pct"/>
                  <w:vAlign w:val="center"/>
                </w:tcPr>
                <w:p>
                  <w:pPr>
                    <w:jc w:val="center"/>
                    <w:rPr>
                      <w:color w:val="00B0F0"/>
                      <w:kern w:val="0"/>
                      <w:sz w:val="20"/>
                      <w:szCs w:val="21"/>
                    </w:rPr>
                  </w:pPr>
                  <w:r>
                    <w:rPr>
                      <w:color w:val="00B0F0"/>
                      <w:kern w:val="0"/>
                      <w:sz w:val="20"/>
                      <w:szCs w:val="21"/>
                    </w:rPr>
                    <w:t>0.32</w:t>
                  </w:r>
                </w:p>
              </w:tc>
              <w:tc>
                <w:tcPr>
                  <w:tcW w:w="716" w:type="pct"/>
                  <w:vAlign w:val="center"/>
                </w:tcPr>
                <w:p>
                  <w:pPr>
                    <w:jc w:val="center"/>
                    <w:rPr>
                      <w:color w:val="00B0F0"/>
                      <w:kern w:val="0"/>
                      <w:sz w:val="20"/>
                      <w:szCs w:val="21"/>
                    </w:rPr>
                  </w:pPr>
                  <w:r>
                    <w:rPr>
                      <w:color w:val="00B0F0"/>
                      <w:kern w:val="0"/>
                      <w:sz w:val="20"/>
                      <w:szCs w:val="21"/>
                    </w:rPr>
                    <w:t>1.832986</w:t>
                  </w:r>
                </w:p>
              </w:tc>
              <w:tc>
                <w:tcPr>
                  <w:tcW w:w="723" w:type="pct"/>
                  <w:vAlign w:val="center"/>
                </w:tcPr>
                <w:p>
                  <w:pPr>
                    <w:jc w:val="center"/>
                    <w:rPr>
                      <w:color w:val="00B0F0"/>
                      <w:kern w:val="0"/>
                      <w:sz w:val="20"/>
                      <w:szCs w:val="21"/>
                    </w:rPr>
                  </w:pPr>
                  <w:r>
                    <w:rPr>
                      <w:color w:val="00B0F0"/>
                      <w:kern w:val="0"/>
                      <w:sz w:val="20"/>
                      <w:szCs w:val="21"/>
                    </w:rPr>
                    <w:t>0.09</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.135759</w:t>
                  </w:r>
                </w:p>
              </w:tc>
              <w:tc>
                <w:tcPr>
                  <w:tcW w:w="714" w:type="pct"/>
                  <w:vAlign w:val="center"/>
                </w:tcPr>
                <w:p>
                  <w:pPr>
                    <w:jc w:val="center"/>
                    <w:rPr>
                      <w:color w:val="00B0F0"/>
                      <w:kern w:val="0"/>
                      <w:sz w:val="20"/>
                      <w:szCs w:val="21"/>
                    </w:rPr>
                  </w:pPr>
                  <w:r>
                    <w:rPr>
                      <w:rFonts w:hint="eastAsia"/>
                      <w:color w:val="00B0F0"/>
                      <w:kern w:val="0"/>
                      <w:sz w:val="20"/>
                      <w:szCs w:val="21"/>
                    </w:rPr>
                    <w:t>1</w:t>
                  </w:r>
                  <w:r>
                    <w:rPr>
                      <w:color w:val="00B0F0"/>
                      <w:kern w:val="0"/>
                      <w:sz w:val="20"/>
                      <w:szCs w:val="21"/>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color w:val="00B0F0"/>
                      <w:kern w:val="0"/>
                      <w:sz w:val="20"/>
                      <w:szCs w:val="21"/>
                    </w:rPr>
                  </w:pPr>
                  <w:r>
                    <w:rPr>
                      <w:color w:val="00B0F0"/>
                      <w:kern w:val="0"/>
                      <w:sz w:val="20"/>
                      <w:szCs w:val="21"/>
                    </w:rPr>
                    <w:t>2500</w:t>
                  </w:r>
                </w:p>
              </w:tc>
              <w:tc>
                <w:tcPr>
                  <w:tcW w:w="717" w:type="pct"/>
                  <w:vAlign w:val="center"/>
                </w:tcPr>
                <w:p>
                  <w:pPr>
                    <w:jc w:val="center"/>
                    <w:rPr>
                      <w:color w:val="00B0F0"/>
                      <w:kern w:val="0"/>
                      <w:sz w:val="20"/>
                      <w:szCs w:val="21"/>
                    </w:rPr>
                  </w:pPr>
                  <w:r>
                    <w:rPr>
                      <w:color w:val="00B0F0"/>
                      <w:kern w:val="0"/>
                      <w:sz w:val="20"/>
                      <w:szCs w:val="21"/>
                    </w:rPr>
                    <w:t>2.591</w:t>
                  </w:r>
                </w:p>
              </w:tc>
              <w:tc>
                <w:tcPr>
                  <w:tcW w:w="717" w:type="pct"/>
                  <w:vAlign w:val="center"/>
                </w:tcPr>
                <w:p>
                  <w:pPr>
                    <w:jc w:val="center"/>
                    <w:rPr>
                      <w:color w:val="00B0F0"/>
                      <w:kern w:val="0"/>
                      <w:sz w:val="20"/>
                      <w:szCs w:val="21"/>
                    </w:rPr>
                  </w:pPr>
                  <w:r>
                    <w:rPr>
                      <w:color w:val="00B0F0"/>
                      <w:kern w:val="0"/>
                      <w:sz w:val="20"/>
                      <w:szCs w:val="21"/>
                    </w:rPr>
                    <w:t>0.29</w:t>
                  </w:r>
                </w:p>
              </w:tc>
              <w:tc>
                <w:tcPr>
                  <w:tcW w:w="716" w:type="pct"/>
                  <w:vAlign w:val="center"/>
                </w:tcPr>
                <w:p>
                  <w:pPr>
                    <w:jc w:val="center"/>
                    <w:rPr>
                      <w:color w:val="00B0F0"/>
                      <w:kern w:val="0"/>
                      <w:sz w:val="20"/>
                      <w:szCs w:val="21"/>
                    </w:rPr>
                  </w:pPr>
                  <w:r>
                    <w:rPr>
                      <w:color w:val="00B0F0"/>
                      <w:kern w:val="0"/>
                      <w:sz w:val="20"/>
                      <w:szCs w:val="21"/>
                    </w:rPr>
                    <w:t>1.626907</w:t>
                  </w:r>
                </w:p>
              </w:tc>
              <w:tc>
                <w:tcPr>
                  <w:tcW w:w="723"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.08</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.1205</w:t>
                  </w:r>
                </w:p>
              </w:tc>
              <w:tc>
                <w:tcPr>
                  <w:tcW w:w="714" w:type="pct"/>
                  <w:vAlign w:val="center"/>
                </w:tcPr>
                <w:p>
                  <w:pPr>
                    <w:jc w:val="center"/>
                    <w:rPr>
                      <w:color w:val="00B0F0"/>
                      <w:kern w:val="0"/>
                      <w:sz w:val="20"/>
                      <w:szCs w:val="21"/>
                    </w:rPr>
                  </w:pPr>
                  <w:r>
                    <w:rPr>
                      <w:rFonts w:hint="eastAsia"/>
                      <w:color w:val="00B0F0"/>
                      <w:kern w:val="0"/>
                      <w:sz w:val="20"/>
                      <w:szCs w:val="21"/>
                    </w:rPr>
                    <w:t>1</w:t>
                  </w:r>
                  <w:r>
                    <w:rPr>
                      <w:color w:val="00B0F0"/>
                      <w:kern w:val="0"/>
                      <w:sz w:val="20"/>
                      <w:szCs w:val="21"/>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rFonts w:eastAsia="新宋体"/>
                      <w:color w:val="00B0F0"/>
                      <w:kern w:val="0"/>
                      <w:sz w:val="20"/>
                      <w:szCs w:val="21"/>
                    </w:rPr>
                  </w:pPr>
                  <w:r>
                    <w:rPr>
                      <w:rFonts w:eastAsia="新宋体"/>
                      <w:color w:val="00B0F0"/>
                      <w:kern w:val="0"/>
                      <w:sz w:val="20"/>
                      <w:szCs w:val="21"/>
                    </w:rPr>
                    <w:t>下风向最大浓度</w:t>
                  </w:r>
                </w:p>
              </w:tc>
              <w:tc>
                <w:tcPr>
                  <w:tcW w:w="717" w:type="pct"/>
                  <w:vAlign w:val="center"/>
                </w:tcPr>
                <w:p>
                  <w:pPr>
                    <w:jc w:val="center"/>
                    <w:rPr>
                      <w:color w:val="00B0F0"/>
                      <w:kern w:val="0"/>
                      <w:sz w:val="20"/>
                      <w:szCs w:val="21"/>
                    </w:rPr>
                  </w:pPr>
                  <w:r>
                    <w:rPr>
                      <w:color w:val="00B0F0"/>
                      <w:kern w:val="0"/>
                      <w:sz w:val="20"/>
                      <w:szCs w:val="21"/>
                    </w:rPr>
                    <w:t>18.198</w:t>
                  </w:r>
                </w:p>
              </w:tc>
              <w:tc>
                <w:tcPr>
                  <w:tcW w:w="717" w:type="pct"/>
                  <w:vAlign w:val="center"/>
                </w:tcPr>
                <w:p>
                  <w:pPr>
                    <w:jc w:val="center"/>
                    <w:rPr>
                      <w:color w:val="00B0F0"/>
                      <w:kern w:val="0"/>
                      <w:sz w:val="20"/>
                      <w:szCs w:val="21"/>
                    </w:rPr>
                  </w:pPr>
                  <w:r>
                    <w:rPr>
                      <w:color w:val="00B0F0"/>
                      <w:kern w:val="0"/>
                      <w:sz w:val="20"/>
                      <w:szCs w:val="21"/>
                    </w:rPr>
                    <w:t>2.02</w:t>
                  </w:r>
                </w:p>
              </w:tc>
              <w:tc>
                <w:tcPr>
                  <w:tcW w:w="716" w:type="pct"/>
                  <w:vAlign w:val="center"/>
                </w:tcPr>
                <w:p>
                  <w:pPr>
                    <w:jc w:val="center"/>
                    <w:rPr>
                      <w:color w:val="00B0F0"/>
                      <w:kern w:val="0"/>
                      <w:sz w:val="20"/>
                      <w:szCs w:val="21"/>
                    </w:rPr>
                  </w:pPr>
                  <w:r>
                    <w:rPr>
                      <w:color w:val="00B0F0"/>
                      <w:kern w:val="0"/>
                      <w:sz w:val="20"/>
                      <w:szCs w:val="21"/>
                    </w:rPr>
                    <w:t>11.42665</w:t>
                  </w:r>
                </w:p>
              </w:tc>
              <w:tc>
                <w:tcPr>
                  <w:tcW w:w="723" w:type="pct"/>
                  <w:vAlign w:val="center"/>
                </w:tcPr>
                <w:p>
                  <w:pPr>
                    <w:jc w:val="center"/>
                    <w:rPr>
                      <w:color w:val="00B0F0"/>
                      <w:kern w:val="0"/>
                      <w:sz w:val="20"/>
                      <w:szCs w:val="21"/>
                    </w:rPr>
                  </w:pPr>
                  <w:r>
                    <w:rPr>
                      <w:color w:val="00B0F0"/>
                      <w:kern w:val="0"/>
                      <w:sz w:val="20"/>
                      <w:szCs w:val="21"/>
                    </w:rPr>
                    <w:t>0.57</w:t>
                  </w:r>
                </w:p>
              </w:tc>
              <w:tc>
                <w:tcPr>
                  <w:tcW w:w="718" w:type="pct"/>
                  <w:vAlign w:val="center"/>
                </w:tcPr>
                <w:p>
                  <w:pPr>
                    <w:jc w:val="center"/>
                    <w:rPr>
                      <w:color w:val="00B0F0"/>
                      <w:kern w:val="0"/>
                      <w:sz w:val="20"/>
                      <w:szCs w:val="21"/>
                    </w:rPr>
                  </w:pPr>
                  <w:r>
                    <w:rPr>
                      <w:rFonts w:hint="eastAsia"/>
                      <w:color w:val="00B0F0"/>
                      <w:kern w:val="0"/>
                      <w:sz w:val="20"/>
                      <w:szCs w:val="21"/>
                    </w:rPr>
                    <w:t>0</w:t>
                  </w:r>
                  <w:r>
                    <w:rPr>
                      <w:color w:val="00B0F0"/>
                      <w:kern w:val="0"/>
                      <w:sz w:val="20"/>
                      <w:szCs w:val="21"/>
                    </w:rPr>
                    <w:t>.846318</w:t>
                  </w:r>
                </w:p>
              </w:tc>
              <w:tc>
                <w:tcPr>
                  <w:tcW w:w="714" w:type="pct"/>
                  <w:vAlign w:val="center"/>
                </w:tcPr>
                <w:p>
                  <w:pPr>
                    <w:jc w:val="center"/>
                    <w:rPr>
                      <w:color w:val="00B0F0"/>
                      <w:kern w:val="0"/>
                      <w:sz w:val="20"/>
                      <w:szCs w:val="21"/>
                    </w:rPr>
                  </w:pPr>
                  <w:r>
                    <w:rPr>
                      <w:rFonts w:hint="eastAsia"/>
                      <w:color w:val="00B0F0"/>
                      <w:kern w:val="0"/>
                      <w:sz w:val="20"/>
                      <w:szCs w:val="21"/>
                    </w:rPr>
                    <w:t>8</w:t>
                  </w:r>
                  <w:r>
                    <w:rPr>
                      <w:color w:val="00B0F0"/>
                      <w:kern w:val="0"/>
                      <w:sz w:val="20"/>
                      <w:szCs w:val="21"/>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pct"/>
                  <w:vAlign w:val="center"/>
                </w:tcPr>
                <w:p>
                  <w:pPr>
                    <w:jc w:val="center"/>
                    <w:rPr>
                      <w:rFonts w:eastAsia="新宋体"/>
                      <w:color w:val="00B0F0"/>
                      <w:kern w:val="0"/>
                      <w:sz w:val="20"/>
                      <w:szCs w:val="21"/>
                    </w:rPr>
                  </w:pPr>
                  <w:r>
                    <w:rPr>
                      <w:rFonts w:eastAsia="新宋体"/>
                      <w:color w:val="00B0F0"/>
                      <w:kern w:val="0"/>
                      <w:sz w:val="20"/>
                      <w:szCs w:val="21"/>
                    </w:rPr>
                    <w:t>下风向最大浓度出现距离</w:t>
                  </w:r>
                </w:p>
              </w:tc>
              <w:tc>
                <w:tcPr>
                  <w:tcW w:w="4305" w:type="pct"/>
                  <w:gridSpan w:val="6"/>
                  <w:vAlign w:val="center"/>
                </w:tcPr>
                <w:p>
                  <w:pPr>
                    <w:jc w:val="center"/>
                    <w:rPr>
                      <w:color w:val="00B0F0"/>
                      <w:kern w:val="0"/>
                      <w:sz w:val="20"/>
                      <w:szCs w:val="21"/>
                    </w:rPr>
                  </w:pPr>
                  <w:r>
                    <w:rPr>
                      <w:color w:val="00B0F0"/>
                      <w:kern w:val="0"/>
                      <w:sz w:val="20"/>
                      <w:szCs w:val="21"/>
                    </w:rPr>
                    <w:t>75</w:t>
                  </w:r>
                </w:p>
              </w:tc>
            </w:tr>
          </w:tbl>
          <w:p>
            <w:pPr>
              <w:spacing w:before="160" w:line="360" w:lineRule="auto"/>
              <w:ind w:firstLine="480" w:firstLineChars="200"/>
              <w:rPr>
                <w:color w:val="000000"/>
                <w:kern w:val="0"/>
                <w:sz w:val="24"/>
              </w:rPr>
            </w:pPr>
            <w:r>
              <w:rPr>
                <w:rFonts w:hint="eastAsia"/>
                <w:color w:val="000000"/>
                <w:kern w:val="0"/>
                <w:sz w:val="24"/>
                <w:szCs w:val="22"/>
              </w:rPr>
              <w:t>由表</w:t>
            </w:r>
            <w:r>
              <w:rPr>
                <w:color w:val="000000"/>
                <w:kern w:val="0"/>
                <w:sz w:val="24"/>
                <w:szCs w:val="22"/>
              </w:rPr>
              <w:t>7-8</w:t>
            </w:r>
            <w:r>
              <w:rPr>
                <w:rFonts w:hint="eastAsia"/>
                <w:color w:val="000000"/>
                <w:kern w:val="0"/>
                <w:sz w:val="24"/>
                <w:szCs w:val="22"/>
              </w:rPr>
              <w:t>、表</w:t>
            </w:r>
            <w:r>
              <w:rPr>
                <w:color w:val="000000"/>
                <w:kern w:val="0"/>
                <w:sz w:val="24"/>
                <w:szCs w:val="22"/>
              </w:rPr>
              <w:t>7-9</w:t>
            </w:r>
            <w:r>
              <w:rPr>
                <w:rFonts w:hint="eastAsia"/>
                <w:color w:val="000000"/>
                <w:kern w:val="0"/>
                <w:sz w:val="24"/>
                <w:szCs w:val="22"/>
              </w:rPr>
              <w:t>和表</w:t>
            </w:r>
            <w:r>
              <w:rPr>
                <w:color w:val="000000"/>
                <w:kern w:val="0"/>
                <w:sz w:val="24"/>
                <w:szCs w:val="22"/>
              </w:rPr>
              <w:t>7</w:t>
            </w:r>
            <w:r>
              <w:rPr>
                <w:rFonts w:hint="eastAsia"/>
                <w:color w:val="000000"/>
                <w:kern w:val="0"/>
                <w:sz w:val="24"/>
                <w:szCs w:val="22"/>
              </w:rPr>
              <w:t>-</w:t>
            </w:r>
            <w:r>
              <w:rPr>
                <w:color w:val="000000"/>
                <w:kern w:val="0"/>
                <w:sz w:val="24"/>
                <w:szCs w:val="22"/>
              </w:rPr>
              <w:t>10</w:t>
            </w:r>
            <w:r>
              <w:rPr>
                <w:rFonts w:hint="eastAsia"/>
                <w:color w:val="000000"/>
                <w:kern w:val="0"/>
                <w:sz w:val="24"/>
                <w:szCs w:val="22"/>
              </w:rPr>
              <w:t>可知，排气筒</w:t>
            </w:r>
            <w:r>
              <w:rPr>
                <w:color w:val="000000"/>
                <w:kern w:val="0"/>
                <w:sz w:val="24"/>
                <w:szCs w:val="22"/>
              </w:rPr>
              <w:t>P1</w:t>
            </w:r>
            <w:r>
              <w:rPr>
                <w:rFonts w:hint="eastAsia"/>
                <w:color w:val="000000"/>
                <w:kern w:val="0"/>
                <w:sz w:val="24"/>
                <w:szCs w:val="22"/>
              </w:rPr>
              <w:t>有组织排放苯乙烯和非甲烷总烃最大落地浓度分别为</w:t>
            </w:r>
            <w:r>
              <w:rPr>
                <w:color w:val="000000"/>
                <w:kern w:val="0"/>
                <w:sz w:val="24"/>
                <w:szCs w:val="22"/>
              </w:rPr>
              <w:t>0.356</w:t>
            </w:r>
            <w:r>
              <w:rPr>
                <w:rFonts w:hint="eastAsia"/>
                <w:color w:val="000000"/>
                <w:kern w:val="0"/>
                <w:sz w:val="24"/>
                <w:szCs w:val="22"/>
              </w:rPr>
              <w:t>ug/m</w:t>
            </w:r>
            <w:r>
              <w:rPr>
                <w:rFonts w:hint="eastAsia"/>
                <w:color w:val="000000"/>
                <w:kern w:val="0"/>
                <w:sz w:val="24"/>
                <w:szCs w:val="22"/>
                <w:vertAlign w:val="superscript"/>
              </w:rPr>
              <w:t>3</w:t>
            </w:r>
            <w:r>
              <w:rPr>
                <w:rFonts w:hint="eastAsia"/>
                <w:color w:val="000000"/>
                <w:kern w:val="0"/>
                <w:sz w:val="24"/>
                <w:szCs w:val="22"/>
              </w:rPr>
              <w:t>和3</w:t>
            </w:r>
            <w:r>
              <w:rPr>
                <w:color w:val="000000"/>
                <w:kern w:val="0"/>
                <w:sz w:val="24"/>
                <w:szCs w:val="22"/>
              </w:rPr>
              <w:t>.697</w:t>
            </w:r>
            <w:r>
              <w:rPr>
                <w:rFonts w:hint="eastAsia"/>
                <w:color w:val="000000"/>
                <w:kern w:val="0"/>
                <w:sz w:val="24"/>
                <w:szCs w:val="22"/>
              </w:rPr>
              <w:t xml:space="preserve"> ug/m</w:t>
            </w:r>
            <w:r>
              <w:rPr>
                <w:rFonts w:hint="eastAsia"/>
                <w:color w:val="000000"/>
                <w:kern w:val="0"/>
                <w:sz w:val="24"/>
                <w:szCs w:val="22"/>
                <w:vertAlign w:val="superscript"/>
              </w:rPr>
              <w:t>3</w:t>
            </w:r>
            <w:r>
              <w:rPr>
                <w:rFonts w:hint="eastAsia"/>
                <w:color w:val="000000"/>
                <w:kern w:val="0"/>
                <w:sz w:val="24"/>
                <w:szCs w:val="22"/>
              </w:rPr>
              <w:t>，其下风向最大落地浓度占标率分别为</w:t>
            </w:r>
            <w:r>
              <w:rPr>
                <w:color w:val="000000"/>
                <w:kern w:val="0"/>
                <w:sz w:val="24"/>
                <w:szCs w:val="22"/>
              </w:rPr>
              <w:t>3.55</w:t>
            </w:r>
            <w:r>
              <w:rPr>
                <w:rFonts w:hint="eastAsia"/>
                <w:color w:val="000000"/>
                <w:kern w:val="0"/>
                <w:sz w:val="24"/>
              </w:rPr>
              <w:t>%和0</w:t>
            </w:r>
            <w:r>
              <w:rPr>
                <w:color w:val="000000"/>
                <w:kern w:val="0"/>
                <w:sz w:val="24"/>
              </w:rPr>
              <w:t>.18</w:t>
            </w:r>
            <w:r>
              <w:rPr>
                <w:rFonts w:hint="eastAsia"/>
                <w:color w:val="000000"/>
                <w:kern w:val="0"/>
                <w:sz w:val="24"/>
              </w:rPr>
              <w:t>%</w:t>
            </w:r>
            <w:r>
              <w:rPr>
                <w:rFonts w:hint="eastAsia"/>
                <w:color w:val="000000"/>
                <w:kern w:val="0"/>
                <w:sz w:val="24"/>
                <w:szCs w:val="22"/>
              </w:rPr>
              <w:t>；排气筒</w:t>
            </w:r>
            <w:r>
              <w:rPr>
                <w:color w:val="000000"/>
                <w:kern w:val="0"/>
                <w:sz w:val="24"/>
                <w:szCs w:val="22"/>
              </w:rPr>
              <w:t>P2</w:t>
            </w:r>
            <w:r>
              <w:rPr>
                <w:rFonts w:hint="eastAsia"/>
                <w:color w:val="000000"/>
                <w:kern w:val="0"/>
                <w:sz w:val="24"/>
                <w:szCs w:val="22"/>
              </w:rPr>
              <w:t>有组织排放P</w:t>
            </w:r>
            <w:r>
              <w:rPr>
                <w:color w:val="000000"/>
                <w:kern w:val="0"/>
                <w:sz w:val="24"/>
                <w:szCs w:val="22"/>
              </w:rPr>
              <w:t>M</w:t>
            </w:r>
            <w:r>
              <w:rPr>
                <w:color w:val="000000"/>
                <w:kern w:val="0"/>
                <w:sz w:val="24"/>
                <w:szCs w:val="22"/>
                <w:vertAlign w:val="subscript"/>
              </w:rPr>
              <w:t>10</w:t>
            </w:r>
            <w:r>
              <w:rPr>
                <w:rFonts w:hint="eastAsia"/>
                <w:color w:val="000000"/>
                <w:kern w:val="0"/>
                <w:sz w:val="24"/>
                <w:szCs w:val="22"/>
              </w:rPr>
              <w:t>最大落地浓度为</w:t>
            </w:r>
            <w:r>
              <w:rPr>
                <w:kern w:val="0"/>
                <w:sz w:val="24"/>
                <w:szCs w:val="22"/>
              </w:rPr>
              <w:t>0.569</w:t>
            </w:r>
            <w:r>
              <w:rPr>
                <w:rFonts w:hint="eastAsia"/>
                <w:color w:val="000000"/>
                <w:kern w:val="0"/>
                <w:sz w:val="24"/>
                <w:szCs w:val="22"/>
              </w:rPr>
              <w:t>ug/m</w:t>
            </w:r>
            <w:r>
              <w:rPr>
                <w:rFonts w:hint="eastAsia"/>
                <w:color w:val="000000"/>
                <w:kern w:val="0"/>
                <w:sz w:val="24"/>
                <w:szCs w:val="22"/>
                <w:vertAlign w:val="superscript"/>
              </w:rPr>
              <w:t>3</w:t>
            </w:r>
            <w:r>
              <w:rPr>
                <w:rFonts w:hint="eastAsia"/>
                <w:color w:val="000000"/>
                <w:kern w:val="0"/>
                <w:sz w:val="24"/>
                <w:szCs w:val="22"/>
              </w:rPr>
              <w:t>，其下风向最大落地浓度占标率分别为</w:t>
            </w:r>
            <w:r>
              <w:rPr>
                <w:color w:val="000000"/>
                <w:kern w:val="0"/>
                <w:sz w:val="24"/>
                <w:szCs w:val="22"/>
              </w:rPr>
              <w:t>0.13</w:t>
            </w:r>
            <w:r>
              <w:rPr>
                <w:rFonts w:hint="eastAsia"/>
                <w:color w:val="000000"/>
                <w:kern w:val="0"/>
                <w:sz w:val="24"/>
              </w:rPr>
              <w:t>%</w:t>
            </w:r>
            <w:r>
              <w:rPr>
                <w:rFonts w:hint="eastAsia"/>
                <w:color w:val="000000"/>
                <w:kern w:val="0"/>
                <w:sz w:val="24"/>
                <w:szCs w:val="22"/>
              </w:rPr>
              <w:t>；排气筒P</w:t>
            </w:r>
            <w:r>
              <w:rPr>
                <w:color w:val="000000"/>
                <w:kern w:val="0"/>
                <w:sz w:val="24"/>
                <w:szCs w:val="22"/>
              </w:rPr>
              <w:t>3</w:t>
            </w:r>
            <w:r>
              <w:rPr>
                <w:rFonts w:hint="eastAsia"/>
                <w:color w:val="000000"/>
                <w:kern w:val="0"/>
                <w:sz w:val="24"/>
                <w:szCs w:val="22"/>
              </w:rPr>
              <w:t>有组织排放</w:t>
            </w:r>
            <w:r>
              <w:rPr>
                <w:rFonts w:hint="eastAsia"/>
                <w:kern w:val="0"/>
                <w:sz w:val="24"/>
              </w:rPr>
              <w:t>S</w:t>
            </w:r>
            <w:r>
              <w:rPr>
                <w:kern w:val="0"/>
                <w:sz w:val="24"/>
              </w:rPr>
              <w:t>O</w:t>
            </w:r>
            <w:r>
              <w:rPr>
                <w:kern w:val="0"/>
                <w:sz w:val="24"/>
                <w:vertAlign w:val="subscript"/>
              </w:rPr>
              <w:t>2</w:t>
            </w:r>
            <w:r>
              <w:rPr>
                <w:rFonts w:hint="eastAsia"/>
                <w:kern w:val="0"/>
                <w:sz w:val="24"/>
              </w:rPr>
              <w:t>、</w:t>
            </w:r>
            <w:r>
              <w:rPr>
                <w:rFonts w:hint="eastAsia"/>
                <w:color w:val="000000"/>
                <w:kern w:val="0"/>
                <w:sz w:val="24"/>
              </w:rPr>
              <w:t>P</w:t>
            </w:r>
            <w:r>
              <w:rPr>
                <w:color w:val="000000"/>
                <w:kern w:val="0"/>
                <w:sz w:val="24"/>
              </w:rPr>
              <w:t>M</w:t>
            </w:r>
            <w:r>
              <w:rPr>
                <w:color w:val="000000"/>
                <w:kern w:val="0"/>
                <w:sz w:val="24"/>
                <w:vertAlign w:val="subscript"/>
              </w:rPr>
              <w:t>10</w:t>
            </w:r>
            <w:r>
              <w:rPr>
                <w:rFonts w:hint="eastAsia"/>
                <w:color w:val="000000"/>
                <w:kern w:val="0"/>
                <w:sz w:val="24"/>
              </w:rPr>
              <w:t>和</w:t>
            </w:r>
            <w:r>
              <w:rPr>
                <w:rFonts w:hint="eastAsia"/>
                <w:kern w:val="0"/>
                <w:sz w:val="24"/>
              </w:rPr>
              <w:t>N</w:t>
            </w:r>
            <w:r>
              <w:rPr>
                <w:kern w:val="0"/>
                <w:sz w:val="24"/>
              </w:rPr>
              <w:t>O</w:t>
            </w:r>
            <w:r>
              <w:rPr>
                <w:kern w:val="0"/>
                <w:sz w:val="24"/>
                <w:vertAlign w:val="subscript"/>
              </w:rPr>
              <w:t>X</w:t>
            </w:r>
            <w:r>
              <w:rPr>
                <w:rFonts w:hint="eastAsia"/>
                <w:color w:val="000000"/>
                <w:kern w:val="0"/>
                <w:sz w:val="24"/>
                <w:szCs w:val="22"/>
              </w:rPr>
              <w:t>最大落地浓度为</w:t>
            </w:r>
            <w:r>
              <w:rPr>
                <w:color w:val="000000"/>
                <w:kern w:val="0"/>
                <w:sz w:val="24"/>
                <w:szCs w:val="22"/>
              </w:rPr>
              <w:t>3.042</w:t>
            </w:r>
            <w:r>
              <w:rPr>
                <w:rFonts w:hint="eastAsia"/>
                <w:color w:val="000000"/>
                <w:kern w:val="0"/>
                <w:sz w:val="24"/>
                <w:szCs w:val="22"/>
              </w:rPr>
              <w:t>ug/m</w:t>
            </w:r>
            <w:r>
              <w:rPr>
                <w:rFonts w:hint="eastAsia"/>
                <w:color w:val="000000"/>
                <w:kern w:val="0"/>
                <w:sz w:val="24"/>
                <w:szCs w:val="22"/>
                <w:vertAlign w:val="superscript"/>
              </w:rPr>
              <w:t>3</w:t>
            </w:r>
            <w:r>
              <w:rPr>
                <w:rFonts w:hint="eastAsia"/>
                <w:color w:val="000000"/>
                <w:kern w:val="0"/>
                <w:sz w:val="24"/>
                <w:szCs w:val="22"/>
              </w:rPr>
              <w:t>、</w:t>
            </w:r>
            <w:r>
              <w:rPr>
                <w:color w:val="000000"/>
                <w:kern w:val="0"/>
                <w:sz w:val="24"/>
                <w:szCs w:val="22"/>
              </w:rPr>
              <w:t>1.825</w:t>
            </w:r>
            <w:r>
              <w:rPr>
                <w:rFonts w:hint="eastAsia"/>
                <w:color w:val="000000"/>
                <w:kern w:val="0"/>
                <w:sz w:val="24"/>
                <w:szCs w:val="22"/>
              </w:rPr>
              <w:t>ug/m</w:t>
            </w:r>
            <w:r>
              <w:rPr>
                <w:rFonts w:hint="eastAsia"/>
                <w:color w:val="000000"/>
                <w:kern w:val="0"/>
                <w:sz w:val="24"/>
                <w:szCs w:val="22"/>
                <w:vertAlign w:val="superscript"/>
              </w:rPr>
              <w:t>3</w:t>
            </w:r>
            <w:r>
              <w:rPr>
                <w:rFonts w:hint="eastAsia"/>
                <w:color w:val="000000"/>
                <w:kern w:val="0"/>
                <w:sz w:val="24"/>
                <w:szCs w:val="22"/>
              </w:rPr>
              <w:t>和</w:t>
            </w:r>
            <w:r>
              <w:rPr>
                <w:color w:val="000000"/>
                <w:kern w:val="0"/>
                <w:sz w:val="24"/>
                <w:szCs w:val="22"/>
              </w:rPr>
              <w:t>9.229</w:t>
            </w:r>
            <w:r>
              <w:rPr>
                <w:rFonts w:hint="eastAsia"/>
                <w:color w:val="000000"/>
                <w:kern w:val="0"/>
                <w:sz w:val="24"/>
                <w:szCs w:val="22"/>
              </w:rPr>
              <w:t>ug/m</w:t>
            </w:r>
            <w:r>
              <w:rPr>
                <w:rFonts w:hint="eastAsia"/>
                <w:color w:val="000000"/>
                <w:kern w:val="0"/>
                <w:sz w:val="24"/>
                <w:szCs w:val="22"/>
                <w:vertAlign w:val="superscript"/>
              </w:rPr>
              <w:t>3</w:t>
            </w:r>
            <w:r>
              <w:rPr>
                <w:rFonts w:hint="eastAsia"/>
                <w:color w:val="000000"/>
                <w:kern w:val="0"/>
                <w:sz w:val="24"/>
                <w:szCs w:val="22"/>
              </w:rPr>
              <w:t>，其下风向最</w:t>
            </w:r>
            <w:r>
              <w:rPr>
                <w:rFonts w:hint="eastAsia"/>
                <w:color w:val="000000"/>
                <w:kern w:val="0"/>
                <w:sz w:val="24"/>
              </w:rPr>
              <w:t>大落地浓度占标率为0</w:t>
            </w:r>
            <w:r>
              <w:rPr>
                <w:color w:val="000000"/>
                <w:kern w:val="0"/>
                <w:sz w:val="24"/>
              </w:rPr>
              <w:t>.61</w:t>
            </w:r>
            <w:r>
              <w:rPr>
                <w:rFonts w:hint="eastAsia"/>
                <w:color w:val="000000"/>
                <w:kern w:val="0"/>
                <w:sz w:val="24"/>
              </w:rPr>
              <w:t>%、0</w:t>
            </w:r>
            <w:r>
              <w:rPr>
                <w:color w:val="000000"/>
                <w:kern w:val="0"/>
                <w:sz w:val="24"/>
              </w:rPr>
              <w:t>.41</w:t>
            </w:r>
            <w:r>
              <w:rPr>
                <w:rFonts w:hint="eastAsia"/>
                <w:color w:val="000000"/>
                <w:kern w:val="0"/>
                <w:sz w:val="24"/>
              </w:rPr>
              <w:t>%和</w:t>
            </w:r>
            <w:r>
              <w:rPr>
                <w:color w:val="000000"/>
                <w:kern w:val="0"/>
                <w:sz w:val="24"/>
              </w:rPr>
              <w:t>3.69</w:t>
            </w:r>
            <w:r>
              <w:rPr>
                <w:rFonts w:hint="eastAsia"/>
                <w:color w:val="000000"/>
                <w:kern w:val="0"/>
                <w:sz w:val="24"/>
              </w:rPr>
              <w:t>%。</w:t>
            </w:r>
          </w:p>
          <w:p>
            <w:pPr>
              <w:spacing w:line="360" w:lineRule="auto"/>
              <w:ind w:firstLine="480" w:firstLineChars="200"/>
              <w:rPr>
                <w:color w:val="000000"/>
                <w:kern w:val="0"/>
                <w:sz w:val="24"/>
                <w:szCs w:val="22"/>
              </w:rPr>
            </w:pPr>
            <w:r>
              <w:rPr>
                <w:rFonts w:hint="eastAsia"/>
                <w:color w:val="000000"/>
                <w:kern w:val="0"/>
                <w:sz w:val="24"/>
              </w:rPr>
              <w:t>无组织排放苯乙烯、非甲烷总烃和颗粒物浓度最大落地浓度分别为</w:t>
            </w:r>
            <w:r>
              <w:rPr>
                <w:kern w:val="0"/>
                <w:sz w:val="24"/>
              </w:rPr>
              <w:t>0.846</w:t>
            </w:r>
            <w:r>
              <w:rPr>
                <w:rFonts w:hint="eastAsia"/>
                <w:color w:val="000000"/>
                <w:kern w:val="0"/>
                <w:sz w:val="24"/>
              </w:rPr>
              <w:t>ug/m</w:t>
            </w:r>
            <w:r>
              <w:rPr>
                <w:rFonts w:hint="eastAsia"/>
                <w:color w:val="000000"/>
                <w:kern w:val="0"/>
                <w:sz w:val="24"/>
                <w:vertAlign w:val="superscript"/>
              </w:rPr>
              <w:t>3</w:t>
            </w:r>
            <w:r>
              <w:rPr>
                <w:rFonts w:hint="eastAsia"/>
                <w:color w:val="000000"/>
                <w:kern w:val="0"/>
                <w:sz w:val="24"/>
              </w:rPr>
              <w:t>、1</w:t>
            </w:r>
            <w:r>
              <w:rPr>
                <w:color w:val="000000"/>
                <w:kern w:val="0"/>
                <w:sz w:val="24"/>
              </w:rPr>
              <w:t>1.427</w:t>
            </w:r>
            <w:r>
              <w:rPr>
                <w:rFonts w:hint="eastAsia"/>
                <w:color w:val="000000"/>
                <w:kern w:val="0"/>
                <w:sz w:val="24"/>
              </w:rPr>
              <w:t>ug/m</w:t>
            </w:r>
            <w:r>
              <w:rPr>
                <w:rFonts w:hint="eastAsia"/>
                <w:color w:val="000000"/>
                <w:kern w:val="0"/>
                <w:sz w:val="24"/>
                <w:vertAlign w:val="superscript"/>
              </w:rPr>
              <w:t>3</w:t>
            </w:r>
            <w:r>
              <w:rPr>
                <w:rFonts w:hint="eastAsia"/>
                <w:color w:val="000000"/>
                <w:kern w:val="0"/>
                <w:sz w:val="24"/>
              </w:rPr>
              <w:t>和1</w:t>
            </w:r>
            <w:r>
              <w:rPr>
                <w:color w:val="000000"/>
                <w:kern w:val="0"/>
                <w:sz w:val="24"/>
              </w:rPr>
              <w:t>8.198</w:t>
            </w:r>
            <w:r>
              <w:rPr>
                <w:rFonts w:hint="eastAsia"/>
                <w:color w:val="000000"/>
                <w:kern w:val="0"/>
                <w:sz w:val="24"/>
              </w:rPr>
              <w:t>ug/m</w:t>
            </w:r>
            <w:r>
              <w:rPr>
                <w:rFonts w:hint="eastAsia"/>
                <w:color w:val="000000"/>
                <w:kern w:val="0"/>
                <w:sz w:val="24"/>
                <w:vertAlign w:val="superscript"/>
              </w:rPr>
              <w:t>3</w:t>
            </w:r>
            <w:r>
              <w:rPr>
                <w:rFonts w:hint="eastAsia"/>
                <w:color w:val="000000"/>
                <w:kern w:val="0"/>
                <w:sz w:val="24"/>
              </w:rPr>
              <w:t>，</w:t>
            </w:r>
            <w:r>
              <w:rPr>
                <w:rFonts w:hint="eastAsia"/>
                <w:color w:val="000000"/>
                <w:kern w:val="0"/>
                <w:sz w:val="24"/>
                <w:szCs w:val="22"/>
              </w:rPr>
              <w:t>其下风向最大落地浓度占标率分别为</w:t>
            </w:r>
            <w:r>
              <w:rPr>
                <w:color w:val="000000"/>
                <w:kern w:val="0"/>
                <w:sz w:val="24"/>
                <w:szCs w:val="22"/>
              </w:rPr>
              <w:t>8.46</w:t>
            </w:r>
            <w:r>
              <w:rPr>
                <w:rFonts w:hint="eastAsia"/>
                <w:color w:val="000000"/>
                <w:kern w:val="0"/>
                <w:sz w:val="24"/>
              </w:rPr>
              <w:t>%、</w:t>
            </w:r>
            <w:r>
              <w:rPr>
                <w:kern w:val="0"/>
                <w:sz w:val="24"/>
                <w:szCs w:val="22"/>
              </w:rPr>
              <w:t>0.57</w:t>
            </w:r>
            <w:r>
              <w:rPr>
                <w:rFonts w:hint="eastAsia"/>
                <w:color w:val="000000"/>
                <w:kern w:val="0"/>
                <w:sz w:val="24"/>
              </w:rPr>
              <w:t>%和2</w:t>
            </w:r>
            <w:r>
              <w:rPr>
                <w:color w:val="000000"/>
                <w:kern w:val="0"/>
                <w:sz w:val="24"/>
              </w:rPr>
              <w:t>.02</w:t>
            </w:r>
            <w:r>
              <w:rPr>
                <w:rFonts w:hint="eastAsia"/>
                <w:color w:val="000000"/>
                <w:kern w:val="0"/>
                <w:sz w:val="24"/>
              </w:rPr>
              <w:t>%，</w:t>
            </w:r>
            <w:r>
              <w:rPr>
                <w:rFonts w:hint="eastAsia"/>
                <w:color w:val="000000"/>
                <w:kern w:val="0"/>
                <w:sz w:val="24"/>
                <w:szCs w:val="22"/>
              </w:rPr>
              <w:t>均低于10%。</w:t>
            </w:r>
          </w:p>
          <w:p>
            <w:pPr>
              <w:spacing w:line="360" w:lineRule="auto"/>
              <w:ind w:firstLine="480" w:firstLineChars="200"/>
              <w:jc w:val="left"/>
              <w:rPr>
                <w:color w:val="000000"/>
                <w:kern w:val="0"/>
                <w:sz w:val="24"/>
                <w:szCs w:val="32"/>
              </w:rPr>
            </w:pPr>
            <w:r>
              <w:rPr>
                <w:color w:val="000000"/>
                <w:kern w:val="0"/>
                <w:sz w:val="24"/>
              </w:rPr>
              <w:t>根据《环境影响评价技术导则 大气环境》(HJ2.2-20</w:t>
            </w:r>
            <w:r>
              <w:rPr>
                <w:rFonts w:hint="eastAsia"/>
                <w:color w:val="000000"/>
                <w:kern w:val="0"/>
                <w:sz w:val="24"/>
              </w:rPr>
              <w:t>1</w:t>
            </w:r>
            <w:r>
              <w:rPr>
                <w:color w:val="000000"/>
                <w:kern w:val="0"/>
                <w:sz w:val="24"/>
              </w:rPr>
              <w:t>8)分级判据，确定</w:t>
            </w:r>
            <w:r>
              <w:rPr>
                <w:rFonts w:hint="eastAsia"/>
                <w:color w:val="000000"/>
                <w:kern w:val="0"/>
                <w:sz w:val="24"/>
              </w:rPr>
              <w:t>本项目</w:t>
            </w:r>
            <w:r>
              <w:rPr>
                <w:color w:val="000000"/>
                <w:kern w:val="0"/>
                <w:sz w:val="24"/>
              </w:rPr>
              <w:t>大气环境影响评价工作等级为二级。</w:t>
            </w:r>
          </w:p>
          <w:p>
            <w:pPr>
              <w:spacing w:line="360" w:lineRule="auto"/>
              <w:ind w:firstLine="480"/>
              <w:rPr>
                <w:kern w:val="0"/>
                <w:sz w:val="24"/>
              </w:rPr>
            </w:pPr>
            <w:r>
              <w:rPr>
                <w:kern w:val="0"/>
                <w:sz w:val="24"/>
              </w:rPr>
              <w:t>（5）</w:t>
            </w:r>
            <w:r>
              <w:rPr>
                <w:rFonts w:hint="eastAsia"/>
                <w:kern w:val="0"/>
                <w:sz w:val="24"/>
              </w:rPr>
              <w:t>项目排放量核算</w:t>
            </w:r>
          </w:p>
          <w:p>
            <w:pPr>
              <w:spacing w:before="156" w:beforeLines="50" w:line="360" w:lineRule="auto"/>
              <w:jc w:val="center"/>
              <w:rPr>
                <w:b/>
                <w:bCs/>
                <w:kern w:val="0"/>
                <w:sz w:val="24"/>
              </w:rPr>
            </w:pPr>
            <w:r>
              <w:rPr>
                <w:rFonts w:hint="eastAsia"/>
                <w:b/>
                <w:bCs/>
                <w:kern w:val="0"/>
                <w:sz w:val="24"/>
              </w:rPr>
              <w:t>表</w:t>
            </w:r>
            <w:r>
              <w:rPr>
                <w:b/>
                <w:bCs/>
                <w:kern w:val="0"/>
                <w:sz w:val="24"/>
              </w:rPr>
              <w:t>7</w:t>
            </w:r>
            <w:r>
              <w:rPr>
                <w:rFonts w:hint="eastAsia"/>
                <w:b/>
                <w:bCs/>
                <w:kern w:val="0"/>
                <w:sz w:val="24"/>
              </w:rPr>
              <w:t>-</w:t>
            </w:r>
            <w:r>
              <w:rPr>
                <w:b/>
                <w:bCs/>
                <w:kern w:val="0"/>
                <w:sz w:val="24"/>
              </w:rPr>
              <w:t xml:space="preserve">9  </w:t>
            </w:r>
            <w:r>
              <w:rPr>
                <w:rFonts w:hint="eastAsia"/>
                <w:b/>
                <w:bCs/>
                <w:kern w:val="0"/>
                <w:sz w:val="24"/>
              </w:rPr>
              <w:t xml:space="preserve"> 本项目正常工况大气污染物有组织排放量</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1" w:type="dxa"/>
                <w:bottom w:w="0" w:type="dxa"/>
                <w:right w:w="11" w:type="dxa"/>
              </w:tblCellMar>
            </w:tblPr>
            <w:tblGrid>
              <w:gridCol w:w="593"/>
              <w:gridCol w:w="1712"/>
              <w:gridCol w:w="1557"/>
              <w:gridCol w:w="1527"/>
              <w:gridCol w:w="1723"/>
              <w:gridCol w:w="17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533" w:hRule="atLeast"/>
                <w:jc w:val="center"/>
              </w:trPr>
              <w:tc>
                <w:tcPr>
                  <w:tcW w:w="336" w:type="pct"/>
                  <w:shd w:val="clear" w:color="auto" w:fill="auto"/>
                  <w:vAlign w:val="center"/>
                </w:tcPr>
                <w:p>
                  <w:pPr>
                    <w:adjustRightInd w:val="0"/>
                    <w:snapToGrid w:val="0"/>
                    <w:jc w:val="center"/>
                    <w:rPr>
                      <w:bCs/>
                      <w:color w:val="000000"/>
                      <w:szCs w:val="21"/>
                    </w:rPr>
                  </w:pPr>
                  <w:r>
                    <w:rPr>
                      <w:bCs/>
                      <w:color w:val="000000"/>
                      <w:szCs w:val="21"/>
                    </w:rPr>
                    <w:t>序号</w:t>
                  </w:r>
                </w:p>
              </w:tc>
              <w:tc>
                <w:tcPr>
                  <w:tcW w:w="970" w:type="pct"/>
                  <w:shd w:val="clear" w:color="auto" w:fill="auto"/>
                  <w:vAlign w:val="center"/>
                </w:tcPr>
                <w:p>
                  <w:pPr>
                    <w:adjustRightInd w:val="0"/>
                    <w:snapToGrid w:val="0"/>
                    <w:jc w:val="center"/>
                    <w:rPr>
                      <w:bCs/>
                      <w:color w:val="000000"/>
                      <w:szCs w:val="21"/>
                    </w:rPr>
                  </w:pPr>
                  <w:r>
                    <w:rPr>
                      <w:bCs/>
                      <w:color w:val="000000"/>
                      <w:szCs w:val="21"/>
                    </w:rPr>
                    <w:t>排放口编号</w:t>
                  </w:r>
                </w:p>
              </w:tc>
              <w:tc>
                <w:tcPr>
                  <w:tcW w:w="882" w:type="pct"/>
                  <w:shd w:val="clear" w:color="auto" w:fill="auto"/>
                  <w:vAlign w:val="center"/>
                </w:tcPr>
                <w:p>
                  <w:pPr>
                    <w:adjustRightInd w:val="0"/>
                    <w:snapToGrid w:val="0"/>
                    <w:jc w:val="center"/>
                    <w:rPr>
                      <w:bCs/>
                      <w:color w:val="000000"/>
                      <w:szCs w:val="21"/>
                    </w:rPr>
                  </w:pPr>
                  <w:r>
                    <w:rPr>
                      <w:bCs/>
                      <w:color w:val="000000"/>
                      <w:szCs w:val="21"/>
                    </w:rPr>
                    <w:t>污染物</w:t>
                  </w:r>
                </w:p>
              </w:tc>
              <w:tc>
                <w:tcPr>
                  <w:tcW w:w="865" w:type="pct"/>
                  <w:shd w:val="clear" w:color="auto" w:fill="auto"/>
                  <w:vAlign w:val="center"/>
                </w:tcPr>
                <w:p>
                  <w:pPr>
                    <w:adjustRightInd w:val="0"/>
                    <w:snapToGrid w:val="0"/>
                    <w:jc w:val="center"/>
                    <w:rPr>
                      <w:bCs/>
                      <w:color w:val="000000"/>
                      <w:szCs w:val="21"/>
                    </w:rPr>
                  </w:pPr>
                  <w:r>
                    <w:rPr>
                      <w:bCs/>
                      <w:color w:val="000000"/>
                      <w:szCs w:val="21"/>
                    </w:rPr>
                    <w:t>核算排放浓度</w:t>
                  </w:r>
                </w:p>
                <w:p>
                  <w:pPr>
                    <w:adjustRightInd w:val="0"/>
                    <w:snapToGrid w:val="0"/>
                    <w:jc w:val="center"/>
                    <w:rPr>
                      <w:bCs/>
                      <w:color w:val="000000"/>
                      <w:szCs w:val="21"/>
                    </w:rPr>
                  </w:pPr>
                  <w:r>
                    <w:rPr>
                      <w:bCs/>
                      <w:color w:val="000000"/>
                      <w:szCs w:val="21"/>
                    </w:rPr>
                    <w:t>（mg/m</w:t>
                  </w:r>
                  <w:r>
                    <w:rPr>
                      <w:bCs/>
                      <w:color w:val="000000"/>
                      <w:szCs w:val="21"/>
                      <w:vertAlign w:val="superscript"/>
                    </w:rPr>
                    <w:t>3</w:t>
                  </w:r>
                  <w:r>
                    <w:rPr>
                      <w:bCs/>
                      <w:color w:val="000000"/>
                      <w:szCs w:val="21"/>
                    </w:rPr>
                    <w:t>）</w:t>
                  </w:r>
                </w:p>
              </w:tc>
              <w:tc>
                <w:tcPr>
                  <w:tcW w:w="976" w:type="pct"/>
                  <w:shd w:val="clear" w:color="auto" w:fill="auto"/>
                  <w:vAlign w:val="center"/>
                </w:tcPr>
                <w:p>
                  <w:pPr>
                    <w:adjustRightInd w:val="0"/>
                    <w:snapToGrid w:val="0"/>
                    <w:jc w:val="center"/>
                    <w:rPr>
                      <w:bCs/>
                      <w:color w:val="000000"/>
                      <w:szCs w:val="21"/>
                    </w:rPr>
                  </w:pPr>
                  <w:r>
                    <w:rPr>
                      <w:bCs/>
                      <w:color w:val="000000"/>
                      <w:szCs w:val="21"/>
                    </w:rPr>
                    <w:t>核算排放速率</w:t>
                  </w:r>
                </w:p>
                <w:p>
                  <w:pPr>
                    <w:adjustRightInd w:val="0"/>
                    <w:snapToGrid w:val="0"/>
                    <w:jc w:val="center"/>
                    <w:rPr>
                      <w:bCs/>
                      <w:color w:val="000000"/>
                      <w:szCs w:val="21"/>
                    </w:rPr>
                  </w:pPr>
                  <w:r>
                    <w:rPr>
                      <w:bCs/>
                      <w:color w:val="000000"/>
                      <w:szCs w:val="21"/>
                    </w:rPr>
                    <w:t>（kg/h）</w:t>
                  </w:r>
                </w:p>
              </w:tc>
              <w:tc>
                <w:tcPr>
                  <w:tcW w:w="971" w:type="pct"/>
                  <w:shd w:val="clear" w:color="auto" w:fill="auto"/>
                  <w:vAlign w:val="center"/>
                </w:tcPr>
                <w:p>
                  <w:pPr>
                    <w:adjustRightInd w:val="0"/>
                    <w:snapToGrid w:val="0"/>
                    <w:jc w:val="center"/>
                    <w:rPr>
                      <w:bCs/>
                      <w:color w:val="000000"/>
                      <w:szCs w:val="21"/>
                    </w:rPr>
                  </w:pPr>
                  <w:r>
                    <w:rPr>
                      <w:bCs/>
                      <w:color w:val="000000"/>
                      <w:szCs w:val="21"/>
                    </w:rPr>
                    <w:t>核算年排放量</w:t>
                  </w:r>
                </w:p>
                <w:p>
                  <w:pPr>
                    <w:adjustRightInd w:val="0"/>
                    <w:snapToGrid w:val="0"/>
                    <w:jc w:val="center"/>
                    <w:rPr>
                      <w:bCs/>
                      <w:color w:val="000000"/>
                      <w:szCs w:val="21"/>
                    </w:rPr>
                  </w:pPr>
                  <w:r>
                    <w:rPr>
                      <w:bCs/>
                      <w:color w:val="000000"/>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266" w:hRule="atLeast"/>
                <w:jc w:val="center"/>
              </w:trPr>
              <w:tc>
                <w:tcPr>
                  <w:tcW w:w="5000" w:type="pct"/>
                  <w:gridSpan w:val="6"/>
                  <w:vAlign w:val="center"/>
                </w:tcPr>
                <w:p>
                  <w:pPr>
                    <w:adjustRightInd w:val="0"/>
                    <w:snapToGrid w:val="0"/>
                    <w:jc w:val="center"/>
                    <w:rPr>
                      <w:color w:val="000000"/>
                      <w:szCs w:val="21"/>
                    </w:rPr>
                  </w:pPr>
                  <w:r>
                    <w:rPr>
                      <w:color w:val="000000"/>
                      <w:szCs w:val="21"/>
                    </w:rPr>
                    <w:t>主要排放口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02" w:hRule="atLeast"/>
                <w:jc w:val="center"/>
              </w:trPr>
              <w:tc>
                <w:tcPr>
                  <w:tcW w:w="336" w:type="pct"/>
                  <w:vMerge w:val="restart"/>
                  <w:vAlign w:val="center"/>
                </w:tcPr>
                <w:p>
                  <w:pPr>
                    <w:adjustRightInd w:val="0"/>
                    <w:snapToGrid w:val="0"/>
                    <w:jc w:val="center"/>
                    <w:rPr>
                      <w:color w:val="000000"/>
                      <w:szCs w:val="21"/>
                    </w:rPr>
                  </w:pPr>
                  <w:r>
                    <w:rPr>
                      <w:color w:val="000000"/>
                      <w:szCs w:val="21"/>
                    </w:rPr>
                    <w:t>1</w:t>
                  </w:r>
                </w:p>
              </w:tc>
              <w:tc>
                <w:tcPr>
                  <w:tcW w:w="970" w:type="pct"/>
                  <w:vMerge w:val="restart"/>
                  <w:vAlign w:val="center"/>
                </w:tcPr>
                <w:p>
                  <w:pPr>
                    <w:adjustRightInd w:val="0"/>
                    <w:snapToGrid w:val="0"/>
                    <w:jc w:val="center"/>
                    <w:rPr>
                      <w:color w:val="000000"/>
                      <w:szCs w:val="21"/>
                    </w:rPr>
                  </w:pPr>
                  <w:r>
                    <w:rPr>
                      <w:color w:val="000000"/>
                      <w:szCs w:val="21"/>
                    </w:rPr>
                    <w:t>P1排气筒</w:t>
                  </w:r>
                </w:p>
                <w:p>
                  <w:pPr>
                    <w:adjustRightInd w:val="0"/>
                    <w:snapToGrid w:val="0"/>
                    <w:jc w:val="center"/>
                    <w:rPr>
                      <w:color w:val="000000"/>
                      <w:szCs w:val="21"/>
                    </w:rPr>
                  </w:pPr>
                  <w:r>
                    <w:rPr>
                      <w:rFonts w:hint="eastAsia"/>
                      <w:color w:val="000000"/>
                      <w:szCs w:val="21"/>
                    </w:rPr>
                    <w:t>(有机废气</w:t>
                  </w:r>
                  <w:r>
                    <w:rPr>
                      <w:color w:val="000000"/>
                      <w:szCs w:val="21"/>
                    </w:rPr>
                    <w:t>)</w:t>
                  </w:r>
                </w:p>
              </w:tc>
              <w:tc>
                <w:tcPr>
                  <w:tcW w:w="882" w:type="pct"/>
                  <w:vAlign w:val="center"/>
                </w:tcPr>
                <w:p>
                  <w:pPr>
                    <w:pStyle w:val="71"/>
                    <w:adjustRightInd w:val="0"/>
                    <w:rPr>
                      <w:rFonts w:eastAsia="宋体"/>
                      <w:color w:val="0000FF"/>
                      <w:sz w:val="21"/>
                      <w:szCs w:val="21"/>
                    </w:rPr>
                  </w:pPr>
                  <w:r>
                    <w:rPr>
                      <w:rFonts w:hint="eastAsia" w:eastAsia="宋体"/>
                      <w:color w:val="000000" w:themeColor="text1"/>
                      <w:sz w:val="21"/>
                      <w:szCs w:val="21"/>
                      <w14:textFill>
                        <w14:solidFill>
                          <w14:schemeClr w14:val="tx1"/>
                        </w14:solidFill>
                      </w14:textFill>
                    </w:rPr>
                    <w:t>苯乙烯</w:t>
                  </w:r>
                </w:p>
              </w:tc>
              <w:tc>
                <w:tcPr>
                  <w:tcW w:w="865" w:type="pct"/>
                  <w:vAlign w:val="center"/>
                </w:tcPr>
                <w:p>
                  <w:pPr>
                    <w:pStyle w:val="71"/>
                    <w:adjustRightInd w:val="0"/>
                    <w:ind w:firstLine="420"/>
                    <w:rPr>
                      <w:color w:val="000000"/>
                      <w:sz w:val="21"/>
                      <w:szCs w:val="21"/>
                    </w:rPr>
                  </w:pPr>
                  <w:r>
                    <w:rPr>
                      <w:rFonts w:hint="eastAsia"/>
                      <w:sz w:val="21"/>
                      <w:szCs w:val="21"/>
                    </w:rPr>
                    <w:t>0</w:t>
                  </w:r>
                  <w:r>
                    <w:rPr>
                      <w:sz w:val="21"/>
                      <w:szCs w:val="21"/>
                    </w:rPr>
                    <w:t>.450</w:t>
                  </w:r>
                </w:p>
              </w:tc>
              <w:tc>
                <w:tcPr>
                  <w:tcW w:w="976" w:type="pct"/>
                  <w:vAlign w:val="center"/>
                </w:tcPr>
                <w:p>
                  <w:pPr>
                    <w:pStyle w:val="71"/>
                    <w:adjustRightInd w:val="0"/>
                    <w:ind w:firstLine="420"/>
                    <w:rPr>
                      <w:color w:val="000000"/>
                      <w:sz w:val="21"/>
                      <w:szCs w:val="21"/>
                    </w:rPr>
                  </w:pPr>
                  <w:r>
                    <w:rPr>
                      <w:rFonts w:hint="eastAsia"/>
                      <w:sz w:val="21"/>
                      <w:szCs w:val="21"/>
                    </w:rPr>
                    <w:t>0</w:t>
                  </w:r>
                  <w:r>
                    <w:rPr>
                      <w:sz w:val="21"/>
                      <w:szCs w:val="21"/>
                    </w:rPr>
                    <w:t>.005</w:t>
                  </w:r>
                </w:p>
              </w:tc>
              <w:tc>
                <w:tcPr>
                  <w:tcW w:w="971" w:type="pct"/>
                  <w:vAlign w:val="center"/>
                </w:tcPr>
                <w:p>
                  <w:pPr>
                    <w:adjustRightInd w:val="0"/>
                    <w:snapToGrid w:val="0"/>
                    <w:jc w:val="center"/>
                    <w:rPr>
                      <w:bCs/>
                      <w:color w:val="000000"/>
                      <w:szCs w:val="21"/>
                    </w:rPr>
                  </w:pPr>
                  <w:r>
                    <w:rPr>
                      <w:rFonts w:hint="eastAsia"/>
                      <w:szCs w:val="21"/>
                    </w:rPr>
                    <w:t>0</w:t>
                  </w:r>
                  <w:r>
                    <w:rPr>
                      <w:szCs w:val="21"/>
                    </w:rPr>
                    <w:t>.032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02" w:hRule="atLeast"/>
                <w:jc w:val="center"/>
              </w:trPr>
              <w:tc>
                <w:tcPr>
                  <w:tcW w:w="336" w:type="pct"/>
                  <w:vMerge w:val="continue"/>
                  <w:vAlign w:val="center"/>
                </w:tcPr>
                <w:p>
                  <w:pPr>
                    <w:adjustRightInd w:val="0"/>
                    <w:snapToGrid w:val="0"/>
                    <w:jc w:val="center"/>
                    <w:rPr>
                      <w:color w:val="000000"/>
                      <w:szCs w:val="21"/>
                    </w:rPr>
                  </w:pPr>
                </w:p>
              </w:tc>
              <w:tc>
                <w:tcPr>
                  <w:tcW w:w="970" w:type="pct"/>
                  <w:vMerge w:val="continue"/>
                  <w:vAlign w:val="center"/>
                </w:tcPr>
                <w:p>
                  <w:pPr>
                    <w:adjustRightInd w:val="0"/>
                    <w:snapToGrid w:val="0"/>
                    <w:jc w:val="center"/>
                    <w:rPr>
                      <w:color w:val="000000"/>
                      <w:szCs w:val="21"/>
                    </w:rPr>
                  </w:pPr>
                </w:p>
              </w:tc>
              <w:tc>
                <w:tcPr>
                  <w:tcW w:w="882" w:type="pct"/>
                  <w:vAlign w:val="center"/>
                </w:tcPr>
                <w:p>
                  <w:pPr>
                    <w:pStyle w:val="71"/>
                    <w:adjustRightInd w:val="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非甲烷总烃</w:t>
                  </w:r>
                </w:p>
              </w:tc>
              <w:tc>
                <w:tcPr>
                  <w:tcW w:w="865" w:type="pct"/>
                  <w:vAlign w:val="center"/>
                </w:tcPr>
                <w:p>
                  <w:pPr>
                    <w:pStyle w:val="71"/>
                    <w:adjustRightInd w:val="0"/>
                    <w:ind w:firstLine="420"/>
                    <w:rPr>
                      <w:color w:val="000000"/>
                      <w:sz w:val="21"/>
                      <w:szCs w:val="21"/>
                    </w:rPr>
                  </w:pPr>
                  <w:r>
                    <w:rPr>
                      <w:rFonts w:hint="eastAsia"/>
                      <w:sz w:val="21"/>
                      <w:szCs w:val="21"/>
                    </w:rPr>
                    <w:t>5</w:t>
                  </w:r>
                  <w:r>
                    <w:rPr>
                      <w:sz w:val="21"/>
                      <w:szCs w:val="21"/>
                    </w:rPr>
                    <w:t>.176</w:t>
                  </w:r>
                </w:p>
              </w:tc>
              <w:tc>
                <w:tcPr>
                  <w:tcW w:w="976" w:type="pct"/>
                  <w:vAlign w:val="center"/>
                </w:tcPr>
                <w:p>
                  <w:pPr>
                    <w:pStyle w:val="71"/>
                    <w:adjustRightInd w:val="0"/>
                    <w:ind w:firstLine="420"/>
                    <w:rPr>
                      <w:color w:val="000000"/>
                      <w:sz w:val="21"/>
                      <w:szCs w:val="21"/>
                    </w:rPr>
                  </w:pPr>
                  <w:r>
                    <w:rPr>
                      <w:rFonts w:hint="eastAsia"/>
                      <w:sz w:val="21"/>
                      <w:szCs w:val="21"/>
                    </w:rPr>
                    <w:t>0</w:t>
                  </w:r>
                  <w:r>
                    <w:rPr>
                      <w:sz w:val="21"/>
                      <w:szCs w:val="21"/>
                    </w:rPr>
                    <w:t>.052</w:t>
                  </w:r>
                </w:p>
              </w:tc>
              <w:tc>
                <w:tcPr>
                  <w:tcW w:w="971" w:type="pct"/>
                  <w:vAlign w:val="center"/>
                </w:tcPr>
                <w:p>
                  <w:pPr>
                    <w:adjustRightInd w:val="0"/>
                    <w:snapToGrid w:val="0"/>
                    <w:jc w:val="center"/>
                    <w:rPr>
                      <w:bCs/>
                      <w:color w:val="000000"/>
                      <w:szCs w:val="21"/>
                    </w:rPr>
                  </w:pPr>
                  <w:r>
                    <w:rPr>
                      <w:rFonts w:hint="eastAsia"/>
                      <w:szCs w:val="21"/>
                    </w:rPr>
                    <w:t>0</w:t>
                  </w:r>
                  <w:r>
                    <w:rPr>
                      <w:szCs w:val="21"/>
                    </w:rPr>
                    <w:t>.373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237" w:hRule="atLeast"/>
                <w:jc w:val="center"/>
              </w:trPr>
              <w:tc>
                <w:tcPr>
                  <w:tcW w:w="336" w:type="pct"/>
                  <w:vAlign w:val="center"/>
                </w:tcPr>
                <w:p>
                  <w:pPr>
                    <w:adjustRightInd w:val="0"/>
                    <w:snapToGrid w:val="0"/>
                    <w:jc w:val="center"/>
                    <w:rPr>
                      <w:color w:val="000000"/>
                      <w:szCs w:val="21"/>
                    </w:rPr>
                  </w:pPr>
                  <w:r>
                    <w:rPr>
                      <w:color w:val="000000"/>
                      <w:szCs w:val="21"/>
                    </w:rPr>
                    <w:t>2</w:t>
                  </w:r>
                </w:p>
              </w:tc>
              <w:tc>
                <w:tcPr>
                  <w:tcW w:w="970" w:type="pct"/>
                  <w:vAlign w:val="center"/>
                </w:tcPr>
                <w:p>
                  <w:pPr>
                    <w:adjustRightInd w:val="0"/>
                    <w:snapToGrid w:val="0"/>
                    <w:jc w:val="center"/>
                    <w:rPr>
                      <w:color w:val="000000"/>
                      <w:szCs w:val="21"/>
                    </w:rPr>
                  </w:pPr>
                  <w:r>
                    <w:rPr>
                      <w:color w:val="000000"/>
                      <w:szCs w:val="21"/>
                    </w:rPr>
                    <w:t>P2排气筒</w:t>
                  </w:r>
                </w:p>
                <w:p>
                  <w:pPr>
                    <w:adjustRightInd w:val="0"/>
                    <w:snapToGrid w:val="0"/>
                    <w:jc w:val="center"/>
                    <w:rPr>
                      <w:color w:val="000000"/>
                      <w:szCs w:val="21"/>
                    </w:rPr>
                  </w:pPr>
                  <w:r>
                    <w:rPr>
                      <w:rFonts w:hint="eastAsia"/>
                      <w:color w:val="000000"/>
                      <w:szCs w:val="21"/>
                    </w:rPr>
                    <w:t>（粉尘）</w:t>
                  </w:r>
                </w:p>
              </w:tc>
              <w:tc>
                <w:tcPr>
                  <w:tcW w:w="882" w:type="pct"/>
                  <w:vAlign w:val="center"/>
                </w:tcPr>
                <w:p>
                  <w:pPr>
                    <w:pStyle w:val="71"/>
                    <w:adjustRightInd w:val="0"/>
                    <w:rPr>
                      <w:color w:val="0000FF"/>
                      <w:sz w:val="21"/>
                      <w:szCs w:val="21"/>
                    </w:rPr>
                  </w:pPr>
                  <w:r>
                    <w:rPr>
                      <w:rFonts w:eastAsia="宋体"/>
                      <w:color w:val="000000" w:themeColor="text1"/>
                      <w:sz w:val="21"/>
                      <w:szCs w:val="21"/>
                      <w14:textFill>
                        <w14:solidFill>
                          <w14:schemeClr w14:val="tx1"/>
                        </w14:solidFill>
                      </w14:textFill>
                    </w:rPr>
                    <w:t>颗粒物</w:t>
                  </w:r>
                </w:p>
              </w:tc>
              <w:tc>
                <w:tcPr>
                  <w:tcW w:w="865" w:type="pct"/>
                  <w:vAlign w:val="center"/>
                </w:tcPr>
                <w:p>
                  <w:pPr>
                    <w:pStyle w:val="71"/>
                    <w:adjustRightInd w:val="0"/>
                    <w:ind w:firstLine="420"/>
                    <w:rPr>
                      <w:color w:val="000000" w:themeColor="text1"/>
                      <w:sz w:val="21"/>
                      <w:szCs w:val="21"/>
                      <w14:textFill>
                        <w14:solidFill>
                          <w14:schemeClr w14:val="tx1"/>
                        </w14:solidFill>
                      </w14:textFill>
                    </w:rPr>
                  </w:pPr>
                  <w:r>
                    <w:rPr>
                      <w:rFonts w:hint="eastAsia"/>
                      <w:sz w:val="21"/>
                      <w:szCs w:val="21"/>
                    </w:rPr>
                    <w:t>0</w:t>
                  </w:r>
                  <w:r>
                    <w:rPr>
                      <w:sz w:val="21"/>
                      <w:szCs w:val="21"/>
                    </w:rPr>
                    <w:t>.810</w:t>
                  </w:r>
                </w:p>
              </w:tc>
              <w:tc>
                <w:tcPr>
                  <w:tcW w:w="976" w:type="pct"/>
                  <w:vAlign w:val="center"/>
                </w:tcPr>
                <w:p>
                  <w:pPr>
                    <w:pStyle w:val="71"/>
                    <w:adjustRightInd w:val="0"/>
                    <w:ind w:firstLine="420"/>
                    <w:rPr>
                      <w:color w:val="000000" w:themeColor="text1"/>
                      <w:sz w:val="21"/>
                      <w:szCs w:val="21"/>
                      <w14:textFill>
                        <w14:solidFill>
                          <w14:schemeClr w14:val="tx1"/>
                        </w14:solidFill>
                      </w14:textFill>
                    </w:rPr>
                  </w:pPr>
                  <w:r>
                    <w:rPr>
                      <w:rFonts w:hint="eastAsia"/>
                      <w:sz w:val="21"/>
                      <w:szCs w:val="21"/>
                    </w:rPr>
                    <w:t>0</w:t>
                  </w:r>
                  <w:r>
                    <w:rPr>
                      <w:sz w:val="21"/>
                      <w:szCs w:val="21"/>
                    </w:rPr>
                    <w:t>.008</w:t>
                  </w:r>
                </w:p>
              </w:tc>
              <w:tc>
                <w:tcPr>
                  <w:tcW w:w="971" w:type="pct"/>
                  <w:vAlign w:val="center"/>
                </w:tcPr>
                <w:p>
                  <w:pPr>
                    <w:adjustRightInd w:val="0"/>
                    <w:snapToGrid w:val="0"/>
                    <w:jc w:val="center"/>
                    <w:rPr>
                      <w:bCs/>
                      <w:color w:val="000000" w:themeColor="text1"/>
                      <w:szCs w:val="21"/>
                      <w14:textFill>
                        <w14:solidFill>
                          <w14:schemeClr w14:val="tx1"/>
                        </w14:solidFill>
                      </w14:textFill>
                    </w:rPr>
                  </w:pPr>
                  <w:r>
                    <w:rPr>
                      <w:rFonts w:hint="eastAsia"/>
                      <w:szCs w:val="21"/>
                    </w:rPr>
                    <w:t>0</w:t>
                  </w:r>
                  <w:r>
                    <w:rPr>
                      <w:szCs w:val="21"/>
                    </w:rPr>
                    <w:t>.058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237" w:hRule="atLeast"/>
                <w:jc w:val="center"/>
              </w:trPr>
              <w:tc>
                <w:tcPr>
                  <w:tcW w:w="336" w:type="pct"/>
                  <w:vMerge w:val="restart"/>
                  <w:vAlign w:val="center"/>
                </w:tcPr>
                <w:p>
                  <w:pPr>
                    <w:adjustRightInd w:val="0"/>
                    <w:snapToGrid w:val="0"/>
                    <w:jc w:val="center"/>
                    <w:rPr>
                      <w:color w:val="000000"/>
                      <w:szCs w:val="21"/>
                    </w:rPr>
                  </w:pPr>
                  <w:r>
                    <w:rPr>
                      <w:color w:val="000000"/>
                      <w:szCs w:val="21"/>
                    </w:rPr>
                    <w:t>3</w:t>
                  </w:r>
                </w:p>
              </w:tc>
              <w:tc>
                <w:tcPr>
                  <w:tcW w:w="970" w:type="pct"/>
                  <w:vMerge w:val="restart"/>
                  <w:vAlign w:val="center"/>
                </w:tcPr>
                <w:p>
                  <w:pPr>
                    <w:adjustRightInd w:val="0"/>
                    <w:snapToGrid w:val="0"/>
                    <w:jc w:val="center"/>
                    <w:rPr>
                      <w:color w:val="000000"/>
                      <w:szCs w:val="21"/>
                    </w:rPr>
                  </w:pPr>
                  <w:r>
                    <w:rPr>
                      <w:color w:val="000000"/>
                      <w:szCs w:val="21"/>
                    </w:rPr>
                    <w:t>P3排气筒</w:t>
                  </w:r>
                </w:p>
                <w:p>
                  <w:pPr>
                    <w:adjustRightInd w:val="0"/>
                    <w:snapToGrid w:val="0"/>
                    <w:jc w:val="center"/>
                    <w:rPr>
                      <w:color w:val="000000"/>
                      <w:szCs w:val="21"/>
                    </w:rPr>
                  </w:pPr>
                  <w:r>
                    <w:rPr>
                      <w:rFonts w:hint="eastAsia"/>
                      <w:color w:val="000000"/>
                      <w:szCs w:val="21"/>
                    </w:rPr>
                    <w:t>（锅炉废气）</w:t>
                  </w:r>
                </w:p>
              </w:tc>
              <w:tc>
                <w:tcPr>
                  <w:tcW w:w="882" w:type="pct"/>
                  <w:vAlign w:val="center"/>
                </w:tcPr>
                <w:p>
                  <w:pPr>
                    <w:pStyle w:val="71"/>
                    <w:adjustRightInd w:val="0"/>
                    <w:rPr>
                      <w:rFonts w:eastAsia="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SO</w:t>
                  </w:r>
                  <w:r>
                    <w:rPr>
                      <w:color w:val="000000" w:themeColor="text1"/>
                      <w:sz w:val="21"/>
                      <w:szCs w:val="21"/>
                      <w:vertAlign w:val="subscript"/>
                      <w14:textFill>
                        <w14:solidFill>
                          <w14:schemeClr w14:val="tx1"/>
                        </w14:solidFill>
                      </w14:textFill>
                    </w:rPr>
                    <w:t>2</w:t>
                  </w:r>
                </w:p>
              </w:tc>
              <w:tc>
                <w:tcPr>
                  <w:tcW w:w="865" w:type="pct"/>
                  <w:vAlign w:val="center"/>
                </w:tcPr>
                <w:p>
                  <w:pPr>
                    <w:pStyle w:val="71"/>
                    <w:adjustRightInd w:val="0"/>
                    <w:ind w:firstLine="420"/>
                    <w:rPr>
                      <w:sz w:val="21"/>
                      <w:szCs w:val="21"/>
                    </w:rPr>
                  </w:pPr>
                  <w:r>
                    <w:rPr>
                      <w:rFonts w:hint="eastAsia"/>
                      <w:sz w:val="21"/>
                      <w:szCs w:val="21"/>
                    </w:rPr>
                    <w:t>9</w:t>
                  </w:r>
                  <w:r>
                    <w:rPr>
                      <w:sz w:val="21"/>
                      <w:szCs w:val="21"/>
                    </w:rPr>
                    <w:t>.28</w:t>
                  </w:r>
                </w:p>
              </w:tc>
              <w:tc>
                <w:tcPr>
                  <w:tcW w:w="976" w:type="pct"/>
                  <w:vAlign w:val="center"/>
                </w:tcPr>
                <w:p>
                  <w:pPr>
                    <w:pStyle w:val="71"/>
                    <w:adjustRightInd w:val="0"/>
                    <w:ind w:firstLine="420"/>
                    <w:rPr>
                      <w:sz w:val="21"/>
                      <w:szCs w:val="21"/>
                    </w:rPr>
                  </w:pPr>
                  <w:r>
                    <w:rPr>
                      <w:rFonts w:hint="eastAsia"/>
                      <w:sz w:val="21"/>
                      <w:szCs w:val="21"/>
                    </w:rPr>
                    <w:t>0</w:t>
                  </w:r>
                  <w:r>
                    <w:rPr>
                      <w:sz w:val="21"/>
                      <w:szCs w:val="21"/>
                    </w:rPr>
                    <w:t>.03</w:t>
                  </w:r>
                </w:p>
              </w:tc>
              <w:tc>
                <w:tcPr>
                  <w:tcW w:w="971" w:type="pct"/>
                  <w:vAlign w:val="center"/>
                </w:tcPr>
                <w:p>
                  <w:pPr>
                    <w:adjustRightInd w:val="0"/>
                    <w:snapToGrid w:val="0"/>
                    <w:jc w:val="center"/>
                    <w:rPr>
                      <w:szCs w:val="21"/>
                    </w:rPr>
                  </w:pPr>
                  <w:r>
                    <w:rPr>
                      <w:rFonts w:hint="eastAsia"/>
                      <w:szCs w:val="21"/>
                    </w:rPr>
                    <w:t>0</w:t>
                  </w:r>
                  <w:r>
                    <w:rPr>
                      <w:szCs w:val="21"/>
                    </w:rPr>
                    <w:t>.027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237" w:hRule="atLeast"/>
                <w:jc w:val="center"/>
              </w:trPr>
              <w:tc>
                <w:tcPr>
                  <w:tcW w:w="336" w:type="pct"/>
                  <w:vMerge w:val="continue"/>
                  <w:vAlign w:val="center"/>
                </w:tcPr>
                <w:p>
                  <w:pPr>
                    <w:adjustRightInd w:val="0"/>
                    <w:snapToGrid w:val="0"/>
                    <w:jc w:val="center"/>
                    <w:rPr>
                      <w:color w:val="000000"/>
                      <w:szCs w:val="21"/>
                    </w:rPr>
                  </w:pPr>
                </w:p>
              </w:tc>
              <w:tc>
                <w:tcPr>
                  <w:tcW w:w="970" w:type="pct"/>
                  <w:vMerge w:val="continue"/>
                  <w:vAlign w:val="center"/>
                </w:tcPr>
                <w:p>
                  <w:pPr>
                    <w:adjustRightInd w:val="0"/>
                    <w:snapToGrid w:val="0"/>
                    <w:jc w:val="center"/>
                    <w:rPr>
                      <w:color w:val="000000"/>
                      <w:szCs w:val="21"/>
                    </w:rPr>
                  </w:pPr>
                </w:p>
              </w:tc>
              <w:tc>
                <w:tcPr>
                  <w:tcW w:w="882" w:type="pct"/>
                  <w:vAlign w:val="center"/>
                </w:tcPr>
                <w:p>
                  <w:pPr>
                    <w:pStyle w:val="71"/>
                    <w:adjustRightIn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NO</w:t>
                  </w:r>
                  <w:r>
                    <w:rPr>
                      <w:color w:val="000000" w:themeColor="text1"/>
                      <w:sz w:val="21"/>
                      <w:szCs w:val="21"/>
                      <w:vertAlign w:val="subscript"/>
                      <w14:textFill>
                        <w14:solidFill>
                          <w14:schemeClr w14:val="tx1"/>
                        </w14:solidFill>
                      </w14:textFill>
                    </w:rPr>
                    <w:t>X</w:t>
                  </w:r>
                </w:p>
              </w:tc>
              <w:tc>
                <w:tcPr>
                  <w:tcW w:w="865" w:type="pct"/>
                  <w:vAlign w:val="center"/>
                </w:tcPr>
                <w:p>
                  <w:pPr>
                    <w:pStyle w:val="71"/>
                    <w:adjustRightInd w:val="0"/>
                    <w:ind w:firstLine="420"/>
                    <w:rPr>
                      <w:sz w:val="21"/>
                      <w:szCs w:val="21"/>
                    </w:rPr>
                  </w:pPr>
                  <w:r>
                    <w:rPr>
                      <w:rFonts w:hint="eastAsia"/>
                      <w:sz w:val="21"/>
                      <w:szCs w:val="21"/>
                    </w:rPr>
                    <w:t>2</w:t>
                  </w:r>
                  <w:r>
                    <w:rPr>
                      <w:sz w:val="21"/>
                      <w:szCs w:val="21"/>
                    </w:rPr>
                    <w:t>8.12</w:t>
                  </w:r>
                </w:p>
              </w:tc>
              <w:tc>
                <w:tcPr>
                  <w:tcW w:w="976" w:type="pct"/>
                  <w:vAlign w:val="center"/>
                </w:tcPr>
                <w:p>
                  <w:pPr>
                    <w:pStyle w:val="71"/>
                    <w:adjustRightInd w:val="0"/>
                    <w:ind w:firstLine="420"/>
                    <w:rPr>
                      <w:sz w:val="21"/>
                      <w:szCs w:val="21"/>
                    </w:rPr>
                  </w:pPr>
                  <w:r>
                    <w:rPr>
                      <w:rFonts w:hint="eastAsia"/>
                      <w:sz w:val="21"/>
                      <w:szCs w:val="21"/>
                    </w:rPr>
                    <w:t>0</w:t>
                  </w:r>
                  <w:r>
                    <w:rPr>
                      <w:sz w:val="21"/>
                      <w:szCs w:val="21"/>
                    </w:rPr>
                    <w:t>.091</w:t>
                  </w:r>
                </w:p>
              </w:tc>
              <w:tc>
                <w:tcPr>
                  <w:tcW w:w="971" w:type="pct"/>
                  <w:vAlign w:val="center"/>
                </w:tcPr>
                <w:p>
                  <w:pPr>
                    <w:adjustRightInd w:val="0"/>
                    <w:snapToGrid w:val="0"/>
                    <w:jc w:val="center"/>
                    <w:rPr>
                      <w:szCs w:val="21"/>
                    </w:rPr>
                  </w:pPr>
                  <w:r>
                    <w:rPr>
                      <w:rFonts w:hint="eastAsia"/>
                      <w:szCs w:val="21"/>
                    </w:rPr>
                    <w:t>0</w:t>
                  </w:r>
                  <w:r>
                    <w:rPr>
                      <w:szCs w:val="21"/>
                    </w:rPr>
                    <w:t>.08181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237" w:hRule="atLeast"/>
                <w:jc w:val="center"/>
              </w:trPr>
              <w:tc>
                <w:tcPr>
                  <w:tcW w:w="336" w:type="pct"/>
                  <w:vMerge w:val="continue"/>
                  <w:vAlign w:val="center"/>
                </w:tcPr>
                <w:p>
                  <w:pPr>
                    <w:adjustRightInd w:val="0"/>
                    <w:snapToGrid w:val="0"/>
                    <w:jc w:val="center"/>
                    <w:rPr>
                      <w:color w:val="000000"/>
                      <w:szCs w:val="21"/>
                    </w:rPr>
                  </w:pPr>
                </w:p>
              </w:tc>
              <w:tc>
                <w:tcPr>
                  <w:tcW w:w="970" w:type="pct"/>
                  <w:vMerge w:val="continue"/>
                  <w:vAlign w:val="center"/>
                </w:tcPr>
                <w:p>
                  <w:pPr>
                    <w:adjustRightInd w:val="0"/>
                    <w:snapToGrid w:val="0"/>
                    <w:jc w:val="center"/>
                    <w:rPr>
                      <w:color w:val="000000"/>
                      <w:szCs w:val="21"/>
                    </w:rPr>
                  </w:pPr>
                </w:p>
              </w:tc>
              <w:tc>
                <w:tcPr>
                  <w:tcW w:w="882" w:type="pct"/>
                  <w:vAlign w:val="center"/>
                </w:tcPr>
                <w:p>
                  <w:pPr>
                    <w:pStyle w:val="71"/>
                    <w:adjustRightInd w:val="0"/>
                    <w:rPr>
                      <w:color w:val="0000FF"/>
                      <w:sz w:val="21"/>
                      <w:szCs w:val="21"/>
                    </w:rPr>
                  </w:pPr>
                  <w:r>
                    <w:rPr>
                      <w:rFonts w:eastAsia="宋体"/>
                      <w:color w:val="000000" w:themeColor="text1"/>
                      <w:sz w:val="21"/>
                      <w:szCs w:val="21"/>
                      <w14:textFill>
                        <w14:solidFill>
                          <w14:schemeClr w14:val="tx1"/>
                        </w14:solidFill>
                      </w14:textFill>
                    </w:rPr>
                    <w:t>颗粒物</w:t>
                  </w:r>
                </w:p>
              </w:tc>
              <w:tc>
                <w:tcPr>
                  <w:tcW w:w="865" w:type="pct"/>
                  <w:vAlign w:val="center"/>
                </w:tcPr>
                <w:p>
                  <w:pPr>
                    <w:pStyle w:val="71"/>
                    <w:adjustRightInd w:val="0"/>
                    <w:ind w:firstLine="420"/>
                    <w:rPr>
                      <w:color w:val="000000"/>
                      <w:sz w:val="21"/>
                      <w:szCs w:val="21"/>
                    </w:rPr>
                  </w:pPr>
                  <w:r>
                    <w:rPr>
                      <w:color w:val="000000"/>
                      <w:sz w:val="21"/>
                      <w:szCs w:val="21"/>
                    </w:rPr>
                    <w:t>5.568</w:t>
                  </w:r>
                </w:p>
              </w:tc>
              <w:tc>
                <w:tcPr>
                  <w:tcW w:w="976" w:type="pct"/>
                  <w:vAlign w:val="center"/>
                </w:tcPr>
                <w:p>
                  <w:pPr>
                    <w:pStyle w:val="71"/>
                    <w:adjustRightInd w:val="0"/>
                    <w:ind w:firstLine="420"/>
                    <w:rPr>
                      <w:sz w:val="21"/>
                      <w:szCs w:val="21"/>
                    </w:rPr>
                  </w:pPr>
                  <w:r>
                    <w:rPr>
                      <w:sz w:val="21"/>
                      <w:szCs w:val="21"/>
                    </w:rPr>
                    <w:t>0.018</w:t>
                  </w:r>
                </w:p>
              </w:tc>
              <w:tc>
                <w:tcPr>
                  <w:tcW w:w="971" w:type="pct"/>
                  <w:vAlign w:val="center"/>
                </w:tcPr>
                <w:p>
                  <w:pPr>
                    <w:adjustRightInd w:val="0"/>
                    <w:snapToGrid w:val="0"/>
                    <w:jc w:val="center"/>
                    <w:rPr>
                      <w:szCs w:val="21"/>
                    </w:rPr>
                  </w:pPr>
                  <w:r>
                    <w:rPr>
                      <w:rFonts w:hint="eastAsia"/>
                      <w:szCs w:val="21"/>
                    </w:rPr>
                    <w:t>0</w:t>
                  </w:r>
                  <w:r>
                    <w:rPr>
                      <w:szCs w:val="21"/>
                    </w:rPr>
                    <w:t>.0162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237" w:hRule="atLeast"/>
                <w:jc w:val="center"/>
              </w:trPr>
              <w:tc>
                <w:tcPr>
                  <w:tcW w:w="1306" w:type="pct"/>
                  <w:gridSpan w:val="2"/>
                  <w:vMerge w:val="restart"/>
                  <w:vAlign w:val="center"/>
                </w:tcPr>
                <w:p>
                  <w:pPr>
                    <w:adjustRightInd w:val="0"/>
                    <w:snapToGrid w:val="0"/>
                    <w:jc w:val="center"/>
                    <w:rPr>
                      <w:color w:val="000000"/>
                      <w:szCs w:val="21"/>
                    </w:rPr>
                  </w:pPr>
                  <w:r>
                    <w:rPr>
                      <w:color w:val="000000"/>
                      <w:szCs w:val="21"/>
                    </w:rPr>
                    <w:t>主要排放口合计</w:t>
                  </w:r>
                </w:p>
              </w:tc>
              <w:tc>
                <w:tcPr>
                  <w:tcW w:w="2723" w:type="pct"/>
                  <w:gridSpan w:val="3"/>
                  <w:vAlign w:val="center"/>
                </w:tcPr>
                <w:p>
                  <w:pPr>
                    <w:pStyle w:val="71"/>
                    <w:adjustRightInd w:val="0"/>
                    <w:ind w:firstLine="420"/>
                    <w:rPr>
                      <w:color w:val="000000"/>
                      <w:sz w:val="21"/>
                      <w:szCs w:val="21"/>
                    </w:rPr>
                  </w:pPr>
                  <w:r>
                    <w:rPr>
                      <w:rFonts w:hint="eastAsia" w:eastAsia="宋体"/>
                      <w:color w:val="000000" w:themeColor="text1"/>
                      <w:sz w:val="21"/>
                      <w:szCs w:val="21"/>
                      <w14:textFill>
                        <w14:solidFill>
                          <w14:schemeClr w14:val="tx1"/>
                        </w14:solidFill>
                      </w14:textFill>
                    </w:rPr>
                    <w:t>苯乙烯</w:t>
                  </w:r>
                </w:p>
              </w:tc>
              <w:tc>
                <w:tcPr>
                  <w:tcW w:w="971" w:type="pct"/>
                  <w:vAlign w:val="center"/>
                </w:tcPr>
                <w:p>
                  <w:pPr>
                    <w:adjustRightInd w:val="0"/>
                    <w:snapToGrid w:val="0"/>
                    <w:jc w:val="center"/>
                    <w:rPr>
                      <w:bCs/>
                      <w:color w:val="000000"/>
                      <w:szCs w:val="21"/>
                    </w:rPr>
                  </w:pPr>
                  <w:r>
                    <w:rPr>
                      <w:rFonts w:hint="eastAsia"/>
                      <w:szCs w:val="21"/>
                    </w:rPr>
                    <w:t>0</w:t>
                  </w:r>
                  <w:r>
                    <w:rPr>
                      <w:szCs w:val="21"/>
                    </w:rPr>
                    <w:t>.032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142" w:hRule="atLeast"/>
                <w:jc w:val="center"/>
              </w:trPr>
              <w:tc>
                <w:tcPr>
                  <w:tcW w:w="1306" w:type="pct"/>
                  <w:gridSpan w:val="2"/>
                  <w:vMerge w:val="continue"/>
                  <w:vAlign w:val="center"/>
                </w:tcPr>
                <w:p>
                  <w:pPr>
                    <w:jc w:val="center"/>
                    <w:rPr>
                      <w:color w:val="000000"/>
                      <w:szCs w:val="21"/>
                    </w:rPr>
                  </w:pPr>
                </w:p>
              </w:tc>
              <w:tc>
                <w:tcPr>
                  <w:tcW w:w="2723" w:type="pct"/>
                  <w:gridSpan w:val="3"/>
                  <w:vAlign w:val="center"/>
                </w:tcPr>
                <w:p>
                  <w:pPr>
                    <w:pStyle w:val="71"/>
                    <w:adjustRightInd w:val="0"/>
                    <w:ind w:firstLine="420"/>
                    <w:rPr>
                      <w:color w:val="000000"/>
                      <w:sz w:val="21"/>
                      <w:szCs w:val="21"/>
                    </w:rPr>
                  </w:pPr>
                  <w:r>
                    <w:rPr>
                      <w:rFonts w:eastAsia="宋体"/>
                      <w:color w:val="000000"/>
                      <w:kern w:val="0"/>
                      <w:sz w:val="21"/>
                      <w:szCs w:val="21"/>
                    </w:rPr>
                    <w:t>非甲烷总烃</w:t>
                  </w:r>
                </w:p>
              </w:tc>
              <w:tc>
                <w:tcPr>
                  <w:tcW w:w="971" w:type="pct"/>
                  <w:vAlign w:val="center"/>
                </w:tcPr>
                <w:p>
                  <w:pPr>
                    <w:adjustRightInd w:val="0"/>
                    <w:snapToGrid w:val="0"/>
                    <w:jc w:val="center"/>
                    <w:rPr>
                      <w:bCs/>
                      <w:color w:val="000000"/>
                      <w:szCs w:val="21"/>
                    </w:rPr>
                  </w:pPr>
                  <w:r>
                    <w:rPr>
                      <w:rFonts w:hint="eastAsia"/>
                      <w:szCs w:val="21"/>
                    </w:rPr>
                    <w:t>0</w:t>
                  </w:r>
                  <w:r>
                    <w:rPr>
                      <w:szCs w:val="21"/>
                    </w:rPr>
                    <w:t>.373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142" w:hRule="atLeast"/>
                <w:jc w:val="center"/>
              </w:trPr>
              <w:tc>
                <w:tcPr>
                  <w:tcW w:w="1306" w:type="pct"/>
                  <w:gridSpan w:val="2"/>
                  <w:vMerge w:val="continue"/>
                  <w:vAlign w:val="center"/>
                </w:tcPr>
                <w:p>
                  <w:pPr>
                    <w:jc w:val="center"/>
                    <w:rPr>
                      <w:color w:val="000000"/>
                      <w:szCs w:val="21"/>
                    </w:rPr>
                  </w:pPr>
                </w:p>
              </w:tc>
              <w:tc>
                <w:tcPr>
                  <w:tcW w:w="2723" w:type="pct"/>
                  <w:gridSpan w:val="3"/>
                  <w:vAlign w:val="center"/>
                </w:tcPr>
                <w:p>
                  <w:pPr>
                    <w:pStyle w:val="71"/>
                    <w:adjustRightInd w:val="0"/>
                    <w:ind w:firstLine="420"/>
                    <w:rPr>
                      <w:rFonts w:eastAsia="宋体"/>
                      <w:color w:val="000000"/>
                      <w:kern w:val="0"/>
                      <w:sz w:val="21"/>
                      <w:szCs w:val="21"/>
                    </w:rPr>
                  </w:pPr>
                  <w:r>
                    <w:rPr>
                      <w:rFonts w:hint="eastAsia" w:eastAsia="宋体"/>
                      <w:color w:val="000000"/>
                      <w:kern w:val="0"/>
                      <w:sz w:val="21"/>
                      <w:szCs w:val="21"/>
                    </w:rPr>
                    <w:t>颗粒物</w:t>
                  </w:r>
                </w:p>
              </w:tc>
              <w:tc>
                <w:tcPr>
                  <w:tcW w:w="971" w:type="pct"/>
                  <w:vAlign w:val="center"/>
                </w:tcPr>
                <w:p>
                  <w:pPr>
                    <w:adjustRightInd w:val="0"/>
                    <w:snapToGrid w:val="0"/>
                    <w:jc w:val="center"/>
                    <w:rPr>
                      <w:bCs/>
                      <w:color w:val="000000"/>
                      <w:szCs w:val="21"/>
                    </w:rPr>
                  </w:pPr>
                  <w:r>
                    <w:rPr>
                      <w:rFonts w:hint="eastAsia"/>
                      <w:bCs/>
                      <w:color w:val="000000"/>
                      <w:szCs w:val="21"/>
                    </w:rPr>
                    <w:t>0</w:t>
                  </w:r>
                  <w:r>
                    <w:rPr>
                      <w:bCs/>
                      <w:color w:val="000000"/>
                      <w:szCs w:val="21"/>
                    </w:rPr>
                    <w:t>.0742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142" w:hRule="atLeast"/>
                <w:jc w:val="center"/>
              </w:trPr>
              <w:tc>
                <w:tcPr>
                  <w:tcW w:w="1306" w:type="pct"/>
                  <w:gridSpan w:val="2"/>
                  <w:vMerge w:val="continue"/>
                  <w:vAlign w:val="center"/>
                </w:tcPr>
                <w:p>
                  <w:pPr>
                    <w:jc w:val="center"/>
                    <w:rPr>
                      <w:color w:val="000000"/>
                      <w:szCs w:val="21"/>
                    </w:rPr>
                  </w:pPr>
                </w:p>
              </w:tc>
              <w:tc>
                <w:tcPr>
                  <w:tcW w:w="2723" w:type="pct"/>
                  <w:gridSpan w:val="3"/>
                  <w:vAlign w:val="center"/>
                </w:tcPr>
                <w:p>
                  <w:pPr>
                    <w:pStyle w:val="71"/>
                    <w:adjustRightInd w:val="0"/>
                    <w:ind w:firstLine="420"/>
                    <w:rPr>
                      <w:rFonts w:eastAsia="宋体"/>
                      <w:color w:val="000000"/>
                      <w:kern w:val="0"/>
                      <w:sz w:val="21"/>
                      <w:szCs w:val="21"/>
                    </w:rPr>
                  </w:pPr>
                  <w:r>
                    <w:rPr>
                      <w:color w:val="000000" w:themeColor="text1"/>
                      <w:sz w:val="21"/>
                      <w:szCs w:val="21"/>
                      <w14:textFill>
                        <w14:solidFill>
                          <w14:schemeClr w14:val="tx1"/>
                        </w14:solidFill>
                      </w14:textFill>
                    </w:rPr>
                    <w:t>SO</w:t>
                  </w:r>
                  <w:r>
                    <w:rPr>
                      <w:color w:val="000000" w:themeColor="text1"/>
                      <w:sz w:val="21"/>
                      <w:szCs w:val="21"/>
                      <w:vertAlign w:val="subscript"/>
                      <w14:textFill>
                        <w14:solidFill>
                          <w14:schemeClr w14:val="tx1"/>
                        </w14:solidFill>
                      </w14:textFill>
                    </w:rPr>
                    <w:t>2</w:t>
                  </w:r>
                </w:p>
              </w:tc>
              <w:tc>
                <w:tcPr>
                  <w:tcW w:w="971" w:type="pct"/>
                  <w:vAlign w:val="center"/>
                </w:tcPr>
                <w:p>
                  <w:pPr>
                    <w:adjustRightInd w:val="0"/>
                    <w:snapToGrid w:val="0"/>
                    <w:jc w:val="center"/>
                    <w:rPr>
                      <w:bCs/>
                      <w:color w:val="000000"/>
                      <w:szCs w:val="21"/>
                    </w:rPr>
                  </w:pPr>
                  <w:r>
                    <w:rPr>
                      <w:rFonts w:hint="eastAsia"/>
                      <w:szCs w:val="21"/>
                    </w:rPr>
                    <w:t>0</w:t>
                  </w:r>
                  <w:r>
                    <w:rPr>
                      <w:szCs w:val="21"/>
                    </w:rPr>
                    <w:t>.027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142" w:hRule="atLeast"/>
                <w:jc w:val="center"/>
              </w:trPr>
              <w:tc>
                <w:tcPr>
                  <w:tcW w:w="1306" w:type="pct"/>
                  <w:gridSpan w:val="2"/>
                  <w:vMerge w:val="continue"/>
                  <w:vAlign w:val="center"/>
                </w:tcPr>
                <w:p>
                  <w:pPr>
                    <w:jc w:val="center"/>
                    <w:rPr>
                      <w:color w:val="000000"/>
                      <w:szCs w:val="21"/>
                    </w:rPr>
                  </w:pPr>
                </w:p>
              </w:tc>
              <w:tc>
                <w:tcPr>
                  <w:tcW w:w="2723" w:type="pct"/>
                  <w:gridSpan w:val="3"/>
                  <w:vAlign w:val="center"/>
                </w:tcPr>
                <w:p>
                  <w:pPr>
                    <w:pStyle w:val="71"/>
                    <w:adjustRightInd w:val="0"/>
                    <w:ind w:firstLine="420"/>
                    <w:rPr>
                      <w:rFonts w:eastAsia="宋体"/>
                      <w:color w:val="000000"/>
                      <w:kern w:val="0"/>
                      <w:sz w:val="21"/>
                      <w:szCs w:val="21"/>
                    </w:rPr>
                  </w:pPr>
                  <w:r>
                    <w:rPr>
                      <w:color w:val="000000" w:themeColor="text1"/>
                      <w:sz w:val="21"/>
                      <w:szCs w:val="21"/>
                      <w14:textFill>
                        <w14:solidFill>
                          <w14:schemeClr w14:val="tx1"/>
                        </w14:solidFill>
                      </w14:textFill>
                    </w:rPr>
                    <w:t>NO</w:t>
                  </w:r>
                  <w:r>
                    <w:rPr>
                      <w:color w:val="000000" w:themeColor="text1"/>
                      <w:sz w:val="21"/>
                      <w:szCs w:val="21"/>
                      <w:vertAlign w:val="subscript"/>
                      <w14:textFill>
                        <w14:solidFill>
                          <w14:schemeClr w14:val="tx1"/>
                        </w14:solidFill>
                      </w14:textFill>
                    </w:rPr>
                    <w:t>X</w:t>
                  </w:r>
                </w:p>
              </w:tc>
              <w:tc>
                <w:tcPr>
                  <w:tcW w:w="971" w:type="pct"/>
                  <w:vAlign w:val="center"/>
                </w:tcPr>
                <w:p>
                  <w:pPr>
                    <w:adjustRightInd w:val="0"/>
                    <w:snapToGrid w:val="0"/>
                    <w:jc w:val="center"/>
                    <w:rPr>
                      <w:bCs/>
                      <w:color w:val="000000"/>
                      <w:szCs w:val="21"/>
                    </w:rPr>
                  </w:pPr>
                  <w:r>
                    <w:rPr>
                      <w:rFonts w:hint="eastAsia"/>
                      <w:szCs w:val="21"/>
                    </w:rPr>
                    <w:t>0</w:t>
                  </w:r>
                  <w:r>
                    <w:rPr>
                      <w:szCs w:val="21"/>
                    </w:rPr>
                    <w:t>.08181</w:t>
                  </w:r>
                </w:p>
              </w:tc>
            </w:tr>
          </w:tbl>
          <w:p>
            <w:pPr>
              <w:spacing w:before="156" w:beforeLines="50" w:line="360" w:lineRule="auto"/>
              <w:jc w:val="center"/>
              <w:rPr>
                <w:b/>
                <w:bCs/>
                <w:kern w:val="0"/>
                <w:sz w:val="24"/>
              </w:rPr>
            </w:pPr>
            <w:r>
              <w:rPr>
                <w:rFonts w:hint="eastAsia"/>
                <w:b/>
                <w:bCs/>
                <w:kern w:val="0"/>
                <w:sz w:val="24"/>
              </w:rPr>
              <w:t>表</w:t>
            </w:r>
            <w:r>
              <w:rPr>
                <w:b/>
                <w:bCs/>
                <w:kern w:val="0"/>
                <w:sz w:val="24"/>
              </w:rPr>
              <w:t>7</w:t>
            </w:r>
            <w:r>
              <w:rPr>
                <w:rFonts w:hint="eastAsia"/>
                <w:b/>
                <w:bCs/>
                <w:kern w:val="0"/>
                <w:sz w:val="24"/>
              </w:rPr>
              <w:t>-</w:t>
            </w:r>
            <w:r>
              <w:rPr>
                <w:b/>
                <w:bCs/>
                <w:kern w:val="0"/>
                <w:sz w:val="24"/>
              </w:rPr>
              <w:t xml:space="preserve">10 </w:t>
            </w:r>
            <w:r>
              <w:rPr>
                <w:rFonts w:hint="eastAsia"/>
                <w:b/>
                <w:bCs/>
                <w:kern w:val="0"/>
                <w:sz w:val="24"/>
              </w:rPr>
              <w:t xml:space="preserve">  本项目正常工况大气污染物无组织排放量</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1" w:type="dxa"/>
                <w:bottom w:w="0" w:type="dxa"/>
                <w:right w:w="11" w:type="dxa"/>
              </w:tblCellMar>
            </w:tblPr>
            <w:tblGrid>
              <w:gridCol w:w="458"/>
              <w:gridCol w:w="1129"/>
              <w:gridCol w:w="908"/>
              <w:gridCol w:w="682"/>
              <w:gridCol w:w="1738"/>
              <w:gridCol w:w="1749"/>
              <w:gridCol w:w="1113"/>
              <w:gridCol w:w="10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04" w:hRule="atLeast"/>
                <w:jc w:val="center"/>
              </w:trPr>
              <w:tc>
                <w:tcPr>
                  <w:tcW w:w="265" w:type="pct"/>
                  <w:vMerge w:val="restart"/>
                  <w:shd w:val="clear" w:color="auto" w:fill="auto"/>
                  <w:vAlign w:val="center"/>
                </w:tcPr>
                <w:p>
                  <w:pPr>
                    <w:adjustRightInd w:val="0"/>
                    <w:snapToGrid w:val="0"/>
                    <w:jc w:val="center"/>
                    <w:rPr>
                      <w:bCs/>
                      <w:color w:val="000000"/>
                      <w:szCs w:val="21"/>
                    </w:rPr>
                  </w:pPr>
                  <w:r>
                    <w:rPr>
                      <w:bCs/>
                      <w:color w:val="000000"/>
                      <w:szCs w:val="21"/>
                    </w:rPr>
                    <w:t>序号</w:t>
                  </w:r>
                </w:p>
              </w:tc>
              <w:tc>
                <w:tcPr>
                  <w:tcW w:w="645" w:type="pct"/>
                  <w:vMerge w:val="restart"/>
                  <w:shd w:val="clear" w:color="auto" w:fill="auto"/>
                  <w:vAlign w:val="center"/>
                </w:tcPr>
                <w:p>
                  <w:pPr>
                    <w:adjustRightInd w:val="0"/>
                    <w:snapToGrid w:val="0"/>
                    <w:jc w:val="center"/>
                    <w:rPr>
                      <w:bCs/>
                      <w:color w:val="000000"/>
                      <w:szCs w:val="21"/>
                    </w:rPr>
                  </w:pPr>
                  <w:r>
                    <w:rPr>
                      <w:bCs/>
                      <w:color w:val="000000"/>
                      <w:szCs w:val="21"/>
                    </w:rPr>
                    <w:t>排放口编号</w:t>
                  </w:r>
                </w:p>
              </w:tc>
              <w:tc>
                <w:tcPr>
                  <w:tcW w:w="520" w:type="pct"/>
                  <w:vMerge w:val="restart"/>
                  <w:shd w:val="clear" w:color="auto" w:fill="auto"/>
                  <w:vAlign w:val="center"/>
                </w:tcPr>
                <w:p>
                  <w:pPr>
                    <w:adjustRightInd w:val="0"/>
                    <w:snapToGrid w:val="0"/>
                    <w:jc w:val="center"/>
                    <w:rPr>
                      <w:bCs/>
                      <w:color w:val="000000"/>
                      <w:szCs w:val="21"/>
                    </w:rPr>
                  </w:pPr>
                  <w:r>
                    <w:rPr>
                      <w:bCs/>
                      <w:color w:val="000000"/>
                      <w:szCs w:val="21"/>
                    </w:rPr>
                    <w:t>产污环节</w:t>
                  </w:r>
                </w:p>
              </w:tc>
              <w:tc>
                <w:tcPr>
                  <w:tcW w:w="392" w:type="pct"/>
                  <w:vMerge w:val="restart"/>
                  <w:shd w:val="clear" w:color="auto" w:fill="auto"/>
                  <w:vAlign w:val="center"/>
                </w:tcPr>
                <w:p>
                  <w:pPr>
                    <w:adjustRightInd w:val="0"/>
                    <w:snapToGrid w:val="0"/>
                    <w:jc w:val="center"/>
                    <w:rPr>
                      <w:bCs/>
                      <w:color w:val="000000"/>
                      <w:szCs w:val="21"/>
                    </w:rPr>
                  </w:pPr>
                  <w:r>
                    <w:rPr>
                      <w:bCs/>
                      <w:color w:val="000000"/>
                      <w:szCs w:val="21"/>
                    </w:rPr>
                    <w:t>污染物</w:t>
                  </w:r>
                </w:p>
              </w:tc>
              <w:tc>
                <w:tcPr>
                  <w:tcW w:w="990" w:type="pct"/>
                  <w:vMerge w:val="restart"/>
                  <w:shd w:val="clear" w:color="auto" w:fill="auto"/>
                  <w:vAlign w:val="center"/>
                </w:tcPr>
                <w:p>
                  <w:pPr>
                    <w:adjustRightInd w:val="0"/>
                    <w:snapToGrid w:val="0"/>
                    <w:jc w:val="center"/>
                    <w:rPr>
                      <w:bCs/>
                      <w:color w:val="000000"/>
                      <w:szCs w:val="21"/>
                    </w:rPr>
                  </w:pPr>
                  <w:r>
                    <w:rPr>
                      <w:bCs/>
                      <w:color w:val="000000"/>
                      <w:szCs w:val="21"/>
                    </w:rPr>
                    <w:t>主要污染防治措施</w:t>
                  </w:r>
                </w:p>
              </w:tc>
              <w:tc>
                <w:tcPr>
                  <w:tcW w:w="1588" w:type="pct"/>
                  <w:gridSpan w:val="2"/>
                  <w:shd w:val="clear" w:color="auto" w:fill="auto"/>
                  <w:vAlign w:val="center"/>
                </w:tcPr>
                <w:p>
                  <w:pPr>
                    <w:adjustRightInd w:val="0"/>
                    <w:snapToGrid w:val="0"/>
                    <w:jc w:val="center"/>
                    <w:rPr>
                      <w:bCs/>
                      <w:color w:val="000000"/>
                      <w:szCs w:val="21"/>
                    </w:rPr>
                  </w:pPr>
                  <w:r>
                    <w:rPr>
                      <w:bCs/>
                      <w:color w:val="000000"/>
                      <w:szCs w:val="21"/>
                    </w:rPr>
                    <w:t>污染物排放标准</w:t>
                  </w:r>
                </w:p>
              </w:tc>
              <w:tc>
                <w:tcPr>
                  <w:tcW w:w="600" w:type="pct"/>
                  <w:vMerge w:val="restart"/>
                  <w:shd w:val="clear" w:color="auto" w:fill="auto"/>
                  <w:vAlign w:val="center"/>
                </w:tcPr>
                <w:p>
                  <w:pPr>
                    <w:adjustRightInd w:val="0"/>
                    <w:snapToGrid w:val="0"/>
                    <w:jc w:val="center"/>
                    <w:rPr>
                      <w:bCs/>
                      <w:color w:val="000000"/>
                      <w:szCs w:val="21"/>
                    </w:rPr>
                  </w:pPr>
                  <w:r>
                    <w:rPr>
                      <w:bCs/>
                      <w:color w:val="000000"/>
                      <w:szCs w:val="21"/>
                    </w:rPr>
                    <w:t>核算年排放量</w:t>
                  </w:r>
                </w:p>
                <w:p>
                  <w:pPr>
                    <w:adjustRightInd w:val="0"/>
                    <w:snapToGrid w:val="0"/>
                    <w:jc w:val="center"/>
                    <w:rPr>
                      <w:bCs/>
                      <w:color w:val="000000"/>
                      <w:szCs w:val="21"/>
                    </w:rPr>
                  </w:pPr>
                  <w:r>
                    <w:rPr>
                      <w:bCs/>
                      <w:color w:val="000000"/>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141" w:hRule="atLeast"/>
                <w:jc w:val="center"/>
              </w:trPr>
              <w:tc>
                <w:tcPr>
                  <w:tcW w:w="265" w:type="pct"/>
                  <w:vMerge w:val="continue"/>
                  <w:shd w:val="clear" w:color="auto" w:fill="auto"/>
                  <w:vAlign w:val="center"/>
                </w:tcPr>
                <w:p>
                  <w:pPr>
                    <w:jc w:val="center"/>
                    <w:rPr>
                      <w:bCs/>
                      <w:color w:val="000000"/>
                      <w:szCs w:val="21"/>
                    </w:rPr>
                  </w:pPr>
                </w:p>
              </w:tc>
              <w:tc>
                <w:tcPr>
                  <w:tcW w:w="645" w:type="pct"/>
                  <w:vMerge w:val="continue"/>
                  <w:shd w:val="clear" w:color="auto" w:fill="auto"/>
                  <w:vAlign w:val="center"/>
                </w:tcPr>
                <w:p>
                  <w:pPr>
                    <w:jc w:val="center"/>
                    <w:rPr>
                      <w:bCs/>
                      <w:color w:val="000000"/>
                      <w:szCs w:val="21"/>
                    </w:rPr>
                  </w:pPr>
                </w:p>
              </w:tc>
              <w:tc>
                <w:tcPr>
                  <w:tcW w:w="520" w:type="pct"/>
                  <w:vMerge w:val="continue"/>
                  <w:shd w:val="clear" w:color="auto" w:fill="auto"/>
                  <w:vAlign w:val="center"/>
                </w:tcPr>
                <w:p>
                  <w:pPr>
                    <w:jc w:val="center"/>
                    <w:rPr>
                      <w:bCs/>
                      <w:color w:val="000000"/>
                      <w:szCs w:val="21"/>
                    </w:rPr>
                  </w:pPr>
                </w:p>
              </w:tc>
              <w:tc>
                <w:tcPr>
                  <w:tcW w:w="392" w:type="pct"/>
                  <w:vMerge w:val="continue"/>
                  <w:shd w:val="clear" w:color="auto" w:fill="auto"/>
                  <w:vAlign w:val="center"/>
                </w:tcPr>
                <w:p>
                  <w:pPr>
                    <w:jc w:val="center"/>
                    <w:rPr>
                      <w:bCs/>
                      <w:color w:val="000000"/>
                      <w:szCs w:val="21"/>
                    </w:rPr>
                  </w:pPr>
                </w:p>
              </w:tc>
              <w:tc>
                <w:tcPr>
                  <w:tcW w:w="990" w:type="pct"/>
                  <w:vMerge w:val="continue"/>
                  <w:shd w:val="clear" w:color="auto" w:fill="auto"/>
                  <w:vAlign w:val="center"/>
                </w:tcPr>
                <w:p>
                  <w:pPr>
                    <w:jc w:val="center"/>
                    <w:rPr>
                      <w:bCs/>
                      <w:color w:val="000000"/>
                      <w:szCs w:val="21"/>
                    </w:rPr>
                  </w:pPr>
                </w:p>
              </w:tc>
              <w:tc>
                <w:tcPr>
                  <w:tcW w:w="952" w:type="pct"/>
                  <w:shd w:val="clear" w:color="auto" w:fill="auto"/>
                  <w:vAlign w:val="center"/>
                </w:tcPr>
                <w:p>
                  <w:pPr>
                    <w:adjustRightInd w:val="0"/>
                    <w:snapToGrid w:val="0"/>
                    <w:jc w:val="center"/>
                    <w:rPr>
                      <w:bCs/>
                      <w:color w:val="000000"/>
                      <w:szCs w:val="21"/>
                    </w:rPr>
                  </w:pPr>
                  <w:r>
                    <w:rPr>
                      <w:bCs/>
                      <w:color w:val="000000"/>
                      <w:szCs w:val="21"/>
                    </w:rPr>
                    <w:t>标准名称</w:t>
                  </w:r>
                </w:p>
              </w:tc>
              <w:tc>
                <w:tcPr>
                  <w:tcW w:w="636" w:type="pct"/>
                  <w:shd w:val="clear" w:color="auto" w:fill="auto"/>
                  <w:vAlign w:val="center"/>
                </w:tcPr>
                <w:p>
                  <w:pPr>
                    <w:adjustRightInd w:val="0"/>
                    <w:snapToGrid w:val="0"/>
                    <w:jc w:val="center"/>
                    <w:rPr>
                      <w:bCs/>
                      <w:color w:val="000000"/>
                      <w:szCs w:val="21"/>
                    </w:rPr>
                  </w:pPr>
                  <w:r>
                    <w:rPr>
                      <w:bCs/>
                      <w:color w:val="000000"/>
                      <w:szCs w:val="21"/>
                    </w:rPr>
                    <w:t>浓度限值</w:t>
                  </w:r>
                </w:p>
                <w:p>
                  <w:pPr>
                    <w:adjustRightInd w:val="0"/>
                    <w:snapToGrid w:val="0"/>
                    <w:jc w:val="center"/>
                    <w:rPr>
                      <w:bCs/>
                      <w:color w:val="000000"/>
                      <w:szCs w:val="21"/>
                    </w:rPr>
                  </w:pPr>
                  <w:r>
                    <w:rPr>
                      <w:bCs/>
                      <w:color w:val="000000"/>
                      <w:szCs w:val="21"/>
                    </w:rPr>
                    <w:t>（mg/m</w:t>
                  </w:r>
                  <w:r>
                    <w:rPr>
                      <w:bCs/>
                      <w:color w:val="000000"/>
                      <w:szCs w:val="21"/>
                      <w:vertAlign w:val="superscript"/>
                    </w:rPr>
                    <w:t>3</w:t>
                  </w:r>
                  <w:r>
                    <w:rPr>
                      <w:bCs/>
                      <w:color w:val="000000"/>
                      <w:szCs w:val="21"/>
                    </w:rPr>
                    <w:t>）</w:t>
                  </w:r>
                </w:p>
              </w:tc>
              <w:tc>
                <w:tcPr>
                  <w:tcW w:w="600" w:type="pct"/>
                  <w:vMerge w:val="continue"/>
                  <w:shd w:val="clear" w:color="auto" w:fill="auto"/>
                  <w:vAlign w:val="center"/>
                </w:tcPr>
                <w:p>
                  <w:pPr>
                    <w:jc w:val="center"/>
                    <w:rPr>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275" w:hRule="atLeast"/>
                <w:jc w:val="center"/>
              </w:trPr>
              <w:tc>
                <w:tcPr>
                  <w:tcW w:w="265" w:type="pct"/>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645" w:type="pct"/>
                  <w:vMerge w:val="restart"/>
                  <w:vAlign w:val="center"/>
                </w:tcPr>
                <w:p>
                  <w:pPr>
                    <w:pStyle w:val="72"/>
                    <w:adjustRightInd w:val="0"/>
                    <w:snapToGrid w:val="0"/>
                    <w:spacing w:line="240" w:lineRule="auto"/>
                    <w:ind w:firstLine="42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车间</w:t>
                  </w:r>
                </w:p>
              </w:tc>
              <w:tc>
                <w:tcPr>
                  <w:tcW w:w="520" w:type="pct"/>
                  <w:vMerge w:val="restart"/>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发泡、挤出、热切、熔边工序</w:t>
                  </w:r>
                </w:p>
              </w:tc>
              <w:tc>
                <w:tcPr>
                  <w:tcW w:w="392" w:type="pc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苯乙烯</w:t>
                  </w:r>
                </w:p>
              </w:tc>
              <w:tc>
                <w:tcPr>
                  <w:tcW w:w="990" w:type="pct"/>
                  <w:vMerge w:val="restart"/>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密闭厂房</w:t>
                  </w:r>
                </w:p>
              </w:tc>
              <w:tc>
                <w:tcPr>
                  <w:tcW w:w="952" w:type="pc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636" w:type="pc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600" w:type="pc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534" w:hRule="atLeast"/>
                <w:jc w:val="center"/>
              </w:trPr>
              <w:tc>
                <w:tcPr>
                  <w:tcW w:w="265" w:type="pc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645" w:type="pct"/>
                  <w:vMerge w:val="continue"/>
                  <w:vAlign w:val="center"/>
                </w:tcPr>
                <w:p>
                  <w:pPr>
                    <w:pStyle w:val="72"/>
                    <w:adjustRightInd w:val="0"/>
                    <w:snapToGrid w:val="0"/>
                    <w:spacing w:line="240" w:lineRule="auto"/>
                    <w:ind w:firstLine="420"/>
                    <w:jc w:val="center"/>
                    <w:rPr>
                      <w:rFonts w:ascii="Times New Roman" w:hAnsi="Times New Roman"/>
                      <w:color w:val="000000" w:themeColor="text1"/>
                      <w:sz w:val="21"/>
                      <w:szCs w:val="21"/>
                      <w14:textFill>
                        <w14:solidFill>
                          <w14:schemeClr w14:val="tx1"/>
                        </w14:solidFill>
                      </w14:textFill>
                    </w:rPr>
                  </w:pPr>
                </w:p>
              </w:tc>
              <w:tc>
                <w:tcPr>
                  <w:tcW w:w="520" w:type="pct"/>
                  <w:vMerge w:val="continue"/>
                  <w:vAlign w:val="center"/>
                </w:tcPr>
                <w:p>
                  <w:pPr>
                    <w:adjustRightInd w:val="0"/>
                    <w:snapToGrid w:val="0"/>
                    <w:jc w:val="center"/>
                    <w:rPr>
                      <w:color w:val="000000" w:themeColor="text1"/>
                      <w:szCs w:val="21"/>
                      <w14:textFill>
                        <w14:solidFill>
                          <w14:schemeClr w14:val="tx1"/>
                        </w14:solidFill>
                      </w14:textFill>
                    </w:rPr>
                  </w:pPr>
                </w:p>
              </w:tc>
              <w:tc>
                <w:tcPr>
                  <w:tcW w:w="392" w:type="pc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非甲烷总烃</w:t>
                  </w:r>
                </w:p>
              </w:tc>
              <w:tc>
                <w:tcPr>
                  <w:tcW w:w="990" w:type="pct"/>
                  <w:vMerge w:val="continue"/>
                  <w:vAlign w:val="center"/>
                </w:tcPr>
                <w:p>
                  <w:pPr>
                    <w:adjustRightInd w:val="0"/>
                    <w:snapToGrid w:val="0"/>
                    <w:jc w:val="center"/>
                    <w:rPr>
                      <w:color w:val="000000" w:themeColor="text1"/>
                      <w:szCs w:val="21"/>
                      <w14:textFill>
                        <w14:solidFill>
                          <w14:schemeClr w14:val="tx1"/>
                        </w14:solidFill>
                      </w14:textFill>
                    </w:rPr>
                  </w:pPr>
                </w:p>
              </w:tc>
              <w:tc>
                <w:tcPr>
                  <w:tcW w:w="952" w:type="pct"/>
                  <w:vMerge w:val="restar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《合成树脂工业污染物排放标准》（GB31572-2015）</w:t>
                  </w:r>
                </w:p>
              </w:tc>
              <w:tc>
                <w:tcPr>
                  <w:tcW w:w="636" w:type="pc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.0</w:t>
                  </w:r>
                </w:p>
              </w:tc>
              <w:tc>
                <w:tcPr>
                  <w:tcW w:w="600" w:type="pc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.196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1104" w:hRule="atLeast"/>
                <w:jc w:val="center"/>
              </w:trPr>
              <w:tc>
                <w:tcPr>
                  <w:tcW w:w="265" w:type="pct"/>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645" w:type="pct"/>
                  <w:vMerge w:val="continue"/>
                  <w:vAlign w:val="center"/>
                </w:tcPr>
                <w:p>
                  <w:pPr>
                    <w:pStyle w:val="72"/>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520" w:type="pc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修整、开凿、切割、破碎</w:t>
                  </w:r>
                </w:p>
              </w:tc>
              <w:tc>
                <w:tcPr>
                  <w:tcW w:w="392" w:type="pc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颗粒物</w:t>
                  </w:r>
                </w:p>
              </w:tc>
              <w:tc>
                <w:tcPr>
                  <w:tcW w:w="990" w:type="pct"/>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密闭厂房</w:t>
                  </w:r>
                </w:p>
              </w:tc>
              <w:tc>
                <w:tcPr>
                  <w:tcW w:w="952" w:type="pct"/>
                  <w:vMerge w:val="continue"/>
                  <w:vAlign w:val="center"/>
                </w:tcPr>
                <w:p>
                  <w:pPr>
                    <w:adjustRightInd w:val="0"/>
                    <w:snapToGrid w:val="0"/>
                    <w:jc w:val="center"/>
                    <w:rPr>
                      <w:color w:val="000000" w:themeColor="text1"/>
                      <w:szCs w:val="21"/>
                      <w14:textFill>
                        <w14:solidFill>
                          <w14:schemeClr w14:val="tx1"/>
                        </w14:solidFill>
                      </w14:textFill>
                    </w:rPr>
                  </w:pPr>
                </w:p>
              </w:tc>
              <w:tc>
                <w:tcPr>
                  <w:tcW w:w="636" w:type="pct"/>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600" w:type="pc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.307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294" w:hRule="atLeast"/>
                <w:jc w:val="center"/>
              </w:trPr>
              <w:tc>
                <w:tcPr>
                  <w:tcW w:w="5000" w:type="pct"/>
                  <w:gridSpan w:val="8"/>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无组织排放总计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284" w:hRule="atLeast"/>
                <w:jc w:val="center"/>
              </w:trPr>
              <w:tc>
                <w:tcPr>
                  <w:tcW w:w="1430" w:type="pct"/>
                  <w:gridSpan w:val="3"/>
                  <w:vMerge w:val="restart"/>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无组织排放总计</w:t>
                  </w:r>
                </w:p>
              </w:tc>
              <w:tc>
                <w:tcPr>
                  <w:tcW w:w="2970" w:type="pct"/>
                  <w:gridSpan w:val="4"/>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苯乙烯</w:t>
                  </w:r>
                </w:p>
              </w:tc>
              <w:tc>
                <w:tcPr>
                  <w:tcW w:w="600" w:type="pc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284" w:hRule="atLeast"/>
                <w:jc w:val="center"/>
              </w:trPr>
              <w:tc>
                <w:tcPr>
                  <w:tcW w:w="1430" w:type="pct"/>
                  <w:gridSpan w:val="3"/>
                  <w:vMerge w:val="continue"/>
                  <w:vAlign w:val="center"/>
                </w:tcPr>
                <w:p>
                  <w:pPr>
                    <w:adjustRightInd w:val="0"/>
                    <w:snapToGrid w:val="0"/>
                    <w:jc w:val="center"/>
                    <w:rPr>
                      <w:color w:val="000000" w:themeColor="text1"/>
                      <w:szCs w:val="21"/>
                      <w14:textFill>
                        <w14:solidFill>
                          <w14:schemeClr w14:val="tx1"/>
                        </w14:solidFill>
                      </w14:textFill>
                    </w:rPr>
                  </w:pPr>
                </w:p>
              </w:tc>
              <w:tc>
                <w:tcPr>
                  <w:tcW w:w="2970" w:type="pct"/>
                  <w:gridSpan w:val="4"/>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非甲烷总烃</w:t>
                  </w:r>
                </w:p>
              </w:tc>
              <w:tc>
                <w:tcPr>
                  <w:tcW w:w="600" w:type="pc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.196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284" w:hRule="atLeast"/>
                <w:jc w:val="center"/>
              </w:trPr>
              <w:tc>
                <w:tcPr>
                  <w:tcW w:w="1430" w:type="pct"/>
                  <w:gridSpan w:val="3"/>
                  <w:vMerge w:val="continue"/>
                  <w:vAlign w:val="center"/>
                </w:tcPr>
                <w:p>
                  <w:pPr>
                    <w:adjustRightInd w:val="0"/>
                    <w:snapToGrid w:val="0"/>
                    <w:jc w:val="center"/>
                    <w:rPr>
                      <w:color w:val="000000" w:themeColor="text1"/>
                      <w:szCs w:val="21"/>
                      <w14:textFill>
                        <w14:solidFill>
                          <w14:schemeClr w14:val="tx1"/>
                        </w14:solidFill>
                      </w14:textFill>
                    </w:rPr>
                  </w:pPr>
                </w:p>
              </w:tc>
              <w:tc>
                <w:tcPr>
                  <w:tcW w:w="2970" w:type="pct"/>
                  <w:gridSpan w:val="4"/>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颗粒物</w:t>
                  </w:r>
                </w:p>
              </w:tc>
              <w:tc>
                <w:tcPr>
                  <w:tcW w:w="600" w:type="pc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.307</w:t>
                  </w:r>
                </w:p>
              </w:tc>
            </w:tr>
          </w:tbl>
          <w:p>
            <w:pPr>
              <w:spacing w:before="156" w:beforeLines="50" w:line="360" w:lineRule="auto"/>
              <w:jc w:val="center"/>
              <w:rPr>
                <w:b/>
                <w:bCs/>
                <w:kern w:val="0"/>
                <w:sz w:val="24"/>
              </w:rPr>
            </w:pPr>
            <w:r>
              <w:rPr>
                <w:rFonts w:hint="eastAsia"/>
                <w:b/>
                <w:bCs/>
                <w:kern w:val="0"/>
                <w:sz w:val="24"/>
              </w:rPr>
              <w:t>表</w:t>
            </w:r>
            <w:r>
              <w:rPr>
                <w:b/>
                <w:bCs/>
                <w:kern w:val="0"/>
                <w:sz w:val="24"/>
              </w:rPr>
              <w:t>7</w:t>
            </w:r>
            <w:r>
              <w:rPr>
                <w:rFonts w:hint="eastAsia"/>
                <w:b/>
                <w:bCs/>
                <w:kern w:val="0"/>
                <w:sz w:val="24"/>
              </w:rPr>
              <w:t>-</w:t>
            </w:r>
            <w:r>
              <w:rPr>
                <w:b/>
                <w:bCs/>
                <w:kern w:val="0"/>
                <w:sz w:val="24"/>
              </w:rPr>
              <w:t xml:space="preserve">11 </w:t>
            </w:r>
            <w:r>
              <w:rPr>
                <w:rFonts w:hint="eastAsia"/>
                <w:b/>
                <w:bCs/>
                <w:kern w:val="0"/>
                <w:sz w:val="24"/>
              </w:rPr>
              <w:t xml:space="preserve">  本项目大气污染物年排放量核算表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1" w:type="dxa"/>
                <w:bottom w:w="0" w:type="dxa"/>
                <w:right w:w="11" w:type="dxa"/>
              </w:tblCellMar>
            </w:tblPr>
            <w:tblGrid>
              <w:gridCol w:w="2940"/>
              <w:gridCol w:w="2943"/>
              <w:gridCol w:w="29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236" w:hRule="atLeast"/>
                <w:jc w:val="center"/>
              </w:trPr>
              <w:tc>
                <w:tcPr>
                  <w:tcW w:w="1666" w:type="pct"/>
                  <w:shd w:val="clear" w:color="auto" w:fill="auto"/>
                  <w:vAlign w:val="center"/>
                </w:tcPr>
                <w:p>
                  <w:pPr>
                    <w:adjustRightInd w:val="0"/>
                    <w:snapToGrid w:val="0"/>
                    <w:jc w:val="center"/>
                    <w:rPr>
                      <w:color w:val="000000"/>
                      <w:szCs w:val="21"/>
                    </w:rPr>
                  </w:pPr>
                  <w:r>
                    <w:rPr>
                      <w:color w:val="000000"/>
                      <w:szCs w:val="21"/>
                    </w:rPr>
                    <w:t>序号</w:t>
                  </w:r>
                </w:p>
              </w:tc>
              <w:tc>
                <w:tcPr>
                  <w:tcW w:w="1667" w:type="pct"/>
                  <w:shd w:val="clear" w:color="auto" w:fill="auto"/>
                  <w:vAlign w:val="center"/>
                </w:tcPr>
                <w:p>
                  <w:pPr>
                    <w:adjustRightInd w:val="0"/>
                    <w:snapToGrid w:val="0"/>
                    <w:jc w:val="center"/>
                    <w:rPr>
                      <w:color w:val="000000"/>
                      <w:szCs w:val="21"/>
                    </w:rPr>
                  </w:pPr>
                  <w:r>
                    <w:rPr>
                      <w:color w:val="000000"/>
                      <w:szCs w:val="21"/>
                    </w:rPr>
                    <w:t>污染物</w:t>
                  </w:r>
                </w:p>
              </w:tc>
              <w:tc>
                <w:tcPr>
                  <w:tcW w:w="1667" w:type="pct"/>
                  <w:shd w:val="clear" w:color="auto" w:fill="auto"/>
                  <w:vAlign w:val="center"/>
                </w:tcPr>
                <w:p>
                  <w:pPr>
                    <w:adjustRightInd w:val="0"/>
                    <w:snapToGrid w:val="0"/>
                    <w:jc w:val="center"/>
                    <w:rPr>
                      <w:color w:val="000000"/>
                      <w:szCs w:val="21"/>
                    </w:rPr>
                  </w:pPr>
                  <w:r>
                    <w:rPr>
                      <w:color w:val="000000"/>
                      <w:szCs w:val="21"/>
                    </w:rPr>
                    <w:t>年排放量（t/a）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48" w:hRule="atLeast"/>
                <w:jc w:val="center"/>
              </w:trPr>
              <w:tc>
                <w:tcPr>
                  <w:tcW w:w="1666" w:type="pct"/>
                  <w:vAlign w:val="center"/>
                </w:tcPr>
                <w:p>
                  <w:pPr>
                    <w:adjustRightInd w:val="0"/>
                    <w:snapToGrid w:val="0"/>
                    <w:jc w:val="center"/>
                    <w:rPr>
                      <w:color w:val="000000"/>
                      <w:szCs w:val="21"/>
                    </w:rPr>
                  </w:pPr>
                  <w:r>
                    <w:rPr>
                      <w:color w:val="000000"/>
                      <w:szCs w:val="21"/>
                    </w:rPr>
                    <w:t>1</w:t>
                  </w:r>
                </w:p>
              </w:tc>
              <w:tc>
                <w:tcPr>
                  <w:tcW w:w="1667" w:type="pct"/>
                  <w:vAlign w:val="center"/>
                </w:tcPr>
                <w:p>
                  <w:pPr>
                    <w:pStyle w:val="71"/>
                    <w:adjustRightInd w:val="0"/>
                    <w:ind w:firstLine="420"/>
                    <w:rPr>
                      <w:rFonts w:eastAsia="宋体"/>
                      <w:color w:val="000000"/>
                      <w:kern w:val="0"/>
                      <w:sz w:val="21"/>
                      <w:szCs w:val="21"/>
                    </w:rPr>
                  </w:pPr>
                  <w:r>
                    <w:rPr>
                      <w:rFonts w:hint="eastAsia" w:eastAsia="宋体"/>
                      <w:color w:val="000000"/>
                      <w:kern w:val="0"/>
                      <w:sz w:val="21"/>
                      <w:szCs w:val="21"/>
                    </w:rPr>
                    <w:t>苯乙烯</w:t>
                  </w:r>
                </w:p>
              </w:tc>
              <w:tc>
                <w:tcPr>
                  <w:tcW w:w="1667" w:type="pct"/>
                  <w:vAlign w:val="center"/>
                </w:tcPr>
                <w:p>
                  <w:pPr>
                    <w:adjustRightInd w:val="0"/>
                    <w:snapToGrid w:val="0"/>
                    <w:jc w:val="center"/>
                    <w:rPr>
                      <w:color w:val="000000"/>
                      <w:szCs w:val="21"/>
                    </w:rPr>
                  </w:pPr>
                  <w:r>
                    <w:rPr>
                      <w:rFonts w:hint="eastAsia"/>
                      <w:color w:val="000000"/>
                      <w:szCs w:val="21"/>
                    </w:rPr>
                    <w:t>0</w:t>
                  </w:r>
                  <w:r>
                    <w:rPr>
                      <w:color w:val="000000"/>
                      <w:szCs w:val="21"/>
                    </w:rPr>
                    <w:t>.049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48" w:hRule="atLeast"/>
                <w:jc w:val="center"/>
              </w:trPr>
              <w:tc>
                <w:tcPr>
                  <w:tcW w:w="1666" w:type="pct"/>
                  <w:vAlign w:val="center"/>
                </w:tcPr>
                <w:p>
                  <w:pPr>
                    <w:adjustRightInd w:val="0"/>
                    <w:snapToGrid w:val="0"/>
                    <w:jc w:val="center"/>
                    <w:rPr>
                      <w:color w:val="000000"/>
                      <w:szCs w:val="21"/>
                    </w:rPr>
                  </w:pPr>
                  <w:r>
                    <w:rPr>
                      <w:rFonts w:hint="eastAsia"/>
                      <w:color w:val="000000"/>
                      <w:szCs w:val="21"/>
                    </w:rPr>
                    <w:t>2</w:t>
                  </w:r>
                </w:p>
              </w:tc>
              <w:tc>
                <w:tcPr>
                  <w:tcW w:w="1667" w:type="pct"/>
                  <w:vAlign w:val="center"/>
                </w:tcPr>
                <w:p>
                  <w:pPr>
                    <w:pStyle w:val="71"/>
                    <w:adjustRightInd w:val="0"/>
                    <w:ind w:firstLine="420"/>
                    <w:rPr>
                      <w:rFonts w:eastAsia="宋体"/>
                      <w:color w:val="000000"/>
                      <w:kern w:val="0"/>
                      <w:sz w:val="21"/>
                      <w:szCs w:val="21"/>
                    </w:rPr>
                  </w:pPr>
                  <w:r>
                    <w:rPr>
                      <w:rFonts w:hint="eastAsia" w:eastAsia="宋体"/>
                      <w:color w:val="000000"/>
                      <w:kern w:val="0"/>
                      <w:sz w:val="21"/>
                      <w:szCs w:val="21"/>
                    </w:rPr>
                    <w:t>非甲烷总烃</w:t>
                  </w:r>
                </w:p>
              </w:tc>
              <w:tc>
                <w:tcPr>
                  <w:tcW w:w="1667" w:type="pct"/>
                  <w:vAlign w:val="center"/>
                </w:tcPr>
                <w:p>
                  <w:pPr>
                    <w:adjustRightInd w:val="0"/>
                    <w:snapToGrid w:val="0"/>
                    <w:jc w:val="center"/>
                    <w:rPr>
                      <w:color w:val="000000"/>
                      <w:szCs w:val="21"/>
                    </w:rPr>
                  </w:pPr>
                  <w:r>
                    <w:rPr>
                      <w:rFonts w:hint="eastAsia"/>
                      <w:color w:val="000000"/>
                      <w:szCs w:val="21"/>
                    </w:rPr>
                    <w:t>0</w:t>
                  </w:r>
                  <w:r>
                    <w:rPr>
                      <w:color w:val="000000"/>
                      <w:szCs w:val="21"/>
                    </w:rPr>
                    <w:t>.569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48" w:hRule="atLeast"/>
                <w:jc w:val="center"/>
              </w:trPr>
              <w:tc>
                <w:tcPr>
                  <w:tcW w:w="1666" w:type="pct"/>
                  <w:vAlign w:val="center"/>
                </w:tcPr>
                <w:p>
                  <w:pPr>
                    <w:adjustRightInd w:val="0"/>
                    <w:snapToGrid w:val="0"/>
                    <w:jc w:val="center"/>
                    <w:rPr>
                      <w:color w:val="000000"/>
                      <w:szCs w:val="21"/>
                    </w:rPr>
                  </w:pPr>
                  <w:r>
                    <w:rPr>
                      <w:rFonts w:hint="eastAsia"/>
                      <w:color w:val="000000"/>
                      <w:szCs w:val="21"/>
                    </w:rPr>
                    <w:t>3</w:t>
                  </w:r>
                </w:p>
              </w:tc>
              <w:tc>
                <w:tcPr>
                  <w:tcW w:w="1667" w:type="pct"/>
                  <w:vAlign w:val="center"/>
                </w:tcPr>
                <w:p>
                  <w:pPr>
                    <w:pStyle w:val="71"/>
                    <w:adjustRightInd w:val="0"/>
                    <w:ind w:firstLine="420"/>
                    <w:rPr>
                      <w:rFonts w:eastAsia="宋体"/>
                      <w:color w:val="000000"/>
                      <w:kern w:val="0"/>
                      <w:sz w:val="21"/>
                      <w:szCs w:val="21"/>
                    </w:rPr>
                  </w:pPr>
                  <w:r>
                    <w:rPr>
                      <w:rFonts w:eastAsia="宋体"/>
                      <w:color w:val="000000"/>
                      <w:kern w:val="0"/>
                      <w:sz w:val="21"/>
                      <w:szCs w:val="21"/>
                    </w:rPr>
                    <w:t>颗粒物</w:t>
                  </w:r>
                </w:p>
              </w:tc>
              <w:tc>
                <w:tcPr>
                  <w:tcW w:w="1667" w:type="pct"/>
                  <w:vAlign w:val="center"/>
                </w:tcPr>
                <w:p>
                  <w:pPr>
                    <w:adjustRightInd w:val="0"/>
                    <w:snapToGrid w:val="0"/>
                    <w:jc w:val="center"/>
                    <w:rPr>
                      <w:color w:val="000000"/>
                      <w:szCs w:val="21"/>
                    </w:rPr>
                  </w:pPr>
                  <w:r>
                    <w:rPr>
                      <w:rFonts w:hint="eastAsia"/>
                      <w:color w:val="000000"/>
                      <w:szCs w:val="21"/>
                    </w:rPr>
                    <w:t>0</w:t>
                  </w:r>
                  <w:r>
                    <w:rPr>
                      <w:color w:val="000000"/>
                      <w:szCs w:val="21"/>
                    </w:rPr>
                    <w:t>.3812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48" w:hRule="atLeast"/>
                <w:jc w:val="center"/>
              </w:trPr>
              <w:tc>
                <w:tcPr>
                  <w:tcW w:w="1666" w:type="pct"/>
                  <w:vAlign w:val="center"/>
                </w:tcPr>
                <w:p>
                  <w:pPr>
                    <w:adjustRightInd w:val="0"/>
                    <w:snapToGrid w:val="0"/>
                    <w:jc w:val="center"/>
                    <w:rPr>
                      <w:color w:val="000000"/>
                      <w:szCs w:val="21"/>
                    </w:rPr>
                  </w:pPr>
                  <w:r>
                    <w:rPr>
                      <w:color w:val="000000"/>
                      <w:szCs w:val="21"/>
                    </w:rPr>
                    <w:t>4</w:t>
                  </w:r>
                </w:p>
              </w:tc>
              <w:tc>
                <w:tcPr>
                  <w:tcW w:w="1667" w:type="pct"/>
                  <w:vAlign w:val="center"/>
                </w:tcPr>
                <w:p>
                  <w:pPr>
                    <w:pStyle w:val="71"/>
                    <w:adjustRightInd w:val="0"/>
                    <w:ind w:firstLine="420"/>
                    <w:rPr>
                      <w:color w:val="000000"/>
                      <w:sz w:val="21"/>
                      <w:szCs w:val="21"/>
                    </w:rPr>
                  </w:pPr>
                  <w:r>
                    <w:rPr>
                      <w:color w:val="000000" w:themeColor="text1"/>
                      <w:sz w:val="21"/>
                      <w:szCs w:val="21"/>
                      <w14:textFill>
                        <w14:solidFill>
                          <w14:schemeClr w14:val="tx1"/>
                        </w14:solidFill>
                      </w14:textFill>
                    </w:rPr>
                    <w:t>SO</w:t>
                  </w:r>
                  <w:r>
                    <w:rPr>
                      <w:color w:val="000000" w:themeColor="text1"/>
                      <w:sz w:val="21"/>
                      <w:szCs w:val="21"/>
                      <w:vertAlign w:val="subscript"/>
                      <w14:textFill>
                        <w14:solidFill>
                          <w14:schemeClr w14:val="tx1"/>
                        </w14:solidFill>
                      </w14:textFill>
                    </w:rPr>
                    <w:t>2</w:t>
                  </w:r>
                </w:p>
              </w:tc>
              <w:tc>
                <w:tcPr>
                  <w:tcW w:w="1667" w:type="pct"/>
                  <w:vAlign w:val="center"/>
                </w:tcPr>
                <w:p>
                  <w:pPr>
                    <w:adjustRightInd w:val="0"/>
                    <w:snapToGrid w:val="0"/>
                    <w:jc w:val="center"/>
                    <w:rPr>
                      <w:color w:val="000000"/>
                      <w:szCs w:val="21"/>
                    </w:rPr>
                  </w:pPr>
                  <w:r>
                    <w:rPr>
                      <w:rFonts w:hint="eastAsia"/>
                      <w:szCs w:val="21"/>
                    </w:rPr>
                    <w:t>0</w:t>
                  </w:r>
                  <w:r>
                    <w:rPr>
                      <w:szCs w:val="21"/>
                    </w:rPr>
                    <w:t>.027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48" w:hRule="atLeast"/>
                <w:jc w:val="center"/>
              </w:trPr>
              <w:tc>
                <w:tcPr>
                  <w:tcW w:w="1666" w:type="pct"/>
                  <w:vAlign w:val="center"/>
                </w:tcPr>
                <w:p>
                  <w:pPr>
                    <w:adjustRightInd w:val="0"/>
                    <w:snapToGrid w:val="0"/>
                    <w:jc w:val="center"/>
                    <w:rPr>
                      <w:color w:val="000000"/>
                      <w:szCs w:val="21"/>
                    </w:rPr>
                  </w:pPr>
                  <w:r>
                    <w:rPr>
                      <w:rFonts w:hint="eastAsia"/>
                      <w:color w:val="000000"/>
                      <w:szCs w:val="21"/>
                    </w:rPr>
                    <w:t>5</w:t>
                  </w:r>
                </w:p>
              </w:tc>
              <w:tc>
                <w:tcPr>
                  <w:tcW w:w="1667" w:type="pct"/>
                  <w:vAlign w:val="center"/>
                </w:tcPr>
                <w:p>
                  <w:pPr>
                    <w:pStyle w:val="71"/>
                    <w:adjustRightInd w:val="0"/>
                    <w:ind w:firstLine="420"/>
                    <w:rPr>
                      <w:color w:val="000000"/>
                      <w:sz w:val="21"/>
                      <w:szCs w:val="21"/>
                    </w:rPr>
                  </w:pPr>
                  <w:r>
                    <w:rPr>
                      <w:color w:val="000000" w:themeColor="text1"/>
                      <w:sz w:val="21"/>
                      <w:szCs w:val="21"/>
                      <w14:textFill>
                        <w14:solidFill>
                          <w14:schemeClr w14:val="tx1"/>
                        </w14:solidFill>
                      </w14:textFill>
                    </w:rPr>
                    <w:t>NO</w:t>
                  </w:r>
                  <w:r>
                    <w:rPr>
                      <w:color w:val="000000" w:themeColor="text1"/>
                      <w:sz w:val="21"/>
                      <w:szCs w:val="21"/>
                      <w:vertAlign w:val="subscript"/>
                      <w14:textFill>
                        <w14:solidFill>
                          <w14:schemeClr w14:val="tx1"/>
                        </w14:solidFill>
                      </w14:textFill>
                    </w:rPr>
                    <w:t>X</w:t>
                  </w:r>
                </w:p>
              </w:tc>
              <w:tc>
                <w:tcPr>
                  <w:tcW w:w="1667" w:type="pct"/>
                  <w:vAlign w:val="center"/>
                </w:tcPr>
                <w:p>
                  <w:pPr>
                    <w:adjustRightInd w:val="0"/>
                    <w:snapToGrid w:val="0"/>
                    <w:jc w:val="center"/>
                    <w:rPr>
                      <w:color w:val="000000"/>
                      <w:szCs w:val="21"/>
                    </w:rPr>
                  </w:pPr>
                  <w:r>
                    <w:rPr>
                      <w:rFonts w:hint="eastAsia"/>
                      <w:szCs w:val="21"/>
                    </w:rPr>
                    <w:t>0</w:t>
                  </w:r>
                  <w:r>
                    <w:rPr>
                      <w:szCs w:val="21"/>
                    </w:rPr>
                    <w:t>.08181</w:t>
                  </w:r>
                </w:p>
              </w:tc>
            </w:tr>
          </w:tbl>
          <w:p>
            <w:pPr>
              <w:spacing w:before="156" w:beforeLines="50" w:line="360" w:lineRule="auto"/>
              <w:jc w:val="center"/>
              <w:rPr>
                <w:b/>
                <w:bCs/>
                <w:kern w:val="0"/>
                <w:sz w:val="24"/>
              </w:rPr>
            </w:pPr>
            <w:r>
              <w:rPr>
                <w:rFonts w:hint="eastAsia"/>
                <w:b/>
                <w:bCs/>
                <w:kern w:val="0"/>
                <w:sz w:val="24"/>
              </w:rPr>
              <w:t>表</w:t>
            </w:r>
            <w:r>
              <w:rPr>
                <w:b/>
                <w:bCs/>
                <w:kern w:val="0"/>
                <w:sz w:val="24"/>
              </w:rPr>
              <w:t>7</w:t>
            </w:r>
            <w:r>
              <w:rPr>
                <w:rFonts w:hint="eastAsia"/>
                <w:b/>
                <w:bCs/>
                <w:kern w:val="0"/>
                <w:sz w:val="24"/>
              </w:rPr>
              <w:t>-</w:t>
            </w:r>
            <w:r>
              <w:rPr>
                <w:b/>
                <w:bCs/>
                <w:kern w:val="0"/>
                <w:sz w:val="24"/>
              </w:rPr>
              <w:t xml:space="preserve">12  </w:t>
            </w:r>
            <w:r>
              <w:rPr>
                <w:rFonts w:hint="eastAsia"/>
                <w:b/>
                <w:bCs/>
                <w:kern w:val="0"/>
                <w:sz w:val="24"/>
              </w:rPr>
              <w:t xml:space="preserve"> 污染源非正常排放核算表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1" w:type="dxa"/>
                <w:bottom w:w="0" w:type="dxa"/>
                <w:right w:w="11" w:type="dxa"/>
              </w:tblCellMar>
            </w:tblPr>
            <w:tblGrid>
              <w:gridCol w:w="284"/>
              <w:gridCol w:w="689"/>
              <w:gridCol w:w="1554"/>
              <w:gridCol w:w="862"/>
              <w:gridCol w:w="1006"/>
              <w:gridCol w:w="1006"/>
              <w:gridCol w:w="720"/>
              <w:gridCol w:w="862"/>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140" w:hRule="atLeast"/>
                <w:jc w:val="center"/>
              </w:trPr>
              <w:tc>
                <w:tcPr>
                  <w:tcW w:w="161" w:type="pct"/>
                  <w:shd w:val="clear" w:color="auto" w:fill="auto"/>
                  <w:vAlign w:val="center"/>
                </w:tcPr>
                <w:p>
                  <w:pPr>
                    <w:adjustRightInd w:val="0"/>
                    <w:snapToGrid w:val="0"/>
                    <w:jc w:val="center"/>
                    <w:rPr>
                      <w:bCs/>
                      <w:color w:val="000000"/>
                      <w:szCs w:val="21"/>
                    </w:rPr>
                  </w:pPr>
                  <w:r>
                    <w:rPr>
                      <w:bCs/>
                      <w:color w:val="000000"/>
                      <w:szCs w:val="21"/>
                    </w:rPr>
                    <w:t>序号</w:t>
                  </w:r>
                </w:p>
              </w:tc>
              <w:tc>
                <w:tcPr>
                  <w:tcW w:w="390" w:type="pct"/>
                  <w:shd w:val="clear" w:color="auto" w:fill="auto"/>
                  <w:vAlign w:val="center"/>
                </w:tcPr>
                <w:p>
                  <w:pPr>
                    <w:adjustRightInd w:val="0"/>
                    <w:snapToGrid w:val="0"/>
                    <w:jc w:val="center"/>
                    <w:rPr>
                      <w:bCs/>
                      <w:color w:val="000000"/>
                      <w:szCs w:val="21"/>
                    </w:rPr>
                  </w:pPr>
                  <w:r>
                    <w:rPr>
                      <w:bCs/>
                      <w:color w:val="000000"/>
                      <w:szCs w:val="21"/>
                    </w:rPr>
                    <w:t>污染源</w:t>
                  </w:r>
                </w:p>
              </w:tc>
              <w:tc>
                <w:tcPr>
                  <w:tcW w:w="880" w:type="pct"/>
                  <w:shd w:val="clear" w:color="auto" w:fill="auto"/>
                  <w:vAlign w:val="center"/>
                </w:tcPr>
                <w:p>
                  <w:pPr>
                    <w:adjustRightInd w:val="0"/>
                    <w:snapToGrid w:val="0"/>
                    <w:jc w:val="center"/>
                    <w:rPr>
                      <w:bCs/>
                      <w:color w:val="000000"/>
                      <w:szCs w:val="21"/>
                    </w:rPr>
                  </w:pPr>
                  <w:r>
                    <w:rPr>
                      <w:bCs/>
                      <w:color w:val="000000"/>
                      <w:szCs w:val="21"/>
                    </w:rPr>
                    <w:t>非正常</w:t>
                  </w:r>
                </w:p>
                <w:p>
                  <w:pPr>
                    <w:adjustRightInd w:val="0"/>
                    <w:snapToGrid w:val="0"/>
                    <w:jc w:val="center"/>
                    <w:rPr>
                      <w:bCs/>
                      <w:color w:val="000000"/>
                      <w:szCs w:val="21"/>
                    </w:rPr>
                  </w:pPr>
                  <w:r>
                    <w:rPr>
                      <w:bCs/>
                      <w:color w:val="000000"/>
                      <w:szCs w:val="21"/>
                    </w:rPr>
                    <w:t>排放原因</w:t>
                  </w:r>
                </w:p>
              </w:tc>
              <w:tc>
                <w:tcPr>
                  <w:tcW w:w="488" w:type="pct"/>
                  <w:shd w:val="clear" w:color="auto" w:fill="auto"/>
                  <w:vAlign w:val="center"/>
                </w:tcPr>
                <w:p>
                  <w:pPr>
                    <w:adjustRightInd w:val="0"/>
                    <w:snapToGrid w:val="0"/>
                    <w:jc w:val="center"/>
                    <w:rPr>
                      <w:bCs/>
                      <w:color w:val="000000"/>
                      <w:szCs w:val="21"/>
                    </w:rPr>
                  </w:pPr>
                  <w:r>
                    <w:rPr>
                      <w:bCs/>
                      <w:color w:val="000000"/>
                      <w:szCs w:val="21"/>
                    </w:rPr>
                    <w:t>污染物</w:t>
                  </w:r>
                </w:p>
              </w:tc>
              <w:tc>
                <w:tcPr>
                  <w:tcW w:w="570" w:type="pct"/>
                  <w:shd w:val="clear" w:color="auto" w:fill="auto"/>
                  <w:vAlign w:val="center"/>
                </w:tcPr>
                <w:p>
                  <w:pPr>
                    <w:adjustRightInd w:val="0"/>
                    <w:snapToGrid w:val="0"/>
                    <w:jc w:val="center"/>
                    <w:rPr>
                      <w:bCs/>
                      <w:color w:val="000000"/>
                      <w:szCs w:val="21"/>
                    </w:rPr>
                  </w:pPr>
                  <w:r>
                    <w:rPr>
                      <w:bCs/>
                      <w:color w:val="000000"/>
                      <w:szCs w:val="21"/>
                    </w:rPr>
                    <w:t>非正常</w:t>
                  </w:r>
                </w:p>
                <w:p>
                  <w:pPr>
                    <w:adjustRightInd w:val="0"/>
                    <w:snapToGrid w:val="0"/>
                    <w:jc w:val="center"/>
                    <w:rPr>
                      <w:bCs/>
                      <w:color w:val="000000"/>
                      <w:szCs w:val="21"/>
                    </w:rPr>
                  </w:pPr>
                  <w:r>
                    <w:rPr>
                      <w:bCs/>
                      <w:color w:val="000000"/>
                      <w:szCs w:val="21"/>
                    </w:rPr>
                    <w:t>排放浓度</w:t>
                  </w:r>
                </w:p>
                <w:p>
                  <w:pPr>
                    <w:adjustRightInd w:val="0"/>
                    <w:snapToGrid w:val="0"/>
                    <w:jc w:val="center"/>
                    <w:rPr>
                      <w:bCs/>
                      <w:color w:val="000000"/>
                      <w:szCs w:val="21"/>
                    </w:rPr>
                  </w:pPr>
                  <w:r>
                    <w:rPr>
                      <w:bCs/>
                      <w:color w:val="000000"/>
                      <w:szCs w:val="21"/>
                    </w:rPr>
                    <w:t>（mg/m</w:t>
                  </w:r>
                  <w:r>
                    <w:rPr>
                      <w:bCs/>
                      <w:color w:val="000000"/>
                      <w:szCs w:val="21"/>
                      <w:vertAlign w:val="superscript"/>
                    </w:rPr>
                    <w:t>3</w:t>
                  </w:r>
                  <w:r>
                    <w:rPr>
                      <w:bCs/>
                      <w:color w:val="000000"/>
                      <w:szCs w:val="21"/>
                    </w:rPr>
                    <w:t>）</w:t>
                  </w:r>
                </w:p>
              </w:tc>
              <w:tc>
                <w:tcPr>
                  <w:tcW w:w="570" w:type="pct"/>
                  <w:shd w:val="clear" w:color="auto" w:fill="auto"/>
                  <w:vAlign w:val="center"/>
                </w:tcPr>
                <w:p>
                  <w:pPr>
                    <w:adjustRightInd w:val="0"/>
                    <w:snapToGrid w:val="0"/>
                    <w:jc w:val="center"/>
                    <w:rPr>
                      <w:bCs/>
                      <w:color w:val="000000"/>
                      <w:szCs w:val="21"/>
                    </w:rPr>
                  </w:pPr>
                  <w:r>
                    <w:rPr>
                      <w:bCs/>
                      <w:color w:val="000000"/>
                      <w:szCs w:val="21"/>
                    </w:rPr>
                    <w:t>非正常</w:t>
                  </w:r>
                </w:p>
                <w:p>
                  <w:pPr>
                    <w:adjustRightInd w:val="0"/>
                    <w:snapToGrid w:val="0"/>
                    <w:jc w:val="center"/>
                    <w:rPr>
                      <w:bCs/>
                      <w:color w:val="000000"/>
                      <w:szCs w:val="21"/>
                    </w:rPr>
                  </w:pPr>
                  <w:r>
                    <w:rPr>
                      <w:bCs/>
                      <w:color w:val="000000"/>
                      <w:szCs w:val="21"/>
                    </w:rPr>
                    <w:t>排放速率</w:t>
                  </w:r>
                </w:p>
                <w:p>
                  <w:pPr>
                    <w:adjustRightInd w:val="0"/>
                    <w:snapToGrid w:val="0"/>
                    <w:jc w:val="center"/>
                    <w:rPr>
                      <w:bCs/>
                      <w:color w:val="000000"/>
                      <w:szCs w:val="21"/>
                    </w:rPr>
                  </w:pPr>
                  <w:r>
                    <w:rPr>
                      <w:bCs/>
                      <w:color w:val="000000"/>
                      <w:szCs w:val="21"/>
                    </w:rPr>
                    <w:t>（kg/h）</w:t>
                  </w:r>
                </w:p>
              </w:tc>
              <w:tc>
                <w:tcPr>
                  <w:tcW w:w="408" w:type="pct"/>
                  <w:shd w:val="clear" w:color="auto" w:fill="auto"/>
                  <w:vAlign w:val="center"/>
                </w:tcPr>
                <w:p>
                  <w:pPr>
                    <w:adjustRightInd w:val="0"/>
                    <w:snapToGrid w:val="0"/>
                    <w:jc w:val="center"/>
                    <w:rPr>
                      <w:bCs/>
                      <w:color w:val="000000"/>
                      <w:szCs w:val="21"/>
                    </w:rPr>
                  </w:pPr>
                  <w:r>
                    <w:rPr>
                      <w:bCs/>
                      <w:color w:val="000000"/>
                      <w:szCs w:val="21"/>
                    </w:rPr>
                    <w:t>单次持</w:t>
                  </w:r>
                </w:p>
                <w:p>
                  <w:pPr>
                    <w:adjustRightInd w:val="0"/>
                    <w:snapToGrid w:val="0"/>
                    <w:jc w:val="center"/>
                    <w:rPr>
                      <w:bCs/>
                      <w:color w:val="000000"/>
                      <w:szCs w:val="21"/>
                    </w:rPr>
                  </w:pPr>
                  <w:r>
                    <w:rPr>
                      <w:bCs/>
                      <w:color w:val="000000"/>
                      <w:szCs w:val="21"/>
                    </w:rPr>
                    <w:t>续时间</w:t>
                  </w:r>
                </w:p>
                <w:p>
                  <w:pPr>
                    <w:adjustRightInd w:val="0"/>
                    <w:snapToGrid w:val="0"/>
                    <w:jc w:val="center"/>
                    <w:rPr>
                      <w:bCs/>
                      <w:color w:val="000000"/>
                      <w:szCs w:val="21"/>
                    </w:rPr>
                  </w:pPr>
                  <w:r>
                    <w:rPr>
                      <w:bCs/>
                      <w:color w:val="000000"/>
                      <w:szCs w:val="21"/>
                    </w:rPr>
                    <w:t>（h）</w:t>
                  </w:r>
                </w:p>
              </w:tc>
              <w:tc>
                <w:tcPr>
                  <w:tcW w:w="488" w:type="pct"/>
                  <w:shd w:val="clear" w:color="auto" w:fill="auto"/>
                  <w:vAlign w:val="center"/>
                </w:tcPr>
                <w:p>
                  <w:pPr>
                    <w:adjustRightInd w:val="0"/>
                    <w:snapToGrid w:val="0"/>
                    <w:jc w:val="center"/>
                    <w:rPr>
                      <w:bCs/>
                      <w:color w:val="000000"/>
                      <w:szCs w:val="21"/>
                    </w:rPr>
                  </w:pPr>
                  <w:r>
                    <w:rPr>
                      <w:bCs/>
                      <w:color w:val="000000"/>
                      <w:szCs w:val="21"/>
                    </w:rPr>
                    <w:t>年发生频次（次）</w:t>
                  </w:r>
                </w:p>
              </w:tc>
              <w:tc>
                <w:tcPr>
                  <w:tcW w:w="1044" w:type="pct"/>
                  <w:shd w:val="clear" w:color="auto" w:fill="auto"/>
                  <w:vAlign w:val="center"/>
                </w:tcPr>
                <w:p>
                  <w:pPr>
                    <w:adjustRightInd w:val="0"/>
                    <w:snapToGrid w:val="0"/>
                    <w:jc w:val="center"/>
                    <w:rPr>
                      <w:bCs/>
                      <w:color w:val="000000"/>
                      <w:szCs w:val="21"/>
                    </w:rPr>
                  </w:pPr>
                  <w:r>
                    <w:rPr>
                      <w:bCs/>
                      <w:color w:val="000000"/>
                      <w:szCs w:val="21"/>
                    </w:rPr>
                    <w:t>应对措施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119" w:hRule="atLeast"/>
                <w:jc w:val="center"/>
              </w:trPr>
              <w:tc>
                <w:tcPr>
                  <w:tcW w:w="161" w:type="pct"/>
                  <w:vMerge w:val="restart"/>
                  <w:vAlign w:val="center"/>
                </w:tcPr>
                <w:p>
                  <w:pPr>
                    <w:adjustRightInd w:val="0"/>
                    <w:snapToGrid w:val="0"/>
                    <w:jc w:val="center"/>
                    <w:rPr>
                      <w:color w:val="000000"/>
                      <w:szCs w:val="21"/>
                    </w:rPr>
                  </w:pPr>
                  <w:r>
                    <w:rPr>
                      <w:color w:val="000000"/>
                      <w:szCs w:val="21"/>
                    </w:rPr>
                    <w:t>1</w:t>
                  </w:r>
                </w:p>
              </w:tc>
              <w:tc>
                <w:tcPr>
                  <w:tcW w:w="390" w:type="pct"/>
                  <w:vMerge w:val="restart"/>
                  <w:vAlign w:val="center"/>
                </w:tcPr>
                <w:p>
                  <w:pPr>
                    <w:adjustRightInd w:val="0"/>
                    <w:snapToGrid w:val="0"/>
                    <w:jc w:val="center"/>
                    <w:rPr>
                      <w:color w:val="000000"/>
                      <w:szCs w:val="21"/>
                    </w:rPr>
                  </w:pPr>
                  <w:r>
                    <w:rPr>
                      <w:szCs w:val="21"/>
                    </w:rPr>
                    <w:t>发泡、挤出、热切、熔边工序</w:t>
                  </w:r>
                </w:p>
              </w:tc>
              <w:tc>
                <w:tcPr>
                  <w:tcW w:w="880" w:type="pct"/>
                  <w:vMerge w:val="restart"/>
                  <w:vAlign w:val="center"/>
                </w:tcPr>
                <w:p>
                  <w:pPr>
                    <w:adjustRightInd w:val="0"/>
                    <w:snapToGrid w:val="0"/>
                    <w:jc w:val="center"/>
                    <w:rPr>
                      <w:color w:val="000000"/>
                      <w:szCs w:val="21"/>
                    </w:rPr>
                  </w:pPr>
                  <w:r>
                    <w:rPr>
                      <w:color w:val="000000"/>
                      <w:szCs w:val="21"/>
                    </w:rPr>
                    <w:t>活性炭过期，吸附效率下降</w:t>
                  </w:r>
                </w:p>
              </w:tc>
              <w:tc>
                <w:tcPr>
                  <w:tcW w:w="488" w:type="pct"/>
                  <w:vAlign w:val="center"/>
                </w:tcPr>
                <w:p>
                  <w:pPr>
                    <w:pStyle w:val="72"/>
                    <w:adjustRightInd w:val="0"/>
                    <w:snapToGrid w:val="0"/>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苯乙烯</w:t>
                  </w:r>
                </w:p>
              </w:tc>
              <w:tc>
                <w:tcPr>
                  <w:tcW w:w="570" w:type="pct"/>
                  <w:vAlign w:val="center"/>
                </w:tcPr>
                <w:p>
                  <w:pPr>
                    <w:pStyle w:val="72"/>
                    <w:adjustRightInd w:val="0"/>
                    <w:snapToGrid w:val="0"/>
                    <w:spacing w:line="240" w:lineRule="auto"/>
                    <w:ind w:firstLine="0" w:firstLineChars="0"/>
                    <w:jc w:val="center"/>
                    <w:rPr>
                      <w:rFonts w:ascii="Times New Roman" w:hAnsi="Times New Roman"/>
                      <w:color w:val="000000"/>
                      <w:sz w:val="21"/>
                      <w:szCs w:val="21"/>
                    </w:rPr>
                  </w:pPr>
                  <w:r>
                    <w:rPr>
                      <w:rFonts w:ascii="Times New Roman" w:hAnsi="Times New Roman"/>
                      <w:sz w:val="21"/>
                      <w:szCs w:val="21"/>
                    </w:rPr>
                    <w:t>4.501</w:t>
                  </w:r>
                </w:p>
              </w:tc>
              <w:tc>
                <w:tcPr>
                  <w:tcW w:w="570" w:type="pct"/>
                  <w:vAlign w:val="center"/>
                </w:tcPr>
                <w:p>
                  <w:pPr>
                    <w:pStyle w:val="72"/>
                    <w:adjustRightInd w:val="0"/>
                    <w:snapToGrid w:val="0"/>
                    <w:spacing w:line="240" w:lineRule="auto"/>
                    <w:ind w:firstLine="0" w:firstLineChars="0"/>
                    <w:jc w:val="center"/>
                    <w:rPr>
                      <w:rFonts w:ascii="Times New Roman" w:hAnsi="Times New Roman"/>
                      <w:color w:val="000000"/>
                      <w:sz w:val="21"/>
                      <w:szCs w:val="21"/>
                    </w:rPr>
                  </w:pPr>
                  <w:r>
                    <w:rPr>
                      <w:rFonts w:ascii="Times New Roman" w:hAnsi="Times New Roman"/>
                      <w:sz w:val="21"/>
                      <w:szCs w:val="21"/>
                    </w:rPr>
                    <w:t>0.045</w:t>
                  </w:r>
                </w:p>
              </w:tc>
              <w:tc>
                <w:tcPr>
                  <w:tcW w:w="408" w:type="pct"/>
                  <w:vMerge w:val="restart"/>
                  <w:vAlign w:val="center"/>
                </w:tcPr>
                <w:p>
                  <w:pPr>
                    <w:adjustRightInd w:val="0"/>
                    <w:snapToGrid w:val="0"/>
                    <w:jc w:val="center"/>
                    <w:rPr>
                      <w:color w:val="000000"/>
                      <w:szCs w:val="21"/>
                    </w:rPr>
                  </w:pPr>
                  <w:r>
                    <w:rPr>
                      <w:color w:val="000000"/>
                      <w:szCs w:val="21"/>
                    </w:rPr>
                    <w:t>0.5</w:t>
                  </w:r>
                </w:p>
              </w:tc>
              <w:tc>
                <w:tcPr>
                  <w:tcW w:w="488" w:type="pct"/>
                  <w:vMerge w:val="restart"/>
                  <w:vAlign w:val="center"/>
                </w:tcPr>
                <w:p>
                  <w:pPr>
                    <w:adjustRightInd w:val="0"/>
                    <w:snapToGrid w:val="0"/>
                    <w:jc w:val="center"/>
                    <w:rPr>
                      <w:color w:val="000000"/>
                      <w:szCs w:val="21"/>
                    </w:rPr>
                  </w:pPr>
                  <w:r>
                    <w:rPr>
                      <w:color w:val="000000"/>
                      <w:szCs w:val="21"/>
                    </w:rPr>
                    <w:t>不确定</w:t>
                  </w:r>
                </w:p>
              </w:tc>
              <w:tc>
                <w:tcPr>
                  <w:tcW w:w="1044" w:type="pct"/>
                  <w:vMerge w:val="restart"/>
                  <w:vAlign w:val="center"/>
                </w:tcPr>
                <w:p>
                  <w:pPr>
                    <w:adjustRightInd w:val="0"/>
                    <w:snapToGrid w:val="0"/>
                    <w:jc w:val="center"/>
                    <w:rPr>
                      <w:color w:val="000000"/>
                      <w:szCs w:val="21"/>
                    </w:rPr>
                  </w:pPr>
                  <w:r>
                    <w:rPr>
                      <w:color w:val="000000"/>
                      <w:szCs w:val="21"/>
                    </w:rPr>
                    <w:t>停机更换活性炭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119" w:hRule="atLeast"/>
                <w:jc w:val="center"/>
              </w:trPr>
              <w:tc>
                <w:tcPr>
                  <w:tcW w:w="161" w:type="pct"/>
                  <w:vMerge w:val="continue"/>
                  <w:vAlign w:val="center"/>
                </w:tcPr>
                <w:p>
                  <w:pPr>
                    <w:adjustRightInd w:val="0"/>
                    <w:snapToGrid w:val="0"/>
                    <w:jc w:val="center"/>
                    <w:rPr>
                      <w:color w:val="000000"/>
                      <w:szCs w:val="21"/>
                    </w:rPr>
                  </w:pPr>
                </w:p>
              </w:tc>
              <w:tc>
                <w:tcPr>
                  <w:tcW w:w="390" w:type="pct"/>
                  <w:vMerge w:val="continue"/>
                  <w:vAlign w:val="center"/>
                </w:tcPr>
                <w:p>
                  <w:pPr>
                    <w:adjustRightInd w:val="0"/>
                    <w:snapToGrid w:val="0"/>
                    <w:jc w:val="center"/>
                    <w:rPr>
                      <w:color w:val="000000"/>
                      <w:szCs w:val="21"/>
                    </w:rPr>
                  </w:pPr>
                </w:p>
              </w:tc>
              <w:tc>
                <w:tcPr>
                  <w:tcW w:w="880" w:type="pct"/>
                  <w:vMerge w:val="continue"/>
                  <w:vAlign w:val="center"/>
                </w:tcPr>
                <w:p>
                  <w:pPr>
                    <w:adjustRightInd w:val="0"/>
                    <w:snapToGrid w:val="0"/>
                    <w:jc w:val="center"/>
                    <w:rPr>
                      <w:color w:val="000000"/>
                      <w:szCs w:val="21"/>
                    </w:rPr>
                  </w:pPr>
                </w:p>
              </w:tc>
              <w:tc>
                <w:tcPr>
                  <w:tcW w:w="488" w:type="pct"/>
                  <w:vAlign w:val="center"/>
                </w:tcPr>
                <w:p>
                  <w:pPr>
                    <w:pStyle w:val="72"/>
                    <w:adjustRightInd w:val="0"/>
                    <w:snapToGrid w:val="0"/>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非甲烷总烃</w:t>
                  </w:r>
                </w:p>
              </w:tc>
              <w:tc>
                <w:tcPr>
                  <w:tcW w:w="570" w:type="pct"/>
                  <w:vAlign w:val="center"/>
                </w:tcPr>
                <w:p>
                  <w:pPr>
                    <w:pStyle w:val="72"/>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51.757</w:t>
                  </w:r>
                </w:p>
              </w:tc>
              <w:tc>
                <w:tcPr>
                  <w:tcW w:w="570" w:type="pct"/>
                  <w:vAlign w:val="center"/>
                </w:tcPr>
                <w:p>
                  <w:pPr>
                    <w:pStyle w:val="72"/>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0.518</w:t>
                  </w:r>
                </w:p>
              </w:tc>
              <w:tc>
                <w:tcPr>
                  <w:tcW w:w="408" w:type="pct"/>
                  <w:vMerge w:val="continue"/>
                  <w:vAlign w:val="center"/>
                </w:tcPr>
                <w:p>
                  <w:pPr>
                    <w:adjustRightInd w:val="0"/>
                    <w:snapToGrid w:val="0"/>
                    <w:jc w:val="center"/>
                    <w:rPr>
                      <w:color w:val="000000"/>
                      <w:szCs w:val="21"/>
                    </w:rPr>
                  </w:pPr>
                </w:p>
              </w:tc>
              <w:tc>
                <w:tcPr>
                  <w:tcW w:w="488" w:type="pct"/>
                  <w:vMerge w:val="continue"/>
                  <w:vAlign w:val="center"/>
                </w:tcPr>
                <w:p>
                  <w:pPr>
                    <w:adjustRightInd w:val="0"/>
                    <w:snapToGrid w:val="0"/>
                    <w:jc w:val="center"/>
                    <w:rPr>
                      <w:color w:val="000000"/>
                      <w:szCs w:val="21"/>
                    </w:rPr>
                  </w:pPr>
                </w:p>
              </w:tc>
              <w:tc>
                <w:tcPr>
                  <w:tcW w:w="1044" w:type="pct"/>
                  <w:vMerge w:val="continue"/>
                  <w:vAlign w:val="center"/>
                </w:tcPr>
                <w:p>
                  <w:pPr>
                    <w:adjustRightInd w:val="0"/>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119" w:hRule="atLeast"/>
                <w:jc w:val="center"/>
              </w:trPr>
              <w:tc>
                <w:tcPr>
                  <w:tcW w:w="161" w:type="pct"/>
                  <w:vAlign w:val="center"/>
                </w:tcPr>
                <w:p>
                  <w:pPr>
                    <w:adjustRightInd w:val="0"/>
                    <w:snapToGrid w:val="0"/>
                    <w:jc w:val="center"/>
                    <w:rPr>
                      <w:color w:val="000000"/>
                      <w:szCs w:val="21"/>
                    </w:rPr>
                  </w:pPr>
                  <w:r>
                    <w:rPr>
                      <w:color w:val="000000"/>
                      <w:szCs w:val="21"/>
                    </w:rPr>
                    <w:t>2</w:t>
                  </w:r>
                </w:p>
              </w:tc>
              <w:tc>
                <w:tcPr>
                  <w:tcW w:w="390" w:type="pct"/>
                  <w:vAlign w:val="center"/>
                </w:tcPr>
                <w:p>
                  <w:pPr>
                    <w:adjustRightInd w:val="0"/>
                    <w:snapToGrid w:val="0"/>
                    <w:jc w:val="center"/>
                    <w:rPr>
                      <w:color w:val="000000"/>
                      <w:szCs w:val="21"/>
                    </w:rPr>
                  </w:pPr>
                  <w:r>
                    <w:rPr>
                      <w:szCs w:val="21"/>
                    </w:rPr>
                    <w:t>修整、开凿、切割、破碎</w:t>
                  </w:r>
                </w:p>
              </w:tc>
              <w:tc>
                <w:tcPr>
                  <w:tcW w:w="880" w:type="pct"/>
                  <w:vAlign w:val="center"/>
                </w:tcPr>
                <w:p>
                  <w:pPr>
                    <w:adjustRightInd w:val="0"/>
                    <w:snapToGrid w:val="0"/>
                    <w:jc w:val="center"/>
                    <w:rPr>
                      <w:color w:val="000000"/>
                      <w:szCs w:val="21"/>
                    </w:rPr>
                  </w:pPr>
                  <w:r>
                    <w:rPr>
                      <w:color w:val="000000"/>
                      <w:szCs w:val="21"/>
                    </w:rPr>
                    <w:t>滤筒除尘器单个或少数滤筒破损，除尘效率降低至85~90%</w:t>
                  </w:r>
                </w:p>
              </w:tc>
              <w:tc>
                <w:tcPr>
                  <w:tcW w:w="488" w:type="pct"/>
                  <w:vAlign w:val="center"/>
                </w:tcPr>
                <w:p>
                  <w:pPr>
                    <w:pStyle w:val="72"/>
                    <w:adjustRightInd w:val="0"/>
                    <w:snapToGrid w:val="0"/>
                    <w:spacing w:line="240" w:lineRule="auto"/>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颗粒物</w:t>
                  </w:r>
                </w:p>
              </w:tc>
              <w:tc>
                <w:tcPr>
                  <w:tcW w:w="570" w:type="pct"/>
                  <w:vAlign w:val="center"/>
                </w:tcPr>
                <w:p>
                  <w:pPr>
                    <w:pStyle w:val="72"/>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81.014</w:t>
                  </w:r>
                </w:p>
              </w:tc>
              <w:tc>
                <w:tcPr>
                  <w:tcW w:w="570" w:type="pct"/>
                  <w:vAlign w:val="center"/>
                </w:tcPr>
                <w:p>
                  <w:pPr>
                    <w:pStyle w:val="72"/>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0.810</w:t>
                  </w:r>
                </w:p>
              </w:tc>
              <w:tc>
                <w:tcPr>
                  <w:tcW w:w="408" w:type="pct"/>
                  <w:vAlign w:val="center"/>
                </w:tcPr>
                <w:p>
                  <w:pPr>
                    <w:adjustRightInd w:val="0"/>
                    <w:snapToGrid w:val="0"/>
                    <w:jc w:val="center"/>
                    <w:rPr>
                      <w:color w:val="000000"/>
                      <w:szCs w:val="21"/>
                    </w:rPr>
                  </w:pPr>
                  <w:r>
                    <w:rPr>
                      <w:color w:val="000000"/>
                      <w:szCs w:val="21"/>
                    </w:rPr>
                    <w:t>0.5</w:t>
                  </w:r>
                </w:p>
              </w:tc>
              <w:tc>
                <w:tcPr>
                  <w:tcW w:w="488" w:type="pct"/>
                  <w:vAlign w:val="center"/>
                </w:tcPr>
                <w:p>
                  <w:pPr>
                    <w:adjustRightInd w:val="0"/>
                    <w:snapToGrid w:val="0"/>
                    <w:jc w:val="center"/>
                    <w:rPr>
                      <w:color w:val="000000"/>
                      <w:szCs w:val="21"/>
                    </w:rPr>
                  </w:pPr>
                  <w:r>
                    <w:rPr>
                      <w:color w:val="000000"/>
                      <w:szCs w:val="21"/>
                    </w:rPr>
                    <w:t>不确定</w:t>
                  </w:r>
                </w:p>
              </w:tc>
              <w:tc>
                <w:tcPr>
                  <w:tcW w:w="1044" w:type="pct"/>
                  <w:vAlign w:val="center"/>
                </w:tcPr>
                <w:p>
                  <w:pPr>
                    <w:adjustRightInd w:val="0"/>
                    <w:snapToGrid w:val="0"/>
                    <w:jc w:val="center"/>
                    <w:rPr>
                      <w:color w:val="000000"/>
                      <w:szCs w:val="21"/>
                    </w:rPr>
                  </w:pPr>
                  <w:r>
                    <w:rPr>
                      <w:color w:val="000000"/>
                      <w:szCs w:val="21"/>
                    </w:rPr>
                    <w:t>停机更换过滤筒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119" w:hRule="atLeast"/>
                <w:jc w:val="center"/>
              </w:trPr>
              <w:tc>
                <w:tcPr>
                  <w:tcW w:w="161" w:type="pct"/>
                  <w:vMerge w:val="restart"/>
                  <w:vAlign w:val="center"/>
                </w:tcPr>
                <w:p>
                  <w:pPr>
                    <w:adjustRightInd w:val="0"/>
                    <w:snapToGrid w:val="0"/>
                    <w:jc w:val="center"/>
                    <w:rPr>
                      <w:color w:val="000000"/>
                      <w:szCs w:val="21"/>
                    </w:rPr>
                  </w:pPr>
                  <w:r>
                    <w:rPr>
                      <w:color w:val="000000"/>
                      <w:szCs w:val="21"/>
                    </w:rPr>
                    <w:t>3</w:t>
                  </w:r>
                </w:p>
              </w:tc>
              <w:tc>
                <w:tcPr>
                  <w:tcW w:w="390" w:type="pct"/>
                  <w:vMerge w:val="restart"/>
                  <w:vAlign w:val="center"/>
                </w:tcPr>
                <w:p>
                  <w:pPr>
                    <w:adjustRightInd w:val="0"/>
                    <w:snapToGrid w:val="0"/>
                    <w:jc w:val="center"/>
                    <w:rPr>
                      <w:color w:val="000000"/>
                      <w:szCs w:val="21"/>
                    </w:rPr>
                  </w:pPr>
                  <w:r>
                    <w:rPr>
                      <w:color w:val="000000"/>
                      <w:szCs w:val="21"/>
                    </w:rPr>
                    <w:t>锅炉</w:t>
                  </w:r>
                </w:p>
              </w:tc>
              <w:tc>
                <w:tcPr>
                  <w:tcW w:w="880" w:type="pct"/>
                  <w:vMerge w:val="restart"/>
                  <w:vAlign w:val="center"/>
                </w:tcPr>
                <w:p>
                  <w:pPr>
                    <w:adjustRightInd w:val="0"/>
                    <w:snapToGrid w:val="0"/>
                    <w:jc w:val="center"/>
                    <w:rPr>
                      <w:color w:val="000000"/>
                      <w:szCs w:val="21"/>
                    </w:rPr>
                  </w:pPr>
                  <w:r>
                    <w:rPr>
                      <w:color w:val="000000"/>
                      <w:szCs w:val="21"/>
                    </w:rPr>
                    <w:t>低氮燃烧器故障</w:t>
                  </w:r>
                </w:p>
              </w:tc>
              <w:tc>
                <w:tcPr>
                  <w:tcW w:w="488" w:type="pct"/>
                  <w:vAlign w:val="center"/>
                </w:tcPr>
                <w:p>
                  <w:pPr>
                    <w:pStyle w:val="72"/>
                    <w:adjustRightInd w:val="0"/>
                    <w:snapToGrid w:val="0"/>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颗粒物</w:t>
                  </w:r>
                </w:p>
              </w:tc>
              <w:tc>
                <w:tcPr>
                  <w:tcW w:w="570" w:type="pct"/>
                  <w:vAlign w:val="center"/>
                </w:tcPr>
                <w:p>
                  <w:pPr>
                    <w:pStyle w:val="72"/>
                    <w:adjustRightInd w:val="0"/>
                    <w:snapToGrid w:val="0"/>
                    <w:spacing w:line="240" w:lineRule="auto"/>
                    <w:ind w:firstLine="0" w:firstLineChars="0"/>
                    <w:jc w:val="center"/>
                    <w:rPr>
                      <w:rFonts w:ascii="Times New Roman" w:hAnsi="Times New Roman"/>
                      <w:sz w:val="21"/>
                      <w:szCs w:val="21"/>
                    </w:rPr>
                  </w:pPr>
                  <w:r>
                    <w:rPr>
                      <w:rFonts w:hint="eastAsia" w:ascii="Times New Roman" w:hAnsi="Times New Roman"/>
                      <w:sz w:val="21"/>
                      <w:szCs w:val="21"/>
                    </w:rPr>
                    <w:t>5</w:t>
                  </w:r>
                  <w:r>
                    <w:rPr>
                      <w:rFonts w:ascii="Times New Roman" w:hAnsi="Times New Roman"/>
                      <w:sz w:val="21"/>
                      <w:szCs w:val="21"/>
                    </w:rPr>
                    <w:t>.57</w:t>
                  </w:r>
                </w:p>
              </w:tc>
              <w:tc>
                <w:tcPr>
                  <w:tcW w:w="570" w:type="pct"/>
                  <w:vAlign w:val="center"/>
                </w:tcPr>
                <w:p>
                  <w:pPr>
                    <w:pStyle w:val="72"/>
                    <w:adjustRightInd w:val="0"/>
                    <w:snapToGrid w:val="0"/>
                    <w:spacing w:line="240" w:lineRule="auto"/>
                    <w:ind w:firstLine="0" w:firstLineChars="0"/>
                    <w:jc w:val="center"/>
                    <w:rPr>
                      <w:rFonts w:ascii="Times New Roman" w:hAnsi="Times New Roman"/>
                      <w:sz w:val="21"/>
                      <w:szCs w:val="21"/>
                    </w:rPr>
                  </w:pPr>
                  <w:r>
                    <w:rPr>
                      <w:rFonts w:hint="eastAsia" w:ascii="Times New Roman" w:hAnsi="Times New Roman"/>
                      <w:sz w:val="21"/>
                      <w:szCs w:val="21"/>
                    </w:rPr>
                    <w:t>0</w:t>
                  </w:r>
                  <w:r>
                    <w:rPr>
                      <w:rFonts w:ascii="Times New Roman" w:hAnsi="Times New Roman"/>
                      <w:sz w:val="21"/>
                      <w:szCs w:val="21"/>
                    </w:rPr>
                    <w:t>.018</w:t>
                  </w:r>
                </w:p>
              </w:tc>
              <w:tc>
                <w:tcPr>
                  <w:tcW w:w="408" w:type="pct"/>
                  <w:vMerge w:val="restart"/>
                  <w:vAlign w:val="center"/>
                </w:tcPr>
                <w:p>
                  <w:pPr>
                    <w:adjustRightInd w:val="0"/>
                    <w:snapToGrid w:val="0"/>
                    <w:jc w:val="center"/>
                    <w:rPr>
                      <w:color w:val="000000"/>
                      <w:szCs w:val="21"/>
                    </w:rPr>
                  </w:pPr>
                  <w:r>
                    <w:rPr>
                      <w:color w:val="000000"/>
                      <w:szCs w:val="21"/>
                    </w:rPr>
                    <w:t>0.5</w:t>
                  </w:r>
                </w:p>
              </w:tc>
              <w:tc>
                <w:tcPr>
                  <w:tcW w:w="488" w:type="pct"/>
                  <w:vMerge w:val="restart"/>
                  <w:vAlign w:val="center"/>
                </w:tcPr>
                <w:p>
                  <w:pPr>
                    <w:adjustRightInd w:val="0"/>
                    <w:snapToGrid w:val="0"/>
                    <w:jc w:val="center"/>
                    <w:rPr>
                      <w:color w:val="000000"/>
                      <w:szCs w:val="21"/>
                    </w:rPr>
                  </w:pPr>
                  <w:r>
                    <w:rPr>
                      <w:color w:val="000000"/>
                      <w:szCs w:val="21"/>
                    </w:rPr>
                    <w:t>不确定</w:t>
                  </w:r>
                </w:p>
              </w:tc>
              <w:tc>
                <w:tcPr>
                  <w:tcW w:w="1044" w:type="pct"/>
                  <w:vMerge w:val="restart"/>
                  <w:vAlign w:val="center"/>
                </w:tcPr>
                <w:p>
                  <w:pPr>
                    <w:adjustRightInd w:val="0"/>
                    <w:snapToGrid w:val="0"/>
                    <w:jc w:val="center"/>
                    <w:rPr>
                      <w:color w:val="000000"/>
                      <w:szCs w:val="21"/>
                    </w:rPr>
                  </w:pPr>
                  <w:r>
                    <w:rPr>
                      <w:color w:val="000000"/>
                      <w:szCs w:val="21"/>
                    </w:rPr>
                    <w:t>停机更换低氮燃烧器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119" w:hRule="atLeast"/>
                <w:jc w:val="center"/>
              </w:trPr>
              <w:tc>
                <w:tcPr>
                  <w:tcW w:w="161" w:type="pct"/>
                  <w:vMerge w:val="continue"/>
                  <w:vAlign w:val="center"/>
                </w:tcPr>
                <w:p>
                  <w:pPr>
                    <w:adjustRightInd w:val="0"/>
                    <w:snapToGrid w:val="0"/>
                    <w:jc w:val="center"/>
                    <w:rPr>
                      <w:color w:val="000000"/>
                      <w:szCs w:val="21"/>
                    </w:rPr>
                  </w:pPr>
                </w:p>
              </w:tc>
              <w:tc>
                <w:tcPr>
                  <w:tcW w:w="390" w:type="pct"/>
                  <w:vMerge w:val="continue"/>
                  <w:vAlign w:val="center"/>
                </w:tcPr>
                <w:p>
                  <w:pPr>
                    <w:adjustRightInd w:val="0"/>
                    <w:snapToGrid w:val="0"/>
                    <w:jc w:val="center"/>
                    <w:rPr>
                      <w:color w:val="000000"/>
                      <w:szCs w:val="21"/>
                    </w:rPr>
                  </w:pPr>
                </w:p>
              </w:tc>
              <w:tc>
                <w:tcPr>
                  <w:tcW w:w="880" w:type="pct"/>
                  <w:vMerge w:val="continue"/>
                  <w:vAlign w:val="center"/>
                </w:tcPr>
                <w:p>
                  <w:pPr>
                    <w:adjustRightInd w:val="0"/>
                    <w:snapToGrid w:val="0"/>
                    <w:jc w:val="center"/>
                    <w:rPr>
                      <w:color w:val="000000"/>
                      <w:szCs w:val="21"/>
                    </w:rPr>
                  </w:pPr>
                </w:p>
              </w:tc>
              <w:tc>
                <w:tcPr>
                  <w:tcW w:w="488" w:type="pct"/>
                  <w:vAlign w:val="center"/>
                </w:tcPr>
                <w:p>
                  <w:pPr>
                    <w:pStyle w:val="72"/>
                    <w:adjustRightInd w:val="0"/>
                    <w:snapToGrid w:val="0"/>
                    <w:spacing w:line="240" w:lineRule="auto"/>
                    <w:ind w:firstLine="0" w:firstLineChars="0"/>
                    <w:jc w:val="center"/>
                    <w:rPr>
                      <w:rFonts w:ascii="Times New Roman" w:hAnsi="Times New Roman"/>
                      <w:color w:val="000000"/>
                      <w:sz w:val="21"/>
                      <w:szCs w:val="21"/>
                    </w:rPr>
                  </w:pPr>
                  <w:r>
                    <w:rPr>
                      <w:rFonts w:ascii="Times New Roman" w:hAnsi="Times New Roman"/>
                      <w:color w:val="000000" w:themeColor="text1"/>
                      <w:sz w:val="21"/>
                      <w:szCs w:val="21"/>
                      <w14:textFill>
                        <w14:solidFill>
                          <w14:schemeClr w14:val="tx1"/>
                        </w14:solidFill>
                      </w14:textFill>
                    </w:rPr>
                    <w:t>SO</w:t>
                  </w:r>
                  <w:r>
                    <w:rPr>
                      <w:rFonts w:ascii="Times New Roman" w:hAnsi="Times New Roman"/>
                      <w:color w:val="000000" w:themeColor="text1"/>
                      <w:sz w:val="21"/>
                      <w:szCs w:val="21"/>
                      <w:vertAlign w:val="subscript"/>
                      <w14:textFill>
                        <w14:solidFill>
                          <w14:schemeClr w14:val="tx1"/>
                        </w14:solidFill>
                      </w14:textFill>
                    </w:rPr>
                    <w:t>2</w:t>
                  </w:r>
                </w:p>
              </w:tc>
              <w:tc>
                <w:tcPr>
                  <w:tcW w:w="570" w:type="pct"/>
                  <w:vAlign w:val="center"/>
                </w:tcPr>
                <w:p>
                  <w:pPr>
                    <w:pStyle w:val="72"/>
                    <w:adjustRightInd w:val="0"/>
                    <w:snapToGrid w:val="0"/>
                    <w:spacing w:line="240" w:lineRule="auto"/>
                    <w:ind w:firstLine="0" w:firstLineChars="0"/>
                    <w:jc w:val="center"/>
                    <w:rPr>
                      <w:rFonts w:ascii="Times New Roman" w:hAnsi="Times New Roman"/>
                      <w:sz w:val="21"/>
                      <w:szCs w:val="21"/>
                    </w:rPr>
                  </w:pPr>
                  <w:r>
                    <w:rPr>
                      <w:rFonts w:hint="eastAsia" w:ascii="Times New Roman" w:hAnsi="Times New Roman"/>
                      <w:sz w:val="21"/>
                      <w:szCs w:val="21"/>
                    </w:rPr>
                    <w:t>9</w:t>
                  </w:r>
                  <w:r>
                    <w:rPr>
                      <w:rFonts w:ascii="Times New Roman" w:hAnsi="Times New Roman"/>
                      <w:sz w:val="21"/>
                      <w:szCs w:val="21"/>
                    </w:rPr>
                    <w:t>.28</w:t>
                  </w:r>
                </w:p>
              </w:tc>
              <w:tc>
                <w:tcPr>
                  <w:tcW w:w="570" w:type="pct"/>
                  <w:vAlign w:val="center"/>
                </w:tcPr>
                <w:p>
                  <w:pPr>
                    <w:pStyle w:val="72"/>
                    <w:adjustRightInd w:val="0"/>
                    <w:snapToGrid w:val="0"/>
                    <w:spacing w:line="240" w:lineRule="auto"/>
                    <w:ind w:firstLine="0" w:firstLineChars="0"/>
                    <w:jc w:val="center"/>
                    <w:rPr>
                      <w:rFonts w:ascii="Times New Roman" w:hAnsi="Times New Roman"/>
                      <w:sz w:val="21"/>
                      <w:szCs w:val="21"/>
                    </w:rPr>
                  </w:pPr>
                  <w:r>
                    <w:rPr>
                      <w:rFonts w:hint="eastAsia" w:ascii="Times New Roman" w:hAnsi="Times New Roman"/>
                      <w:sz w:val="21"/>
                      <w:szCs w:val="21"/>
                    </w:rPr>
                    <w:t>0</w:t>
                  </w:r>
                  <w:r>
                    <w:rPr>
                      <w:rFonts w:ascii="Times New Roman" w:hAnsi="Times New Roman"/>
                      <w:sz w:val="21"/>
                      <w:szCs w:val="21"/>
                    </w:rPr>
                    <w:t>.03</w:t>
                  </w:r>
                </w:p>
              </w:tc>
              <w:tc>
                <w:tcPr>
                  <w:tcW w:w="408" w:type="pct"/>
                  <w:vMerge w:val="continue"/>
                  <w:vAlign w:val="center"/>
                </w:tcPr>
                <w:p>
                  <w:pPr>
                    <w:adjustRightInd w:val="0"/>
                    <w:snapToGrid w:val="0"/>
                    <w:jc w:val="center"/>
                    <w:rPr>
                      <w:color w:val="000000"/>
                      <w:szCs w:val="21"/>
                    </w:rPr>
                  </w:pPr>
                </w:p>
              </w:tc>
              <w:tc>
                <w:tcPr>
                  <w:tcW w:w="488" w:type="pct"/>
                  <w:vMerge w:val="continue"/>
                  <w:vAlign w:val="center"/>
                </w:tcPr>
                <w:p>
                  <w:pPr>
                    <w:adjustRightInd w:val="0"/>
                    <w:snapToGrid w:val="0"/>
                    <w:jc w:val="center"/>
                    <w:rPr>
                      <w:color w:val="000000"/>
                      <w:szCs w:val="21"/>
                    </w:rPr>
                  </w:pPr>
                </w:p>
              </w:tc>
              <w:tc>
                <w:tcPr>
                  <w:tcW w:w="1044" w:type="pct"/>
                  <w:vMerge w:val="continue"/>
                  <w:vAlign w:val="center"/>
                </w:tcPr>
                <w:p>
                  <w:pPr>
                    <w:adjustRightInd w:val="0"/>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119" w:hRule="atLeast"/>
                <w:jc w:val="center"/>
              </w:trPr>
              <w:tc>
                <w:tcPr>
                  <w:tcW w:w="161" w:type="pct"/>
                  <w:vMerge w:val="continue"/>
                  <w:shd w:val="clear" w:color="auto" w:fill="FFFFFF"/>
                  <w:vAlign w:val="center"/>
                </w:tcPr>
                <w:p>
                  <w:pPr>
                    <w:adjustRightInd w:val="0"/>
                    <w:snapToGrid w:val="0"/>
                    <w:jc w:val="center"/>
                    <w:rPr>
                      <w:color w:val="000000" w:themeColor="text1"/>
                      <w:szCs w:val="21"/>
                      <w14:textFill>
                        <w14:solidFill>
                          <w14:schemeClr w14:val="tx1"/>
                        </w14:solidFill>
                      </w14:textFill>
                    </w:rPr>
                  </w:pPr>
                </w:p>
              </w:tc>
              <w:tc>
                <w:tcPr>
                  <w:tcW w:w="390" w:type="pct"/>
                  <w:vMerge w:val="continue"/>
                  <w:shd w:val="clear" w:color="auto" w:fill="FFFFFF"/>
                  <w:vAlign w:val="center"/>
                </w:tcPr>
                <w:p>
                  <w:pPr>
                    <w:adjustRightInd w:val="0"/>
                    <w:snapToGrid w:val="0"/>
                    <w:jc w:val="center"/>
                    <w:rPr>
                      <w:color w:val="000000" w:themeColor="text1"/>
                      <w:szCs w:val="21"/>
                      <w14:textFill>
                        <w14:solidFill>
                          <w14:schemeClr w14:val="tx1"/>
                        </w14:solidFill>
                      </w14:textFill>
                    </w:rPr>
                  </w:pPr>
                </w:p>
              </w:tc>
              <w:tc>
                <w:tcPr>
                  <w:tcW w:w="880" w:type="pct"/>
                  <w:vMerge w:val="continue"/>
                  <w:shd w:val="clear" w:color="auto" w:fill="FFFFFF"/>
                  <w:vAlign w:val="center"/>
                </w:tcPr>
                <w:p>
                  <w:pPr>
                    <w:adjustRightInd w:val="0"/>
                    <w:snapToGrid w:val="0"/>
                    <w:jc w:val="center"/>
                    <w:rPr>
                      <w:color w:val="000000" w:themeColor="text1"/>
                      <w:szCs w:val="21"/>
                      <w14:textFill>
                        <w14:solidFill>
                          <w14:schemeClr w14:val="tx1"/>
                        </w14:solidFill>
                      </w14:textFill>
                    </w:rPr>
                  </w:pPr>
                </w:p>
              </w:tc>
              <w:tc>
                <w:tcPr>
                  <w:tcW w:w="488" w:type="pct"/>
                  <w:shd w:val="clear" w:color="auto" w:fill="FFFFFF"/>
                  <w:vAlign w:val="center"/>
                </w:tcPr>
                <w:p>
                  <w:pPr>
                    <w:pStyle w:val="72"/>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NO</w:t>
                  </w:r>
                  <w:r>
                    <w:rPr>
                      <w:rFonts w:ascii="Times New Roman" w:hAnsi="Times New Roman"/>
                      <w:color w:val="000000" w:themeColor="text1"/>
                      <w:sz w:val="21"/>
                      <w:szCs w:val="21"/>
                      <w:vertAlign w:val="subscript"/>
                      <w14:textFill>
                        <w14:solidFill>
                          <w14:schemeClr w14:val="tx1"/>
                        </w14:solidFill>
                      </w14:textFill>
                    </w:rPr>
                    <w:t>X</w:t>
                  </w:r>
                </w:p>
              </w:tc>
              <w:tc>
                <w:tcPr>
                  <w:tcW w:w="570" w:type="pct"/>
                  <w:shd w:val="clear" w:color="auto" w:fill="FFFFFF"/>
                  <w:vAlign w:val="center"/>
                </w:tcPr>
                <w:p>
                  <w:pPr>
                    <w:pStyle w:val="72"/>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w:t>
                  </w:r>
                  <w:r>
                    <w:rPr>
                      <w:rFonts w:ascii="Times New Roman" w:hAnsi="Times New Roman"/>
                      <w:color w:val="000000" w:themeColor="text1"/>
                      <w:sz w:val="21"/>
                      <w:szCs w:val="21"/>
                      <w14:textFill>
                        <w14:solidFill>
                          <w14:schemeClr w14:val="tx1"/>
                        </w14:solidFill>
                      </w14:textFill>
                    </w:rPr>
                    <w:t>73.63</w:t>
                  </w:r>
                </w:p>
              </w:tc>
              <w:tc>
                <w:tcPr>
                  <w:tcW w:w="570" w:type="pct"/>
                  <w:shd w:val="clear" w:color="auto" w:fill="FFFFFF"/>
                  <w:vAlign w:val="center"/>
                </w:tcPr>
                <w:p>
                  <w:pPr>
                    <w:pStyle w:val="72"/>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0</w:t>
                  </w:r>
                  <w:r>
                    <w:rPr>
                      <w:rFonts w:ascii="Times New Roman" w:hAnsi="Times New Roman"/>
                      <w:color w:val="000000" w:themeColor="text1"/>
                      <w:sz w:val="21"/>
                      <w:szCs w:val="21"/>
                      <w14:textFill>
                        <w14:solidFill>
                          <w14:schemeClr w14:val="tx1"/>
                        </w14:solidFill>
                      </w14:textFill>
                    </w:rPr>
                    <w:t>.561</w:t>
                  </w:r>
                </w:p>
              </w:tc>
              <w:tc>
                <w:tcPr>
                  <w:tcW w:w="408" w:type="pct"/>
                  <w:vMerge w:val="continue"/>
                  <w:vAlign w:val="center"/>
                </w:tcPr>
                <w:p>
                  <w:pPr>
                    <w:adjustRightInd w:val="0"/>
                    <w:snapToGrid w:val="0"/>
                    <w:jc w:val="center"/>
                    <w:rPr>
                      <w:color w:val="000000"/>
                      <w:szCs w:val="21"/>
                    </w:rPr>
                  </w:pPr>
                </w:p>
              </w:tc>
              <w:tc>
                <w:tcPr>
                  <w:tcW w:w="488" w:type="pct"/>
                  <w:vMerge w:val="continue"/>
                  <w:vAlign w:val="center"/>
                </w:tcPr>
                <w:p>
                  <w:pPr>
                    <w:adjustRightInd w:val="0"/>
                    <w:snapToGrid w:val="0"/>
                    <w:jc w:val="center"/>
                    <w:rPr>
                      <w:color w:val="000000"/>
                      <w:szCs w:val="21"/>
                    </w:rPr>
                  </w:pPr>
                </w:p>
              </w:tc>
              <w:tc>
                <w:tcPr>
                  <w:tcW w:w="1044" w:type="pct"/>
                  <w:vMerge w:val="continue"/>
                  <w:vAlign w:val="center"/>
                </w:tcPr>
                <w:p>
                  <w:pPr>
                    <w:adjustRightInd w:val="0"/>
                    <w:snapToGrid w:val="0"/>
                    <w:jc w:val="center"/>
                    <w:rPr>
                      <w:color w:val="000000"/>
                      <w:szCs w:val="21"/>
                    </w:rPr>
                  </w:pPr>
                </w:p>
              </w:tc>
            </w:tr>
          </w:tbl>
          <w:p>
            <w:pPr>
              <w:spacing w:before="156" w:beforeLines="50" w:line="360" w:lineRule="auto"/>
              <w:jc w:val="center"/>
              <w:rPr>
                <w:b/>
                <w:bCs/>
                <w:kern w:val="0"/>
                <w:sz w:val="24"/>
              </w:rPr>
            </w:pPr>
            <w:r>
              <w:rPr>
                <w:b/>
                <w:bCs/>
                <w:kern w:val="0"/>
                <w:sz w:val="24"/>
              </w:rPr>
              <w:t>表7-13   大气环境影响评价自查表</w:t>
            </w:r>
          </w:p>
          <w:tbl>
            <w:tblPr>
              <w:tblStyle w:val="20"/>
              <w:tblW w:w="5000" w:type="pct"/>
              <w:jc w:val="center"/>
              <w:tblLayout w:type="autofit"/>
              <w:tblCellMar>
                <w:top w:w="0" w:type="dxa"/>
                <w:left w:w="28" w:type="dxa"/>
                <w:bottom w:w="0" w:type="dxa"/>
                <w:right w:w="28" w:type="dxa"/>
              </w:tblCellMar>
            </w:tblPr>
            <w:tblGrid>
              <w:gridCol w:w="622"/>
              <w:gridCol w:w="1474"/>
              <w:gridCol w:w="1001"/>
              <w:gridCol w:w="303"/>
              <w:gridCol w:w="48"/>
              <w:gridCol w:w="321"/>
              <w:gridCol w:w="25"/>
              <w:gridCol w:w="322"/>
              <w:gridCol w:w="492"/>
              <w:gridCol w:w="191"/>
              <w:gridCol w:w="296"/>
              <w:gridCol w:w="151"/>
              <w:gridCol w:w="905"/>
              <w:gridCol w:w="66"/>
              <w:gridCol w:w="847"/>
              <w:gridCol w:w="443"/>
              <w:gridCol w:w="184"/>
              <w:gridCol w:w="650"/>
              <w:gridCol w:w="515"/>
            </w:tblGrid>
            <w:tr>
              <w:tblPrEx>
                <w:tblCellMar>
                  <w:top w:w="0" w:type="dxa"/>
                  <w:left w:w="28" w:type="dxa"/>
                  <w:bottom w:w="0" w:type="dxa"/>
                  <w:right w:w="28" w:type="dxa"/>
                </w:tblCellMar>
              </w:tblPrEx>
              <w:trPr>
                <w:trHeight w:val="285" w:hRule="atLeast"/>
                <w:jc w:val="center"/>
              </w:trPr>
              <w:tc>
                <w:tcPr>
                  <w:tcW w:w="1184" w:type="pct"/>
                  <w:gridSpan w:val="2"/>
                  <w:tcBorders>
                    <w:top w:val="single" w:color="000000" w:sz="12" w:space="0"/>
                    <w:left w:val="single" w:color="000000" w:sz="12" w:space="0"/>
                    <w:bottom w:val="single" w:color="000000" w:sz="4" w:space="0"/>
                    <w:right w:val="single" w:color="000000" w:sz="4" w:space="0"/>
                  </w:tcBorders>
                </w:tcPr>
                <w:p>
                  <w:pPr>
                    <w:snapToGrid w:val="0"/>
                    <w:jc w:val="center"/>
                    <w:rPr>
                      <w:kern w:val="0"/>
                      <w:sz w:val="18"/>
                      <w:szCs w:val="18"/>
                    </w:rPr>
                  </w:pPr>
                  <w:r>
                    <w:rPr>
                      <w:kern w:val="0"/>
                      <w:sz w:val="18"/>
                      <w:szCs w:val="18"/>
                    </w:rPr>
                    <w:t>工作内容</w:t>
                  </w:r>
                </w:p>
              </w:tc>
              <w:tc>
                <w:tcPr>
                  <w:tcW w:w="3816" w:type="pct"/>
                  <w:gridSpan w:val="17"/>
                  <w:tcBorders>
                    <w:top w:val="single" w:color="000000" w:sz="12" w:space="0"/>
                    <w:left w:val="nil"/>
                    <w:bottom w:val="single" w:color="000000" w:sz="4" w:space="0"/>
                    <w:right w:val="single" w:color="000000" w:sz="12" w:space="0"/>
                  </w:tcBorders>
                </w:tcPr>
                <w:p>
                  <w:pPr>
                    <w:snapToGrid w:val="0"/>
                    <w:jc w:val="center"/>
                    <w:rPr>
                      <w:kern w:val="0"/>
                      <w:sz w:val="18"/>
                      <w:szCs w:val="18"/>
                    </w:rPr>
                  </w:pPr>
                  <w:r>
                    <w:rPr>
                      <w:kern w:val="0"/>
                      <w:sz w:val="18"/>
                      <w:szCs w:val="18"/>
                    </w:rPr>
                    <w:t>自查项目</w:t>
                  </w:r>
                </w:p>
              </w:tc>
            </w:tr>
            <w:tr>
              <w:tblPrEx>
                <w:tblCellMar>
                  <w:top w:w="0" w:type="dxa"/>
                  <w:left w:w="28" w:type="dxa"/>
                  <w:bottom w:w="0" w:type="dxa"/>
                  <w:right w:w="28" w:type="dxa"/>
                </w:tblCellMar>
              </w:tblPrEx>
              <w:trPr>
                <w:trHeight w:val="264" w:hRule="atLeast"/>
                <w:jc w:val="center"/>
              </w:trPr>
              <w:tc>
                <w:tcPr>
                  <w:tcW w:w="352" w:type="pct"/>
                  <w:vMerge w:val="restart"/>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r>
                    <w:rPr>
                      <w:kern w:val="0"/>
                      <w:sz w:val="18"/>
                      <w:szCs w:val="18"/>
                    </w:rPr>
                    <w:t>评价等级与范围</w:t>
                  </w: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评价等级</w:t>
                  </w:r>
                </w:p>
              </w:tc>
              <w:tc>
                <w:tcPr>
                  <w:tcW w:w="1418" w:type="pct"/>
                  <w:gridSpan w:val="7"/>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一级□</w:t>
                  </w:r>
                </w:p>
              </w:tc>
              <w:tc>
                <w:tcPr>
                  <w:tcW w:w="1384" w:type="pct"/>
                  <w:gridSpan w:val="6"/>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二级</w:t>
                  </w:r>
                  <w:r>
                    <w:rPr>
                      <w:kern w:val="0"/>
                      <w:sz w:val="18"/>
                      <w:szCs w:val="18"/>
                    </w:rPr>
                    <w:sym w:font="Wingdings 2" w:char="0052"/>
                  </w:r>
                </w:p>
              </w:tc>
              <w:tc>
                <w:tcPr>
                  <w:tcW w:w="1014" w:type="pct"/>
                  <w:gridSpan w:val="4"/>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三级□</w:t>
                  </w:r>
                </w:p>
              </w:tc>
            </w:tr>
            <w:tr>
              <w:tblPrEx>
                <w:tblCellMar>
                  <w:top w:w="0" w:type="dxa"/>
                  <w:left w:w="28" w:type="dxa"/>
                  <w:bottom w:w="0" w:type="dxa"/>
                  <w:right w:w="28" w:type="dxa"/>
                </w:tblCellMar>
              </w:tblPrEx>
              <w:trPr>
                <w:trHeight w:val="506" w:hRule="atLeast"/>
                <w:jc w:val="center"/>
              </w:trPr>
              <w:tc>
                <w:tcPr>
                  <w:tcW w:w="352" w:type="pct"/>
                  <w:vMerge w:val="continue"/>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评价范围</w:t>
                  </w:r>
                </w:p>
              </w:tc>
              <w:tc>
                <w:tcPr>
                  <w:tcW w:w="1418" w:type="pct"/>
                  <w:gridSpan w:val="7"/>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边长=50 km□</w:t>
                  </w:r>
                </w:p>
              </w:tc>
              <w:tc>
                <w:tcPr>
                  <w:tcW w:w="1384" w:type="pct"/>
                  <w:gridSpan w:val="6"/>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边长 5～50 km</w:t>
                  </w:r>
                  <w:r>
                    <w:rPr>
                      <w:kern w:val="0"/>
                      <w:sz w:val="18"/>
                      <w:szCs w:val="18"/>
                    </w:rPr>
                    <w:sym w:font="Wingdings 2" w:char="00A3"/>
                  </w:r>
                </w:p>
              </w:tc>
              <w:tc>
                <w:tcPr>
                  <w:tcW w:w="1014" w:type="pct"/>
                  <w:gridSpan w:val="4"/>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边长=5 km</w:t>
                  </w:r>
                  <w:r>
                    <w:rPr>
                      <w:kern w:val="0"/>
                      <w:sz w:val="18"/>
                      <w:szCs w:val="18"/>
                    </w:rPr>
                    <w:sym w:font="Wingdings 2" w:char="0052"/>
                  </w:r>
                </w:p>
              </w:tc>
            </w:tr>
            <w:tr>
              <w:tblPrEx>
                <w:tblCellMar>
                  <w:top w:w="0" w:type="dxa"/>
                  <w:left w:w="28" w:type="dxa"/>
                  <w:bottom w:w="0" w:type="dxa"/>
                  <w:right w:w="28" w:type="dxa"/>
                </w:tblCellMar>
              </w:tblPrEx>
              <w:trPr>
                <w:trHeight w:val="270" w:hRule="atLeast"/>
                <w:jc w:val="center"/>
              </w:trPr>
              <w:tc>
                <w:tcPr>
                  <w:tcW w:w="352" w:type="pct"/>
                  <w:vMerge w:val="restart"/>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r>
                    <w:rPr>
                      <w:kern w:val="0"/>
                      <w:sz w:val="18"/>
                      <w:szCs w:val="18"/>
                    </w:rPr>
                    <w:t>评价因子</w:t>
                  </w: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SO</w:t>
                  </w:r>
                  <w:r>
                    <w:rPr>
                      <w:kern w:val="0"/>
                      <w:sz w:val="18"/>
                      <w:szCs w:val="18"/>
                      <w:vertAlign w:val="subscript"/>
                    </w:rPr>
                    <w:t>2</w:t>
                  </w:r>
                  <w:r>
                    <w:rPr>
                      <w:kern w:val="0"/>
                      <w:sz w:val="18"/>
                      <w:szCs w:val="18"/>
                    </w:rPr>
                    <w:t xml:space="preserve"> +NO</w:t>
                  </w:r>
                  <w:r>
                    <w:rPr>
                      <w:kern w:val="0"/>
                      <w:sz w:val="18"/>
                      <w:szCs w:val="18"/>
                      <w:vertAlign w:val="subscript"/>
                    </w:rPr>
                    <w:t>x</w:t>
                  </w:r>
                  <w:r>
                    <w:rPr>
                      <w:kern w:val="0"/>
                      <w:sz w:val="18"/>
                      <w:szCs w:val="18"/>
                    </w:rPr>
                    <w:t xml:space="preserve"> 排放量</w:t>
                  </w:r>
                </w:p>
              </w:tc>
              <w:tc>
                <w:tcPr>
                  <w:tcW w:w="736" w:type="pct"/>
                  <w:gridSpan w:val="2"/>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 2000t/a□</w:t>
                  </w:r>
                </w:p>
              </w:tc>
              <w:tc>
                <w:tcPr>
                  <w:tcW w:w="2065" w:type="pct"/>
                  <w:gridSpan w:val="11"/>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500～2000t/a□</w:t>
                  </w:r>
                </w:p>
              </w:tc>
              <w:tc>
                <w:tcPr>
                  <w:tcW w:w="1014" w:type="pct"/>
                  <w:gridSpan w:val="4"/>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＜500 t/a</w:t>
                  </w:r>
                  <w:r>
                    <w:rPr>
                      <w:kern w:val="0"/>
                      <w:sz w:val="18"/>
                      <w:szCs w:val="18"/>
                    </w:rPr>
                    <w:sym w:font="Wingdings 2" w:char="0052"/>
                  </w:r>
                </w:p>
              </w:tc>
            </w:tr>
            <w:tr>
              <w:tblPrEx>
                <w:tblCellMar>
                  <w:top w:w="0" w:type="dxa"/>
                  <w:left w:w="28" w:type="dxa"/>
                  <w:bottom w:w="0" w:type="dxa"/>
                  <w:right w:w="28" w:type="dxa"/>
                </w:tblCellMar>
              </w:tblPrEx>
              <w:trPr>
                <w:trHeight w:val="524" w:hRule="atLeast"/>
                <w:jc w:val="center"/>
              </w:trPr>
              <w:tc>
                <w:tcPr>
                  <w:tcW w:w="352" w:type="pct"/>
                  <w:vMerge w:val="continue"/>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评价因子</w:t>
                  </w:r>
                </w:p>
              </w:tc>
              <w:tc>
                <w:tcPr>
                  <w:tcW w:w="2325" w:type="pct"/>
                  <w:gridSpan w:val="12"/>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基本污染物（SO</w:t>
                  </w:r>
                  <w:r>
                    <w:rPr>
                      <w:kern w:val="0"/>
                      <w:sz w:val="18"/>
                      <w:szCs w:val="18"/>
                      <w:vertAlign w:val="subscript"/>
                    </w:rPr>
                    <w:t>2</w:t>
                  </w:r>
                  <w:r>
                    <w:rPr>
                      <w:kern w:val="0"/>
                      <w:sz w:val="18"/>
                      <w:szCs w:val="18"/>
                    </w:rPr>
                    <w:t>、NO</w:t>
                  </w:r>
                  <w:r>
                    <w:rPr>
                      <w:kern w:val="0"/>
                      <w:sz w:val="18"/>
                      <w:szCs w:val="18"/>
                      <w:vertAlign w:val="subscript"/>
                    </w:rPr>
                    <w:t>2</w:t>
                  </w:r>
                  <w:r>
                    <w:rPr>
                      <w:kern w:val="0"/>
                      <w:sz w:val="18"/>
                      <w:szCs w:val="18"/>
                    </w:rPr>
                    <w:t>、PM</w:t>
                  </w:r>
                  <w:r>
                    <w:rPr>
                      <w:kern w:val="0"/>
                      <w:sz w:val="18"/>
                      <w:szCs w:val="18"/>
                      <w:vertAlign w:val="subscript"/>
                    </w:rPr>
                    <w:t>10</w:t>
                  </w:r>
                  <w:r>
                    <w:rPr>
                      <w:kern w:val="0"/>
                      <w:sz w:val="18"/>
                      <w:szCs w:val="18"/>
                    </w:rPr>
                    <w:t>、PM</w:t>
                  </w:r>
                  <w:r>
                    <w:rPr>
                      <w:kern w:val="0"/>
                      <w:sz w:val="18"/>
                      <w:szCs w:val="18"/>
                      <w:vertAlign w:val="subscript"/>
                    </w:rPr>
                    <w:t>2.5</w:t>
                  </w:r>
                  <w:r>
                    <w:rPr>
                      <w:kern w:val="0"/>
                      <w:sz w:val="18"/>
                      <w:szCs w:val="18"/>
                    </w:rPr>
                    <w:t>、CO、O</w:t>
                  </w:r>
                  <w:r>
                    <w:rPr>
                      <w:kern w:val="0"/>
                      <w:sz w:val="18"/>
                      <w:szCs w:val="18"/>
                      <w:vertAlign w:val="subscript"/>
                    </w:rPr>
                    <w:t>3</w:t>
                  </w:r>
                  <w:r>
                    <w:rPr>
                      <w:kern w:val="0"/>
                      <w:sz w:val="18"/>
                      <w:szCs w:val="18"/>
                    </w:rPr>
                    <w:t>）</w:t>
                  </w:r>
                </w:p>
                <w:p>
                  <w:pPr>
                    <w:snapToGrid w:val="0"/>
                    <w:jc w:val="center"/>
                    <w:rPr>
                      <w:kern w:val="0"/>
                      <w:sz w:val="18"/>
                      <w:szCs w:val="18"/>
                    </w:rPr>
                  </w:pPr>
                  <w:r>
                    <w:rPr>
                      <w:kern w:val="0"/>
                      <w:sz w:val="18"/>
                      <w:szCs w:val="18"/>
                    </w:rPr>
                    <w:t>其他污染物（</w:t>
                  </w:r>
                  <w:r>
                    <w:rPr>
                      <w:rFonts w:hint="eastAsia"/>
                      <w:kern w:val="0"/>
                      <w:sz w:val="18"/>
                      <w:szCs w:val="18"/>
                    </w:rPr>
                    <w:t>非甲烷总烃、T</w:t>
                  </w:r>
                  <w:r>
                    <w:rPr>
                      <w:kern w:val="0"/>
                      <w:sz w:val="18"/>
                      <w:szCs w:val="18"/>
                    </w:rPr>
                    <w:t>SP</w:t>
                  </w:r>
                  <w:r>
                    <w:rPr>
                      <w:rFonts w:hint="eastAsia"/>
                      <w:kern w:val="0"/>
                      <w:sz w:val="18"/>
                      <w:szCs w:val="18"/>
                    </w:rPr>
                    <w:t>、苯乙烯</w:t>
                  </w:r>
                  <w:r>
                    <w:rPr>
                      <w:kern w:val="0"/>
                      <w:sz w:val="18"/>
                      <w:szCs w:val="18"/>
                    </w:rPr>
                    <w:t>）</w:t>
                  </w:r>
                </w:p>
              </w:tc>
              <w:tc>
                <w:tcPr>
                  <w:tcW w:w="1490" w:type="pct"/>
                  <w:gridSpan w:val="5"/>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包括二次 PM</w:t>
                  </w:r>
                  <w:r>
                    <w:rPr>
                      <w:kern w:val="0"/>
                      <w:sz w:val="18"/>
                      <w:szCs w:val="18"/>
                      <w:vertAlign w:val="subscript"/>
                    </w:rPr>
                    <w:t>2.5</w:t>
                  </w:r>
                  <w:r>
                    <w:rPr>
                      <w:kern w:val="0"/>
                      <w:sz w:val="18"/>
                      <w:szCs w:val="18"/>
                    </w:rPr>
                    <w:t>□</w:t>
                  </w:r>
                </w:p>
                <w:p>
                  <w:pPr>
                    <w:snapToGrid w:val="0"/>
                    <w:jc w:val="center"/>
                    <w:rPr>
                      <w:kern w:val="0"/>
                      <w:sz w:val="18"/>
                      <w:szCs w:val="18"/>
                    </w:rPr>
                  </w:pPr>
                  <w:r>
                    <w:rPr>
                      <w:kern w:val="0"/>
                      <w:sz w:val="18"/>
                      <w:szCs w:val="18"/>
                    </w:rPr>
                    <w:t>不包括二次 PM</w:t>
                  </w:r>
                  <w:r>
                    <w:rPr>
                      <w:kern w:val="0"/>
                      <w:sz w:val="18"/>
                      <w:szCs w:val="18"/>
                      <w:vertAlign w:val="subscript"/>
                    </w:rPr>
                    <w:t>2.5</w:t>
                  </w:r>
                  <w:r>
                    <w:rPr>
                      <w:kern w:val="0"/>
                      <w:sz w:val="18"/>
                      <w:szCs w:val="18"/>
                    </w:rPr>
                    <w:sym w:font="Wingdings 2" w:char="0052"/>
                  </w:r>
                </w:p>
              </w:tc>
            </w:tr>
            <w:tr>
              <w:tblPrEx>
                <w:tblCellMar>
                  <w:top w:w="0" w:type="dxa"/>
                  <w:left w:w="28" w:type="dxa"/>
                  <w:bottom w:w="0" w:type="dxa"/>
                  <w:right w:w="28" w:type="dxa"/>
                </w:tblCellMar>
              </w:tblPrEx>
              <w:trPr>
                <w:trHeight w:val="517" w:hRule="atLeast"/>
                <w:jc w:val="center"/>
              </w:trPr>
              <w:tc>
                <w:tcPr>
                  <w:tcW w:w="352" w:type="pct"/>
                  <w:tcBorders>
                    <w:top w:val="single" w:color="000000" w:sz="4" w:space="0"/>
                    <w:left w:val="single" w:color="000000" w:sz="12" w:space="0"/>
                    <w:bottom w:val="single" w:color="000000" w:sz="4" w:space="0"/>
                    <w:right w:val="single" w:color="000000" w:sz="4" w:space="0"/>
                  </w:tcBorders>
                  <w:vAlign w:val="center"/>
                </w:tcPr>
                <w:p>
                  <w:pPr>
                    <w:snapToGrid w:val="0"/>
                    <w:jc w:val="center"/>
                    <w:rPr>
                      <w:kern w:val="0"/>
                      <w:sz w:val="18"/>
                      <w:szCs w:val="18"/>
                    </w:rPr>
                  </w:pPr>
                  <w:r>
                    <w:rPr>
                      <w:kern w:val="0"/>
                      <w:sz w:val="18"/>
                      <w:szCs w:val="18"/>
                    </w:rPr>
                    <w:t>评价标准</w:t>
                  </w: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评价标准</w:t>
                  </w:r>
                </w:p>
              </w:tc>
              <w:tc>
                <w:tcPr>
                  <w:tcW w:w="1140" w:type="pct"/>
                  <w:gridSpan w:val="6"/>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国家标准</w:t>
                  </w:r>
                  <w:r>
                    <w:rPr>
                      <w:kern w:val="0"/>
                      <w:sz w:val="18"/>
                      <w:szCs w:val="18"/>
                    </w:rPr>
                    <w:sym w:font="Wingdings 2" w:char="0052"/>
                  </w:r>
                </w:p>
              </w:tc>
              <w:tc>
                <w:tcPr>
                  <w:tcW w:w="1185" w:type="pct"/>
                  <w:gridSpan w:val="6"/>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地方标准</w:t>
                  </w:r>
                  <w:r>
                    <w:rPr>
                      <w:kern w:val="0"/>
                      <w:sz w:val="18"/>
                      <w:szCs w:val="18"/>
                    </w:rPr>
                    <w:sym w:font="Wingdings 2" w:char="00A3"/>
                  </w:r>
                </w:p>
              </w:tc>
              <w:tc>
                <w:tcPr>
                  <w:tcW w:w="831" w:type="pct"/>
                  <w:gridSpan w:val="3"/>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 xml:space="preserve">附录D </w:t>
                  </w:r>
                  <w:r>
                    <w:rPr>
                      <w:kern w:val="0"/>
                      <w:sz w:val="18"/>
                      <w:szCs w:val="18"/>
                    </w:rPr>
                    <w:sym w:font="Wingdings 2" w:char="0052"/>
                  </w:r>
                </w:p>
              </w:tc>
              <w:tc>
                <w:tcPr>
                  <w:tcW w:w="659" w:type="pct"/>
                  <w:gridSpan w:val="2"/>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 xml:space="preserve">其他标准  </w:t>
                  </w:r>
                  <w:r>
                    <w:rPr>
                      <w:kern w:val="0"/>
                      <w:sz w:val="18"/>
                      <w:szCs w:val="18"/>
                    </w:rPr>
                    <w:sym w:font="Wingdings 2" w:char="00A3"/>
                  </w:r>
                </w:p>
              </w:tc>
            </w:tr>
            <w:tr>
              <w:tblPrEx>
                <w:tblCellMar>
                  <w:top w:w="0" w:type="dxa"/>
                  <w:left w:w="28" w:type="dxa"/>
                  <w:bottom w:w="0" w:type="dxa"/>
                  <w:right w:w="28" w:type="dxa"/>
                </w:tblCellMar>
              </w:tblPrEx>
              <w:trPr>
                <w:trHeight w:val="270" w:hRule="atLeast"/>
                <w:jc w:val="center"/>
              </w:trPr>
              <w:tc>
                <w:tcPr>
                  <w:tcW w:w="352" w:type="pct"/>
                  <w:vMerge w:val="restart"/>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r>
                    <w:rPr>
                      <w:kern w:val="0"/>
                      <w:sz w:val="18"/>
                      <w:szCs w:val="18"/>
                    </w:rPr>
                    <w:t>现状评价</w:t>
                  </w: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环境功能区</w:t>
                  </w:r>
                </w:p>
              </w:tc>
              <w:tc>
                <w:tcPr>
                  <w:tcW w:w="1418" w:type="pct"/>
                  <w:gridSpan w:val="7"/>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一类区</w:t>
                  </w:r>
                  <w:r>
                    <w:rPr>
                      <w:kern w:val="0"/>
                      <w:sz w:val="18"/>
                      <w:szCs w:val="18"/>
                    </w:rPr>
                    <w:sym w:font="Wingdings 2" w:char="00A3"/>
                  </w:r>
                </w:p>
              </w:tc>
              <w:tc>
                <w:tcPr>
                  <w:tcW w:w="1384" w:type="pct"/>
                  <w:gridSpan w:val="6"/>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二类区</w:t>
                  </w:r>
                  <w:r>
                    <w:rPr>
                      <w:kern w:val="0"/>
                      <w:sz w:val="18"/>
                      <w:szCs w:val="18"/>
                    </w:rPr>
                    <w:sym w:font="Wingdings 2" w:char="0052"/>
                  </w:r>
                </w:p>
              </w:tc>
              <w:tc>
                <w:tcPr>
                  <w:tcW w:w="1014" w:type="pct"/>
                  <w:gridSpan w:val="4"/>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一类区和二类区</w:t>
                  </w:r>
                  <w:r>
                    <w:rPr>
                      <w:kern w:val="0"/>
                      <w:sz w:val="18"/>
                      <w:szCs w:val="18"/>
                    </w:rPr>
                    <w:sym w:font="Wingdings 2" w:char="00A3"/>
                  </w:r>
                </w:p>
              </w:tc>
            </w:tr>
            <w:tr>
              <w:tblPrEx>
                <w:tblCellMar>
                  <w:top w:w="0" w:type="dxa"/>
                  <w:left w:w="28" w:type="dxa"/>
                  <w:bottom w:w="0" w:type="dxa"/>
                  <w:right w:w="28" w:type="dxa"/>
                </w:tblCellMar>
              </w:tblPrEx>
              <w:trPr>
                <w:trHeight w:val="264" w:hRule="atLeast"/>
                <w:jc w:val="center"/>
              </w:trPr>
              <w:tc>
                <w:tcPr>
                  <w:tcW w:w="352" w:type="pct"/>
                  <w:vMerge w:val="continue"/>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评价基准年</w:t>
                  </w:r>
                </w:p>
              </w:tc>
              <w:tc>
                <w:tcPr>
                  <w:tcW w:w="3816" w:type="pct"/>
                  <w:gridSpan w:val="17"/>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（2019）年</w:t>
                  </w:r>
                </w:p>
              </w:tc>
            </w:tr>
            <w:tr>
              <w:tblPrEx>
                <w:tblCellMar>
                  <w:top w:w="0" w:type="dxa"/>
                  <w:left w:w="28" w:type="dxa"/>
                  <w:bottom w:w="0" w:type="dxa"/>
                  <w:right w:w="28" w:type="dxa"/>
                </w:tblCellMar>
              </w:tblPrEx>
              <w:trPr>
                <w:trHeight w:val="517" w:hRule="atLeast"/>
                <w:jc w:val="center"/>
              </w:trPr>
              <w:tc>
                <w:tcPr>
                  <w:tcW w:w="352" w:type="pct"/>
                  <w:vMerge w:val="continue"/>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环境空气质量现状调查数据来源</w:t>
                  </w:r>
                </w:p>
              </w:tc>
              <w:tc>
                <w:tcPr>
                  <w:tcW w:w="1418" w:type="pct"/>
                  <w:gridSpan w:val="7"/>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长期例行监测数据</w:t>
                  </w:r>
                  <w:r>
                    <w:rPr>
                      <w:kern w:val="0"/>
                      <w:sz w:val="18"/>
                      <w:szCs w:val="18"/>
                    </w:rPr>
                    <w:sym w:font="Wingdings 2" w:char="00A3"/>
                  </w:r>
                </w:p>
              </w:tc>
              <w:tc>
                <w:tcPr>
                  <w:tcW w:w="1384" w:type="pct"/>
                  <w:gridSpan w:val="6"/>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主管部门发布的数据</w:t>
                  </w:r>
                  <w:r>
                    <w:rPr>
                      <w:kern w:val="0"/>
                      <w:sz w:val="18"/>
                      <w:szCs w:val="18"/>
                    </w:rPr>
                    <w:sym w:font="Wingdings 2" w:char="0052"/>
                  </w:r>
                </w:p>
              </w:tc>
              <w:tc>
                <w:tcPr>
                  <w:tcW w:w="1014" w:type="pct"/>
                  <w:gridSpan w:val="4"/>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现状补充监测</w:t>
                  </w:r>
                  <w:r>
                    <w:rPr>
                      <w:kern w:val="0"/>
                      <w:sz w:val="18"/>
                      <w:szCs w:val="18"/>
                    </w:rPr>
                    <w:sym w:font="Wingdings 2" w:char="0052"/>
                  </w:r>
                </w:p>
              </w:tc>
            </w:tr>
            <w:tr>
              <w:tblPrEx>
                <w:tblCellMar>
                  <w:top w:w="0" w:type="dxa"/>
                  <w:left w:w="28" w:type="dxa"/>
                  <w:bottom w:w="0" w:type="dxa"/>
                  <w:right w:w="28" w:type="dxa"/>
                </w:tblCellMar>
              </w:tblPrEx>
              <w:trPr>
                <w:trHeight w:val="264" w:hRule="atLeast"/>
                <w:jc w:val="center"/>
              </w:trPr>
              <w:tc>
                <w:tcPr>
                  <w:tcW w:w="352" w:type="pct"/>
                  <w:vMerge w:val="continue"/>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现状评价</w:t>
                  </w:r>
                </w:p>
              </w:tc>
              <w:tc>
                <w:tcPr>
                  <w:tcW w:w="2325" w:type="pct"/>
                  <w:gridSpan w:val="12"/>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达标区</w:t>
                  </w:r>
                  <w:r>
                    <w:rPr>
                      <w:kern w:val="0"/>
                      <w:sz w:val="18"/>
                      <w:szCs w:val="18"/>
                    </w:rPr>
                    <w:sym w:font="Wingdings 2" w:char="00A3"/>
                  </w:r>
                </w:p>
              </w:tc>
              <w:tc>
                <w:tcPr>
                  <w:tcW w:w="1490" w:type="pct"/>
                  <w:gridSpan w:val="5"/>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不达标区</w:t>
                  </w:r>
                  <w:r>
                    <w:rPr>
                      <w:kern w:val="0"/>
                      <w:sz w:val="18"/>
                      <w:szCs w:val="18"/>
                    </w:rPr>
                    <w:sym w:font="Wingdings 2" w:char="0052"/>
                  </w:r>
                </w:p>
              </w:tc>
            </w:tr>
            <w:tr>
              <w:tblPrEx>
                <w:tblCellMar>
                  <w:top w:w="0" w:type="dxa"/>
                  <w:left w:w="28" w:type="dxa"/>
                  <w:bottom w:w="0" w:type="dxa"/>
                  <w:right w:w="28" w:type="dxa"/>
                </w:tblCellMar>
              </w:tblPrEx>
              <w:trPr>
                <w:trHeight w:val="784" w:hRule="atLeast"/>
                <w:jc w:val="center"/>
              </w:trPr>
              <w:tc>
                <w:tcPr>
                  <w:tcW w:w="352" w:type="pct"/>
                  <w:tcBorders>
                    <w:top w:val="single" w:color="000000" w:sz="4" w:space="0"/>
                    <w:left w:val="single" w:color="000000" w:sz="12" w:space="0"/>
                    <w:bottom w:val="single" w:color="000000" w:sz="4" w:space="0"/>
                    <w:right w:val="single" w:color="000000" w:sz="4" w:space="0"/>
                  </w:tcBorders>
                  <w:vAlign w:val="center"/>
                </w:tcPr>
                <w:p>
                  <w:pPr>
                    <w:snapToGrid w:val="0"/>
                    <w:jc w:val="center"/>
                    <w:rPr>
                      <w:kern w:val="0"/>
                      <w:sz w:val="18"/>
                      <w:szCs w:val="18"/>
                    </w:rPr>
                  </w:pPr>
                  <w:r>
                    <w:rPr>
                      <w:kern w:val="0"/>
                      <w:sz w:val="18"/>
                      <w:szCs w:val="18"/>
                    </w:rPr>
                    <w:t>污染源调查</w:t>
                  </w: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调查内容</w:t>
                  </w:r>
                </w:p>
              </w:tc>
              <w:tc>
                <w:tcPr>
                  <w:tcW w:w="1140" w:type="pct"/>
                  <w:gridSpan w:val="6"/>
                  <w:tcBorders>
                    <w:top w:val="single" w:color="000000" w:sz="4" w:space="0"/>
                    <w:left w:val="nil"/>
                    <w:bottom w:val="single" w:color="000000" w:sz="4" w:space="0"/>
                    <w:right w:val="single" w:color="000000" w:sz="4" w:space="0"/>
                  </w:tcBorders>
                  <w:vAlign w:val="center"/>
                </w:tcPr>
                <w:p>
                  <w:pPr>
                    <w:snapToGrid w:val="0"/>
                    <w:jc w:val="center"/>
                    <w:rPr>
                      <w:kern w:val="0"/>
                      <w:sz w:val="18"/>
                      <w:szCs w:val="18"/>
                      <w:bdr w:val="single" w:color="auto" w:sz="4" w:space="0"/>
                    </w:rPr>
                  </w:pPr>
                  <w:r>
                    <w:rPr>
                      <w:kern w:val="0"/>
                      <w:sz w:val="18"/>
                      <w:szCs w:val="18"/>
                    </w:rPr>
                    <w:t xml:space="preserve">本项目正常排放源 </w:t>
                  </w:r>
                  <w:r>
                    <w:rPr>
                      <w:kern w:val="0"/>
                      <w:sz w:val="18"/>
                      <w:szCs w:val="18"/>
                    </w:rPr>
                    <w:sym w:font="Wingdings 2" w:char="0052"/>
                  </w:r>
                </w:p>
                <w:p>
                  <w:pPr>
                    <w:snapToGrid w:val="0"/>
                    <w:jc w:val="center"/>
                    <w:rPr>
                      <w:kern w:val="0"/>
                      <w:sz w:val="18"/>
                      <w:szCs w:val="18"/>
                    </w:rPr>
                  </w:pPr>
                  <w:r>
                    <w:rPr>
                      <w:kern w:val="0"/>
                      <w:sz w:val="18"/>
                      <w:szCs w:val="18"/>
                    </w:rPr>
                    <w:t>本项目非正常排放源□</w:t>
                  </w:r>
                </w:p>
                <w:p>
                  <w:pPr>
                    <w:snapToGrid w:val="0"/>
                    <w:jc w:val="center"/>
                    <w:rPr>
                      <w:kern w:val="0"/>
                      <w:sz w:val="18"/>
                      <w:szCs w:val="18"/>
                    </w:rPr>
                  </w:pPr>
                  <w:r>
                    <w:rPr>
                      <w:kern w:val="0"/>
                      <w:sz w:val="18"/>
                      <w:szCs w:val="18"/>
                    </w:rPr>
                    <w:t>现有污染源 □</w:t>
                  </w:r>
                </w:p>
              </w:tc>
              <w:tc>
                <w:tcPr>
                  <w:tcW w:w="1185" w:type="pct"/>
                  <w:gridSpan w:val="6"/>
                  <w:tcBorders>
                    <w:top w:val="single" w:color="000000" w:sz="4" w:space="0"/>
                    <w:left w:val="nil"/>
                    <w:bottom w:val="single" w:color="000000" w:sz="4" w:space="0"/>
                    <w:right w:val="single" w:color="000000" w:sz="4" w:space="0"/>
                  </w:tcBorders>
                </w:tcPr>
                <w:p>
                  <w:pPr>
                    <w:snapToGrid w:val="0"/>
                    <w:jc w:val="center"/>
                    <w:rPr>
                      <w:kern w:val="0"/>
                      <w:sz w:val="18"/>
                      <w:szCs w:val="18"/>
                    </w:rPr>
                  </w:pPr>
                </w:p>
                <w:p>
                  <w:pPr>
                    <w:snapToGrid w:val="0"/>
                    <w:jc w:val="center"/>
                    <w:rPr>
                      <w:kern w:val="0"/>
                      <w:sz w:val="18"/>
                      <w:szCs w:val="18"/>
                    </w:rPr>
                  </w:pPr>
                  <w:r>
                    <w:rPr>
                      <w:kern w:val="0"/>
                      <w:sz w:val="18"/>
                      <w:szCs w:val="18"/>
                    </w:rPr>
                    <w:t>拟替代的污染源□</w:t>
                  </w:r>
                </w:p>
              </w:tc>
              <w:tc>
                <w:tcPr>
                  <w:tcW w:w="831" w:type="pct"/>
                  <w:gridSpan w:val="3"/>
                  <w:tcBorders>
                    <w:top w:val="single" w:color="000000" w:sz="4" w:space="0"/>
                    <w:left w:val="nil"/>
                    <w:bottom w:val="single" w:color="000000" w:sz="4" w:space="0"/>
                    <w:right w:val="single" w:color="000000" w:sz="4" w:space="0"/>
                  </w:tcBorders>
                </w:tcPr>
                <w:p>
                  <w:pPr>
                    <w:snapToGrid w:val="0"/>
                    <w:jc w:val="center"/>
                    <w:rPr>
                      <w:kern w:val="0"/>
                      <w:sz w:val="18"/>
                      <w:szCs w:val="18"/>
                    </w:rPr>
                  </w:pPr>
                  <w:r>
                    <w:rPr>
                      <w:kern w:val="0"/>
                      <w:sz w:val="18"/>
                      <w:szCs w:val="18"/>
                    </w:rPr>
                    <w:t>其他在建、</w:t>
                  </w:r>
                </w:p>
                <w:p>
                  <w:pPr>
                    <w:snapToGrid w:val="0"/>
                    <w:jc w:val="center"/>
                    <w:rPr>
                      <w:kern w:val="0"/>
                      <w:sz w:val="18"/>
                      <w:szCs w:val="18"/>
                    </w:rPr>
                  </w:pPr>
                  <w:r>
                    <w:rPr>
                      <w:kern w:val="0"/>
                      <w:sz w:val="18"/>
                      <w:szCs w:val="18"/>
                    </w:rPr>
                    <w:t>拟建项目</w:t>
                  </w:r>
                </w:p>
                <w:p>
                  <w:pPr>
                    <w:snapToGrid w:val="0"/>
                    <w:jc w:val="center"/>
                    <w:rPr>
                      <w:kern w:val="0"/>
                      <w:sz w:val="18"/>
                      <w:szCs w:val="18"/>
                    </w:rPr>
                  </w:pPr>
                  <w:r>
                    <w:rPr>
                      <w:kern w:val="0"/>
                      <w:sz w:val="18"/>
                      <w:szCs w:val="18"/>
                    </w:rPr>
                    <w:t>污染源□</w:t>
                  </w:r>
                </w:p>
              </w:tc>
              <w:tc>
                <w:tcPr>
                  <w:tcW w:w="659" w:type="pct"/>
                  <w:gridSpan w:val="2"/>
                  <w:tcBorders>
                    <w:top w:val="single" w:color="000000" w:sz="4" w:space="0"/>
                    <w:left w:val="nil"/>
                    <w:bottom w:val="single" w:color="000000" w:sz="4" w:space="0"/>
                    <w:right w:val="single" w:color="000000" w:sz="12" w:space="0"/>
                  </w:tcBorders>
                </w:tcPr>
                <w:p>
                  <w:pPr>
                    <w:snapToGrid w:val="0"/>
                    <w:jc w:val="center"/>
                    <w:rPr>
                      <w:kern w:val="0"/>
                      <w:sz w:val="18"/>
                      <w:szCs w:val="18"/>
                    </w:rPr>
                  </w:pPr>
                </w:p>
                <w:p>
                  <w:pPr>
                    <w:snapToGrid w:val="0"/>
                    <w:jc w:val="center"/>
                    <w:rPr>
                      <w:kern w:val="0"/>
                      <w:sz w:val="18"/>
                      <w:szCs w:val="18"/>
                    </w:rPr>
                  </w:pPr>
                  <w:r>
                    <w:rPr>
                      <w:kern w:val="0"/>
                      <w:sz w:val="18"/>
                      <w:szCs w:val="18"/>
                    </w:rPr>
                    <w:t>区域污染源□</w:t>
                  </w:r>
                </w:p>
              </w:tc>
            </w:tr>
            <w:tr>
              <w:tblPrEx>
                <w:tblCellMar>
                  <w:top w:w="0" w:type="dxa"/>
                  <w:left w:w="28" w:type="dxa"/>
                  <w:bottom w:w="0" w:type="dxa"/>
                  <w:right w:w="28" w:type="dxa"/>
                </w:tblCellMar>
              </w:tblPrEx>
              <w:trPr>
                <w:trHeight w:val="756" w:hRule="atLeast"/>
                <w:jc w:val="center"/>
              </w:trPr>
              <w:tc>
                <w:tcPr>
                  <w:tcW w:w="352" w:type="pct"/>
                  <w:vMerge w:val="restart"/>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r>
                    <w:rPr>
                      <w:kern w:val="0"/>
                      <w:sz w:val="18"/>
                      <w:szCs w:val="18"/>
                    </w:rPr>
                    <w:t>大气环境影响预测与评价</w:t>
                  </w: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预测模型</w:t>
                  </w:r>
                </w:p>
              </w:tc>
              <w:tc>
                <w:tcPr>
                  <w:tcW w:w="565" w:type="pct"/>
                  <w:tcBorders>
                    <w:top w:val="single" w:color="000000" w:sz="4" w:space="0"/>
                    <w:left w:val="nil"/>
                    <w:bottom w:val="single" w:color="000000" w:sz="4" w:space="0"/>
                    <w:right w:val="single" w:color="000000" w:sz="4" w:space="0"/>
                  </w:tcBorders>
                </w:tcPr>
                <w:p>
                  <w:pPr>
                    <w:snapToGrid w:val="0"/>
                    <w:jc w:val="center"/>
                    <w:rPr>
                      <w:kern w:val="0"/>
                      <w:sz w:val="18"/>
                      <w:szCs w:val="18"/>
                    </w:rPr>
                  </w:pPr>
                  <w:r>
                    <w:rPr>
                      <w:kern w:val="0"/>
                      <w:sz w:val="18"/>
                      <w:szCs w:val="18"/>
                    </w:rPr>
                    <w:t>AERMOD</w:t>
                  </w:r>
                </w:p>
                <w:p>
                  <w:pPr>
                    <w:snapToGrid w:val="0"/>
                    <w:jc w:val="center"/>
                    <w:rPr>
                      <w:kern w:val="0"/>
                      <w:sz w:val="18"/>
                      <w:szCs w:val="18"/>
                    </w:rPr>
                  </w:pPr>
                  <w:r>
                    <w:rPr>
                      <w:kern w:val="0"/>
                      <w:sz w:val="18"/>
                      <w:szCs w:val="18"/>
                    </w:rPr>
                    <w:t>□</w:t>
                  </w:r>
                </w:p>
              </w:tc>
              <w:tc>
                <w:tcPr>
                  <w:tcW w:w="379" w:type="pct"/>
                  <w:gridSpan w:val="3"/>
                  <w:tcBorders>
                    <w:top w:val="single" w:color="000000" w:sz="4" w:space="0"/>
                    <w:left w:val="nil"/>
                    <w:bottom w:val="single" w:color="000000" w:sz="4" w:space="0"/>
                    <w:right w:val="single" w:color="000000" w:sz="4" w:space="0"/>
                  </w:tcBorders>
                </w:tcPr>
                <w:p>
                  <w:pPr>
                    <w:snapToGrid w:val="0"/>
                    <w:jc w:val="center"/>
                    <w:rPr>
                      <w:kern w:val="0"/>
                      <w:sz w:val="18"/>
                      <w:szCs w:val="18"/>
                    </w:rPr>
                  </w:pPr>
                  <w:r>
                    <w:rPr>
                      <w:kern w:val="0"/>
                      <w:sz w:val="18"/>
                      <w:szCs w:val="18"/>
                    </w:rPr>
                    <w:t>ADMS</w:t>
                  </w:r>
                </w:p>
                <w:p>
                  <w:pPr>
                    <w:snapToGrid w:val="0"/>
                    <w:jc w:val="center"/>
                    <w:rPr>
                      <w:kern w:val="0"/>
                      <w:sz w:val="18"/>
                      <w:szCs w:val="18"/>
                    </w:rPr>
                  </w:pPr>
                  <w:r>
                    <w:rPr>
                      <w:kern w:val="0"/>
                      <w:sz w:val="18"/>
                      <w:szCs w:val="18"/>
                    </w:rPr>
                    <w:t>□</w:t>
                  </w:r>
                </w:p>
              </w:tc>
              <w:tc>
                <w:tcPr>
                  <w:tcW w:w="749" w:type="pct"/>
                  <w:gridSpan w:val="5"/>
                  <w:tcBorders>
                    <w:top w:val="single" w:color="000000" w:sz="4" w:space="0"/>
                    <w:left w:val="nil"/>
                    <w:bottom w:val="single" w:color="000000" w:sz="4" w:space="0"/>
                    <w:right w:val="single" w:color="000000" w:sz="4" w:space="0"/>
                  </w:tcBorders>
                </w:tcPr>
                <w:p>
                  <w:pPr>
                    <w:snapToGrid w:val="0"/>
                    <w:jc w:val="center"/>
                    <w:rPr>
                      <w:kern w:val="0"/>
                      <w:sz w:val="18"/>
                      <w:szCs w:val="18"/>
                    </w:rPr>
                  </w:pPr>
                  <w:r>
                    <w:rPr>
                      <w:kern w:val="0"/>
                      <w:sz w:val="18"/>
                      <w:szCs w:val="18"/>
                    </w:rPr>
                    <w:t>AUSTAL2000</w:t>
                  </w:r>
                </w:p>
                <w:p>
                  <w:pPr>
                    <w:snapToGrid w:val="0"/>
                    <w:jc w:val="center"/>
                    <w:rPr>
                      <w:kern w:val="0"/>
                      <w:sz w:val="18"/>
                      <w:szCs w:val="18"/>
                    </w:rPr>
                  </w:pPr>
                  <w:r>
                    <w:rPr>
                      <w:kern w:val="0"/>
                      <w:sz w:val="18"/>
                      <w:szCs w:val="18"/>
                    </w:rPr>
                    <w:t>□</w:t>
                  </w:r>
                </w:p>
              </w:tc>
              <w:tc>
                <w:tcPr>
                  <w:tcW w:w="632" w:type="pct"/>
                  <w:gridSpan w:val="3"/>
                  <w:tcBorders>
                    <w:top w:val="single" w:color="000000" w:sz="4" w:space="0"/>
                    <w:left w:val="nil"/>
                    <w:bottom w:val="single" w:color="000000" w:sz="4" w:space="0"/>
                    <w:right w:val="single" w:color="000000" w:sz="4" w:space="0"/>
                  </w:tcBorders>
                </w:tcPr>
                <w:p>
                  <w:pPr>
                    <w:snapToGrid w:val="0"/>
                    <w:jc w:val="center"/>
                    <w:rPr>
                      <w:kern w:val="0"/>
                      <w:sz w:val="18"/>
                      <w:szCs w:val="18"/>
                    </w:rPr>
                  </w:pPr>
                  <w:r>
                    <w:rPr>
                      <w:kern w:val="0"/>
                      <w:sz w:val="18"/>
                      <w:szCs w:val="18"/>
                    </w:rPr>
                    <w:t>EDMS/AEDT</w:t>
                  </w:r>
                </w:p>
                <w:p>
                  <w:pPr>
                    <w:snapToGrid w:val="0"/>
                    <w:jc w:val="center"/>
                    <w:rPr>
                      <w:kern w:val="0"/>
                      <w:sz w:val="18"/>
                      <w:szCs w:val="18"/>
                    </w:rPr>
                  </w:pPr>
                  <w:r>
                    <w:rPr>
                      <w:kern w:val="0"/>
                      <w:sz w:val="18"/>
                      <w:szCs w:val="18"/>
                    </w:rPr>
                    <w:t>□</w:t>
                  </w:r>
                </w:p>
              </w:tc>
              <w:tc>
                <w:tcPr>
                  <w:tcW w:w="477" w:type="pct"/>
                  <w:tcBorders>
                    <w:top w:val="single" w:color="000000" w:sz="4" w:space="0"/>
                    <w:left w:val="nil"/>
                    <w:bottom w:val="single" w:color="000000" w:sz="4" w:space="0"/>
                    <w:right w:val="single" w:color="000000" w:sz="4" w:space="0"/>
                  </w:tcBorders>
                </w:tcPr>
                <w:p>
                  <w:pPr>
                    <w:snapToGrid w:val="0"/>
                    <w:jc w:val="center"/>
                    <w:rPr>
                      <w:kern w:val="0"/>
                      <w:sz w:val="18"/>
                      <w:szCs w:val="18"/>
                    </w:rPr>
                  </w:pPr>
                  <w:r>
                    <w:rPr>
                      <w:kern w:val="0"/>
                      <w:sz w:val="18"/>
                      <w:szCs w:val="18"/>
                    </w:rPr>
                    <w:t>CALPUFF</w:t>
                  </w:r>
                </w:p>
                <w:p>
                  <w:pPr>
                    <w:snapToGrid w:val="0"/>
                    <w:jc w:val="center"/>
                    <w:rPr>
                      <w:kern w:val="0"/>
                      <w:sz w:val="18"/>
                      <w:szCs w:val="18"/>
                    </w:rPr>
                  </w:pPr>
                  <w:r>
                    <w:rPr>
                      <w:kern w:val="0"/>
                      <w:sz w:val="18"/>
                      <w:szCs w:val="18"/>
                    </w:rPr>
                    <w:t>□</w:t>
                  </w:r>
                </w:p>
              </w:tc>
              <w:tc>
                <w:tcPr>
                  <w:tcW w:w="721" w:type="pct"/>
                  <w:gridSpan w:val="3"/>
                  <w:tcBorders>
                    <w:top w:val="single" w:color="000000" w:sz="4" w:space="0"/>
                    <w:left w:val="nil"/>
                    <w:bottom w:val="single" w:color="000000" w:sz="4" w:space="0"/>
                    <w:right w:val="single" w:color="000000" w:sz="4" w:space="0"/>
                  </w:tcBorders>
                </w:tcPr>
                <w:p>
                  <w:pPr>
                    <w:snapToGrid w:val="0"/>
                    <w:jc w:val="center"/>
                    <w:rPr>
                      <w:kern w:val="0"/>
                      <w:sz w:val="18"/>
                      <w:szCs w:val="18"/>
                    </w:rPr>
                  </w:pPr>
                  <w:r>
                    <w:rPr>
                      <w:kern w:val="0"/>
                      <w:sz w:val="18"/>
                      <w:szCs w:val="18"/>
                    </w:rPr>
                    <w:t>网格模型□</w:t>
                  </w:r>
                </w:p>
              </w:tc>
              <w:tc>
                <w:tcPr>
                  <w:tcW w:w="293" w:type="pct"/>
                  <w:tcBorders>
                    <w:top w:val="single" w:color="000000" w:sz="4" w:space="0"/>
                    <w:left w:val="nil"/>
                    <w:bottom w:val="single" w:color="000000" w:sz="4" w:space="0"/>
                    <w:right w:val="single" w:color="000000" w:sz="12" w:space="0"/>
                  </w:tcBorders>
                </w:tcPr>
                <w:p>
                  <w:pPr>
                    <w:snapToGrid w:val="0"/>
                    <w:jc w:val="center"/>
                    <w:rPr>
                      <w:kern w:val="0"/>
                      <w:sz w:val="18"/>
                      <w:szCs w:val="18"/>
                    </w:rPr>
                  </w:pPr>
                  <w:r>
                    <w:rPr>
                      <w:kern w:val="0"/>
                      <w:sz w:val="18"/>
                      <w:szCs w:val="18"/>
                    </w:rPr>
                    <w:t>其他□</w:t>
                  </w:r>
                </w:p>
              </w:tc>
            </w:tr>
            <w:tr>
              <w:tblPrEx>
                <w:tblCellMar>
                  <w:top w:w="0" w:type="dxa"/>
                  <w:left w:w="28" w:type="dxa"/>
                  <w:bottom w:w="0" w:type="dxa"/>
                  <w:right w:w="28" w:type="dxa"/>
                </w:tblCellMar>
              </w:tblPrEx>
              <w:trPr>
                <w:trHeight w:val="264" w:hRule="atLeast"/>
                <w:jc w:val="center"/>
              </w:trPr>
              <w:tc>
                <w:tcPr>
                  <w:tcW w:w="352" w:type="pct"/>
                  <w:vMerge w:val="continue"/>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预测范围</w:t>
                  </w:r>
                </w:p>
              </w:tc>
              <w:tc>
                <w:tcPr>
                  <w:tcW w:w="944" w:type="pct"/>
                  <w:gridSpan w:val="4"/>
                  <w:tcBorders>
                    <w:top w:val="single" w:color="000000" w:sz="4" w:space="0"/>
                    <w:left w:val="nil"/>
                    <w:bottom w:val="single" w:color="000000" w:sz="4" w:space="0"/>
                    <w:right w:val="single" w:color="000000" w:sz="4" w:space="0"/>
                  </w:tcBorders>
                </w:tcPr>
                <w:p>
                  <w:pPr>
                    <w:snapToGrid w:val="0"/>
                    <w:jc w:val="center"/>
                    <w:rPr>
                      <w:kern w:val="0"/>
                      <w:sz w:val="18"/>
                      <w:szCs w:val="18"/>
                    </w:rPr>
                  </w:pPr>
                  <w:r>
                    <w:rPr>
                      <w:kern w:val="0"/>
                      <w:sz w:val="18"/>
                      <w:szCs w:val="18"/>
                    </w:rPr>
                    <w:t>边长≥ 50 km□</w:t>
                  </w:r>
                </w:p>
              </w:tc>
              <w:tc>
                <w:tcPr>
                  <w:tcW w:w="1858" w:type="pct"/>
                  <w:gridSpan w:val="9"/>
                  <w:tcBorders>
                    <w:top w:val="single" w:color="000000" w:sz="4" w:space="0"/>
                    <w:left w:val="nil"/>
                    <w:bottom w:val="single" w:color="000000" w:sz="4" w:space="0"/>
                    <w:right w:val="single" w:color="000000" w:sz="4" w:space="0"/>
                  </w:tcBorders>
                </w:tcPr>
                <w:p>
                  <w:pPr>
                    <w:snapToGrid w:val="0"/>
                    <w:jc w:val="center"/>
                    <w:rPr>
                      <w:kern w:val="0"/>
                      <w:sz w:val="18"/>
                      <w:szCs w:val="18"/>
                    </w:rPr>
                  </w:pPr>
                  <w:r>
                    <w:rPr>
                      <w:kern w:val="0"/>
                      <w:sz w:val="18"/>
                      <w:szCs w:val="18"/>
                    </w:rPr>
                    <w:t>边长 5～50 km □</w:t>
                  </w:r>
                </w:p>
              </w:tc>
              <w:tc>
                <w:tcPr>
                  <w:tcW w:w="1014" w:type="pct"/>
                  <w:gridSpan w:val="4"/>
                  <w:tcBorders>
                    <w:top w:val="single" w:color="000000" w:sz="4" w:space="0"/>
                    <w:left w:val="nil"/>
                    <w:bottom w:val="single" w:color="000000" w:sz="4" w:space="0"/>
                    <w:right w:val="single" w:color="000000" w:sz="12" w:space="0"/>
                  </w:tcBorders>
                </w:tcPr>
                <w:p>
                  <w:pPr>
                    <w:snapToGrid w:val="0"/>
                    <w:jc w:val="center"/>
                    <w:rPr>
                      <w:kern w:val="0"/>
                      <w:sz w:val="18"/>
                      <w:szCs w:val="18"/>
                    </w:rPr>
                  </w:pPr>
                  <w:r>
                    <w:rPr>
                      <w:kern w:val="0"/>
                      <w:sz w:val="18"/>
                      <w:szCs w:val="18"/>
                    </w:rPr>
                    <w:t>边长 = 5 km □</w:t>
                  </w:r>
                </w:p>
              </w:tc>
            </w:tr>
            <w:tr>
              <w:tblPrEx>
                <w:tblCellMar>
                  <w:top w:w="0" w:type="dxa"/>
                  <w:left w:w="28" w:type="dxa"/>
                  <w:bottom w:w="0" w:type="dxa"/>
                  <w:right w:w="28" w:type="dxa"/>
                </w:tblCellMar>
              </w:tblPrEx>
              <w:trPr>
                <w:trHeight w:val="517" w:hRule="atLeast"/>
                <w:jc w:val="center"/>
              </w:trPr>
              <w:tc>
                <w:tcPr>
                  <w:tcW w:w="352" w:type="pct"/>
                  <w:vMerge w:val="continue"/>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预测因子</w:t>
                  </w:r>
                </w:p>
              </w:tc>
              <w:tc>
                <w:tcPr>
                  <w:tcW w:w="2325" w:type="pct"/>
                  <w:gridSpan w:val="12"/>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预测因子（      ）</w:t>
                  </w:r>
                </w:p>
              </w:tc>
              <w:tc>
                <w:tcPr>
                  <w:tcW w:w="1490" w:type="pct"/>
                  <w:gridSpan w:val="5"/>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包括二次 PM2.5 □</w:t>
                  </w:r>
                </w:p>
                <w:p>
                  <w:pPr>
                    <w:snapToGrid w:val="0"/>
                    <w:jc w:val="center"/>
                    <w:rPr>
                      <w:kern w:val="0"/>
                      <w:sz w:val="18"/>
                      <w:szCs w:val="18"/>
                    </w:rPr>
                  </w:pPr>
                  <w:r>
                    <w:rPr>
                      <w:kern w:val="0"/>
                      <w:sz w:val="18"/>
                      <w:szCs w:val="18"/>
                    </w:rPr>
                    <w:t>不包括二次 PM2.5□</w:t>
                  </w:r>
                </w:p>
              </w:tc>
            </w:tr>
            <w:tr>
              <w:tblPrEx>
                <w:tblCellMar>
                  <w:top w:w="0" w:type="dxa"/>
                  <w:left w:w="28" w:type="dxa"/>
                  <w:bottom w:w="0" w:type="dxa"/>
                  <w:right w:w="28" w:type="dxa"/>
                </w:tblCellMar>
              </w:tblPrEx>
              <w:trPr>
                <w:trHeight w:val="517" w:hRule="atLeast"/>
                <w:jc w:val="center"/>
              </w:trPr>
              <w:tc>
                <w:tcPr>
                  <w:tcW w:w="352" w:type="pct"/>
                  <w:vMerge w:val="continue"/>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正常排放短期浓度贡献值</w:t>
                  </w:r>
                </w:p>
              </w:tc>
              <w:tc>
                <w:tcPr>
                  <w:tcW w:w="2325" w:type="pct"/>
                  <w:gridSpan w:val="12"/>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C 本项目最大占标率≤100%□</w:t>
                  </w:r>
                </w:p>
              </w:tc>
              <w:tc>
                <w:tcPr>
                  <w:tcW w:w="1490" w:type="pct"/>
                  <w:gridSpan w:val="5"/>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C 本项目最大占标率＞100% □</w:t>
                  </w:r>
                </w:p>
              </w:tc>
            </w:tr>
            <w:tr>
              <w:tblPrEx>
                <w:tblCellMar>
                  <w:top w:w="0" w:type="dxa"/>
                  <w:left w:w="28" w:type="dxa"/>
                  <w:bottom w:w="0" w:type="dxa"/>
                  <w:right w:w="28" w:type="dxa"/>
                </w:tblCellMar>
              </w:tblPrEx>
              <w:trPr>
                <w:trHeight w:val="264" w:hRule="atLeast"/>
                <w:jc w:val="center"/>
              </w:trPr>
              <w:tc>
                <w:tcPr>
                  <w:tcW w:w="352" w:type="pct"/>
                  <w:vMerge w:val="continue"/>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p>
              </w:tc>
              <w:tc>
                <w:tcPr>
                  <w:tcW w:w="833" w:type="pct"/>
                  <w:vMerge w:val="restart"/>
                  <w:tcBorders>
                    <w:top w:val="nil"/>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正常排放年均浓度贡献值</w:t>
                  </w:r>
                </w:p>
              </w:tc>
              <w:tc>
                <w:tcPr>
                  <w:tcW w:w="565"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一类区</w:t>
                  </w:r>
                </w:p>
              </w:tc>
              <w:tc>
                <w:tcPr>
                  <w:tcW w:w="1761" w:type="pct"/>
                  <w:gridSpan w:val="11"/>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C 本项目最大占标率≤10%□</w:t>
                  </w:r>
                </w:p>
              </w:tc>
              <w:tc>
                <w:tcPr>
                  <w:tcW w:w="1490" w:type="pct"/>
                  <w:gridSpan w:val="5"/>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C 本项目最大标率＞10% □</w:t>
                  </w:r>
                </w:p>
              </w:tc>
            </w:tr>
            <w:tr>
              <w:tblPrEx>
                <w:tblCellMar>
                  <w:top w:w="0" w:type="dxa"/>
                  <w:left w:w="28" w:type="dxa"/>
                  <w:bottom w:w="0" w:type="dxa"/>
                  <w:right w:w="28" w:type="dxa"/>
                </w:tblCellMar>
              </w:tblPrEx>
              <w:trPr>
                <w:trHeight w:val="264" w:hRule="atLeast"/>
                <w:jc w:val="center"/>
              </w:trPr>
              <w:tc>
                <w:tcPr>
                  <w:tcW w:w="352" w:type="pct"/>
                  <w:vMerge w:val="continue"/>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p>
              </w:tc>
              <w:tc>
                <w:tcPr>
                  <w:tcW w:w="833" w:type="pct"/>
                  <w:vMerge w:val="continue"/>
                  <w:tcBorders>
                    <w:top w:val="nil"/>
                    <w:left w:val="nil"/>
                    <w:bottom w:val="single" w:color="000000" w:sz="4" w:space="0"/>
                    <w:right w:val="single" w:color="000000" w:sz="4" w:space="0"/>
                  </w:tcBorders>
                  <w:vAlign w:val="center"/>
                </w:tcPr>
                <w:p>
                  <w:pPr>
                    <w:snapToGrid w:val="0"/>
                    <w:jc w:val="center"/>
                    <w:rPr>
                      <w:kern w:val="0"/>
                      <w:sz w:val="18"/>
                      <w:szCs w:val="18"/>
                    </w:rPr>
                  </w:pPr>
                </w:p>
              </w:tc>
              <w:tc>
                <w:tcPr>
                  <w:tcW w:w="565"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二类区</w:t>
                  </w:r>
                </w:p>
              </w:tc>
              <w:tc>
                <w:tcPr>
                  <w:tcW w:w="1761" w:type="pct"/>
                  <w:gridSpan w:val="11"/>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C 本项目最大占标率≤30%□</w:t>
                  </w:r>
                </w:p>
              </w:tc>
              <w:tc>
                <w:tcPr>
                  <w:tcW w:w="1490" w:type="pct"/>
                  <w:gridSpan w:val="5"/>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C 本项目最大标率＞30% □</w:t>
                  </w:r>
                </w:p>
              </w:tc>
            </w:tr>
            <w:tr>
              <w:tblPrEx>
                <w:tblCellMar>
                  <w:top w:w="0" w:type="dxa"/>
                  <w:left w:w="28" w:type="dxa"/>
                  <w:bottom w:w="0" w:type="dxa"/>
                  <w:right w:w="28" w:type="dxa"/>
                </w:tblCellMar>
              </w:tblPrEx>
              <w:trPr>
                <w:trHeight w:val="517" w:hRule="atLeast"/>
                <w:jc w:val="center"/>
              </w:trPr>
              <w:tc>
                <w:tcPr>
                  <w:tcW w:w="352" w:type="pct"/>
                  <w:vMerge w:val="continue"/>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非正常排放1 h浓度贡献值</w:t>
                  </w:r>
                </w:p>
              </w:tc>
              <w:tc>
                <w:tcPr>
                  <w:tcW w:w="958" w:type="pct"/>
                  <w:gridSpan w:val="5"/>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非正常持续时长</w:t>
                  </w:r>
                </w:p>
                <w:p>
                  <w:pPr>
                    <w:snapToGrid w:val="0"/>
                    <w:jc w:val="center"/>
                    <w:rPr>
                      <w:kern w:val="0"/>
                      <w:sz w:val="18"/>
                      <w:szCs w:val="18"/>
                    </w:rPr>
                  </w:pPr>
                  <w:r>
                    <w:rPr>
                      <w:kern w:val="0"/>
                      <w:sz w:val="18"/>
                      <w:szCs w:val="18"/>
                    </w:rPr>
                    <w:t>（  ）h</w:t>
                  </w:r>
                </w:p>
              </w:tc>
              <w:tc>
                <w:tcPr>
                  <w:tcW w:w="1368" w:type="pct"/>
                  <w:gridSpan w:val="7"/>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C 非正常占标率≤100% □</w:t>
                  </w:r>
                </w:p>
              </w:tc>
              <w:tc>
                <w:tcPr>
                  <w:tcW w:w="1490" w:type="pct"/>
                  <w:gridSpan w:val="5"/>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C 非正常占标率＞100%□</w:t>
                  </w:r>
                </w:p>
              </w:tc>
            </w:tr>
            <w:tr>
              <w:tblPrEx>
                <w:tblCellMar>
                  <w:top w:w="0" w:type="dxa"/>
                  <w:left w:w="28" w:type="dxa"/>
                  <w:bottom w:w="0" w:type="dxa"/>
                  <w:right w:w="28" w:type="dxa"/>
                </w:tblCellMar>
              </w:tblPrEx>
              <w:trPr>
                <w:trHeight w:val="771" w:hRule="atLeast"/>
                <w:jc w:val="center"/>
              </w:trPr>
              <w:tc>
                <w:tcPr>
                  <w:tcW w:w="352" w:type="pct"/>
                  <w:vMerge w:val="continue"/>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保证率日平均浓度和年平均浓度叠加值</w:t>
                  </w:r>
                </w:p>
              </w:tc>
              <w:tc>
                <w:tcPr>
                  <w:tcW w:w="1778" w:type="pct"/>
                  <w:gridSpan w:val="10"/>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C 叠加达标 □</w:t>
                  </w:r>
                </w:p>
              </w:tc>
              <w:tc>
                <w:tcPr>
                  <w:tcW w:w="2038" w:type="pct"/>
                  <w:gridSpan w:val="7"/>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C 叠加不达标 □</w:t>
                  </w:r>
                </w:p>
              </w:tc>
            </w:tr>
            <w:tr>
              <w:tblPrEx>
                <w:tblCellMar>
                  <w:top w:w="0" w:type="dxa"/>
                  <w:left w:w="28" w:type="dxa"/>
                  <w:bottom w:w="0" w:type="dxa"/>
                  <w:right w:w="28" w:type="dxa"/>
                </w:tblCellMar>
              </w:tblPrEx>
              <w:trPr>
                <w:trHeight w:val="517" w:hRule="atLeast"/>
                <w:jc w:val="center"/>
              </w:trPr>
              <w:tc>
                <w:tcPr>
                  <w:tcW w:w="352" w:type="pct"/>
                  <w:vMerge w:val="continue"/>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区域环境质量的整体变化情况</w:t>
                  </w:r>
                </w:p>
              </w:tc>
              <w:tc>
                <w:tcPr>
                  <w:tcW w:w="1778" w:type="pct"/>
                  <w:gridSpan w:val="10"/>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k  ≤</w:t>
                  </w:r>
                  <w:r>
                    <w:rPr>
                      <w:rFonts w:eastAsia="MS Gothic"/>
                      <w:kern w:val="0"/>
                      <w:sz w:val="18"/>
                      <w:szCs w:val="18"/>
                    </w:rPr>
                    <w:t>−</w:t>
                  </w:r>
                  <w:r>
                    <w:rPr>
                      <w:kern w:val="0"/>
                      <w:sz w:val="18"/>
                      <w:szCs w:val="18"/>
                    </w:rPr>
                    <w:t>20% □</w:t>
                  </w:r>
                </w:p>
              </w:tc>
              <w:tc>
                <w:tcPr>
                  <w:tcW w:w="2038" w:type="pct"/>
                  <w:gridSpan w:val="7"/>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k＞</w:t>
                  </w:r>
                  <w:r>
                    <w:rPr>
                      <w:rFonts w:eastAsia="MS Gothic"/>
                      <w:kern w:val="0"/>
                      <w:sz w:val="18"/>
                      <w:szCs w:val="18"/>
                    </w:rPr>
                    <w:t>−</w:t>
                  </w:r>
                  <w:r>
                    <w:rPr>
                      <w:kern w:val="0"/>
                      <w:sz w:val="18"/>
                      <w:szCs w:val="18"/>
                    </w:rPr>
                    <w:t>20% □</w:t>
                  </w:r>
                </w:p>
              </w:tc>
            </w:tr>
            <w:tr>
              <w:tblPrEx>
                <w:tblCellMar>
                  <w:top w:w="0" w:type="dxa"/>
                  <w:left w:w="28" w:type="dxa"/>
                  <w:bottom w:w="0" w:type="dxa"/>
                  <w:right w:w="28" w:type="dxa"/>
                </w:tblCellMar>
              </w:tblPrEx>
              <w:trPr>
                <w:trHeight w:val="688" w:hRule="atLeast"/>
                <w:jc w:val="center"/>
              </w:trPr>
              <w:tc>
                <w:tcPr>
                  <w:tcW w:w="352" w:type="pct"/>
                  <w:vMerge w:val="restart"/>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r>
                    <w:rPr>
                      <w:kern w:val="0"/>
                      <w:sz w:val="18"/>
                      <w:szCs w:val="18"/>
                    </w:rPr>
                    <w:t>环境监测计划</w:t>
                  </w: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污染源监测</w:t>
                  </w:r>
                </w:p>
              </w:tc>
              <w:tc>
                <w:tcPr>
                  <w:tcW w:w="1778" w:type="pct"/>
                  <w:gridSpan w:val="10"/>
                  <w:tcBorders>
                    <w:top w:val="single" w:color="000000" w:sz="4" w:space="0"/>
                    <w:left w:val="nil"/>
                    <w:bottom w:val="single" w:color="000000" w:sz="4" w:space="0"/>
                    <w:right w:val="single" w:color="000000" w:sz="4" w:space="0"/>
                  </w:tcBorders>
                  <w:vAlign w:val="center"/>
                </w:tcPr>
                <w:p>
                  <w:pPr>
                    <w:jc w:val="center"/>
                    <w:rPr>
                      <w:kern w:val="0"/>
                      <w:sz w:val="18"/>
                      <w:szCs w:val="18"/>
                    </w:rPr>
                  </w:pPr>
                  <w:r>
                    <w:rPr>
                      <w:kern w:val="0"/>
                      <w:sz w:val="18"/>
                      <w:szCs w:val="18"/>
                    </w:rPr>
                    <w:t>监测因子：（</w:t>
                  </w:r>
                  <w:r>
                    <w:rPr>
                      <w:rFonts w:hint="eastAsia"/>
                      <w:kern w:val="0"/>
                      <w:sz w:val="18"/>
                      <w:szCs w:val="18"/>
                    </w:rPr>
                    <w:t>P</w:t>
                  </w:r>
                  <w:r>
                    <w:rPr>
                      <w:kern w:val="0"/>
                      <w:sz w:val="18"/>
                      <w:szCs w:val="18"/>
                    </w:rPr>
                    <w:t>M10</w:t>
                  </w:r>
                  <w:r>
                    <w:rPr>
                      <w:rFonts w:hint="eastAsia"/>
                      <w:kern w:val="0"/>
                      <w:sz w:val="18"/>
                      <w:szCs w:val="18"/>
                    </w:rPr>
                    <w:t>、T</w:t>
                  </w:r>
                  <w:r>
                    <w:rPr>
                      <w:kern w:val="0"/>
                      <w:sz w:val="18"/>
                      <w:szCs w:val="18"/>
                    </w:rPr>
                    <w:t>SP</w:t>
                  </w:r>
                  <w:r>
                    <w:rPr>
                      <w:rFonts w:hint="eastAsia"/>
                      <w:kern w:val="0"/>
                      <w:sz w:val="18"/>
                      <w:szCs w:val="18"/>
                    </w:rPr>
                    <w:t>、非甲烷总烃、苯乙烯、</w:t>
                  </w:r>
                  <w:r>
                    <w:rPr>
                      <w:kern w:val="0"/>
                      <w:sz w:val="18"/>
                      <w:szCs w:val="18"/>
                    </w:rPr>
                    <w:t>SO</w:t>
                  </w:r>
                  <w:r>
                    <w:rPr>
                      <w:kern w:val="0"/>
                      <w:sz w:val="18"/>
                      <w:szCs w:val="18"/>
                      <w:vertAlign w:val="subscript"/>
                    </w:rPr>
                    <w:t>2</w:t>
                  </w:r>
                  <w:r>
                    <w:rPr>
                      <w:kern w:val="0"/>
                      <w:sz w:val="18"/>
                      <w:szCs w:val="18"/>
                    </w:rPr>
                    <w:t>、NO</w:t>
                  </w:r>
                  <w:r>
                    <w:rPr>
                      <w:kern w:val="0"/>
                      <w:sz w:val="18"/>
                      <w:szCs w:val="18"/>
                      <w:vertAlign w:val="subscript"/>
                    </w:rPr>
                    <w:t>x</w:t>
                  </w:r>
                  <w:r>
                    <w:rPr>
                      <w:kern w:val="0"/>
                      <w:sz w:val="18"/>
                      <w:szCs w:val="18"/>
                    </w:rPr>
                    <w:t>）</w:t>
                  </w:r>
                </w:p>
              </w:tc>
              <w:tc>
                <w:tcPr>
                  <w:tcW w:w="1379" w:type="pct"/>
                  <w:gridSpan w:val="5"/>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有组织废气监测</w:t>
                  </w:r>
                  <w:r>
                    <w:rPr>
                      <w:kern w:val="0"/>
                      <w:sz w:val="18"/>
                      <w:szCs w:val="18"/>
                    </w:rPr>
                    <w:sym w:font="Wingdings 2" w:char="0052"/>
                  </w:r>
                </w:p>
                <w:p>
                  <w:pPr>
                    <w:snapToGrid w:val="0"/>
                    <w:jc w:val="center"/>
                    <w:rPr>
                      <w:kern w:val="0"/>
                      <w:sz w:val="18"/>
                      <w:szCs w:val="18"/>
                    </w:rPr>
                  </w:pPr>
                  <w:r>
                    <w:rPr>
                      <w:kern w:val="0"/>
                      <w:sz w:val="18"/>
                      <w:szCs w:val="18"/>
                    </w:rPr>
                    <w:t>无组织废气监测</w:t>
                  </w:r>
                  <w:r>
                    <w:rPr>
                      <w:kern w:val="0"/>
                      <w:sz w:val="18"/>
                      <w:szCs w:val="18"/>
                    </w:rPr>
                    <w:sym w:font="Wingdings 2" w:char="0052"/>
                  </w:r>
                </w:p>
              </w:tc>
              <w:tc>
                <w:tcPr>
                  <w:tcW w:w="659" w:type="pct"/>
                  <w:gridSpan w:val="2"/>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无监测</w:t>
                  </w:r>
                  <w:r>
                    <w:rPr>
                      <w:kern w:val="0"/>
                      <w:sz w:val="18"/>
                      <w:szCs w:val="18"/>
                    </w:rPr>
                    <w:sym w:font="Wingdings 2" w:char="00A3"/>
                  </w:r>
                </w:p>
              </w:tc>
            </w:tr>
            <w:tr>
              <w:tblPrEx>
                <w:tblCellMar>
                  <w:top w:w="0" w:type="dxa"/>
                  <w:left w:w="28" w:type="dxa"/>
                  <w:bottom w:w="0" w:type="dxa"/>
                  <w:right w:w="28" w:type="dxa"/>
                </w:tblCellMar>
              </w:tblPrEx>
              <w:trPr>
                <w:trHeight w:val="264" w:hRule="atLeast"/>
                <w:jc w:val="center"/>
              </w:trPr>
              <w:tc>
                <w:tcPr>
                  <w:tcW w:w="352" w:type="pct"/>
                  <w:vMerge w:val="continue"/>
                  <w:tcBorders>
                    <w:top w:val="nil"/>
                    <w:left w:val="single" w:color="000000" w:sz="12" w:space="0"/>
                    <w:bottom w:val="single" w:color="000000" w:sz="4" w:space="0"/>
                    <w:right w:val="single" w:color="000000" w:sz="4" w:space="0"/>
                  </w:tcBorders>
                  <w:vAlign w:val="center"/>
                </w:tcPr>
                <w:p>
                  <w:pPr>
                    <w:snapToGrid w:val="0"/>
                    <w:jc w:val="center"/>
                    <w:rPr>
                      <w:kern w:val="0"/>
                      <w:sz w:val="18"/>
                      <w:szCs w:val="18"/>
                    </w:rPr>
                  </w:pP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环境质量监测</w:t>
                  </w:r>
                </w:p>
              </w:tc>
              <w:tc>
                <w:tcPr>
                  <w:tcW w:w="1778" w:type="pct"/>
                  <w:gridSpan w:val="10"/>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监测因子：（）</w:t>
                  </w:r>
                </w:p>
              </w:tc>
              <w:tc>
                <w:tcPr>
                  <w:tcW w:w="1379" w:type="pct"/>
                  <w:gridSpan w:val="5"/>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监测点位数（）</w:t>
                  </w:r>
                </w:p>
              </w:tc>
              <w:tc>
                <w:tcPr>
                  <w:tcW w:w="659" w:type="pct"/>
                  <w:gridSpan w:val="2"/>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无监测</w:t>
                  </w:r>
                  <w:r>
                    <w:rPr>
                      <w:kern w:val="0"/>
                      <w:sz w:val="18"/>
                      <w:szCs w:val="18"/>
                    </w:rPr>
                    <w:sym w:font="Wingdings 2" w:char="0052"/>
                  </w:r>
                </w:p>
              </w:tc>
            </w:tr>
            <w:tr>
              <w:tblPrEx>
                <w:tblCellMar>
                  <w:top w:w="0" w:type="dxa"/>
                  <w:left w:w="28" w:type="dxa"/>
                  <w:bottom w:w="0" w:type="dxa"/>
                  <w:right w:w="28" w:type="dxa"/>
                </w:tblCellMar>
              </w:tblPrEx>
              <w:trPr>
                <w:trHeight w:val="264" w:hRule="atLeast"/>
                <w:jc w:val="center"/>
              </w:trPr>
              <w:tc>
                <w:tcPr>
                  <w:tcW w:w="352" w:type="pct"/>
                  <w:vMerge w:val="restart"/>
                  <w:tcBorders>
                    <w:top w:val="nil"/>
                    <w:left w:val="single" w:color="000000" w:sz="12" w:space="0"/>
                    <w:bottom w:val="nil"/>
                    <w:right w:val="single" w:color="000000" w:sz="4" w:space="0"/>
                  </w:tcBorders>
                  <w:vAlign w:val="center"/>
                </w:tcPr>
                <w:p>
                  <w:pPr>
                    <w:snapToGrid w:val="0"/>
                    <w:jc w:val="center"/>
                    <w:rPr>
                      <w:kern w:val="0"/>
                      <w:sz w:val="18"/>
                      <w:szCs w:val="18"/>
                    </w:rPr>
                  </w:pPr>
                  <w:r>
                    <w:rPr>
                      <w:kern w:val="0"/>
                      <w:sz w:val="18"/>
                      <w:szCs w:val="18"/>
                    </w:rPr>
                    <w:t>评价结论</w:t>
                  </w:r>
                </w:p>
              </w:tc>
              <w:tc>
                <w:tcPr>
                  <w:tcW w:w="833" w:type="pct"/>
                  <w:tcBorders>
                    <w:top w:val="single" w:color="000000" w:sz="4" w:space="0"/>
                    <w:left w:val="nil"/>
                    <w:bottom w:val="single" w:color="000000" w:sz="4" w:space="0"/>
                    <w:right w:val="single" w:color="000000" w:sz="4" w:space="0"/>
                  </w:tcBorders>
                  <w:vAlign w:val="center"/>
                </w:tcPr>
                <w:p>
                  <w:pPr>
                    <w:snapToGrid w:val="0"/>
                    <w:jc w:val="center"/>
                    <w:rPr>
                      <w:kern w:val="0"/>
                      <w:sz w:val="18"/>
                      <w:szCs w:val="18"/>
                    </w:rPr>
                  </w:pPr>
                  <w:r>
                    <w:rPr>
                      <w:kern w:val="0"/>
                      <w:sz w:val="18"/>
                      <w:szCs w:val="18"/>
                    </w:rPr>
                    <w:t>环境影响</w:t>
                  </w:r>
                </w:p>
              </w:tc>
              <w:tc>
                <w:tcPr>
                  <w:tcW w:w="3816" w:type="pct"/>
                  <w:gridSpan w:val="17"/>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 xml:space="preserve">可以接受 </w:t>
                  </w:r>
                  <w:r>
                    <w:rPr>
                      <w:kern w:val="0"/>
                      <w:sz w:val="18"/>
                      <w:szCs w:val="18"/>
                    </w:rPr>
                    <w:sym w:font="Wingdings 2" w:char="0052"/>
                  </w:r>
                  <w:r>
                    <w:rPr>
                      <w:kern w:val="0"/>
                      <w:sz w:val="18"/>
                      <w:szCs w:val="18"/>
                    </w:rPr>
                    <w:t xml:space="preserve">     不可以接受 □</w:t>
                  </w:r>
                </w:p>
              </w:tc>
            </w:tr>
            <w:tr>
              <w:tblPrEx>
                <w:tblCellMar>
                  <w:top w:w="0" w:type="dxa"/>
                  <w:left w:w="28" w:type="dxa"/>
                  <w:bottom w:w="0" w:type="dxa"/>
                  <w:right w:w="28" w:type="dxa"/>
                </w:tblCellMar>
              </w:tblPrEx>
              <w:trPr>
                <w:trHeight w:val="517" w:hRule="atLeast"/>
                <w:jc w:val="center"/>
              </w:trPr>
              <w:tc>
                <w:tcPr>
                  <w:tcW w:w="352" w:type="pct"/>
                  <w:vMerge w:val="continue"/>
                  <w:tcBorders>
                    <w:top w:val="nil"/>
                    <w:left w:val="single" w:color="000000" w:sz="12" w:space="0"/>
                    <w:bottom w:val="nil"/>
                    <w:right w:val="single" w:color="000000" w:sz="4" w:space="0"/>
                  </w:tcBorders>
                  <w:vAlign w:val="center"/>
                </w:tcPr>
                <w:p>
                  <w:pPr>
                    <w:snapToGrid w:val="0"/>
                    <w:jc w:val="center"/>
                    <w:rPr>
                      <w:kern w:val="0"/>
                      <w:sz w:val="18"/>
                      <w:szCs w:val="18"/>
                    </w:rPr>
                  </w:pPr>
                </w:p>
              </w:tc>
              <w:tc>
                <w:tcPr>
                  <w:tcW w:w="833" w:type="pct"/>
                  <w:tcBorders>
                    <w:top w:val="single" w:color="000000" w:sz="4" w:space="0"/>
                    <w:left w:val="nil"/>
                    <w:bottom w:val="single" w:color="000000" w:sz="4" w:space="0"/>
                    <w:right w:val="single" w:color="000000" w:sz="4" w:space="0"/>
                  </w:tcBorders>
                  <w:vAlign w:val="center"/>
                </w:tcPr>
                <w:p>
                  <w:pPr>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大气环境防护</w:t>
                  </w:r>
                </w:p>
                <w:p>
                  <w:pPr>
                    <w:snapToGrid w:val="0"/>
                    <w:jc w:val="center"/>
                    <w:rPr>
                      <w:kern w:val="0"/>
                      <w:sz w:val="18"/>
                      <w:szCs w:val="18"/>
                    </w:rPr>
                  </w:pPr>
                  <w:r>
                    <w:rPr>
                      <w:color w:val="000000" w:themeColor="text1"/>
                      <w:kern w:val="0"/>
                      <w:sz w:val="18"/>
                      <w:szCs w:val="18"/>
                      <w14:textFill>
                        <w14:solidFill>
                          <w14:schemeClr w14:val="tx1"/>
                        </w14:solidFill>
                      </w14:textFill>
                    </w:rPr>
                    <w:t>距离</w:t>
                  </w:r>
                </w:p>
              </w:tc>
              <w:tc>
                <w:tcPr>
                  <w:tcW w:w="3816" w:type="pct"/>
                  <w:gridSpan w:val="17"/>
                  <w:tcBorders>
                    <w:top w:val="single" w:color="000000" w:sz="4" w:space="0"/>
                    <w:left w:val="nil"/>
                    <w:bottom w:val="single" w:color="000000" w:sz="4" w:space="0"/>
                    <w:right w:val="single" w:color="000000" w:sz="12" w:space="0"/>
                  </w:tcBorders>
                  <w:vAlign w:val="center"/>
                </w:tcPr>
                <w:p>
                  <w:pPr>
                    <w:snapToGrid w:val="0"/>
                    <w:jc w:val="center"/>
                    <w:rPr>
                      <w:kern w:val="0"/>
                      <w:sz w:val="18"/>
                      <w:szCs w:val="18"/>
                    </w:rPr>
                  </w:pPr>
                  <w:r>
                    <w:rPr>
                      <w:kern w:val="0"/>
                      <w:sz w:val="18"/>
                      <w:szCs w:val="18"/>
                    </w:rPr>
                    <w:t>距 （ ）厂界最远（  0）m</w:t>
                  </w:r>
                </w:p>
              </w:tc>
            </w:tr>
            <w:tr>
              <w:tblPrEx>
                <w:tblCellMar>
                  <w:top w:w="0" w:type="dxa"/>
                  <w:left w:w="28" w:type="dxa"/>
                  <w:bottom w:w="0" w:type="dxa"/>
                  <w:right w:w="28" w:type="dxa"/>
                </w:tblCellMar>
              </w:tblPrEx>
              <w:trPr>
                <w:trHeight w:val="264" w:hRule="atLeast"/>
                <w:jc w:val="center"/>
              </w:trPr>
              <w:tc>
                <w:tcPr>
                  <w:tcW w:w="352" w:type="pct"/>
                  <w:vMerge w:val="continue"/>
                  <w:tcBorders>
                    <w:top w:val="nil"/>
                    <w:left w:val="single" w:color="000000" w:sz="12" w:space="0"/>
                    <w:bottom w:val="nil"/>
                    <w:right w:val="single" w:color="000000" w:sz="4" w:space="0"/>
                  </w:tcBorders>
                  <w:vAlign w:val="center"/>
                </w:tcPr>
                <w:p>
                  <w:pPr>
                    <w:snapToGrid w:val="0"/>
                    <w:jc w:val="center"/>
                    <w:rPr>
                      <w:kern w:val="0"/>
                      <w:sz w:val="18"/>
                      <w:szCs w:val="18"/>
                    </w:rPr>
                  </w:pPr>
                </w:p>
              </w:tc>
              <w:tc>
                <w:tcPr>
                  <w:tcW w:w="833" w:type="pct"/>
                  <w:tcBorders>
                    <w:top w:val="nil"/>
                    <w:left w:val="nil"/>
                    <w:bottom w:val="nil"/>
                    <w:right w:val="single" w:color="000000" w:sz="4" w:space="0"/>
                  </w:tcBorders>
                  <w:vAlign w:val="center"/>
                </w:tcPr>
                <w:p>
                  <w:pPr>
                    <w:snapToGrid w:val="0"/>
                    <w:jc w:val="center"/>
                    <w:rPr>
                      <w:kern w:val="0"/>
                      <w:sz w:val="18"/>
                      <w:szCs w:val="18"/>
                    </w:rPr>
                  </w:pPr>
                  <w:r>
                    <w:rPr>
                      <w:kern w:val="0"/>
                      <w:sz w:val="18"/>
                      <w:szCs w:val="18"/>
                    </w:rPr>
                    <w:t>污染物年排放量</w:t>
                  </w:r>
                </w:p>
              </w:tc>
              <w:tc>
                <w:tcPr>
                  <w:tcW w:w="763" w:type="pct"/>
                  <w:gridSpan w:val="3"/>
                  <w:tcBorders>
                    <w:top w:val="single" w:color="000000" w:sz="4" w:space="0"/>
                    <w:left w:val="nil"/>
                    <w:bottom w:val="single" w:color="000000" w:sz="4" w:space="0"/>
                    <w:right w:val="single" w:color="000000" w:sz="4" w:space="0"/>
                  </w:tcBorders>
                  <w:vAlign w:val="center"/>
                </w:tcPr>
                <w:p>
                  <w:pPr>
                    <w:snapToGrid w:val="0"/>
                    <w:jc w:val="center"/>
                    <w:rPr>
                      <w:kern w:val="0"/>
                      <w:sz w:val="18"/>
                      <w:szCs w:val="18"/>
                      <w:vertAlign w:val="subscript"/>
                    </w:rPr>
                  </w:pPr>
                  <w:r>
                    <w:rPr>
                      <w:kern w:val="0"/>
                      <w:sz w:val="18"/>
                      <w:szCs w:val="18"/>
                    </w:rPr>
                    <w:t>SO</w:t>
                  </w:r>
                  <w:r>
                    <w:rPr>
                      <w:kern w:val="0"/>
                      <w:sz w:val="18"/>
                      <w:szCs w:val="18"/>
                      <w:vertAlign w:val="subscript"/>
                    </w:rPr>
                    <w:t>2</w:t>
                  </w:r>
                </w:p>
                <w:p>
                  <w:pPr>
                    <w:snapToGrid w:val="0"/>
                    <w:jc w:val="center"/>
                    <w:rPr>
                      <w:kern w:val="0"/>
                      <w:sz w:val="18"/>
                      <w:szCs w:val="18"/>
                    </w:rPr>
                  </w:pPr>
                  <w:r>
                    <w:rPr>
                      <w:kern w:val="0"/>
                      <w:sz w:val="18"/>
                      <w:szCs w:val="18"/>
                    </w:rPr>
                    <w:t>（</w:t>
                  </w:r>
                  <w:r>
                    <w:rPr>
                      <w:bCs/>
                      <w:kern w:val="0"/>
                      <w:sz w:val="18"/>
                      <w:szCs w:val="18"/>
                    </w:rPr>
                    <w:t>0.02</w:t>
                  </w:r>
                  <w:r>
                    <w:rPr>
                      <w:kern w:val="0"/>
                      <w:sz w:val="18"/>
                      <w:szCs w:val="18"/>
                    </w:rPr>
                    <w:t>）t/a</w:t>
                  </w:r>
                </w:p>
              </w:tc>
              <w:tc>
                <w:tcPr>
                  <w:tcW w:w="763" w:type="pct"/>
                  <w:gridSpan w:val="5"/>
                  <w:tcBorders>
                    <w:top w:val="single" w:color="000000" w:sz="4" w:space="0"/>
                    <w:left w:val="nil"/>
                    <w:bottom w:val="single" w:color="000000" w:sz="4" w:space="0"/>
                    <w:right w:val="single" w:color="000000" w:sz="4" w:space="0"/>
                  </w:tcBorders>
                  <w:vAlign w:val="center"/>
                </w:tcPr>
                <w:p>
                  <w:pPr>
                    <w:snapToGrid w:val="0"/>
                    <w:jc w:val="center"/>
                    <w:rPr>
                      <w:kern w:val="0"/>
                      <w:sz w:val="18"/>
                      <w:szCs w:val="18"/>
                      <w:vertAlign w:val="subscript"/>
                    </w:rPr>
                  </w:pPr>
                  <w:r>
                    <w:rPr>
                      <w:kern w:val="0"/>
                      <w:sz w:val="18"/>
                      <w:szCs w:val="18"/>
                    </w:rPr>
                    <w:t>NO</w:t>
                  </w:r>
                  <w:r>
                    <w:rPr>
                      <w:kern w:val="0"/>
                      <w:sz w:val="18"/>
                      <w:szCs w:val="18"/>
                      <w:vertAlign w:val="subscript"/>
                    </w:rPr>
                    <w:t>X</w:t>
                  </w:r>
                </w:p>
                <w:p>
                  <w:pPr>
                    <w:snapToGrid w:val="0"/>
                    <w:jc w:val="center"/>
                    <w:rPr>
                      <w:kern w:val="0"/>
                      <w:sz w:val="18"/>
                      <w:szCs w:val="18"/>
                    </w:rPr>
                  </w:pPr>
                  <w:r>
                    <w:rPr>
                      <w:kern w:val="0"/>
                      <w:sz w:val="18"/>
                      <w:szCs w:val="18"/>
                    </w:rPr>
                    <w:t>（</w:t>
                  </w:r>
                  <w:r>
                    <w:rPr>
                      <w:bCs/>
                      <w:kern w:val="0"/>
                      <w:sz w:val="18"/>
                      <w:szCs w:val="18"/>
                    </w:rPr>
                    <w:t>0.0606</w:t>
                  </w:r>
                  <w:r>
                    <w:rPr>
                      <w:kern w:val="0"/>
                      <w:sz w:val="18"/>
                      <w:szCs w:val="18"/>
                    </w:rPr>
                    <w:t>）t/a</w:t>
                  </w:r>
                </w:p>
              </w:tc>
              <w:tc>
                <w:tcPr>
                  <w:tcW w:w="763" w:type="pct"/>
                  <w:gridSpan w:val="3"/>
                  <w:tcBorders>
                    <w:top w:val="single" w:color="000000" w:sz="4" w:space="0"/>
                    <w:left w:val="nil"/>
                    <w:bottom w:val="single" w:color="000000" w:sz="4" w:space="0"/>
                    <w:right w:val="single" w:color="auto" w:sz="12" w:space="0"/>
                  </w:tcBorders>
                  <w:vAlign w:val="center"/>
                </w:tcPr>
                <w:p>
                  <w:pPr>
                    <w:snapToGrid w:val="0"/>
                    <w:jc w:val="center"/>
                    <w:rPr>
                      <w:kern w:val="0"/>
                      <w:sz w:val="18"/>
                      <w:szCs w:val="18"/>
                    </w:rPr>
                  </w:pPr>
                  <w:r>
                    <w:rPr>
                      <w:kern w:val="0"/>
                      <w:sz w:val="18"/>
                      <w:szCs w:val="18"/>
                    </w:rPr>
                    <w:t>颗粒物（</w:t>
                  </w:r>
                  <w:r>
                    <w:rPr>
                      <w:color w:val="000000"/>
                      <w:szCs w:val="21"/>
                    </w:rPr>
                    <w:t>0.3812</w:t>
                  </w:r>
                  <w:r>
                    <w:rPr>
                      <w:kern w:val="0"/>
                      <w:sz w:val="18"/>
                      <w:szCs w:val="18"/>
                    </w:rPr>
                    <w:t>）t/a</w:t>
                  </w:r>
                </w:p>
              </w:tc>
              <w:tc>
                <w:tcPr>
                  <w:tcW w:w="763" w:type="pct"/>
                  <w:gridSpan w:val="3"/>
                  <w:tcBorders>
                    <w:top w:val="single" w:color="000000" w:sz="4" w:space="0"/>
                    <w:left w:val="single" w:color="auto" w:sz="12" w:space="0"/>
                    <w:bottom w:val="single" w:color="000000" w:sz="4" w:space="0"/>
                    <w:right w:val="single" w:color="auto" w:sz="4" w:space="0"/>
                  </w:tcBorders>
                  <w:vAlign w:val="center"/>
                </w:tcPr>
                <w:p>
                  <w:pPr>
                    <w:snapToGrid w:val="0"/>
                    <w:jc w:val="center"/>
                    <w:rPr>
                      <w:kern w:val="0"/>
                      <w:sz w:val="18"/>
                      <w:szCs w:val="18"/>
                    </w:rPr>
                  </w:pPr>
                  <w:r>
                    <w:rPr>
                      <w:rFonts w:hint="eastAsia"/>
                      <w:kern w:val="0"/>
                      <w:sz w:val="18"/>
                      <w:szCs w:val="18"/>
                    </w:rPr>
                    <w:t>苯乙烯</w:t>
                  </w:r>
                </w:p>
                <w:p>
                  <w:pPr>
                    <w:snapToGrid w:val="0"/>
                    <w:jc w:val="center"/>
                    <w:rPr>
                      <w:kern w:val="0"/>
                      <w:sz w:val="18"/>
                      <w:szCs w:val="18"/>
                    </w:rPr>
                  </w:pPr>
                  <w:r>
                    <w:rPr>
                      <w:rFonts w:hint="eastAsia"/>
                      <w:kern w:val="0"/>
                      <w:sz w:val="18"/>
                      <w:szCs w:val="18"/>
                    </w:rPr>
                    <w:t>（</w:t>
                  </w:r>
                  <w:r>
                    <w:rPr>
                      <w:color w:val="000000"/>
                      <w:szCs w:val="21"/>
                    </w:rPr>
                    <w:t>0.049</w:t>
                  </w:r>
                  <w:r>
                    <w:rPr>
                      <w:kern w:val="0"/>
                      <w:sz w:val="18"/>
                      <w:szCs w:val="18"/>
                    </w:rPr>
                    <w:t>）t/a</w:t>
                  </w:r>
                </w:p>
              </w:tc>
              <w:tc>
                <w:tcPr>
                  <w:tcW w:w="763" w:type="pct"/>
                  <w:gridSpan w:val="3"/>
                  <w:tcBorders>
                    <w:top w:val="single" w:color="000000" w:sz="4" w:space="0"/>
                    <w:left w:val="single" w:color="auto" w:sz="4" w:space="0"/>
                    <w:bottom w:val="single" w:color="000000" w:sz="4" w:space="0"/>
                    <w:right w:val="single" w:color="000000" w:sz="12" w:space="0"/>
                  </w:tcBorders>
                  <w:vAlign w:val="center"/>
                </w:tcPr>
                <w:p>
                  <w:pPr>
                    <w:snapToGrid w:val="0"/>
                    <w:rPr>
                      <w:bCs/>
                      <w:kern w:val="0"/>
                      <w:sz w:val="18"/>
                      <w:szCs w:val="18"/>
                    </w:rPr>
                  </w:pPr>
                  <w:r>
                    <w:rPr>
                      <w:rFonts w:hint="eastAsia"/>
                      <w:bCs/>
                      <w:kern w:val="0"/>
                      <w:sz w:val="18"/>
                      <w:szCs w:val="18"/>
                    </w:rPr>
                    <w:t>非甲烷总烃</w:t>
                  </w:r>
                  <w:r>
                    <w:rPr>
                      <w:bCs/>
                      <w:kern w:val="0"/>
                      <w:sz w:val="18"/>
                      <w:szCs w:val="18"/>
                    </w:rPr>
                    <w:t>:</w:t>
                  </w:r>
                </w:p>
                <w:p>
                  <w:pPr>
                    <w:snapToGrid w:val="0"/>
                    <w:rPr>
                      <w:kern w:val="0"/>
                      <w:sz w:val="18"/>
                      <w:szCs w:val="18"/>
                    </w:rPr>
                  </w:pPr>
                  <w:r>
                    <w:rPr>
                      <w:bCs/>
                      <w:kern w:val="0"/>
                      <w:sz w:val="18"/>
                      <w:szCs w:val="18"/>
                    </w:rPr>
                    <w:t>(</w:t>
                  </w:r>
                  <w:r>
                    <w:rPr>
                      <w:color w:val="000000"/>
                      <w:szCs w:val="21"/>
                    </w:rPr>
                    <w:t xml:space="preserve"> 0.569</w:t>
                  </w:r>
                  <w:r>
                    <w:rPr>
                      <w:bCs/>
                      <w:kern w:val="0"/>
                      <w:sz w:val="18"/>
                      <w:szCs w:val="18"/>
                    </w:rPr>
                    <w:t>)t/a</w:t>
                  </w:r>
                </w:p>
              </w:tc>
            </w:tr>
            <w:tr>
              <w:tblPrEx>
                <w:tblCellMar>
                  <w:top w:w="0" w:type="dxa"/>
                  <w:left w:w="28" w:type="dxa"/>
                  <w:bottom w:w="0" w:type="dxa"/>
                  <w:right w:w="28" w:type="dxa"/>
                </w:tblCellMar>
              </w:tblPrEx>
              <w:trPr>
                <w:trHeight w:val="296" w:hRule="atLeast"/>
                <w:jc w:val="center"/>
              </w:trPr>
              <w:tc>
                <w:tcPr>
                  <w:tcW w:w="5000" w:type="pct"/>
                  <w:gridSpan w:val="19"/>
                  <w:tcBorders>
                    <w:top w:val="single" w:color="000000" w:sz="4" w:space="0"/>
                    <w:left w:val="single" w:color="000000" w:sz="12" w:space="0"/>
                    <w:bottom w:val="single" w:color="000000" w:sz="12" w:space="0"/>
                    <w:right w:val="single" w:color="000000" w:sz="12" w:space="0"/>
                  </w:tcBorders>
                </w:tcPr>
                <w:p>
                  <w:pPr>
                    <w:snapToGrid w:val="0"/>
                    <w:jc w:val="center"/>
                    <w:rPr>
                      <w:kern w:val="0"/>
                      <w:sz w:val="18"/>
                      <w:szCs w:val="18"/>
                    </w:rPr>
                  </w:pPr>
                  <w:r>
                    <w:rPr>
                      <w:kern w:val="0"/>
                      <w:sz w:val="18"/>
                      <w:szCs w:val="18"/>
                    </w:rPr>
                    <w:t>注：“□” 为勾选项，填“√”；“（）”为内容填写项 </w:t>
                  </w:r>
                </w:p>
              </w:tc>
            </w:tr>
          </w:tbl>
          <w:p>
            <w:pPr>
              <w:widowControl/>
              <w:adjustRightInd w:val="0"/>
              <w:snapToGrid w:val="0"/>
              <w:spacing w:line="360" w:lineRule="auto"/>
              <w:ind w:firstLine="482" w:firstLineChars="200"/>
              <w:rPr>
                <w:b/>
                <w:kern w:val="0"/>
                <w:sz w:val="24"/>
              </w:rPr>
            </w:pPr>
            <w:r>
              <w:rPr>
                <w:b/>
                <w:kern w:val="0"/>
                <w:sz w:val="24"/>
              </w:rPr>
              <w:t>2、水环境影响分析</w:t>
            </w:r>
          </w:p>
          <w:p>
            <w:pPr>
              <w:spacing w:line="360" w:lineRule="auto"/>
              <w:ind w:firstLine="480" w:firstLineChars="200"/>
              <w:rPr>
                <w:kern w:val="0"/>
                <w:sz w:val="24"/>
              </w:rPr>
            </w:pPr>
            <w:r>
              <w:rPr>
                <w:kern w:val="0"/>
                <w:sz w:val="24"/>
              </w:rPr>
              <w:t>（1）项目水环境影响评价</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bCs/>
                <w:kern w:val="0"/>
                <w:sz w:val="24"/>
              </w:rPr>
              <w:t>本项目废水为生产废水和生活废水，</w:t>
            </w:r>
            <w:r>
              <w:rPr>
                <w:rFonts w:hint="eastAsia" w:ascii="宋体" w:hAnsi="宋体"/>
                <w:color w:val="000000" w:themeColor="text1"/>
                <w:kern w:val="0"/>
                <w:sz w:val="24"/>
                <w14:textFill>
                  <w14:solidFill>
                    <w14:schemeClr w14:val="tx1"/>
                  </w14:solidFill>
                </w14:textFill>
              </w:rPr>
              <w:t>生产废水主要为</w:t>
            </w:r>
            <w:r>
              <w:rPr>
                <w:rFonts w:hint="eastAsia"/>
                <w:bCs/>
                <w:kern w:val="0"/>
                <w:sz w:val="24"/>
              </w:rPr>
              <w:t>锅炉排水，</w:t>
            </w:r>
            <w:r>
              <w:rPr>
                <w:rFonts w:hint="eastAsia" w:hAnsi="宋体"/>
                <w:kern w:val="0"/>
                <w:sz w:val="24"/>
              </w:rPr>
              <w:t>锅炉排水包括锅炉运行时定期排水及软水制备设备排水，</w:t>
            </w:r>
            <w:r>
              <w:rPr>
                <w:rFonts w:hint="eastAsia"/>
                <w:color w:val="000000" w:themeColor="text1"/>
                <w:kern w:val="0"/>
                <w:sz w:val="24"/>
                <w14:textFill>
                  <w14:solidFill>
                    <w14:schemeClr w14:val="tx1"/>
                  </w14:solidFill>
                </w14:textFill>
              </w:rPr>
              <w:t>排入厂区</w:t>
            </w:r>
            <w:r>
              <w:rPr>
                <w:color w:val="000000" w:themeColor="text1"/>
                <w:kern w:val="0"/>
                <w:sz w:val="24"/>
                <w14:textFill>
                  <w14:solidFill>
                    <w14:schemeClr w14:val="tx1"/>
                  </w14:solidFill>
                </w14:textFill>
              </w:rPr>
              <w:t>化粪池</w:t>
            </w:r>
            <w:r>
              <w:rPr>
                <w:rFonts w:hint="eastAsia"/>
                <w:color w:val="000000" w:themeColor="text1"/>
                <w:kern w:val="0"/>
                <w:sz w:val="24"/>
                <w14:textFill>
                  <w14:solidFill>
                    <w14:schemeClr w14:val="tx1"/>
                  </w14:solidFill>
                </w14:textFill>
              </w:rPr>
              <w:t>（3</w:t>
            </w:r>
            <w:r>
              <w:rPr>
                <w:color w:val="000000" w:themeColor="text1"/>
                <w:kern w:val="0"/>
                <w:sz w:val="24"/>
                <w14:textFill>
                  <w14:solidFill>
                    <w14:schemeClr w14:val="tx1"/>
                  </w14:solidFill>
                </w14:textFill>
              </w:rPr>
              <w:t>0m</w:t>
            </w:r>
            <w:r>
              <w:rPr>
                <w:color w:val="000000" w:themeColor="text1"/>
                <w:kern w:val="0"/>
                <w:sz w:val="24"/>
                <w:vertAlign w:val="superscript"/>
                <w14:textFill>
                  <w14:solidFill>
                    <w14:schemeClr w14:val="tx1"/>
                  </w14:solidFill>
                </w14:textFill>
              </w:rPr>
              <w:t>3</w:t>
            </w:r>
            <w:r>
              <w:rPr>
                <w:rFonts w:hint="eastAsia"/>
                <w:color w:val="000000" w:themeColor="text1"/>
                <w:kern w:val="0"/>
                <w:sz w:val="24"/>
                <w14:textFill>
                  <w14:solidFill>
                    <w14:schemeClr w14:val="tx1"/>
                  </w14:solidFill>
                </w14:textFill>
              </w:rPr>
              <w:t>）</w:t>
            </w:r>
            <w:r>
              <w:rPr>
                <w:rFonts w:hint="eastAsia"/>
                <w:kern w:val="0"/>
                <w:sz w:val="24"/>
              </w:rPr>
              <w:t>；食堂废水经</w:t>
            </w:r>
            <w:r>
              <w:rPr>
                <w:rFonts w:hint="eastAsia"/>
                <w:color w:val="000000" w:themeColor="text1"/>
                <w:kern w:val="0"/>
                <w:sz w:val="24"/>
                <w14:textFill>
                  <w14:solidFill>
                    <w14:schemeClr w14:val="tx1"/>
                  </w14:solidFill>
                </w14:textFill>
              </w:rPr>
              <w:t>隔油池后与生活污水经化粪池处理后排入厂区</w:t>
            </w:r>
            <w:r>
              <w:rPr>
                <w:color w:val="000000" w:themeColor="text1"/>
                <w:kern w:val="0"/>
                <w:sz w:val="24"/>
                <w14:textFill>
                  <w14:solidFill>
                    <w14:schemeClr w14:val="tx1"/>
                  </w14:solidFill>
                </w14:textFill>
              </w:rPr>
              <w:t>化粪池</w:t>
            </w:r>
            <w:r>
              <w:rPr>
                <w:rFonts w:hint="eastAsia"/>
                <w:color w:val="000000" w:themeColor="text1"/>
                <w:kern w:val="0"/>
                <w:sz w:val="24"/>
                <w14:textFill>
                  <w14:solidFill>
                    <w14:schemeClr w14:val="tx1"/>
                  </w14:solidFill>
                </w14:textFill>
              </w:rPr>
              <w:t>（3</w:t>
            </w:r>
            <w:r>
              <w:rPr>
                <w:color w:val="000000" w:themeColor="text1"/>
                <w:kern w:val="0"/>
                <w:sz w:val="24"/>
                <w14:textFill>
                  <w14:solidFill>
                    <w14:schemeClr w14:val="tx1"/>
                  </w14:solidFill>
                </w14:textFill>
              </w:rPr>
              <w:t>0m</w:t>
            </w:r>
            <w:r>
              <w:rPr>
                <w:color w:val="000000" w:themeColor="text1"/>
                <w:kern w:val="0"/>
                <w:sz w:val="24"/>
                <w:vertAlign w:val="superscript"/>
                <w14:textFill>
                  <w14:solidFill>
                    <w14:schemeClr w14:val="tx1"/>
                  </w14:solidFill>
                </w14:textFill>
              </w:rPr>
              <w:t>3</w:t>
            </w:r>
            <w:r>
              <w:rPr>
                <w:rFonts w:hint="eastAsia"/>
                <w:color w:val="000000" w:themeColor="text1"/>
                <w:kern w:val="0"/>
                <w:sz w:val="24"/>
                <w14:textFill>
                  <w14:solidFill>
                    <w14:schemeClr w14:val="tx1"/>
                  </w14:solidFill>
                </w14:textFill>
              </w:rPr>
              <w:t>）。</w:t>
            </w:r>
            <w:r>
              <w:rPr>
                <w:rFonts w:hint="eastAsia"/>
                <w:kern w:val="0"/>
                <w:sz w:val="24"/>
              </w:rPr>
              <w:t>本项目废水不排放到外环境，</w:t>
            </w:r>
            <w:r>
              <w:rPr>
                <w:kern w:val="24"/>
                <w:sz w:val="24"/>
              </w:rPr>
              <w:t>依据</w:t>
            </w:r>
            <w:r>
              <w:rPr>
                <w:kern w:val="0"/>
                <w:sz w:val="24"/>
              </w:rPr>
              <w:t>《环境影响评价技术导则-地表水环境》（</w:t>
            </w:r>
            <w:r>
              <w:rPr>
                <w:kern w:val="24"/>
                <w:sz w:val="24"/>
              </w:rPr>
              <w:t>HJ2.3-2018）评价等级为三级B，根据该导则，评价三级B可不进行预测，本次评价营运期水环境影响仅进行定性分析。</w:t>
            </w:r>
          </w:p>
          <w:p>
            <w:pPr>
              <w:spacing w:line="360" w:lineRule="auto"/>
              <w:ind w:firstLine="480" w:firstLineChars="200"/>
              <w:rPr>
                <w:kern w:val="0"/>
                <w:sz w:val="24"/>
              </w:rPr>
            </w:pPr>
            <w:r>
              <w:rPr>
                <w:rFonts w:hint="eastAsia" w:ascii="宋体" w:hAnsi="宋体"/>
                <w:color w:val="000000" w:themeColor="text1"/>
                <w:kern w:val="0"/>
                <w:sz w:val="24"/>
                <w14:textFill>
                  <w14:solidFill>
                    <w14:schemeClr w14:val="tx1"/>
                  </w14:solidFill>
                </w14:textFill>
              </w:rPr>
              <w:t>项目废水包括生产废水和生活废水</w:t>
            </w:r>
            <w:r>
              <w:rPr>
                <w:rFonts w:hint="eastAsia"/>
                <w:kern w:val="0"/>
                <w:sz w:val="24"/>
              </w:rPr>
              <w:t>，</w:t>
            </w:r>
            <w:r>
              <w:rPr>
                <w:kern w:val="0"/>
                <w:sz w:val="24"/>
                <w:shd w:val="clear" w:color="auto" w:fill="FFFFFF"/>
              </w:rPr>
              <w:t>项目</w:t>
            </w:r>
            <w:r>
              <w:rPr>
                <w:rFonts w:hint="eastAsia"/>
                <w:kern w:val="0"/>
                <w:sz w:val="24"/>
                <w:shd w:val="clear" w:color="auto" w:fill="FFFFFF"/>
              </w:rPr>
              <w:t>废水总量为</w:t>
            </w:r>
            <w:r>
              <w:rPr>
                <w:kern w:val="0"/>
                <w:sz w:val="24"/>
                <w:shd w:val="clear" w:color="auto" w:fill="FFFFFF"/>
              </w:rPr>
              <w:t>2.2m</w:t>
            </w:r>
            <w:r>
              <w:rPr>
                <w:kern w:val="0"/>
                <w:sz w:val="24"/>
                <w:shd w:val="clear" w:color="auto" w:fill="FFFFFF"/>
                <w:vertAlign w:val="superscript"/>
              </w:rPr>
              <w:t>3</w:t>
            </w:r>
            <w:r>
              <w:rPr>
                <w:kern w:val="0"/>
                <w:sz w:val="24"/>
                <w:shd w:val="clear" w:color="auto" w:fill="FFFFFF"/>
              </w:rPr>
              <w:t>/d</w:t>
            </w:r>
            <w:r>
              <w:rPr>
                <w:rFonts w:hint="eastAsia"/>
                <w:kern w:val="0"/>
                <w:sz w:val="24"/>
                <w:shd w:val="clear" w:color="auto" w:fill="FFFFFF"/>
              </w:rPr>
              <w:t>（</w:t>
            </w:r>
            <w:r>
              <w:rPr>
                <w:kern w:val="0"/>
                <w:sz w:val="24"/>
                <w:shd w:val="clear" w:color="auto" w:fill="FFFFFF"/>
              </w:rPr>
              <w:t>660m</w:t>
            </w:r>
            <w:r>
              <w:rPr>
                <w:kern w:val="0"/>
                <w:sz w:val="24"/>
                <w:shd w:val="clear" w:color="auto" w:fill="FFFFFF"/>
                <w:vertAlign w:val="superscript"/>
              </w:rPr>
              <w:t>3</w:t>
            </w:r>
            <w:r>
              <w:rPr>
                <w:kern w:val="0"/>
                <w:sz w:val="24"/>
                <w:shd w:val="clear" w:color="auto" w:fill="FFFFFF"/>
              </w:rPr>
              <w:t>/a</w:t>
            </w:r>
            <w:r>
              <w:rPr>
                <w:rFonts w:hint="eastAsia"/>
                <w:kern w:val="0"/>
                <w:sz w:val="24"/>
                <w:shd w:val="clear" w:color="auto" w:fill="FFFFFF"/>
              </w:rPr>
              <w:t>），</w:t>
            </w:r>
            <w:r>
              <w:rPr>
                <w:rFonts w:hint="eastAsia"/>
                <w:bCs/>
                <w:kern w:val="0"/>
                <w:sz w:val="24"/>
              </w:rPr>
              <w:t>项目废水不外排</w:t>
            </w:r>
            <w:r>
              <w:rPr>
                <w:kern w:val="0"/>
                <w:sz w:val="24"/>
              </w:rPr>
              <w:t>。</w:t>
            </w:r>
            <w:r>
              <w:rPr>
                <w:rFonts w:hint="eastAsia"/>
                <w:kern w:val="0"/>
                <w:sz w:val="24"/>
              </w:rPr>
              <w:t>项目废水排入厂区化粪池，对化粪池进行定期清掏。</w:t>
            </w:r>
          </w:p>
        </w:tc>
      </w:tr>
    </w:tbl>
    <w:p>
      <w:pPr>
        <w:sectPr>
          <w:pgSz w:w="11906" w:h="16838"/>
          <w:pgMar w:top="1440" w:right="1800" w:bottom="1440" w:left="1800" w:header="851" w:footer="992" w:gutter="0"/>
          <w:cols w:space="425" w:num="1"/>
          <w:docGrid w:type="lines" w:linePitch="312" w:charSpace="0"/>
        </w:sectPr>
      </w:pPr>
    </w:p>
    <w:p>
      <w:pPr>
        <w:spacing w:line="360" w:lineRule="auto"/>
        <w:jc w:val="center"/>
        <w:rPr>
          <w:b/>
          <w:sz w:val="24"/>
        </w:rPr>
      </w:pPr>
    </w:p>
    <w:tbl>
      <w:tblPr>
        <w:tblStyle w:val="21"/>
        <w:tblW w:w="93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03" w:type="dxa"/>
          </w:tcPr>
          <w:p>
            <w:pPr>
              <w:widowControl/>
              <w:adjustRightInd w:val="0"/>
              <w:snapToGrid w:val="0"/>
              <w:spacing w:line="360" w:lineRule="auto"/>
              <w:ind w:firstLine="482" w:firstLineChars="200"/>
              <w:rPr>
                <w:b/>
                <w:kern w:val="0"/>
                <w:sz w:val="24"/>
              </w:rPr>
            </w:pPr>
            <w:r>
              <w:rPr>
                <w:b/>
                <w:kern w:val="0"/>
                <w:sz w:val="24"/>
              </w:rPr>
              <w:t>3、声环境影响分析</w:t>
            </w:r>
          </w:p>
          <w:p>
            <w:pPr>
              <w:spacing w:line="360" w:lineRule="auto"/>
              <w:ind w:firstLine="480" w:firstLineChars="200"/>
              <w:rPr>
                <w:color w:val="000000" w:themeColor="text1"/>
                <w:kern w:val="0"/>
                <w:sz w:val="24"/>
                <w14:textFill>
                  <w14:solidFill>
                    <w14:schemeClr w14:val="tx1"/>
                  </w14:solidFill>
                </w14:textFill>
              </w:rPr>
            </w:pPr>
            <w:bookmarkStart w:id="8" w:name="_Toc341867180"/>
            <w:r>
              <w:rPr>
                <w:rFonts w:hint="eastAsia"/>
                <w:color w:val="000000" w:themeColor="text1"/>
                <w:kern w:val="0"/>
                <w:sz w:val="24"/>
                <w14:textFill>
                  <w14:solidFill>
                    <w14:schemeClr w14:val="tx1"/>
                  </w14:solidFill>
                </w14:textFill>
              </w:rPr>
              <w:t>（1）评价等级</w:t>
            </w:r>
          </w:p>
          <w:p>
            <w:pPr>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本项目厂址区域环境噪声执行《声环境质量标准》（GB 3096-2008）的</w:t>
            </w:r>
            <w:r>
              <w:rPr>
                <w:color w:val="000000" w:themeColor="text1"/>
                <w:kern w:val="0"/>
                <w:sz w:val="24"/>
                <w14:textFill>
                  <w14:solidFill>
                    <w14:schemeClr w14:val="tx1"/>
                  </w14:solidFill>
                </w14:textFill>
              </w:rPr>
              <w:t>2</w:t>
            </w:r>
            <w:r>
              <w:rPr>
                <w:rFonts w:hint="eastAsia"/>
                <w:color w:val="000000" w:themeColor="text1"/>
                <w:kern w:val="0"/>
                <w:sz w:val="24"/>
                <w14:textFill>
                  <w14:solidFill>
                    <w14:schemeClr w14:val="tx1"/>
                  </w14:solidFill>
                </w14:textFill>
              </w:rPr>
              <w:t>标准，根据《环境影响评级技术导则 声环境》（H</w:t>
            </w:r>
            <w:r>
              <w:rPr>
                <w:color w:val="000000" w:themeColor="text1"/>
                <w:kern w:val="0"/>
                <w:sz w:val="24"/>
                <w14:textFill>
                  <w14:solidFill>
                    <w14:schemeClr w14:val="tx1"/>
                  </w14:solidFill>
                </w14:textFill>
              </w:rPr>
              <w:t>J2.4-2009</w:t>
            </w:r>
            <w:r>
              <w:rPr>
                <w:rFonts w:hint="eastAsia"/>
                <w:color w:val="000000" w:themeColor="text1"/>
                <w:kern w:val="0"/>
                <w:sz w:val="24"/>
                <w14:textFill>
                  <w14:solidFill>
                    <w14:schemeClr w14:val="tx1"/>
                  </w14:solidFill>
                </w14:textFill>
              </w:rPr>
              <w:t>）要求见表7-</w:t>
            </w:r>
            <w:r>
              <w:rPr>
                <w:color w:val="000000" w:themeColor="text1"/>
                <w:kern w:val="0"/>
                <w:sz w:val="24"/>
                <w14:textFill>
                  <w14:solidFill>
                    <w14:schemeClr w14:val="tx1"/>
                  </w14:solidFill>
                </w14:textFill>
              </w:rPr>
              <w:t>18</w:t>
            </w:r>
            <w:r>
              <w:rPr>
                <w:rFonts w:hint="eastAsia"/>
                <w:color w:val="000000" w:themeColor="text1"/>
                <w:kern w:val="0"/>
                <w:sz w:val="24"/>
                <w14:textFill>
                  <w14:solidFill>
                    <w14:schemeClr w14:val="tx1"/>
                  </w14:solidFill>
                </w14:textFill>
              </w:rPr>
              <w:t>，判定本项目声环境评价工作等级为二级。</w:t>
            </w:r>
          </w:p>
          <w:p>
            <w:pPr>
              <w:spacing w:line="360" w:lineRule="auto"/>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表7-17   声环境评价工作等级判定</w:t>
            </w:r>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018"/>
              <w:gridCol w:w="869"/>
              <w:gridCol w:w="1839"/>
              <w:gridCol w:w="3016"/>
              <w:gridCol w:w="131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1594" w:type="pct"/>
                  <w:gridSpan w:val="2"/>
                  <w:tcBorders>
                    <w:tl2br w:val="single" w:color="000000" w:sz="2" w:space="0"/>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 xml:space="preserve">      影响因素</w:t>
                  </w:r>
                </w:p>
                <w:p>
                  <w:pPr>
                    <w:rPr>
                      <w:color w:val="000000" w:themeColor="text1"/>
                      <w:szCs w:val="21"/>
                      <w14:textFill>
                        <w14:solidFill>
                          <w14:schemeClr w14:val="tx1"/>
                        </w14:solidFill>
                      </w14:textFill>
                    </w:rPr>
                  </w:pPr>
                  <w:r>
                    <w:rPr>
                      <w:bCs/>
                      <w:color w:val="000000" w:themeColor="text1"/>
                      <w:szCs w:val="21"/>
                      <w14:textFill>
                        <w14:solidFill>
                          <w14:schemeClr w14:val="tx1"/>
                        </w14:solidFill>
                      </w14:textFill>
                    </w:rPr>
                    <w:t>评价等级</w:t>
                  </w:r>
                </w:p>
              </w:tc>
              <w:tc>
                <w:tcPr>
                  <w:tcW w:w="1015" w:type="pc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声环境功能区</w:t>
                  </w:r>
                </w:p>
              </w:tc>
              <w:tc>
                <w:tcPr>
                  <w:tcW w:w="1665" w:type="pc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环境敏感目标</w:t>
                  </w:r>
                </w:p>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噪声级增量</w:t>
                  </w:r>
                </w:p>
              </w:tc>
              <w:tc>
                <w:tcPr>
                  <w:tcW w:w="726" w:type="pc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影响人口</w:t>
                  </w:r>
                </w:p>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数量变化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13" w:hRule="atLeast"/>
                <w:jc w:val="center"/>
              </w:trPr>
              <w:tc>
                <w:tcPr>
                  <w:tcW w:w="1114" w:type="pct"/>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评价等级判据</w:t>
                  </w:r>
                </w:p>
              </w:tc>
              <w:tc>
                <w:tcPr>
                  <w:tcW w:w="480" w:type="pct"/>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一级</w:t>
                  </w:r>
                </w:p>
              </w:tc>
              <w:tc>
                <w:tcPr>
                  <w:tcW w:w="1015" w:type="pct"/>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0类</w:t>
                  </w:r>
                </w:p>
              </w:tc>
              <w:tc>
                <w:tcPr>
                  <w:tcW w:w="1665" w:type="pct"/>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＞5dB（A）</w:t>
                  </w:r>
                </w:p>
              </w:tc>
              <w:tc>
                <w:tcPr>
                  <w:tcW w:w="726" w:type="pct"/>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显著增多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5" w:hRule="atLeast"/>
                <w:jc w:val="center"/>
              </w:trPr>
              <w:tc>
                <w:tcPr>
                  <w:tcW w:w="1114" w:type="pct"/>
                  <w:vMerge w:val="continue"/>
                  <w:vAlign w:val="center"/>
                </w:tcPr>
                <w:p>
                  <w:pPr>
                    <w:jc w:val="center"/>
                    <w:rPr>
                      <w:color w:val="000000" w:themeColor="text1"/>
                      <w:szCs w:val="21"/>
                      <w14:textFill>
                        <w14:solidFill>
                          <w14:schemeClr w14:val="tx1"/>
                        </w14:solidFill>
                      </w14:textFill>
                    </w:rPr>
                  </w:pPr>
                </w:p>
              </w:tc>
              <w:tc>
                <w:tcPr>
                  <w:tcW w:w="480" w:type="pct"/>
                  <w:shd w:val="clear" w:color="auto" w:fill="auto"/>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二级</w:t>
                  </w:r>
                </w:p>
              </w:tc>
              <w:tc>
                <w:tcPr>
                  <w:tcW w:w="1015" w:type="pct"/>
                  <w:shd w:val="clear" w:color="auto" w:fill="auto"/>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1类，2类</w:t>
                  </w:r>
                </w:p>
              </w:tc>
              <w:tc>
                <w:tcPr>
                  <w:tcW w:w="1665" w:type="pct"/>
                  <w:shd w:val="clear" w:color="auto" w:fill="auto"/>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≥3dB（A），≤5dB（A）</w:t>
                  </w:r>
                </w:p>
              </w:tc>
              <w:tc>
                <w:tcPr>
                  <w:tcW w:w="726" w:type="pct"/>
                  <w:shd w:val="clear" w:color="auto" w:fill="auto"/>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较多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1" w:hRule="atLeast"/>
                <w:jc w:val="center"/>
              </w:trPr>
              <w:tc>
                <w:tcPr>
                  <w:tcW w:w="1114" w:type="pct"/>
                  <w:vMerge w:val="continue"/>
                  <w:vAlign w:val="center"/>
                </w:tcPr>
                <w:p>
                  <w:pPr>
                    <w:jc w:val="center"/>
                    <w:rPr>
                      <w:color w:val="000000" w:themeColor="text1"/>
                      <w:szCs w:val="21"/>
                      <w14:textFill>
                        <w14:solidFill>
                          <w14:schemeClr w14:val="tx1"/>
                        </w14:solidFill>
                      </w14:textFill>
                    </w:rPr>
                  </w:pPr>
                </w:p>
              </w:tc>
              <w:tc>
                <w:tcPr>
                  <w:tcW w:w="480" w:type="pct"/>
                  <w:shd w:val="clear" w:color="auto" w:fill="auto"/>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三级</w:t>
                  </w:r>
                </w:p>
              </w:tc>
              <w:tc>
                <w:tcPr>
                  <w:tcW w:w="1015" w:type="pct"/>
                  <w:shd w:val="clear" w:color="auto" w:fill="auto"/>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3类，4类</w:t>
                  </w:r>
                </w:p>
              </w:tc>
              <w:tc>
                <w:tcPr>
                  <w:tcW w:w="1665" w:type="pct"/>
                  <w:shd w:val="clear" w:color="auto" w:fill="auto"/>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＜3dB（A）</w:t>
                  </w:r>
                </w:p>
              </w:tc>
              <w:tc>
                <w:tcPr>
                  <w:tcW w:w="726" w:type="pct"/>
                  <w:shd w:val="clear" w:color="auto" w:fill="auto"/>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不大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1" w:hRule="atLeast"/>
                <w:jc w:val="center"/>
              </w:trPr>
              <w:tc>
                <w:tcPr>
                  <w:tcW w:w="1594" w:type="pct"/>
                  <w:gridSpan w:val="2"/>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本项目</w:t>
                  </w:r>
                </w:p>
              </w:tc>
              <w:tc>
                <w:tcPr>
                  <w:tcW w:w="1015" w:type="pc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2类</w:t>
                  </w:r>
                </w:p>
              </w:tc>
              <w:tc>
                <w:tcPr>
                  <w:tcW w:w="1665" w:type="pc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＜3dB（A）</w:t>
                  </w:r>
                </w:p>
              </w:tc>
              <w:tc>
                <w:tcPr>
                  <w:tcW w:w="726" w:type="pc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不大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1" w:hRule="atLeast"/>
                <w:jc w:val="center"/>
              </w:trPr>
              <w:tc>
                <w:tcPr>
                  <w:tcW w:w="1594" w:type="pct"/>
                  <w:gridSpan w:val="2"/>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项目评价工作等级判定</w:t>
                  </w:r>
                </w:p>
              </w:tc>
              <w:tc>
                <w:tcPr>
                  <w:tcW w:w="3406" w:type="pct"/>
                  <w:gridSpan w:val="3"/>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二</w:t>
                  </w:r>
                  <w:r>
                    <w:rPr>
                      <w:bCs/>
                      <w:color w:val="000000" w:themeColor="text1"/>
                      <w:szCs w:val="21"/>
                      <w14:textFill>
                        <w14:solidFill>
                          <w14:schemeClr w14:val="tx1"/>
                        </w14:solidFill>
                      </w14:textFill>
                    </w:rPr>
                    <w:t>级</w:t>
                  </w:r>
                </w:p>
              </w:tc>
            </w:tr>
          </w:tbl>
          <w:p>
            <w:pPr>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w:t>
            </w:r>
            <w:r>
              <w:rPr>
                <w:color w:val="000000" w:themeColor="text1"/>
                <w:kern w:val="0"/>
                <w:sz w:val="24"/>
                <w14:textFill>
                  <w14:solidFill>
                    <w14:schemeClr w14:val="tx1"/>
                  </w14:solidFill>
                </w14:textFill>
              </w:rPr>
              <w:t>预测评价方案</w:t>
            </w:r>
            <w:bookmarkEnd w:id="8"/>
          </w:p>
          <w:p>
            <w:pPr>
              <w:spacing w:line="360" w:lineRule="auto"/>
              <w:ind w:firstLine="480" w:firstLineChars="200"/>
              <w:rPr>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w:t>
            </w:r>
            <w:r>
              <w:rPr>
                <w:rFonts w:hint="eastAsia"/>
                <w:color w:val="000000" w:themeColor="text1"/>
                <w:kern w:val="0"/>
                <w:sz w:val="24"/>
                <w14:textFill>
                  <w14:solidFill>
                    <w14:schemeClr w14:val="tx1"/>
                  </w14:solidFill>
                </w14:textFill>
              </w:rPr>
              <w:t>项目</w:t>
            </w:r>
            <w:r>
              <w:rPr>
                <w:color w:val="000000" w:themeColor="text1"/>
                <w:kern w:val="0"/>
                <w:sz w:val="24"/>
                <w14:textFill>
                  <w14:solidFill>
                    <w14:schemeClr w14:val="tx1"/>
                  </w14:solidFill>
                </w14:textFill>
              </w:rPr>
              <w:t>运行期噪声源稳定，且为持久性连续声源，预测方案将预测正常运行条件下，污水厂厂界昼、夜间噪声。</w:t>
            </w:r>
          </w:p>
          <w:p>
            <w:pPr>
              <w:spacing w:line="360" w:lineRule="auto"/>
              <w:ind w:firstLine="480" w:firstLineChars="200"/>
              <w:rPr>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②</w:t>
            </w:r>
            <w:r>
              <w:rPr>
                <w:color w:val="000000" w:themeColor="text1"/>
                <w:kern w:val="0"/>
                <w:sz w:val="24"/>
                <w14:textFill>
                  <w14:solidFill>
                    <w14:schemeClr w14:val="tx1"/>
                  </w14:solidFill>
                </w14:textFill>
              </w:rPr>
              <w:t>厂界四周各布置1个噪声预测点，共4个噪声预测点。</w:t>
            </w:r>
          </w:p>
          <w:p>
            <w:pPr>
              <w:spacing w:line="360" w:lineRule="auto"/>
              <w:ind w:firstLine="480" w:firstLineChars="200"/>
              <w:rPr>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③</w:t>
            </w:r>
            <w:r>
              <w:rPr>
                <w:color w:val="000000" w:themeColor="text1"/>
                <w:kern w:val="0"/>
                <w:sz w:val="24"/>
                <w14:textFill>
                  <w14:solidFill>
                    <w14:schemeClr w14:val="tx1"/>
                  </w14:solidFill>
                </w14:textFill>
              </w:rPr>
              <w:t>对厂界噪声贡献值进行评价。</w:t>
            </w:r>
          </w:p>
          <w:p>
            <w:pPr>
              <w:spacing w:line="360" w:lineRule="auto"/>
              <w:ind w:firstLine="480" w:firstLineChars="200"/>
              <w:rPr>
                <w:color w:val="000000" w:themeColor="text1"/>
                <w:kern w:val="0"/>
                <w:sz w:val="24"/>
                <w14:textFill>
                  <w14:solidFill>
                    <w14:schemeClr w14:val="tx1"/>
                  </w14:solidFill>
                </w14:textFill>
              </w:rPr>
            </w:pPr>
            <w:bookmarkStart w:id="9" w:name="_Toc341867181"/>
            <w:r>
              <w:rPr>
                <w:rFonts w:hint="eastAsia"/>
                <w:color w:val="000000" w:themeColor="text1"/>
                <w:kern w:val="0"/>
                <w:sz w:val="24"/>
                <w14:textFill>
                  <w14:solidFill>
                    <w14:schemeClr w14:val="tx1"/>
                  </w14:solidFill>
                </w14:textFill>
              </w:rPr>
              <w:t>（3）</w:t>
            </w:r>
            <w:r>
              <w:rPr>
                <w:color w:val="000000" w:themeColor="text1"/>
                <w:kern w:val="0"/>
                <w:sz w:val="24"/>
                <w14:textFill>
                  <w14:solidFill>
                    <w14:schemeClr w14:val="tx1"/>
                  </w14:solidFill>
                </w14:textFill>
              </w:rPr>
              <w:t>主要噪声源</w:t>
            </w:r>
            <w:bookmarkEnd w:id="9"/>
          </w:p>
          <w:p>
            <w:pPr>
              <w:widowControl/>
              <w:adjustRightInd w:val="0"/>
              <w:snapToGrid w:val="0"/>
              <w:spacing w:line="360" w:lineRule="auto"/>
              <w:ind w:firstLine="480" w:firstLineChars="200"/>
              <w:rPr>
                <w:b/>
                <w:kern w:val="0"/>
                <w:sz w:val="20"/>
                <w:szCs w:val="21"/>
              </w:rPr>
            </w:pPr>
            <w:bookmarkStart w:id="10" w:name="_Toc298429910"/>
            <w:bookmarkStart w:id="11" w:name="_Toc369167143"/>
            <w:bookmarkStart w:id="12" w:name="_Toc341867182"/>
            <w:r>
              <w:rPr>
                <w:rFonts w:hint="eastAsia"/>
                <w:kern w:val="0"/>
                <w:sz w:val="24"/>
              </w:rPr>
              <w:t>运营期的噪声主要为机械设备及环保运行设备噪声，噪声级在85-95dB（A）。主要产噪设备及其声级特征见下表：</w:t>
            </w:r>
          </w:p>
          <w:p>
            <w:pPr>
              <w:adjustRightInd w:val="0"/>
              <w:snapToGrid w:val="0"/>
              <w:jc w:val="center"/>
              <w:rPr>
                <w:b/>
                <w:kern w:val="0"/>
                <w:sz w:val="24"/>
              </w:rPr>
            </w:pPr>
            <w:r>
              <w:rPr>
                <w:b/>
                <w:kern w:val="0"/>
                <w:sz w:val="24"/>
              </w:rPr>
              <w:t>表7</w:t>
            </w:r>
            <w:r>
              <w:rPr>
                <w:rFonts w:hint="eastAsia"/>
                <w:b/>
                <w:kern w:val="0"/>
                <w:sz w:val="24"/>
              </w:rPr>
              <w:t>-</w:t>
            </w:r>
            <w:r>
              <w:rPr>
                <w:b/>
                <w:kern w:val="0"/>
                <w:sz w:val="24"/>
              </w:rPr>
              <w:t>18</w:t>
            </w:r>
            <w:r>
              <w:rPr>
                <w:rFonts w:hint="eastAsia"/>
                <w:b/>
                <w:kern w:val="0"/>
                <w:sz w:val="24"/>
              </w:rPr>
              <w:t xml:space="preserve"> </w:t>
            </w:r>
            <w:r>
              <w:rPr>
                <w:b/>
                <w:kern w:val="0"/>
                <w:sz w:val="24"/>
              </w:rPr>
              <w:t xml:space="preserve">  </w:t>
            </w:r>
            <w:r>
              <w:rPr>
                <w:rFonts w:hint="eastAsia"/>
                <w:b/>
                <w:kern w:val="0"/>
                <w:sz w:val="24"/>
              </w:rPr>
              <w:t>主要产噪设备及声级特性  单位：dB(A)</w:t>
            </w:r>
          </w:p>
          <w:tbl>
            <w:tblPr>
              <w:tblStyle w:val="5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563"/>
              <w:gridCol w:w="946"/>
              <w:gridCol w:w="795"/>
              <w:gridCol w:w="269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9" w:type="pct"/>
                  <w:tcBorders>
                    <w:tl2br w:val="nil"/>
                    <w:tr2bl w:val="nil"/>
                  </w:tcBorders>
                  <w:vAlign w:val="center"/>
                </w:tcPr>
                <w:p>
                  <w:pPr>
                    <w:widowControl/>
                    <w:adjustRightInd w:val="0"/>
                    <w:snapToGrid w:val="0"/>
                    <w:jc w:val="center"/>
                    <w:rPr>
                      <w:b/>
                      <w:kern w:val="0"/>
                      <w:sz w:val="20"/>
                      <w:szCs w:val="21"/>
                    </w:rPr>
                  </w:pPr>
                  <w:r>
                    <w:rPr>
                      <w:rFonts w:hint="eastAsia"/>
                      <w:b/>
                      <w:kern w:val="0"/>
                      <w:sz w:val="20"/>
                      <w:szCs w:val="21"/>
                    </w:rPr>
                    <w:t>序号</w:t>
                  </w:r>
                </w:p>
              </w:tc>
              <w:tc>
                <w:tcPr>
                  <w:tcW w:w="1415" w:type="pct"/>
                  <w:tcBorders>
                    <w:tl2br w:val="nil"/>
                    <w:tr2bl w:val="nil"/>
                  </w:tcBorders>
                  <w:vAlign w:val="center"/>
                </w:tcPr>
                <w:p>
                  <w:pPr>
                    <w:widowControl/>
                    <w:adjustRightInd w:val="0"/>
                    <w:snapToGrid w:val="0"/>
                    <w:jc w:val="center"/>
                    <w:rPr>
                      <w:b/>
                      <w:kern w:val="0"/>
                      <w:sz w:val="20"/>
                      <w:szCs w:val="21"/>
                    </w:rPr>
                  </w:pPr>
                  <w:r>
                    <w:rPr>
                      <w:rFonts w:hint="eastAsia"/>
                      <w:b/>
                      <w:kern w:val="0"/>
                      <w:sz w:val="20"/>
                      <w:szCs w:val="21"/>
                    </w:rPr>
                    <w:t>设备名称</w:t>
                  </w:r>
                </w:p>
              </w:tc>
              <w:tc>
                <w:tcPr>
                  <w:tcW w:w="522" w:type="pct"/>
                  <w:tcBorders>
                    <w:tl2br w:val="nil"/>
                    <w:tr2bl w:val="nil"/>
                  </w:tcBorders>
                  <w:vAlign w:val="center"/>
                </w:tcPr>
                <w:p>
                  <w:pPr>
                    <w:widowControl/>
                    <w:adjustRightInd w:val="0"/>
                    <w:snapToGrid w:val="0"/>
                    <w:jc w:val="center"/>
                    <w:rPr>
                      <w:b/>
                      <w:kern w:val="0"/>
                      <w:sz w:val="20"/>
                      <w:szCs w:val="21"/>
                    </w:rPr>
                  </w:pPr>
                  <w:r>
                    <w:rPr>
                      <w:rFonts w:hint="eastAsia"/>
                      <w:b/>
                      <w:kern w:val="0"/>
                      <w:sz w:val="20"/>
                      <w:szCs w:val="21"/>
                    </w:rPr>
                    <w:t>数量（台）</w:t>
                  </w:r>
                </w:p>
              </w:tc>
              <w:tc>
                <w:tcPr>
                  <w:tcW w:w="439" w:type="pct"/>
                  <w:tcBorders>
                    <w:tl2br w:val="nil"/>
                    <w:tr2bl w:val="nil"/>
                  </w:tcBorders>
                  <w:vAlign w:val="center"/>
                </w:tcPr>
                <w:p>
                  <w:pPr>
                    <w:widowControl/>
                    <w:adjustRightInd w:val="0"/>
                    <w:snapToGrid w:val="0"/>
                    <w:jc w:val="center"/>
                    <w:rPr>
                      <w:b/>
                      <w:kern w:val="0"/>
                      <w:sz w:val="20"/>
                      <w:szCs w:val="21"/>
                    </w:rPr>
                  </w:pPr>
                  <w:r>
                    <w:rPr>
                      <w:rFonts w:hint="eastAsia"/>
                      <w:b/>
                      <w:kern w:val="0"/>
                      <w:sz w:val="20"/>
                      <w:szCs w:val="21"/>
                    </w:rPr>
                    <w:t>声级</w:t>
                  </w:r>
                </w:p>
              </w:tc>
              <w:tc>
                <w:tcPr>
                  <w:tcW w:w="1486" w:type="pct"/>
                  <w:tcBorders>
                    <w:tl2br w:val="nil"/>
                    <w:tr2bl w:val="nil"/>
                  </w:tcBorders>
                  <w:vAlign w:val="center"/>
                </w:tcPr>
                <w:p>
                  <w:pPr>
                    <w:widowControl/>
                    <w:adjustRightInd w:val="0"/>
                    <w:snapToGrid w:val="0"/>
                    <w:jc w:val="center"/>
                    <w:rPr>
                      <w:b/>
                      <w:kern w:val="0"/>
                      <w:sz w:val="20"/>
                      <w:szCs w:val="21"/>
                    </w:rPr>
                  </w:pPr>
                  <w:r>
                    <w:rPr>
                      <w:rFonts w:hint="eastAsia"/>
                      <w:b/>
                      <w:kern w:val="0"/>
                      <w:sz w:val="20"/>
                      <w:szCs w:val="21"/>
                    </w:rPr>
                    <w:t>处理措施要求</w:t>
                  </w:r>
                </w:p>
              </w:tc>
              <w:tc>
                <w:tcPr>
                  <w:tcW w:w="710" w:type="pct"/>
                  <w:tcBorders>
                    <w:tl2br w:val="nil"/>
                    <w:tr2bl w:val="nil"/>
                  </w:tcBorders>
                  <w:vAlign w:val="center"/>
                </w:tcPr>
                <w:p>
                  <w:pPr>
                    <w:widowControl/>
                    <w:adjustRightInd w:val="0"/>
                    <w:snapToGrid w:val="0"/>
                    <w:jc w:val="center"/>
                    <w:rPr>
                      <w:b/>
                      <w:kern w:val="0"/>
                      <w:sz w:val="20"/>
                      <w:szCs w:val="21"/>
                    </w:rPr>
                  </w:pPr>
                  <w:r>
                    <w:rPr>
                      <w:rFonts w:hint="eastAsia"/>
                      <w:b/>
                      <w:kern w:val="0"/>
                      <w:sz w:val="20"/>
                      <w:szCs w:val="21"/>
                    </w:rPr>
                    <w:t>处理后</w:t>
                  </w:r>
                </w:p>
                <w:p>
                  <w:pPr>
                    <w:widowControl/>
                    <w:adjustRightInd w:val="0"/>
                    <w:snapToGrid w:val="0"/>
                    <w:jc w:val="center"/>
                    <w:rPr>
                      <w:b/>
                      <w:kern w:val="0"/>
                      <w:sz w:val="20"/>
                      <w:szCs w:val="21"/>
                    </w:rPr>
                  </w:pPr>
                  <w:r>
                    <w:rPr>
                      <w:rFonts w:hint="eastAsia"/>
                      <w:b/>
                      <w:kern w:val="0"/>
                      <w:sz w:val="20"/>
                      <w:szCs w:val="21"/>
                    </w:rPr>
                    <w:t>声级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9" w:type="pct"/>
                  <w:tcBorders>
                    <w:tl2br w:val="nil"/>
                    <w:tr2bl w:val="nil"/>
                  </w:tcBorders>
                  <w:vAlign w:val="center"/>
                </w:tcPr>
                <w:p>
                  <w:pPr>
                    <w:adjustRightInd w:val="0"/>
                    <w:snapToGrid w:val="0"/>
                    <w:jc w:val="center"/>
                    <w:rPr>
                      <w:kern w:val="0"/>
                      <w:sz w:val="20"/>
                      <w:szCs w:val="21"/>
                    </w:rPr>
                  </w:pPr>
                  <w:r>
                    <w:rPr>
                      <w:kern w:val="0"/>
                      <w:sz w:val="20"/>
                      <w:szCs w:val="21"/>
                    </w:rPr>
                    <w:t>1</w:t>
                  </w:r>
                </w:p>
              </w:tc>
              <w:tc>
                <w:tcPr>
                  <w:tcW w:w="1415" w:type="pct"/>
                  <w:tcBorders>
                    <w:tl2br w:val="nil"/>
                    <w:tr2bl w:val="nil"/>
                  </w:tcBorders>
                  <w:vAlign w:val="center"/>
                </w:tcPr>
                <w:p>
                  <w:pPr>
                    <w:widowControl/>
                    <w:jc w:val="center"/>
                    <w:textAlignment w:val="center"/>
                    <w:rPr>
                      <w:kern w:val="0"/>
                      <w:sz w:val="20"/>
                      <w:szCs w:val="21"/>
                    </w:rPr>
                  </w:pPr>
                  <w:r>
                    <w:rPr>
                      <w:rFonts w:hint="eastAsia"/>
                      <w:kern w:val="0"/>
                      <w:sz w:val="20"/>
                      <w:szCs w:val="21"/>
                    </w:rPr>
                    <w:t>EPS聚苯板成型机</w:t>
                  </w:r>
                </w:p>
              </w:tc>
              <w:tc>
                <w:tcPr>
                  <w:tcW w:w="522" w:type="pct"/>
                  <w:tcBorders>
                    <w:tl2br w:val="nil"/>
                    <w:tr2bl w:val="nil"/>
                  </w:tcBorders>
                  <w:vAlign w:val="center"/>
                </w:tcPr>
                <w:p>
                  <w:pPr>
                    <w:widowControl/>
                    <w:jc w:val="center"/>
                    <w:textAlignment w:val="center"/>
                    <w:rPr>
                      <w:rFonts w:ascii="宋体" w:hAnsi="宋体" w:cs="宋体"/>
                      <w:kern w:val="0"/>
                      <w:sz w:val="20"/>
                      <w:szCs w:val="21"/>
                    </w:rPr>
                  </w:pPr>
                  <w:r>
                    <w:rPr>
                      <w:rFonts w:hint="eastAsia"/>
                      <w:kern w:val="0"/>
                      <w:sz w:val="20"/>
                      <w:szCs w:val="21"/>
                    </w:rPr>
                    <w:t>2</w:t>
                  </w:r>
                </w:p>
              </w:tc>
              <w:tc>
                <w:tcPr>
                  <w:tcW w:w="439" w:type="pct"/>
                  <w:tcBorders>
                    <w:tl2br w:val="nil"/>
                    <w:tr2bl w:val="nil"/>
                  </w:tcBorders>
                  <w:vAlign w:val="center"/>
                </w:tcPr>
                <w:p>
                  <w:pPr>
                    <w:jc w:val="center"/>
                    <w:rPr>
                      <w:kern w:val="0"/>
                      <w:sz w:val="20"/>
                      <w:szCs w:val="21"/>
                    </w:rPr>
                  </w:pPr>
                  <w:r>
                    <w:rPr>
                      <w:rFonts w:hint="eastAsia"/>
                      <w:kern w:val="0"/>
                      <w:sz w:val="20"/>
                      <w:szCs w:val="21"/>
                    </w:rPr>
                    <w:t>75</w:t>
                  </w:r>
                </w:p>
              </w:tc>
              <w:tc>
                <w:tcPr>
                  <w:tcW w:w="1486" w:type="pct"/>
                  <w:vMerge w:val="restart"/>
                  <w:tcBorders>
                    <w:tl2br w:val="nil"/>
                    <w:tr2bl w:val="nil"/>
                  </w:tcBorders>
                  <w:vAlign w:val="center"/>
                </w:tcPr>
                <w:p>
                  <w:pPr>
                    <w:adjustRightInd w:val="0"/>
                    <w:snapToGrid w:val="0"/>
                    <w:jc w:val="center"/>
                    <w:rPr>
                      <w:kern w:val="0"/>
                      <w:sz w:val="20"/>
                      <w:szCs w:val="21"/>
                    </w:rPr>
                  </w:pPr>
                  <w:r>
                    <w:rPr>
                      <w:kern w:val="0"/>
                      <w:sz w:val="20"/>
                      <w:szCs w:val="21"/>
                    </w:rPr>
                    <w:t>选用低噪声设备、减震基础、厂房内放置</w:t>
                  </w:r>
                </w:p>
              </w:tc>
              <w:tc>
                <w:tcPr>
                  <w:tcW w:w="710" w:type="pct"/>
                  <w:tcBorders>
                    <w:tl2br w:val="nil"/>
                    <w:tr2bl w:val="nil"/>
                  </w:tcBorders>
                  <w:vAlign w:val="center"/>
                </w:tcPr>
                <w:p>
                  <w:pPr>
                    <w:adjustRightInd w:val="0"/>
                    <w:snapToGrid w:val="0"/>
                    <w:jc w:val="center"/>
                    <w:rPr>
                      <w:kern w:val="0"/>
                      <w:sz w:val="20"/>
                      <w:szCs w:val="21"/>
                    </w:rPr>
                  </w:pPr>
                  <w:r>
                    <w:rPr>
                      <w:kern w:val="0"/>
                      <w:sz w:val="20"/>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9" w:type="pct"/>
                  <w:tcBorders>
                    <w:tl2br w:val="nil"/>
                    <w:tr2bl w:val="nil"/>
                  </w:tcBorders>
                  <w:vAlign w:val="center"/>
                </w:tcPr>
                <w:p>
                  <w:pPr>
                    <w:adjustRightInd w:val="0"/>
                    <w:snapToGrid w:val="0"/>
                    <w:jc w:val="center"/>
                    <w:rPr>
                      <w:kern w:val="0"/>
                      <w:sz w:val="20"/>
                      <w:szCs w:val="21"/>
                    </w:rPr>
                  </w:pPr>
                  <w:r>
                    <w:rPr>
                      <w:rFonts w:hint="eastAsia"/>
                      <w:kern w:val="0"/>
                      <w:sz w:val="20"/>
                      <w:szCs w:val="21"/>
                    </w:rPr>
                    <w:t>2</w:t>
                  </w:r>
                </w:p>
              </w:tc>
              <w:tc>
                <w:tcPr>
                  <w:tcW w:w="1415" w:type="pct"/>
                  <w:tcBorders>
                    <w:tl2br w:val="nil"/>
                    <w:tr2bl w:val="nil"/>
                  </w:tcBorders>
                  <w:vAlign w:val="center"/>
                </w:tcPr>
                <w:p>
                  <w:pPr>
                    <w:widowControl/>
                    <w:jc w:val="center"/>
                    <w:textAlignment w:val="center"/>
                    <w:rPr>
                      <w:kern w:val="0"/>
                      <w:sz w:val="20"/>
                      <w:szCs w:val="21"/>
                    </w:rPr>
                  </w:pPr>
                  <w:r>
                    <w:rPr>
                      <w:rFonts w:hint="eastAsia"/>
                      <w:kern w:val="0"/>
                      <w:sz w:val="20"/>
                      <w:szCs w:val="21"/>
                    </w:rPr>
                    <w:t>EPS预发泡机</w:t>
                  </w:r>
                </w:p>
              </w:tc>
              <w:tc>
                <w:tcPr>
                  <w:tcW w:w="522" w:type="pct"/>
                  <w:tcBorders>
                    <w:tl2br w:val="nil"/>
                    <w:tr2bl w:val="nil"/>
                  </w:tcBorders>
                  <w:vAlign w:val="center"/>
                </w:tcPr>
                <w:p>
                  <w:pPr>
                    <w:widowControl/>
                    <w:jc w:val="center"/>
                    <w:textAlignment w:val="center"/>
                    <w:rPr>
                      <w:rFonts w:ascii="宋体" w:hAnsi="宋体" w:cs="宋体"/>
                      <w:kern w:val="0"/>
                      <w:sz w:val="20"/>
                      <w:szCs w:val="21"/>
                    </w:rPr>
                  </w:pPr>
                  <w:r>
                    <w:rPr>
                      <w:rFonts w:hint="eastAsia"/>
                      <w:snapToGrid w:val="0"/>
                      <w:kern w:val="0"/>
                      <w:sz w:val="20"/>
                      <w:szCs w:val="21"/>
                    </w:rPr>
                    <w:t>2</w:t>
                  </w:r>
                </w:p>
              </w:tc>
              <w:tc>
                <w:tcPr>
                  <w:tcW w:w="439" w:type="pct"/>
                  <w:tcBorders>
                    <w:tl2br w:val="nil"/>
                    <w:tr2bl w:val="nil"/>
                  </w:tcBorders>
                  <w:vAlign w:val="center"/>
                </w:tcPr>
                <w:p>
                  <w:pPr>
                    <w:jc w:val="center"/>
                    <w:rPr>
                      <w:kern w:val="0"/>
                      <w:sz w:val="20"/>
                      <w:szCs w:val="21"/>
                    </w:rPr>
                  </w:pPr>
                  <w:r>
                    <w:rPr>
                      <w:rFonts w:hint="eastAsia"/>
                      <w:kern w:val="0"/>
                      <w:sz w:val="20"/>
                      <w:szCs w:val="21"/>
                    </w:rPr>
                    <w:t>80</w:t>
                  </w:r>
                </w:p>
              </w:tc>
              <w:tc>
                <w:tcPr>
                  <w:tcW w:w="1486" w:type="pct"/>
                  <w:vMerge w:val="continue"/>
                  <w:tcBorders>
                    <w:tl2br w:val="nil"/>
                    <w:tr2bl w:val="nil"/>
                  </w:tcBorders>
                  <w:vAlign w:val="center"/>
                </w:tcPr>
                <w:p>
                  <w:pPr>
                    <w:adjustRightInd w:val="0"/>
                    <w:snapToGrid w:val="0"/>
                    <w:jc w:val="center"/>
                    <w:rPr>
                      <w:kern w:val="0"/>
                      <w:sz w:val="20"/>
                      <w:szCs w:val="21"/>
                    </w:rPr>
                  </w:pPr>
                </w:p>
              </w:tc>
              <w:tc>
                <w:tcPr>
                  <w:tcW w:w="710" w:type="pct"/>
                  <w:tcBorders>
                    <w:tl2br w:val="nil"/>
                    <w:tr2bl w:val="nil"/>
                  </w:tcBorders>
                  <w:vAlign w:val="center"/>
                </w:tcPr>
                <w:p>
                  <w:pPr>
                    <w:adjustRightInd w:val="0"/>
                    <w:snapToGrid w:val="0"/>
                    <w:jc w:val="center"/>
                    <w:rPr>
                      <w:kern w:val="0"/>
                      <w:sz w:val="20"/>
                      <w:szCs w:val="21"/>
                    </w:rPr>
                  </w:pPr>
                  <w:r>
                    <w:rPr>
                      <w:rFonts w:hint="eastAsia"/>
                      <w:kern w:val="0"/>
                      <w:sz w:val="20"/>
                      <w:szCs w:val="21"/>
                    </w:rPr>
                    <w:t>6</w:t>
                  </w:r>
                  <w:r>
                    <w:rPr>
                      <w:kern w:val="0"/>
                      <w:sz w:val="2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9" w:type="pct"/>
                  <w:tcBorders>
                    <w:tl2br w:val="nil"/>
                    <w:tr2bl w:val="nil"/>
                  </w:tcBorders>
                  <w:vAlign w:val="center"/>
                </w:tcPr>
                <w:p>
                  <w:pPr>
                    <w:adjustRightInd w:val="0"/>
                    <w:snapToGrid w:val="0"/>
                    <w:jc w:val="center"/>
                    <w:rPr>
                      <w:bCs/>
                      <w:kern w:val="0"/>
                      <w:sz w:val="20"/>
                      <w:szCs w:val="21"/>
                    </w:rPr>
                  </w:pPr>
                  <w:r>
                    <w:rPr>
                      <w:rFonts w:hint="eastAsia"/>
                      <w:kern w:val="0"/>
                      <w:sz w:val="20"/>
                      <w:szCs w:val="21"/>
                    </w:rPr>
                    <w:t>3</w:t>
                  </w:r>
                </w:p>
              </w:tc>
              <w:tc>
                <w:tcPr>
                  <w:tcW w:w="1415" w:type="pct"/>
                  <w:tcBorders>
                    <w:tl2br w:val="nil"/>
                    <w:tr2bl w:val="nil"/>
                  </w:tcBorders>
                  <w:vAlign w:val="center"/>
                </w:tcPr>
                <w:p>
                  <w:pPr>
                    <w:widowControl/>
                    <w:jc w:val="center"/>
                    <w:textAlignment w:val="center"/>
                    <w:rPr>
                      <w:bCs/>
                      <w:kern w:val="0"/>
                      <w:sz w:val="20"/>
                      <w:szCs w:val="21"/>
                    </w:rPr>
                  </w:pPr>
                  <w:r>
                    <w:rPr>
                      <w:rFonts w:hint="eastAsia"/>
                      <w:kern w:val="0"/>
                      <w:sz w:val="20"/>
                      <w:szCs w:val="21"/>
                    </w:rPr>
                    <w:t>EPS切割（线）机</w:t>
                  </w:r>
                </w:p>
              </w:tc>
              <w:tc>
                <w:tcPr>
                  <w:tcW w:w="522" w:type="pct"/>
                  <w:tcBorders>
                    <w:tl2br w:val="nil"/>
                    <w:tr2bl w:val="nil"/>
                  </w:tcBorders>
                  <w:vAlign w:val="center"/>
                </w:tcPr>
                <w:p>
                  <w:pPr>
                    <w:widowControl/>
                    <w:jc w:val="center"/>
                    <w:textAlignment w:val="center"/>
                    <w:rPr>
                      <w:rFonts w:ascii="宋体" w:hAnsi="宋体" w:cs="宋体"/>
                      <w:kern w:val="0"/>
                      <w:sz w:val="20"/>
                      <w:szCs w:val="21"/>
                    </w:rPr>
                  </w:pPr>
                  <w:r>
                    <w:rPr>
                      <w:kern w:val="0"/>
                      <w:sz w:val="20"/>
                      <w:szCs w:val="21"/>
                      <w:lang w:bidi="ar"/>
                    </w:rPr>
                    <w:t>4</w:t>
                  </w:r>
                </w:p>
              </w:tc>
              <w:tc>
                <w:tcPr>
                  <w:tcW w:w="439" w:type="pct"/>
                  <w:tcBorders>
                    <w:tl2br w:val="nil"/>
                    <w:tr2bl w:val="nil"/>
                  </w:tcBorders>
                  <w:vAlign w:val="center"/>
                </w:tcPr>
                <w:p>
                  <w:pPr>
                    <w:jc w:val="center"/>
                    <w:rPr>
                      <w:kern w:val="0"/>
                      <w:sz w:val="20"/>
                      <w:szCs w:val="21"/>
                    </w:rPr>
                  </w:pPr>
                  <w:r>
                    <w:rPr>
                      <w:rFonts w:hint="eastAsia"/>
                      <w:kern w:val="0"/>
                      <w:sz w:val="20"/>
                      <w:szCs w:val="21"/>
                    </w:rPr>
                    <w:t>80</w:t>
                  </w:r>
                </w:p>
              </w:tc>
              <w:tc>
                <w:tcPr>
                  <w:tcW w:w="1486" w:type="pct"/>
                  <w:vMerge w:val="continue"/>
                  <w:tcBorders>
                    <w:tl2br w:val="nil"/>
                    <w:tr2bl w:val="nil"/>
                  </w:tcBorders>
                  <w:vAlign w:val="center"/>
                </w:tcPr>
                <w:p>
                  <w:pPr>
                    <w:widowControl/>
                    <w:adjustRightInd w:val="0"/>
                    <w:snapToGrid w:val="0"/>
                    <w:jc w:val="center"/>
                    <w:rPr>
                      <w:bCs/>
                      <w:kern w:val="0"/>
                      <w:sz w:val="20"/>
                      <w:szCs w:val="21"/>
                    </w:rPr>
                  </w:pPr>
                </w:p>
              </w:tc>
              <w:tc>
                <w:tcPr>
                  <w:tcW w:w="710" w:type="pct"/>
                  <w:tcBorders>
                    <w:tl2br w:val="nil"/>
                    <w:tr2bl w:val="nil"/>
                  </w:tcBorders>
                  <w:vAlign w:val="center"/>
                </w:tcPr>
                <w:p>
                  <w:pPr>
                    <w:widowControl/>
                    <w:adjustRightInd w:val="0"/>
                    <w:snapToGrid w:val="0"/>
                    <w:jc w:val="center"/>
                    <w:rPr>
                      <w:bCs/>
                      <w:kern w:val="0"/>
                      <w:sz w:val="20"/>
                      <w:szCs w:val="21"/>
                    </w:rPr>
                  </w:pPr>
                  <w:r>
                    <w:rPr>
                      <w:rFonts w:hint="eastAsia"/>
                      <w:bCs/>
                      <w:kern w:val="0"/>
                      <w:sz w:val="20"/>
                      <w:szCs w:val="21"/>
                    </w:rPr>
                    <w:t>6</w:t>
                  </w:r>
                  <w:r>
                    <w:rPr>
                      <w:bCs/>
                      <w:kern w:val="0"/>
                      <w:sz w:val="2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9" w:type="pct"/>
                  <w:tcBorders>
                    <w:tl2br w:val="nil"/>
                    <w:tr2bl w:val="nil"/>
                  </w:tcBorders>
                  <w:vAlign w:val="center"/>
                </w:tcPr>
                <w:p>
                  <w:pPr>
                    <w:adjustRightInd w:val="0"/>
                    <w:snapToGrid w:val="0"/>
                    <w:jc w:val="center"/>
                    <w:rPr>
                      <w:bCs/>
                      <w:kern w:val="0"/>
                      <w:sz w:val="20"/>
                      <w:szCs w:val="21"/>
                    </w:rPr>
                  </w:pPr>
                  <w:r>
                    <w:rPr>
                      <w:rFonts w:hint="eastAsia"/>
                      <w:kern w:val="0"/>
                      <w:sz w:val="20"/>
                      <w:szCs w:val="21"/>
                    </w:rPr>
                    <w:t>4</w:t>
                  </w:r>
                </w:p>
              </w:tc>
              <w:tc>
                <w:tcPr>
                  <w:tcW w:w="1415" w:type="pct"/>
                  <w:tcBorders>
                    <w:tl2br w:val="nil"/>
                    <w:tr2bl w:val="nil"/>
                  </w:tcBorders>
                  <w:vAlign w:val="center"/>
                </w:tcPr>
                <w:p>
                  <w:pPr>
                    <w:widowControl/>
                    <w:jc w:val="center"/>
                    <w:textAlignment w:val="center"/>
                    <w:rPr>
                      <w:kern w:val="0"/>
                      <w:sz w:val="20"/>
                      <w:szCs w:val="21"/>
                    </w:rPr>
                  </w:pPr>
                  <w:r>
                    <w:rPr>
                      <w:rFonts w:hint="eastAsia"/>
                      <w:kern w:val="0"/>
                      <w:sz w:val="20"/>
                      <w:szCs w:val="21"/>
                    </w:rPr>
                    <w:t>破碎机</w:t>
                  </w:r>
                </w:p>
              </w:tc>
              <w:tc>
                <w:tcPr>
                  <w:tcW w:w="522" w:type="pct"/>
                  <w:tcBorders>
                    <w:tl2br w:val="nil"/>
                    <w:tr2bl w:val="nil"/>
                  </w:tcBorders>
                  <w:vAlign w:val="center"/>
                </w:tcPr>
                <w:p>
                  <w:pPr>
                    <w:widowControl/>
                    <w:jc w:val="center"/>
                    <w:textAlignment w:val="center"/>
                    <w:rPr>
                      <w:rFonts w:ascii="宋体" w:hAnsi="宋体" w:cs="宋体"/>
                      <w:kern w:val="0"/>
                      <w:sz w:val="20"/>
                      <w:szCs w:val="21"/>
                    </w:rPr>
                  </w:pPr>
                  <w:r>
                    <w:rPr>
                      <w:rFonts w:hint="eastAsia"/>
                      <w:snapToGrid w:val="0"/>
                      <w:kern w:val="0"/>
                      <w:sz w:val="20"/>
                      <w:szCs w:val="21"/>
                    </w:rPr>
                    <w:t>1</w:t>
                  </w:r>
                </w:p>
              </w:tc>
              <w:tc>
                <w:tcPr>
                  <w:tcW w:w="439" w:type="pct"/>
                  <w:tcBorders>
                    <w:tl2br w:val="nil"/>
                    <w:tr2bl w:val="nil"/>
                  </w:tcBorders>
                  <w:vAlign w:val="center"/>
                </w:tcPr>
                <w:p>
                  <w:pPr>
                    <w:jc w:val="center"/>
                    <w:rPr>
                      <w:kern w:val="0"/>
                      <w:sz w:val="20"/>
                      <w:szCs w:val="21"/>
                    </w:rPr>
                  </w:pPr>
                  <w:r>
                    <w:rPr>
                      <w:rFonts w:hint="eastAsia"/>
                      <w:kern w:val="0"/>
                      <w:sz w:val="20"/>
                      <w:szCs w:val="21"/>
                    </w:rPr>
                    <w:t>85</w:t>
                  </w:r>
                </w:p>
              </w:tc>
              <w:tc>
                <w:tcPr>
                  <w:tcW w:w="1486" w:type="pct"/>
                  <w:vMerge w:val="continue"/>
                  <w:tcBorders>
                    <w:tl2br w:val="nil"/>
                    <w:tr2bl w:val="nil"/>
                  </w:tcBorders>
                  <w:vAlign w:val="center"/>
                </w:tcPr>
                <w:p>
                  <w:pPr>
                    <w:adjustRightInd w:val="0"/>
                    <w:snapToGrid w:val="0"/>
                    <w:jc w:val="center"/>
                    <w:rPr>
                      <w:kern w:val="0"/>
                      <w:sz w:val="20"/>
                      <w:szCs w:val="21"/>
                    </w:rPr>
                  </w:pPr>
                </w:p>
              </w:tc>
              <w:tc>
                <w:tcPr>
                  <w:tcW w:w="710" w:type="pct"/>
                  <w:tcBorders>
                    <w:tl2br w:val="nil"/>
                    <w:tr2bl w:val="nil"/>
                  </w:tcBorders>
                  <w:vAlign w:val="center"/>
                </w:tcPr>
                <w:p>
                  <w:pPr>
                    <w:widowControl/>
                    <w:adjustRightInd w:val="0"/>
                    <w:snapToGrid w:val="0"/>
                    <w:jc w:val="center"/>
                    <w:rPr>
                      <w:kern w:val="0"/>
                      <w:sz w:val="20"/>
                      <w:szCs w:val="21"/>
                    </w:rPr>
                  </w:pPr>
                  <w:r>
                    <w:rPr>
                      <w:kern w:val="0"/>
                      <w:sz w:val="20"/>
                      <w:szCs w:val="21"/>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9" w:type="pct"/>
                  <w:tcBorders>
                    <w:tl2br w:val="nil"/>
                    <w:tr2bl w:val="nil"/>
                  </w:tcBorders>
                  <w:vAlign w:val="center"/>
                </w:tcPr>
                <w:p>
                  <w:pPr>
                    <w:adjustRightInd w:val="0"/>
                    <w:snapToGrid w:val="0"/>
                    <w:jc w:val="center"/>
                    <w:rPr>
                      <w:bCs/>
                      <w:kern w:val="0"/>
                      <w:sz w:val="20"/>
                      <w:szCs w:val="21"/>
                    </w:rPr>
                  </w:pPr>
                  <w:r>
                    <w:rPr>
                      <w:rFonts w:hint="eastAsia"/>
                      <w:kern w:val="0"/>
                      <w:sz w:val="20"/>
                      <w:szCs w:val="21"/>
                    </w:rPr>
                    <w:t>5</w:t>
                  </w:r>
                </w:p>
              </w:tc>
              <w:tc>
                <w:tcPr>
                  <w:tcW w:w="1415" w:type="pct"/>
                  <w:tcBorders>
                    <w:tl2br w:val="nil"/>
                    <w:tr2bl w:val="nil"/>
                  </w:tcBorders>
                  <w:vAlign w:val="center"/>
                </w:tcPr>
                <w:p>
                  <w:pPr>
                    <w:widowControl/>
                    <w:jc w:val="center"/>
                    <w:textAlignment w:val="center"/>
                    <w:rPr>
                      <w:kern w:val="0"/>
                      <w:sz w:val="20"/>
                      <w:szCs w:val="21"/>
                    </w:rPr>
                  </w:pPr>
                  <w:r>
                    <w:rPr>
                      <w:rFonts w:hint="eastAsia"/>
                      <w:kern w:val="0"/>
                      <w:sz w:val="20"/>
                      <w:szCs w:val="21"/>
                    </w:rPr>
                    <w:t>混料机</w:t>
                  </w:r>
                </w:p>
              </w:tc>
              <w:tc>
                <w:tcPr>
                  <w:tcW w:w="522" w:type="pct"/>
                  <w:tcBorders>
                    <w:tl2br w:val="nil"/>
                    <w:tr2bl w:val="nil"/>
                  </w:tcBorders>
                  <w:vAlign w:val="center"/>
                </w:tcPr>
                <w:p>
                  <w:pPr>
                    <w:widowControl/>
                    <w:jc w:val="center"/>
                    <w:textAlignment w:val="center"/>
                    <w:rPr>
                      <w:rFonts w:ascii="宋体" w:hAnsi="宋体" w:cs="宋体"/>
                      <w:kern w:val="0"/>
                      <w:sz w:val="20"/>
                      <w:szCs w:val="21"/>
                    </w:rPr>
                  </w:pPr>
                  <w:r>
                    <w:rPr>
                      <w:rFonts w:hint="eastAsia" w:ascii="宋体" w:hAnsi="宋体" w:cs="宋体"/>
                      <w:kern w:val="0"/>
                      <w:sz w:val="20"/>
                      <w:szCs w:val="21"/>
                      <w:lang w:bidi="ar"/>
                    </w:rPr>
                    <w:t>2</w:t>
                  </w:r>
                </w:p>
              </w:tc>
              <w:tc>
                <w:tcPr>
                  <w:tcW w:w="439" w:type="pct"/>
                  <w:tcBorders>
                    <w:tl2br w:val="nil"/>
                    <w:tr2bl w:val="nil"/>
                  </w:tcBorders>
                  <w:vAlign w:val="center"/>
                </w:tcPr>
                <w:p>
                  <w:pPr>
                    <w:jc w:val="center"/>
                    <w:rPr>
                      <w:kern w:val="0"/>
                      <w:sz w:val="20"/>
                      <w:szCs w:val="21"/>
                    </w:rPr>
                  </w:pPr>
                  <w:r>
                    <w:rPr>
                      <w:rFonts w:hint="eastAsia"/>
                      <w:kern w:val="0"/>
                      <w:sz w:val="20"/>
                      <w:szCs w:val="21"/>
                    </w:rPr>
                    <w:t>70</w:t>
                  </w:r>
                </w:p>
              </w:tc>
              <w:tc>
                <w:tcPr>
                  <w:tcW w:w="1486" w:type="pct"/>
                  <w:vMerge w:val="continue"/>
                  <w:tcBorders>
                    <w:tl2br w:val="nil"/>
                    <w:tr2bl w:val="nil"/>
                  </w:tcBorders>
                  <w:vAlign w:val="center"/>
                </w:tcPr>
                <w:p>
                  <w:pPr>
                    <w:adjustRightInd w:val="0"/>
                    <w:snapToGrid w:val="0"/>
                    <w:jc w:val="center"/>
                    <w:rPr>
                      <w:kern w:val="0"/>
                      <w:sz w:val="20"/>
                      <w:szCs w:val="21"/>
                    </w:rPr>
                  </w:pPr>
                </w:p>
              </w:tc>
              <w:tc>
                <w:tcPr>
                  <w:tcW w:w="710" w:type="pct"/>
                  <w:tcBorders>
                    <w:tl2br w:val="nil"/>
                    <w:tr2bl w:val="nil"/>
                  </w:tcBorders>
                  <w:vAlign w:val="center"/>
                </w:tcPr>
                <w:p>
                  <w:pPr>
                    <w:widowControl/>
                    <w:adjustRightInd w:val="0"/>
                    <w:snapToGrid w:val="0"/>
                    <w:jc w:val="center"/>
                    <w:rPr>
                      <w:kern w:val="0"/>
                      <w:sz w:val="20"/>
                      <w:szCs w:val="21"/>
                    </w:rPr>
                  </w:pPr>
                  <w:r>
                    <w:rPr>
                      <w:rFonts w:hint="eastAsia"/>
                      <w:kern w:val="0"/>
                      <w:sz w:val="20"/>
                      <w:szCs w:val="21"/>
                    </w:rPr>
                    <w:t>5</w:t>
                  </w:r>
                  <w:r>
                    <w:rPr>
                      <w:kern w:val="0"/>
                      <w:sz w:val="2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9" w:type="pct"/>
                  <w:tcBorders>
                    <w:tl2br w:val="nil"/>
                    <w:tr2bl w:val="nil"/>
                  </w:tcBorders>
                  <w:vAlign w:val="center"/>
                </w:tcPr>
                <w:p>
                  <w:pPr>
                    <w:adjustRightInd w:val="0"/>
                    <w:snapToGrid w:val="0"/>
                    <w:jc w:val="center"/>
                    <w:rPr>
                      <w:kern w:val="0"/>
                      <w:sz w:val="20"/>
                      <w:szCs w:val="21"/>
                    </w:rPr>
                  </w:pPr>
                  <w:r>
                    <w:rPr>
                      <w:rFonts w:hint="eastAsia"/>
                      <w:kern w:val="0"/>
                      <w:sz w:val="20"/>
                      <w:szCs w:val="21"/>
                    </w:rPr>
                    <w:t>6</w:t>
                  </w:r>
                </w:p>
              </w:tc>
              <w:tc>
                <w:tcPr>
                  <w:tcW w:w="1415" w:type="pct"/>
                  <w:tcBorders>
                    <w:tl2br w:val="nil"/>
                    <w:tr2bl w:val="nil"/>
                  </w:tcBorders>
                  <w:vAlign w:val="center"/>
                </w:tcPr>
                <w:p>
                  <w:pPr>
                    <w:widowControl/>
                    <w:jc w:val="center"/>
                    <w:textAlignment w:val="center"/>
                    <w:rPr>
                      <w:rFonts w:ascii="宋体" w:hAnsi="宋体" w:cs="宋体"/>
                      <w:kern w:val="0"/>
                      <w:sz w:val="20"/>
                      <w:szCs w:val="21"/>
                    </w:rPr>
                  </w:pPr>
                  <w:r>
                    <w:rPr>
                      <w:rFonts w:hint="eastAsia"/>
                      <w:kern w:val="0"/>
                      <w:sz w:val="20"/>
                      <w:szCs w:val="21"/>
                    </w:rPr>
                    <w:t>挤出螺杆机</w:t>
                  </w:r>
                </w:p>
              </w:tc>
              <w:tc>
                <w:tcPr>
                  <w:tcW w:w="522"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ascii="宋体" w:hAnsi="宋体" w:cs="宋体"/>
                      <w:kern w:val="0"/>
                      <w:sz w:val="20"/>
                      <w:szCs w:val="21"/>
                      <w:lang w:bidi="ar"/>
                    </w:rPr>
                    <w:t>1</w:t>
                  </w:r>
                </w:p>
              </w:tc>
              <w:tc>
                <w:tcPr>
                  <w:tcW w:w="439" w:type="pct"/>
                  <w:tcBorders>
                    <w:tl2br w:val="nil"/>
                    <w:tr2bl w:val="nil"/>
                  </w:tcBorders>
                  <w:vAlign w:val="center"/>
                </w:tcPr>
                <w:p>
                  <w:pPr>
                    <w:jc w:val="center"/>
                    <w:rPr>
                      <w:kern w:val="0"/>
                      <w:sz w:val="20"/>
                      <w:szCs w:val="21"/>
                    </w:rPr>
                  </w:pPr>
                  <w:r>
                    <w:rPr>
                      <w:rFonts w:hint="eastAsia"/>
                      <w:kern w:val="0"/>
                      <w:sz w:val="20"/>
                      <w:szCs w:val="21"/>
                    </w:rPr>
                    <w:t>75</w:t>
                  </w:r>
                </w:p>
              </w:tc>
              <w:tc>
                <w:tcPr>
                  <w:tcW w:w="1486" w:type="pct"/>
                  <w:vMerge w:val="continue"/>
                  <w:tcBorders>
                    <w:tl2br w:val="nil"/>
                    <w:tr2bl w:val="nil"/>
                  </w:tcBorders>
                  <w:vAlign w:val="center"/>
                </w:tcPr>
                <w:p>
                  <w:pPr>
                    <w:adjustRightInd w:val="0"/>
                    <w:snapToGrid w:val="0"/>
                    <w:jc w:val="center"/>
                    <w:rPr>
                      <w:kern w:val="0"/>
                      <w:sz w:val="20"/>
                      <w:szCs w:val="21"/>
                    </w:rPr>
                  </w:pPr>
                </w:p>
              </w:tc>
              <w:tc>
                <w:tcPr>
                  <w:tcW w:w="710" w:type="pct"/>
                  <w:tcBorders>
                    <w:tl2br w:val="nil"/>
                    <w:tr2bl w:val="nil"/>
                  </w:tcBorders>
                  <w:vAlign w:val="center"/>
                </w:tcPr>
                <w:p>
                  <w:pPr>
                    <w:widowControl/>
                    <w:adjustRightInd w:val="0"/>
                    <w:snapToGrid w:val="0"/>
                    <w:jc w:val="center"/>
                    <w:rPr>
                      <w:kern w:val="0"/>
                      <w:sz w:val="20"/>
                      <w:szCs w:val="21"/>
                    </w:rPr>
                  </w:pPr>
                  <w:r>
                    <w:rPr>
                      <w:kern w:val="0"/>
                      <w:sz w:val="20"/>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9" w:type="pct"/>
                  <w:tcBorders>
                    <w:tl2br w:val="nil"/>
                    <w:tr2bl w:val="nil"/>
                  </w:tcBorders>
                  <w:vAlign w:val="center"/>
                </w:tcPr>
                <w:p>
                  <w:pPr>
                    <w:adjustRightInd w:val="0"/>
                    <w:snapToGrid w:val="0"/>
                    <w:jc w:val="center"/>
                    <w:rPr>
                      <w:kern w:val="0"/>
                      <w:sz w:val="20"/>
                      <w:szCs w:val="21"/>
                    </w:rPr>
                  </w:pPr>
                  <w:r>
                    <w:rPr>
                      <w:rFonts w:hint="eastAsia"/>
                      <w:kern w:val="0"/>
                      <w:sz w:val="20"/>
                      <w:szCs w:val="21"/>
                    </w:rPr>
                    <w:t>7</w:t>
                  </w:r>
                </w:p>
              </w:tc>
              <w:tc>
                <w:tcPr>
                  <w:tcW w:w="1415" w:type="pct"/>
                  <w:tcBorders>
                    <w:tl2br w:val="nil"/>
                    <w:tr2bl w:val="nil"/>
                  </w:tcBorders>
                  <w:vAlign w:val="center"/>
                </w:tcPr>
                <w:p>
                  <w:pPr>
                    <w:widowControl/>
                    <w:jc w:val="center"/>
                    <w:textAlignment w:val="center"/>
                    <w:rPr>
                      <w:rFonts w:ascii="宋体" w:hAnsi="宋体" w:cs="宋体"/>
                      <w:kern w:val="0"/>
                      <w:sz w:val="20"/>
                      <w:szCs w:val="21"/>
                    </w:rPr>
                  </w:pPr>
                  <w:r>
                    <w:rPr>
                      <w:rFonts w:hint="eastAsia"/>
                      <w:kern w:val="0"/>
                      <w:sz w:val="20"/>
                      <w:szCs w:val="21"/>
                    </w:rPr>
                    <w:t>开槽机</w:t>
                  </w:r>
                </w:p>
              </w:tc>
              <w:tc>
                <w:tcPr>
                  <w:tcW w:w="522"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ascii="宋体" w:hAnsi="宋体" w:cs="宋体"/>
                      <w:kern w:val="0"/>
                      <w:sz w:val="20"/>
                      <w:szCs w:val="21"/>
                      <w:lang w:bidi="ar"/>
                    </w:rPr>
                    <w:t>1</w:t>
                  </w:r>
                </w:p>
              </w:tc>
              <w:tc>
                <w:tcPr>
                  <w:tcW w:w="439" w:type="pct"/>
                  <w:tcBorders>
                    <w:tl2br w:val="nil"/>
                    <w:tr2bl w:val="nil"/>
                  </w:tcBorders>
                  <w:vAlign w:val="center"/>
                </w:tcPr>
                <w:p>
                  <w:pPr>
                    <w:jc w:val="center"/>
                    <w:rPr>
                      <w:kern w:val="0"/>
                      <w:sz w:val="20"/>
                      <w:szCs w:val="21"/>
                    </w:rPr>
                  </w:pPr>
                  <w:r>
                    <w:rPr>
                      <w:rFonts w:hint="eastAsia"/>
                      <w:kern w:val="0"/>
                      <w:sz w:val="20"/>
                      <w:szCs w:val="21"/>
                    </w:rPr>
                    <w:t>80</w:t>
                  </w:r>
                </w:p>
              </w:tc>
              <w:tc>
                <w:tcPr>
                  <w:tcW w:w="1486" w:type="pct"/>
                  <w:vMerge w:val="continue"/>
                  <w:tcBorders>
                    <w:tl2br w:val="nil"/>
                    <w:tr2bl w:val="nil"/>
                  </w:tcBorders>
                  <w:vAlign w:val="center"/>
                </w:tcPr>
                <w:p>
                  <w:pPr>
                    <w:adjustRightInd w:val="0"/>
                    <w:snapToGrid w:val="0"/>
                    <w:jc w:val="center"/>
                    <w:rPr>
                      <w:kern w:val="0"/>
                      <w:sz w:val="20"/>
                      <w:szCs w:val="21"/>
                    </w:rPr>
                  </w:pPr>
                </w:p>
              </w:tc>
              <w:tc>
                <w:tcPr>
                  <w:tcW w:w="710" w:type="pct"/>
                  <w:tcBorders>
                    <w:tl2br w:val="nil"/>
                    <w:tr2bl w:val="nil"/>
                  </w:tcBorders>
                  <w:vAlign w:val="center"/>
                </w:tcPr>
                <w:p>
                  <w:pPr>
                    <w:widowControl/>
                    <w:adjustRightInd w:val="0"/>
                    <w:snapToGrid w:val="0"/>
                    <w:jc w:val="center"/>
                    <w:rPr>
                      <w:kern w:val="0"/>
                      <w:sz w:val="20"/>
                      <w:szCs w:val="21"/>
                    </w:rPr>
                  </w:pPr>
                  <w:r>
                    <w:rPr>
                      <w:rFonts w:hint="eastAsia"/>
                      <w:kern w:val="0"/>
                      <w:sz w:val="20"/>
                      <w:szCs w:val="21"/>
                    </w:rPr>
                    <w:t>6</w:t>
                  </w:r>
                  <w:r>
                    <w:rPr>
                      <w:kern w:val="0"/>
                      <w:sz w:val="2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9" w:type="pct"/>
                  <w:tcBorders>
                    <w:tl2br w:val="nil"/>
                    <w:tr2bl w:val="nil"/>
                  </w:tcBorders>
                  <w:vAlign w:val="center"/>
                </w:tcPr>
                <w:p>
                  <w:pPr>
                    <w:adjustRightInd w:val="0"/>
                    <w:snapToGrid w:val="0"/>
                    <w:jc w:val="center"/>
                    <w:rPr>
                      <w:kern w:val="0"/>
                      <w:sz w:val="20"/>
                      <w:szCs w:val="21"/>
                    </w:rPr>
                  </w:pPr>
                  <w:r>
                    <w:rPr>
                      <w:rFonts w:hint="eastAsia"/>
                      <w:kern w:val="0"/>
                      <w:sz w:val="20"/>
                      <w:szCs w:val="21"/>
                    </w:rPr>
                    <w:t>8</w:t>
                  </w:r>
                </w:p>
              </w:tc>
              <w:tc>
                <w:tcPr>
                  <w:tcW w:w="1415" w:type="pct"/>
                  <w:tcBorders>
                    <w:tl2br w:val="nil"/>
                    <w:tr2bl w:val="nil"/>
                  </w:tcBorders>
                  <w:vAlign w:val="center"/>
                </w:tcPr>
                <w:p>
                  <w:pPr>
                    <w:widowControl/>
                    <w:jc w:val="center"/>
                    <w:textAlignment w:val="center"/>
                    <w:rPr>
                      <w:rFonts w:ascii="宋体" w:hAnsi="宋体" w:cs="宋体"/>
                      <w:kern w:val="0"/>
                      <w:sz w:val="20"/>
                      <w:szCs w:val="21"/>
                    </w:rPr>
                  </w:pPr>
                  <w:r>
                    <w:rPr>
                      <w:rFonts w:hint="eastAsia"/>
                      <w:kern w:val="0"/>
                      <w:sz w:val="20"/>
                      <w:szCs w:val="21"/>
                    </w:rPr>
                    <w:t>压花牵引机</w:t>
                  </w:r>
                </w:p>
              </w:tc>
              <w:tc>
                <w:tcPr>
                  <w:tcW w:w="522"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ascii="宋体" w:hAnsi="宋体" w:cs="宋体"/>
                      <w:kern w:val="0"/>
                      <w:sz w:val="20"/>
                      <w:szCs w:val="21"/>
                      <w:lang w:bidi="ar"/>
                    </w:rPr>
                    <w:t>1</w:t>
                  </w:r>
                </w:p>
              </w:tc>
              <w:tc>
                <w:tcPr>
                  <w:tcW w:w="439" w:type="pct"/>
                  <w:tcBorders>
                    <w:tl2br w:val="nil"/>
                    <w:tr2bl w:val="nil"/>
                  </w:tcBorders>
                  <w:vAlign w:val="center"/>
                </w:tcPr>
                <w:p>
                  <w:pPr>
                    <w:jc w:val="center"/>
                    <w:rPr>
                      <w:kern w:val="0"/>
                      <w:sz w:val="20"/>
                      <w:szCs w:val="21"/>
                    </w:rPr>
                  </w:pPr>
                  <w:r>
                    <w:rPr>
                      <w:rFonts w:hint="eastAsia"/>
                      <w:kern w:val="0"/>
                      <w:sz w:val="20"/>
                      <w:szCs w:val="21"/>
                    </w:rPr>
                    <w:t>75</w:t>
                  </w:r>
                </w:p>
              </w:tc>
              <w:tc>
                <w:tcPr>
                  <w:tcW w:w="1486" w:type="pct"/>
                  <w:vMerge w:val="continue"/>
                  <w:tcBorders>
                    <w:tl2br w:val="nil"/>
                    <w:tr2bl w:val="nil"/>
                  </w:tcBorders>
                  <w:vAlign w:val="center"/>
                </w:tcPr>
                <w:p>
                  <w:pPr>
                    <w:adjustRightInd w:val="0"/>
                    <w:snapToGrid w:val="0"/>
                    <w:jc w:val="center"/>
                    <w:rPr>
                      <w:kern w:val="0"/>
                      <w:sz w:val="20"/>
                      <w:szCs w:val="21"/>
                    </w:rPr>
                  </w:pPr>
                </w:p>
              </w:tc>
              <w:tc>
                <w:tcPr>
                  <w:tcW w:w="710" w:type="pct"/>
                  <w:tcBorders>
                    <w:tl2br w:val="nil"/>
                    <w:tr2bl w:val="nil"/>
                  </w:tcBorders>
                  <w:vAlign w:val="center"/>
                </w:tcPr>
                <w:p>
                  <w:pPr>
                    <w:widowControl/>
                    <w:adjustRightInd w:val="0"/>
                    <w:snapToGrid w:val="0"/>
                    <w:jc w:val="center"/>
                    <w:rPr>
                      <w:kern w:val="0"/>
                      <w:sz w:val="20"/>
                      <w:szCs w:val="21"/>
                    </w:rPr>
                  </w:pPr>
                  <w:r>
                    <w:rPr>
                      <w:kern w:val="0"/>
                      <w:sz w:val="20"/>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9" w:type="pct"/>
                  <w:tcBorders>
                    <w:tl2br w:val="nil"/>
                    <w:tr2bl w:val="nil"/>
                  </w:tcBorders>
                  <w:vAlign w:val="center"/>
                </w:tcPr>
                <w:p>
                  <w:pPr>
                    <w:adjustRightInd w:val="0"/>
                    <w:snapToGrid w:val="0"/>
                    <w:jc w:val="center"/>
                    <w:rPr>
                      <w:kern w:val="0"/>
                      <w:sz w:val="20"/>
                      <w:szCs w:val="21"/>
                    </w:rPr>
                  </w:pPr>
                  <w:r>
                    <w:rPr>
                      <w:rFonts w:hint="eastAsia"/>
                      <w:kern w:val="0"/>
                      <w:sz w:val="20"/>
                      <w:szCs w:val="21"/>
                    </w:rPr>
                    <w:t>9</w:t>
                  </w:r>
                </w:p>
              </w:tc>
              <w:tc>
                <w:tcPr>
                  <w:tcW w:w="1415" w:type="pct"/>
                  <w:tcBorders>
                    <w:tl2br w:val="nil"/>
                    <w:tr2bl w:val="nil"/>
                  </w:tcBorders>
                  <w:vAlign w:val="center"/>
                </w:tcPr>
                <w:p>
                  <w:pPr>
                    <w:widowControl/>
                    <w:jc w:val="center"/>
                    <w:textAlignment w:val="center"/>
                    <w:rPr>
                      <w:rFonts w:ascii="宋体" w:hAnsi="宋体" w:cs="宋体"/>
                      <w:kern w:val="0"/>
                      <w:sz w:val="20"/>
                      <w:szCs w:val="21"/>
                    </w:rPr>
                  </w:pPr>
                  <w:r>
                    <w:rPr>
                      <w:rFonts w:hint="eastAsia"/>
                      <w:kern w:val="0"/>
                      <w:sz w:val="20"/>
                      <w:szCs w:val="21"/>
                    </w:rPr>
                    <w:t>双向三切机</w:t>
                  </w:r>
                </w:p>
              </w:tc>
              <w:tc>
                <w:tcPr>
                  <w:tcW w:w="522"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ascii="宋体" w:hAnsi="宋体" w:cs="宋体"/>
                      <w:kern w:val="0"/>
                      <w:sz w:val="20"/>
                      <w:szCs w:val="21"/>
                      <w:lang w:bidi="ar"/>
                    </w:rPr>
                    <w:t>1</w:t>
                  </w:r>
                </w:p>
              </w:tc>
              <w:tc>
                <w:tcPr>
                  <w:tcW w:w="439" w:type="pct"/>
                  <w:tcBorders>
                    <w:tl2br w:val="nil"/>
                    <w:tr2bl w:val="nil"/>
                  </w:tcBorders>
                  <w:vAlign w:val="center"/>
                </w:tcPr>
                <w:p>
                  <w:pPr>
                    <w:jc w:val="center"/>
                    <w:rPr>
                      <w:kern w:val="0"/>
                      <w:sz w:val="20"/>
                      <w:szCs w:val="21"/>
                    </w:rPr>
                  </w:pPr>
                  <w:r>
                    <w:rPr>
                      <w:rFonts w:hint="eastAsia"/>
                      <w:kern w:val="0"/>
                      <w:sz w:val="20"/>
                      <w:szCs w:val="21"/>
                    </w:rPr>
                    <w:t>85</w:t>
                  </w:r>
                </w:p>
              </w:tc>
              <w:tc>
                <w:tcPr>
                  <w:tcW w:w="1486" w:type="pct"/>
                  <w:vMerge w:val="continue"/>
                  <w:tcBorders>
                    <w:tl2br w:val="nil"/>
                    <w:tr2bl w:val="nil"/>
                  </w:tcBorders>
                  <w:vAlign w:val="center"/>
                </w:tcPr>
                <w:p>
                  <w:pPr>
                    <w:adjustRightInd w:val="0"/>
                    <w:snapToGrid w:val="0"/>
                    <w:jc w:val="center"/>
                    <w:rPr>
                      <w:kern w:val="0"/>
                      <w:sz w:val="20"/>
                      <w:szCs w:val="21"/>
                    </w:rPr>
                  </w:pPr>
                </w:p>
              </w:tc>
              <w:tc>
                <w:tcPr>
                  <w:tcW w:w="710" w:type="pct"/>
                  <w:tcBorders>
                    <w:tl2br w:val="nil"/>
                    <w:tr2bl w:val="nil"/>
                  </w:tcBorders>
                  <w:vAlign w:val="center"/>
                </w:tcPr>
                <w:p>
                  <w:pPr>
                    <w:widowControl/>
                    <w:adjustRightInd w:val="0"/>
                    <w:snapToGrid w:val="0"/>
                    <w:jc w:val="center"/>
                    <w:rPr>
                      <w:kern w:val="0"/>
                      <w:sz w:val="20"/>
                      <w:szCs w:val="21"/>
                    </w:rPr>
                  </w:pPr>
                  <w:r>
                    <w:rPr>
                      <w:rFonts w:hint="eastAsia"/>
                      <w:kern w:val="0"/>
                      <w:sz w:val="20"/>
                      <w:szCs w:val="21"/>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9" w:type="pct"/>
                  <w:tcBorders>
                    <w:tl2br w:val="nil"/>
                    <w:tr2bl w:val="nil"/>
                  </w:tcBorders>
                  <w:vAlign w:val="center"/>
                </w:tcPr>
                <w:p>
                  <w:pPr>
                    <w:adjustRightInd w:val="0"/>
                    <w:snapToGrid w:val="0"/>
                    <w:jc w:val="center"/>
                    <w:rPr>
                      <w:kern w:val="0"/>
                      <w:sz w:val="20"/>
                      <w:szCs w:val="21"/>
                    </w:rPr>
                  </w:pPr>
                  <w:r>
                    <w:rPr>
                      <w:rFonts w:hint="eastAsia"/>
                      <w:kern w:val="0"/>
                      <w:sz w:val="20"/>
                      <w:szCs w:val="21"/>
                    </w:rPr>
                    <w:t>10</w:t>
                  </w:r>
                </w:p>
              </w:tc>
              <w:tc>
                <w:tcPr>
                  <w:tcW w:w="1415" w:type="pct"/>
                  <w:tcBorders>
                    <w:tl2br w:val="nil"/>
                    <w:tr2bl w:val="nil"/>
                  </w:tcBorders>
                  <w:vAlign w:val="center"/>
                </w:tcPr>
                <w:p>
                  <w:pPr>
                    <w:widowControl/>
                    <w:jc w:val="center"/>
                    <w:textAlignment w:val="center"/>
                    <w:rPr>
                      <w:rFonts w:ascii="宋体" w:hAnsi="宋体" w:cs="宋体"/>
                      <w:kern w:val="0"/>
                      <w:sz w:val="20"/>
                      <w:szCs w:val="21"/>
                    </w:rPr>
                  </w:pPr>
                  <w:r>
                    <w:rPr>
                      <w:rFonts w:hint="eastAsia"/>
                      <w:kern w:val="0"/>
                      <w:sz w:val="20"/>
                      <w:szCs w:val="21"/>
                    </w:rPr>
                    <w:t>熔化机</w:t>
                  </w:r>
                </w:p>
              </w:tc>
              <w:tc>
                <w:tcPr>
                  <w:tcW w:w="522"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snapToGrid w:val="0"/>
                      <w:kern w:val="0"/>
                      <w:sz w:val="20"/>
                      <w:szCs w:val="21"/>
                    </w:rPr>
                    <w:t>2</w:t>
                  </w:r>
                </w:p>
              </w:tc>
              <w:tc>
                <w:tcPr>
                  <w:tcW w:w="439" w:type="pct"/>
                  <w:tcBorders>
                    <w:tl2br w:val="nil"/>
                    <w:tr2bl w:val="nil"/>
                  </w:tcBorders>
                  <w:vAlign w:val="center"/>
                </w:tcPr>
                <w:p>
                  <w:pPr>
                    <w:jc w:val="center"/>
                    <w:rPr>
                      <w:kern w:val="0"/>
                      <w:sz w:val="20"/>
                      <w:szCs w:val="21"/>
                    </w:rPr>
                  </w:pPr>
                  <w:r>
                    <w:rPr>
                      <w:rFonts w:hint="eastAsia"/>
                      <w:kern w:val="0"/>
                      <w:sz w:val="20"/>
                      <w:szCs w:val="21"/>
                    </w:rPr>
                    <w:t>70</w:t>
                  </w:r>
                </w:p>
              </w:tc>
              <w:tc>
                <w:tcPr>
                  <w:tcW w:w="1486" w:type="pct"/>
                  <w:vMerge w:val="continue"/>
                  <w:tcBorders>
                    <w:tl2br w:val="nil"/>
                    <w:tr2bl w:val="nil"/>
                  </w:tcBorders>
                  <w:vAlign w:val="center"/>
                </w:tcPr>
                <w:p>
                  <w:pPr>
                    <w:adjustRightInd w:val="0"/>
                    <w:snapToGrid w:val="0"/>
                    <w:jc w:val="center"/>
                    <w:rPr>
                      <w:kern w:val="0"/>
                      <w:sz w:val="20"/>
                      <w:szCs w:val="21"/>
                    </w:rPr>
                  </w:pPr>
                </w:p>
              </w:tc>
              <w:tc>
                <w:tcPr>
                  <w:tcW w:w="710" w:type="pct"/>
                  <w:tcBorders>
                    <w:tl2br w:val="nil"/>
                    <w:tr2bl w:val="nil"/>
                  </w:tcBorders>
                  <w:vAlign w:val="center"/>
                </w:tcPr>
                <w:p>
                  <w:pPr>
                    <w:widowControl/>
                    <w:adjustRightInd w:val="0"/>
                    <w:snapToGrid w:val="0"/>
                    <w:jc w:val="center"/>
                    <w:rPr>
                      <w:kern w:val="0"/>
                      <w:sz w:val="20"/>
                      <w:szCs w:val="21"/>
                    </w:rPr>
                  </w:pPr>
                  <w:r>
                    <w:rPr>
                      <w:kern w:val="0"/>
                      <w:sz w:val="20"/>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9" w:type="pct"/>
                  <w:tcBorders>
                    <w:tl2br w:val="nil"/>
                    <w:tr2bl w:val="nil"/>
                  </w:tcBorders>
                  <w:vAlign w:val="center"/>
                </w:tcPr>
                <w:p>
                  <w:pPr>
                    <w:adjustRightInd w:val="0"/>
                    <w:snapToGrid w:val="0"/>
                    <w:jc w:val="center"/>
                    <w:rPr>
                      <w:kern w:val="0"/>
                      <w:sz w:val="20"/>
                      <w:szCs w:val="21"/>
                    </w:rPr>
                  </w:pPr>
                  <w:r>
                    <w:rPr>
                      <w:rFonts w:hint="eastAsia"/>
                      <w:kern w:val="0"/>
                      <w:sz w:val="20"/>
                      <w:szCs w:val="21"/>
                    </w:rPr>
                    <w:t>11</w:t>
                  </w:r>
                </w:p>
              </w:tc>
              <w:tc>
                <w:tcPr>
                  <w:tcW w:w="1415" w:type="pct"/>
                  <w:tcBorders>
                    <w:tl2br w:val="nil"/>
                    <w:tr2bl w:val="nil"/>
                  </w:tcBorders>
                  <w:vAlign w:val="center"/>
                </w:tcPr>
                <w:p>
                  <w:pPr>
                    <w:widowControl/>
                    <w:jc w:val="center"/>
                    <w:textAlignment w:val="center"/>
                    <w:rPr>
                      <w:rFonts w:ascii="宋体" w:hAnsi="宋体" w:cs="宋体"/>
                      <w:kern w:val="0"/>
                      <w:sz w:val="20"/>
                      <w:szCs w:val="21"/>
                    </w:rPr>
                  </w:pPr>
                  <w:r>
                    <w:rPr>
                      <w:rFonts w:hint="eastAsia"/>
                      <w:kern w:val="0"/>
                      <w:sz w:val="20"/>
                      <w:szCs w:val="21"/>
                    </w:rPr>
                    <w:t>2t/h天然气锅炉（LSS2.0-1.0-Q）</w:t>
                  </w:r>
                </w:p>
              </w:tc>
              <w:tc>
                <w:tcPr>
                  <w:tcW w:w="522"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ascii="宋体" w:hAnsi="宋体" w:cs="宋体"/>
                      <w:kern w:val="0"/>
                      <w:sz w:val="20"/>
                      <w:szCs w:val="21"/>
                      <w:lang w:bidi="ar"/>
                    </w:rPr>
                    <w:t>2</w:t>
                  </w:r>
                </w:p>
              </w:tc>
              <w:tc>
                <w:tcPr>
                  <w:tcW w:w="439" w:type="pct"/>
                  <w:tcBorders>
                    <w:tl2br w:val="nil"/>
                    <w:tr2bl w:val="nil"/>
                  </w:tcBorders>
                  <w:vAlign w:val="center"/>
                </w:tcPr>
                <w:p>
                  <w:pPr>
                    <w:jc w:val="center"/>
                    <w:rPr>
                      <w:kern w:val="0"/>
                      <w:sz w:val="20"/>
                      <w:szCs w:val="21"/>
                    </w:rPr>
                  </w:pPr>
                  <w:r>
                    <w:rPr>
                      <w:rFonts w:hint="eastAsia"/>
                      <w:kern w:val="0"/>
                      <w:sz w:val="20"/>
                      <w:szCs w:val="21"/>
                    </w:rPr>
                    <w:t>90</w:t>
                  </w:r>
                </w:p>
              </w:tc>
              <w:tc>
                <w:tcPr>
                  <w:tcW w:w="1486" w:type="pct"/>
                  <w:vMerge w:val="continue"/>
                  <w:tcBorders>
                    <w:tl2br w:val="nil"/>
                    <w:tr2bl w:val="nil"/>
                  </w:tcBorders>
                  <w:vAlign w:val="center"/>
                </w:tcPr>
                <w:p>
                  <w:pPr>
                    <w:adjustRightInd w:val="0"/>
                    <w:snapToGrid w:val="0"/>
                    <w:jc w:val="center"/>
                    <w:rPr>
                      <w:kern w:val="0"/>
                      <w:sz w:val="20"/>
                      <w:szCs w:val="21"/>
                    </w:rPr>
                  </w:pPr>
                </w:p>
              </w:tc>
              <w:tc>
                <w:tcPr>
                  <w:tcW w:w="710" w:type="pct"/>
                  <w:tcBorders>
                    <w:tl2br w:val="nil"/>
                    <w:tr2bl w:val="nil"/>
                  </w:tcBorders>
                  <w:vAlign w:val="center"/>
                </w:tcPr>
                <w:p>
                  <w:pPr>
                    <w:widowControl/>
                    <w:adjustRightInd w:val="0"/>
                    <w:snapToGrid w:val="0"/>
                    <w:jc w:val="center"/>
                    <w:rPr>
                      <w:kern w:val="0"/>
                      <w:sz w:val="20"/>
                      <w:szCs w:val="21"/>
                    </w:rPr>
                  </w:pPr>
                  <w:r>
                    <w:rPr>
                      <w:rFonts w:hint="eastAsia"/>
                      <w:kern w:val="0"/>
                      <w:sz w:val="20"/>
                      <w:szCs w:val="21"/>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9" w:type="pct"/>
                  <w:tcBorders>
                    <w:tl2br w:val="nil"/>
                    <w:tr2bl w:val="nil"/>
                  </w:tcBorders>
                  <w:vAlign w:val="center"/>
                </w:tcPr>
                <w:p>
                  <w:pPr>
                    <w:adjustRightInd w:val="0"/>
                    <w:snapToGrid w:val="0"/>
                    <w:jc w:val="center"/>
                    <w:rPr>
                      <w:kern w:val="0"/>
                      <w:sz w:val="20"/>
                      <w:szCs w:val="21"/>
                    </w:rPr>
                  </w:pPr>
                  <w:r>
                    <w:rPr>
                      <w:rFonts w:hint="eastAsia"/>
                      <w:kern w:val="0"/>
                      <w:sz w:val="20"/>
                      <w:szCs w:val="21"/>
                    </w:rPr>
                    <w:t>12</w:t>
                  </w:r>
                </w:p>
              </w:tc>
              <w:tc>
                <w:tcPr>
                  <w:tcW w:w="1415" w:type="pct"/>
                  <w:tcBorders>
                    <w:tl2br w:val="nil"/>
                    <w:tr2bl w:val="nil"/>
                  </w:tcBorders>
                  <w:vAlign w:val="center"/>
                </w:tcPr>
                <w:p>
                  <w:pPr>
                    <w:widowControl/>
                    <w:jc w:val="center"/>
                    <w:textAlignment w:val="center"/>
                    <w:rPr>
                      <w:rFonts w:ascii="宋体" w:hAnsi="宋体" w:cs="宋体"/>
                      <w:kern w:val="0"/>
                      <w:sz w:val="20"/>
                      <w:szCs w:val="21"/>
                    </w:rPr>
                  </w:pPr>
                  <w:r>
                    <w:rPr>
                      <w:rFonts w:hint="eastAsia" w:ascii="宋体" w:hAnsi="宋体" w:cs="宋体"/>
                      <w:kern w:val="0"/>
                      <w:sz w:val="20"/>
                      <w:szCs w:val="21"/>
                    </w:rPr>
                    <w:t>风机</w:t>
                  </w:r>
                </w:p>
              </w:tc>
              <w:tc>
                <w:tcPr>
                  <w:tcW w:w="522" w:type="pct"/>
                  <w:tcBorders>
                    <w:tl2br w:val="nil"/>
                    <w:tr2bl w:val="nil"/>
                  </w:tcBorders>
                  <w:vAlign w:val="center"/>
                </w:tcPr>
                <w:p>
                  <w:pPr>
                    <w:widowControl/>
                    <w:jc w:val="center"/>
                    <w:textAlignment w:val="center"/>
                    <w:rPr>
                      <w:rFonts w:ascii="宋体" w:hAnsi="宋体" w:cs="宋体"/>
                      <w:kern w:val="0"/>
                      <w:sz w:val="20"/>
                      <w:szCs w:val="21"/>
                      <w:lang w:bidi="ar"/>
                    </w:rPr>
                  </w:pPr>
                  <w:r>
                    <w:rPr>
                      <w:rFonts w:hint="eastAsia" w:ascii="宋体" w:hAnsi="宋体" w:cs="宋体"/>
                      <w:kern w:val="0"/>
                      <w:sz w:val="20"/>
                      <w:szCs w:val="21"/>
                      <w:lang w:bidi="ar"/>
                    </w:rPr>
                    <w:t>2</w:t>
                  </w:r>
                </w:p>
              </w:tc>
              <w:tc>
                <w:tcPr>
                  <w:tcW w:w="439" w:type="pct"/>
                  <w:tcBorders>
                    <w:tl2br w:val="nil"/>
                    <w:tr2bl w:val="nil"/>
                  </w:tcBorders>
                  <w:vAlign w:val="center"/>
                </w:tcPr>
                <w:p>
                  <w:pPr>
                    <w:jc w:val="center"/>
                    <w:rPr>
                      <w:kern w:val="0"/>
                      <w:sz w:val="20"/>
                      <w:szCs w:val="21"/>
                    </w:rPr>
                  </w:pPr>
                  <w:r>
                    <w:rPr>
                      <w:rFonts w:hint="eastAsia"/>
                      <w:kern w:val="0"/>
                      <w:sz w:val="20"/>
                      <w:szCs w:val="21"/>
                    </w:rPr>
                    <w:t>90</w:t>
                  </w:r>
                </w:p>
              </w:tc>
              <w:tc>
                <w:tcPr>
                  <w:tcW w:w="1486" w:type="pct"/>
                  <w:tcBorders>
                    <w:tl2br w:val="nil"/>
                    <w:tr2bl w:val="nil"/>
                  </w:tcBorders>
                  <w:vAlign w:val="center"/>
                </w:tcPr>
                <w:p>
                  <w:pPr>
                    <w:adjustRightInd w:val="0"/>
                    <w:snapToGrid w:val="0"/>
                    <w:jc w:val="center"/>
                    <w:rPr>
                      <w:kern w:val="0"/>
                      <w:sz w:val="20"/>
                      <w:szCs w:val="21"/>
                    </w:rPr>
                  </w:pPr>
                  <w:r>
                    <w:rPr>
                      <w:kern w:val="0"/>
                      <w:sz w:val="20"/>
                      <w:szCs w:val="21"/>
                    </w:rPr>
                    <w:t>选用低噪声设备、减震基础</w:t>
                  </w:r>
                  <w:r>
                    <w:rPr>
                      <w:rFonts w:hint="eastAsia"/>
                      <w:kern w:val="0"/>
                      <w:sz w:val="20"/>
                      <w:szCs w:val="21"/>
                    </w:rPr>
                    <w:t>，</w:t>
                  </w:r>
                  <w:r>
                    <w:rPr>
                      <w:rFonts w:hint="eastAsia"/>
                      <w:spacing w:val="-2"/>
                      <w:kern w:val="0"/>
                      <w:sz w:val="20"/>
                      <w:szCs w:val="21"/>
                    </w:rPr>
                    <w:t>高噪风机必要时采取消声或风机房隔声</w:t>
                  </w:r>
                </w:p>
              </w:tc>
              <w:tc>
                <w:tcPr>
                  <w:tcW w:w="710" w:type="pct"/>
                  <w:tcBorders>
                    <w:tl2br w:val="nil"/>
                    <w:tr2bl w:val="nil"/>
                  </w:tcBorders>
                  <w:vAlign w:val="center"/>
                </w:tcPr>
                <w:p>
                  <w:pPr>
                    <w:widowControl/>
                    <w:adjustRightInd w:val="0"/>
                    <w:snapToGrid w:val="0"/>
                    <w:jc w:val="center"/>
                    <w:rPr>
                      <w:kern w:val="0"/>
                      <w:sz w:val="20"/>
                      <w:szCs w:val="21"/>
                    </w:rPr>
                  </w:pPr>
                  <w:r>
                    <w:rPr>
                      <w:rFonts w:hint="eastAsia"/>
                      <w:kern w:val="0"/>
                      <w:sz w:val="20"/>
                      <w:szCs w:val="21"/>
                    </w:rPr>
                    <w:t>70</w:t>
                  </w:r>
                </w:p>
              </w:tc>
            </w:tr>
          </w:tbl>
          <w:p>
            <w:pPr>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（4）</w:t>
            </w:r>
            <w:r>
              <w:rPr>
                <w:color w:val="000000" w:themeColor="text1"/>
                <w:kern w:val="0"/>
                <w:sz w:val="24"/>
                <w14:textFill>
                  <w14:solidFill>
                    <w14:schemeClr w14:val="tx1"/>
                  </w14:solidFill>
                </w14:textFill>
              </w:rPr>
              <w:t>预测条件</w:t>
            </w:r>
            <w:bookmarkEnd w:id="10"/>
            <w:r>
              <w:rPr>
                <w:color w:val="000000" w:themeColor="text1"/>
                <w:kern w:val="0"/>
                <w:sz w:val="24"/>
                <w14:textFill>
                  <w14:solidFill>
                    <w14:schemeClr w14:val="tx1"/>
                  </w14:solidFill>
                </w14:textFill>
              </w:rPr>
              <w:t>概化</w:t>
            </w:r>
            <w:bookmarkEnd w:id="11"/>
            <w:bookmarkEnd w:id="12"/>
          </w:p>
          <w:p>
            <w:pPr>
              <w:spacing w:line="360" w:lineRule="auto"/>
              <w:ind w:firstLine="480" w:firstLineChars="200"/>
              <w:rPr>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w:t>
            </w:r>
            <w:r>
              <w:rPr>
                <w:color w:val="000000" w:themeColor="text1"/>
                <w:kern w:val="0"/>
                <w:sz w:val="24"/>
                <w14:textFill>
                  <w14:solidFill>
                    <w14:schemeClr w14:val="tx1"/>
                  </w14:solidFill>
                </w14:textFill>
              </w:rPr>
              <w:t>所有产噪设备均在正常工况条件下运行；</w:t>
            </w:r>
          </w:p>
          <w:p>
            <w:pPr>
              <w:spacing w:line="360" w:lineRule="auto"/>
              <w:ind w:firstLine="480" w:firstLineChars="200"/>
              <w:rPr>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②</w:t>
            </w:r>
            <w:r>
              <w:rPr>
                <w:color w:val="000000" w:themeColor="text1"/>
                <w:kern w:val="0"/>
                <w:sz w:val="24"/>
                <w14:textFill>
                  <w14:solidFill>
                    <w14:schemeClr w14:val="tx1"/>
                  </w14:solidFill>
                </w14:textFill>
              </w:rPr>
              <w:t>室内噪声源考虑声源所在厂房围护结构的隔声作用；</w:t>
            </w:r>
          </w:p>
          <w:p>
            <w:pPr>
              <w:spacing w:line="360" w:lineRule="auto"/>
              <w:ind w:firstLine="480" w:firstLineChars="200"/>
              <w:rPr>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③</w:t>
            </w:r>
            <w:r>
              <w:rPr>
                <w:color w:val="000000" w:themeColor="text1"/>
                <w:kern w:val="0"/>
                <w:sz w:val="24"/>
                <w14:textFill>
                  <w14:solidFill>
                    <w14:schemeClr w14:val="tx1"/>
                  </w14:solidFill>
                </w14:textFill>
              </w:rPr>
              <w:t>考虑声源至预测点的距离衰减，忽略传播中建筑物的阻挡、地面反射以及空气吸收、雨、雪、温度等影响。</w:t>
            </w:r>
          </w:p>
          <w:p>
            <w:pPr>
              <w:spacing w:line="360" w:lineRule="auto"/>
              <w:ind w:firstLine="480" w:firstLineChars="200"/>
              <w:rPr>
                <w:color w:val="000000" w:themeColor="text1"/>
                <w:kern w:val="0"/>
                <w:sz w:val="24"/>
                <w14:textFill>
                  <w14:solidFill>
                    <w14:schemeClr w14:val="tx1"/>
                  </w14:solidFill>
                </w14:textFill>
              </w:rPr>
            </w:pPr>
            <w:bookmarkStart w:id="13" w:name="_Toc341867183"/>
            <w:r>
              <w:rPr>
                <w:rFonts w:hint="eastAsia"/>
                <w:color w:val="000000" w:themeColor="text1"/>
                <w:kern w:val="0"/>
                <w:sz w:val="24"/>
                <w14:textFill>
                  <w14:solidFill>
                    <w14:schemeClr w14:val="tx1"/>
                  </w14:solidFill>
                </w14:textFill>
              </w:rPr>
              <w:t>（5）</w:t>
            </w:r>
            <w:r>
              <w:rPr>
                <w:color w:val="000000" w:themeColor="text1"/>
                <w:kern w:val="0"/>
                <w:sz w:val="24"/>
                <w14:textFill>
                  <w14:solidFill>
                    <w14:schemeClr w14:val="tx1"/>
                  </w14:solidFill>
                </w14:textFill>
              </w:rPr>
              <w:t>预测模式</w:t>
            </w:r>
            <w:bookmarkEnd w:id="13"/>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噪声预测选用工业噪声点源预测模式。</w:t>
            </w:r>
          </w:p>
          <w:p>
            <w:pPr>
              <w:spacing w:line="360" w:lineRule="auto"/>
              <w:ind w:firstLine="48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室外点源衰减</w:t>
            </w:r>
          </w:p>
          <w:p>
            <w:pPr>
              <w:spacing w:line="360" w:lineRule="auto"/>
              <w:ind w:firstLine="48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采用衰减公式，公式为：</w:t>
            </w:r>
          </w:p>
          <w:p>
            <w:pPr>
              <w:spacing w:line="480" w:lineRule="auto"/>
              <w:jc w:val="center"/>
              <w:rPr>
                <w:color w:val="000000" w:themeColor="text1"/>
                <w:kern w:val="0"/>
                <w:sz w:val="24"/>
                <w14:textFill>
                  <w14:solidFill>
                    <w14:schemeClr w14:val="tx1"/>
                  </w14:solidFill>
                </w14:textFill>
              </w:rPr>
            </w:pPr>
            <w:r>
              <w:rPr>
                <w:color w:val="000000" w:themeColor="text1"/>
                <w:position w:val="-12"/>
                <w:sz w:val="24"/>
                <w14:textFill>
                  <w14:solidFill>
                    <w14:schemeClr w14:val="tx1"/>
                  </w14:solidFill>
                </w14:textFill>
              </w:rPr>
              <w:object>
                <v:shape id="_x0000_i1033" o:spt="75" type="#_x0000_t75" style="height:21.5pt;width:129.5pt;" o:ole="t" filled="f" o:preferrelative="t" stroked="f" coordsize="21600,21600">
                  <v:path/>
                  <v:fill on="f" focussize="0,0"/>
                  <v:stroke on="f" joinstyle="miter"/>
                  <v:imagedata r:id="rId18" o:title=""/>
                  <o:lock v:ext="edit" aspectratio="t"/>
                  <w10:wrap type="none"/>
                  <w10:anchorlock/>
                </v:shape>
                <o:OLEObject Type="Embed" ProgID="Equation.3" ShapeID="_x0000_i1033" DrawAspect="Content" ObjectID="_1468075729" r:id="rId17">
                  <o:LockedField>false</o:LockedField>
                </o:OLEObject>
              </w:object>
            </w:r>
            <w:r>
              <w:rPr>
                <w:color w:val="000000" w:themeColor="text1"/>
                <w:kern w:val="0"/>
                <w:sz w:val="24"/>
                <w14:textFill>
                  <w14:solidFill>
                    <w14:schemeClr w14:val="tx1"/>
                  </w14:solidFill>
                </w14:textFill>
              </w:rPr>
              <w:t>－</w:t>
            </w:r>
            <w:r>
              <w:rPr>
                <w:i/>
                <w:color w:val="000000" w:themeColor="text1"/>
                <w:kern w:val="0"/>
                <w:sz w:val="24"/>
                <w14:textFill>
                  <w14:solidFill>
                    <w14:schemeClr w14:val="tx1"/>
                  </w14:solidFill>
                </w14:textFill>
              </w:rPr>
              <w:t>A</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式中：L（r）— 距离噪声源r m处的声压级，dB(A)；</w:t>
            </w:r>
          </w:p>
          <w:p>
            <w:pPr>
              <w:spacing w:line="360" w:lineRule="auto"/>
              <w:ind w:firstLine="480" w:firstLineChars="200"/>
              <w:rPr>
                <w:color w:val="000000" w:themeColor="text1"/>
                <w:kern w:val="0"/>
                <w:sz w:val="24"/>
                <w:vertAlign w:val="subscript"/>
                <w14:textFill>
                  <w14:solidFill>
                    <w14:schemeClr w14:val="tx1"/>
                  </w14:solidFill>
                </w14:textFill>
              </w:rPr>
            </w:pPr>
            <w:r>
              <w:rPr>
                <w:color w:val="000000" w:themeColor="text1"/>
                <w:kern w:val="0"/>
                <w:sz w:val="24"/>
                <w14:textFill>
                  <w14:solidFill>
                    <w14:schemeClr w14:val="tx1"/>
                  </w14:solidFill>
                </w14:textFill>
              </w:rPr>
              <w:t xml:space="preserve">       L（r</w:t>
            </w:r>
            <w:r>
              <w:rPr>
                <w:color w:val="000000" w:themeColor="text1"/>
                <w:kern w:val="0"/>
                <w:sz w:val="24"/>
                <w:vertAlign w:val="subscript"/>
                <w14:textFill>
                  <w14:solidFill>
                    <w14:schemeClr w14:val="tx1"/>
                  </w14:solidFill>
                </w14:textFill>
              </w:rPr>
              <w:t>0</w:t>
            </w:r>
            <w:r>
              <w:rPr>
                <w:color w:val="000000" w:themeColor="text1"/>
                <w:kern w:val="0"/>
                <w:sz w:val="24"/>
                <w14:textFill>
                  <w14:solidFill>
                    <w14:schemeClr w14:val="tx1"/>
                  </w14:solidFill>
                </w14:textFill>
              </w:rPr>
              <w:t>）— 声源的声压级，dB(A)；</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       </w:t>
            </w:r>
            <w:r>
              <w:rPr>
                <w:i/>
                <w:color w:val="000000" w:themeColor="text1"/>
                <w:kern w:val="0"/>
                <w:sz w:val="24"/>
                <w14:textFill>
                  <w14:solidFill>
                    <w14:schemeClr w14:val="tx1"/>
                  </w14:solidFill>
                </w14:textFill>
              </w:rPr>
              <w:t>r</w:t>
            </w:r>
            <w:r>
              <w:rPr>
                <w:color w:val="000000" w:themeColor="text1"/>
                <w:kern w:val="0"/>
                <w:sz w:val="24"/>
                <w14:textFill>
                  <w14:solidFill>
                    <w14:schemeClr w14:val="tx1"/>
                  </w14:solidFill>
                </w14:textFill>
              </w:rPr>
              <w:t xml:space="preserve"> — 预测点距离噪声源的距离，m；</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       </w:t>
            </w:r>
            <w:r>
              <w:rPr>
                <w:i/>
                <w:color w:val="000000" w:themeColor="text1"/>
                <w:kern w:val="0"/>
                <w:sz w:val="24"/>
                <w14:textFill>
                  <w14:solidFill>
                    <w14:schemeClr w14:val="tx1"/>
                  </w14:solidFill>
                </w14:textFill>
              </w:rPr>
              <w:t>r</w:t>
            </w:r>
            <w:r>
              <w:rPr>
                <w:i/>
                <w:color w:val="000000" w:themeColor="text1"/>
                <w:kern w:val="0"/>
                <w:sz w:val="24"/>
                <w:vertAlign w:val="subscript"/>
                <w14:textFill>
                  <w14:solidFill>
                    <w14:schemeClr w14:val="tx1"/>
                  </w14:solidFill>
                </w14:textFill>
              </w:rPr>
              <w:t xml:space="preserve">0 </w:t>
            </w:r>
            <w:r>
              <w:rPr>
                <w:color w:val="000000" w:themeColor="text1"/>
                <w:kern w:val="0"/>
                <w:sz w:val="24"/>
                <w14:textFill>
                  <w14:solidFill>
                    <w14:schemeClr w14:val="tx1"/>
                  </w14:solidFill>
                </w14:textFill>
              </w:rPr>
              <w:t>— 参考位置距噪声源的距离，m；</w:t>
            </w:r>
          </w:p>
          <w:p>
            <w:pPr>
              <w:spacing w:line="360" w:lineRule="auto"/>
              <w:ind w:firstLine="1320" w:firstLineChars="550"/>
              <w:rPr>
                <w:color w:val="000000" w:themeColor="text1"/>
                <w:kern w:val="0"/>
                <w:sz w:val="24"/>
                <w14:textFill>
                  <w14:solidFill>
                    <w14:schemeClr w14:val="tx1"/>
                  </w14:solidFill>
                </w14:textFill>
              </w:rPr>
            </w:pPr>
            <w:r>
              <w:rPr>
                <w:i/>
                <w:color w:val="000000" w:themeColor="text1"/>
                <w:kern w:val="0"/>
                <w:sz w:val="24"/>
                <w14:textFill>
                  <w14:solidFill>
                    <w14:schemeClr w14:val="tx1"/>
                  </w14:solidFill>
                </w14:textFill>
              </w:rPr>
              <w:t>A</w:t>
            </w:r>
            <w:r>
              <w:rPr>
                <w:color w:val="000000" w:themeColor="text1"/>
                <w:kern w:val="0"/>
                <w:sz w:val="24"/>
                <w14:textFill>
                  <w14:solidFill>
                    <w14:schemeClr w14:val="tx1"/>
                  </w14:solidFill>
                </w14:textFill>
              </w:rPr>
              <w:t xml:space="preserve"> — 其他</w:t>
            </w:r>
            <w:r>
              <w:rPr>
                <w:color w:val="000000" w:themeColor="text1"/>
                <w:kern w:val="0"/>
                <w:sz w:val="24"/>
                <w:szCs w:val="21"/>
                <w14:textFill>
                  <w14:solidFill>
                    <w14:schemeClr w14:val="tx1"/>
                  </w14:solidFill>
                </w14:textFill>
              </w:rPr>
              <w:t>效应</w:t>
            </w:r>
            <w:r>
              <w:rPr>
                <w:color w:val="000000" w:themeColor="text1"/>
                <w:kern w:val="0"/>
                <w:sz w:val="24"/>
                <w14:textFill>
                  <w14:solidFill>
                    <w14:schemeClr w14:val="tx1"/>
                  </w14:solidFill>
                </w14:textFill>
              </w:rPr>
              <w:t>衰减。</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 噪声贡献值（L</w:t>
            </w:r>
            <w:r>
              <w:rPr>
                <w:color w:val="000000" w:themeColor="text1"/>
                <w:kern w:val="0"/>
                <w:sz w:val="24"/>
                <w:vertAlign w:val="subscript"/>
                <w14:textFill>
                  <w14:solidFill>
                    <w14:schemeClr w14:val="tx1"/>
                  </w14:solidFill>
                </w14:textFill>
              </w:rPr>
              <w:t>eqg</w:t>
            </w:r>
            <w:r>
              <w:rPr>
                <w:color w:val="000000" w:themeColor="text1"/>
                <w:kern w:val="0"/>
                <w:sz w:val="24"/>
                <w14:textFill>
                  <w14:solidFill>
                    <w14:schemeClr w14:val="tx1"/>
                  </w14:solidFill>
                </w14:textFill>
              </w:rPr>
              <w:t>）</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设第i个室外声源在预测点产生的A声级为L</w:t>
            </w:r>
            <w:r>
              <w:rPr>
                <w:color w:val="000000" w:themeColor="text1"/>
                <w:kern w:val="0"/>
                <w:sz w:val="24"/>
                <w:vertAlign w:val="subscript"/>
                <w14:textFill>
                  <w14:solidFill>
                    <w14:schemeClr w14:val="tx1"/>
                  </w14:solidFill>
                </w14:textFill>
              </w:rPr>
              <w:t>Ai</w:t>
            </w:r>
            <w:r>
              <w:rPr>
                <w:color w:val="000000" w:themeColor="text1"/>
                <w:kern w:val="0"/>
                <w:sz w:val="24"/>
                <w14:textFill>
                  <w14:solidFill>
                    <w14:schemeClr w14:val="tx1"/>
                  </w14:solidFill>
                </w14:textFill>
              </w:rPr>
              <w:t>，在T时间内该声源工作时间为t</w:t>
            </w:r>
            <w:r>
              <w:rPr>
                <w:color w:val="000000" w:themeColor="text1"/>
                <w:kern w:val="0"/>
                <w:sz w:val="24"/>
                <w:vertAlign w:val="subscript"/>
                <w14:textFill>
                  <w14:solidFill>
                    <w14:schemeClr w14:val="tx1"/>
                  </w14:solidFill>
                </w14:textFill>
              </w:rPr>
              <w:t>i</w:t>
            </w:r>
            <w:r>
              <w:rPr>
                <w:color w:val="000000" w:themeColor="text1"/>
                <w:kern w:val="0"/>
                <w:sz w:val="24"/>
                <w14:textFill>
                  <w14:solidFill>
                    <w14:schemeClr w14:val="tx1"/>
                  </w14:solidFill>
                </w14:textFill>
              </w:rPr>
              <w:t>；第j个等效室外声源在预测点产生的A声级为L</w:t>
            </w:r>
            <w:r>
              <w:rPr>
                <w:color w:val="000000" w:themeColor="text1"/>
                <w:kern w:val="0"/>
                <w:sz w:val="24"/>
                <w:vertAlign w:val="subscript"/>
                <w14:textFill>
                  <w14:solidFill>
                    <w14:schemeClr w14:val="tx1"/>
                  </w14:solidFill>
                </w14:textFill>
              </w:rPr>
              <w:t>Aj</w:t>
            </w:r>
            <w:r>
              <w:rPr>
                <w:color w:val="000000" w:themeColor="text1"/>
                <w:kern w:val="0"/>
                <w:sz w:val="24"/>
                <w14:textFill>
                  <w14:solidFill>
                    <w14:schemeClr w14:val="tx1"/>
                  </w14:solidFill>
                </w14:textFill>
              </w:rPr>
              <w:t>，在T时间内该声源工作时间为t</w:t>
            </w:r>
            <w:r>
              <w:rPr>
                <w:color w:val="000000" w:themeColor="text1"/>
                <w:kern w:val="0"/>
                <w:sz w:val="24"/>
                <w:vertAlign w:val="subscript"/>
                <w14:textFill>
                  <w14:solidFill>
                    <w14:schemeClr w14:val="tx1"/>
                  </w14:solidFill>
                </w14:textFill>
              </w:rPr>
              <w:t>j</w:t>
            </w:r>
            <w:r>
              <w:rPr>
                <w:color w:val="000000" w:themeColor="text1"/>
                <w:kern w:val="0"/>
                <w:sz w:val="24"/>
                <w14:textFill>
                  <w14:solidFill>
                    <w14:schemeClr w14:val="tx1"/>
                  </w14:solidFill>
                </w14:textFill>
              </w:rPr>
              <w:t>，声源对预测点产生的贡献值（L</w:t>
            </w:r>
            <w:r>
              <w:rPr>
                <w:color w:val="000000" w:themeColor="text1"/>
                <w:kern w:val="0"/>
                <w:sz w:val="24"/>
                <w:vertAlign w:val="subscript"/>
                <w14:textFill>
                  <w14:solidFill>
                    <w14:schemeClr w14:val="tx1"/>
                  </w14:solidFill>
                </w14:textFill>
              </w:rPr>
              <w:t>eqg</w:t>
            </w:r>
            <w:r>
              <w:rPr>
                <w:color w:val="000000" w:themeColor="text1"/>
                <w:kern w:val="0"/>
                <w:sz w:val="24"/>
                <w14:textFill>
                  <w14:solidFill>
                    <w14:schemeClr w14:val="tx1"/>
                  </w14:solidFill>
                </w14:textFill>
              </w:rPr>
              <w:t>）为：</w:t>
            </w:r>
          </w:p>
          <w:p>
            <w:pPr>
              <w:spacing w:before="120" w:after="120" w:line="360" w:lineRule="auto"/>
              <w:ind w:firstLine="420" w:firstLineChars="200"/>
              <w:jc w:val="center"/>
              <w:rPr>
                <w:color w:val="000000" w:themeColor="text1"/>
                <w:kern w:val="0"/>
                <w:sz w:val="24"/>
                <w14:textFill>
                  <w14:solidFill>
                    <w14:schemeClr w14:val="tx1"/>
                  </w14:solidFill>
                </w14:textFill>
              </w:rPr>
            </w:pPr>
            <w:r>
              <w:rPr>
                <w:color w:val="000000" w:themeColor="text1"/>
                <w:position w:val="-30"/>
                <w14:textFill>
                  <w14:solidFill>
                    <w14:schemeClr w14:val="tx1"/>
                  </w14:solidFill>
                </w14:textFill>
              </w:rPr>
              <w:object>
                <v:shape id="_x0000_i1034" o:spt="75" type="#_x0000_t75" style="height:36pt;width:194.5pt;" o:ole="t" filled="f" o:preferrelative="t" stroked="f" coordsize="21600,21600">
                  <v:path/>
                  <v:fill on="f" focussize="0,0"/>
                  <v:stroke on="f" joinstyle="miter"/>
                  <v:imagedata r:id="rId20" o:title=""/>
                  <o:lock v:ext="edit" aspectratio="t"/>
                  <w10:wrap type="none"/>
                  <w10:anchorlock/>
                </v:shape>
                <o:OLEObject Type="Embed" ProgID="Equation.3" ShapeID="_x0000_i1034" DrawAspect="Content" ObjectID="_1468075730" r:id="rId19">
                  <o:LockedField>false</o:LockedField>
                </o:OLEObject>
              </w:objec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式中：t</w:t>
            </w:r>
            <w:r>
              <w:rPr>
                <w:color w:val="000000" w:themeColor="text1"/>
                <w:kern w:val="0"/>
                <w:sz w:val="24"/>
                <w:vertAlign w:val="subscript"/>
                <w14:textFill>
                  <w14:solidFill>
                    <w14:schemeClr w14:val="tx1"/>
                  </w14:solidFill>
                </w14:textFill>
              </w:rPr>
              <w:t xml:space="preserve">j </w:t>
            </w:r>
            <w:r>
              <w:rPr>
                <w:color w:val="000000" w:themeColor="text1"/>
                <w:kern w:val="0"/>
                <w:sz w:val="24"/>
                <w14:textFill>
                  <w14:solidFill>
                    <w14:schemeClr w14:val="tx1"/>
                  </w14:solidFill>
                </w14:textFill>
              </w:rPr>
              <w:t>— 在T时间内j声源工作时间，s；</w:t>
            </w:r>
          </w:p>
          <w:p>
            <w:pPr>
              <w:spacing w:line="360" w:lineRule="auto"/>
              <w:ind w:left="630" w:leftChars="300"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t</w:t>
            </w:r>
            <w:r>
              <w:rPr>
                <w:color w:val="000000" w:themeColor="text1"/>
                <w:kern w:val="0"/>
                <w:sz w:val="24"/>
                <w:vertAlign w:val="subscript"/>
                <w14:textFill>
                  <w14:solidFill>
                    <w14:schemeClr w14:val="tx1"/>
                  </w14:solidFill>
                </w14:textFill>
              </w:rPr>
              <w:t xml:space="preserve">i </w:t>
            </w:r>
            <w:r>
              <w:rPr>
                <w:color w:val="000000" w:themeColor="text1"/>
                <w:kern w:val="0"/>
                <w:sz w:val="24"/>
                <w14:textFill>
                  <w14:solidFill>
                    <w14:schemeClr w14:val="tx1"/>
                  </w14:solidFill>
                </w14:textFill>
              </w:rPr>
              <w:t>— 在T时间内i声源工作时间，s；</w:t>
            </w:r>
          </w:p>
          <w:p>
            <w:pPr>
              <w:spacing w:line="360" w:lineRule="auto"/>
              <w:ind w:left="630" w:leftChars="300"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T — 用于计算等效声级的时间，s；</w:t>
            </w:r>
          </w:p>
          <w:p>
            <w:pPr>
              <w:spacing w:line="360" w:lineRule="auto"/>
              <w:ind w:left="630" w:leftChars="300"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N — 室外声源个数；</w:t>
            </w:r>
          </w:p>
          <w:p>
            <w:pPr>
              <w:spacing w:line="360" w:lineRule="auto"/>
              <w:ind w:left="630" w:leftChars="300"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M — 等效室外声源个数。</w:t>
            </w:r>
          </w:p>
          <w:p>
            <w:pPr>
              <w:spacing w:line="360" w:lineRule="auto"/>
              <w:ind w:firstLine="480" w:firstLineChars="200"/>
              <w:rPr>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噪声叠加模式</w:t>
            </w:r>
          </w:p>
          <w:p>
            <w:pPr>
              <w:spacing w:before="120" w:after="120" w:line="360" w:lineRule="auto"/>
              <w:ind w:firstLine="420" w:firstLineChars="200"/>
              <w:jc w:val="center"/>
              <w:rPr>
                <w:color w:val="000000" w:themeColor="text1"/>
                <w:kern w:val="0"/>
                <w:sz w:val="20"/>
                <w14:textFill>
                  <w14:solidFill>
                    <w14:schemeClr w14:val="tx1"/>
                  </w14:solidFill>
                </w14:textFill>
              </w:rPr>
            </w:pPr>
            <w:r>
              <w:rPr>
                <w:color w:val="000000" w:themeColor="text1"/>
                <w:position w:val="-14"/>
                <w14:textFill>
                  <w14:solidFill>
                    <w14:schemeClr w14:val="tx1"/>
                  </w14:solidFill>
                </w14:textFill>
              </w:rPr>
              <w:object>
                <v:shape id="_x0000_i1035" o:spt="75" type="#_x0000_t75" style="height:21.5pt;width:137pt;" o:ole="t" filled="f" o:preferrelative="t" stroked="f" coordsize="21600,21600">
                  <v:path/>
                  <v:fill on="f" focussize="0,0"/>
                  <v:stroke on="f" joinstyle="miter"/>
                  <v:imagedata r:id="rId22" o:title=""/>
                  <o:lock v:ext="edit" aspectratio="t"/>
                  <w10:wrap type="none"/>
                  <w10:anchorlock/>
                </v:shape>
                <o:OLEObject Type="Embed" ProgID="Equation.3" ShapeID="_x0000_i1035" DrawAspect="Content" ObjectID="_1468075731" r:id="rId21">
                  <o:LockedField>false</o:LockedField>
                </o:OLEObject>
              </w:object>
            </w:r>
          </w:p>
          <w:p>
            <w:pPr>
              <w:spacing w:line="360" w:lineRule="auto"/>
              <w:ind w:left="630" w:leftChars="300"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L</w:t>
            </w:r>
            <w:r>
              <w:rPr>
                <w:color w:val="000000" w:themeColor="text1"/>
                <w:kern w:val="0"/>
                <w:sz w:val="24"/>
                <w:vertAlign w:val="subscript"/>
                <w14:textFill>
                  <w14:solidFill>
                    <w14:schemeClr w14:val="tx1"/>
                  </w14:solidFill>
                </w14:textFill>
              </w:rPr>
              <w:t xml:space="preserve">eqg </w:t>
            </w:r>
            <w:r>
              <w:rPr>
                <w:color w:val="000000" w:themeColor="text1"/>
                <w:kern w:val="0"/>
                <w:sz w:val="24"/>
                <w14:textFill>
                  <w14:solidFill>
                    <w14:schemeClr w14:val="tx1"/>
                  </w14:solidFill>
                </w14:textFill>
              </w:rPr>
              <w:t>— 建设项目声源在预测点的等效声级贡献值，dB(A)；</w:t>
            </w:r>
          </w:p>
          <w:p>
            <w:pPr>
              <w:spacing w:line="360" w:lineRule="auto"/>
              <w:ind w:left="630" w:leftChars="300"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L</w:t>
            </w:r>
            <w:r>
              <w:rPr>
                <w:color w:val="000000" w:themeColor="text1"/>
                <w:kern w:val="0"/>
                <w:sz w:val="24"/>
                <w:vertAlign w:val="subscript"/>
                <w14:textFill>
                  <w14:solidFill>
                    <w14:schemeClr w14:val="tx1"/>
                  </w14:solidFill>
                </w14:textFill>
              </w:rPr>
              <w:t xml:space="preserve">eqb </w:t>
            </w:r>
            <w:r>
              <w:rPr>
                <w:color w:val="000000" w:themeColor="text1"/>
                <w:kern w:val="0"/>
                <w:sz w:val="24"/>
                <w14:textFill>
                  <w14:solidFill>
                    <w14:schemeClr w14:val="tx1"/>
                  </w14:solidFill>
                </w14:textFill>
              </w:rPr>
              <w:t>— 预测点的背景值，dB(A)。</w:t>
            </w:r>
          </w:p>
          <w:p>
            <w:pPr>
              <w:spacing w:line="360" w:lineRule="auto"/>
              <w:ind w:firstLine="480" w:firstLineChars="200"/>
              <w:rPr>
                <w:color w:val="000000" w:themeColor="text1"/>
                <w:kern w:val="0"/>
                <w:sz w:val="24"/>
                <w14:textFill>
                  <w14:solidFill>
                    <w14:schemeClr w14:val="tx1"/>
                  </w14:solidFill>
                </w14:textFill>
              </w:rPr>
            </w:pPr>
            <w:bookmarkStart w:id="14" w:name="_Toc341867184"/>
            <w:bookmarkStart w:id="15" w:name="_Toc369167145"/>
            <w:r>
              <w:rPr>
                <w:rFonts w:hint="eastAsia"/>
                <w:color w:val="000000" w:themeColor="text1"/>
                <w:kern w:val="0"/>
                <w:sz w:val="24"/>
                <w14:textFill>
                  <w14:solidFill>
                    <w14:schemeClr w14:val="tx1"/>
                  </w14:solidFill>
                </w14:textFill>
              </w:rPr>
              <w:t>（6）</w:t>
            </w:r>
            <w:r>
              <w:rPr>
                <w:color w:val="000000" w:themeColor="text1"/>
                <w:kern w:val="0"/>
                <w:sz w:val="24"/>
                <w14:textFill>
                  <w14:solidFill>
                    <w14:schemeClr w14:val="tx1"/>
                  </w14:solidFill>
                </w14:textFill>
              </w:rPr>
              <w:t>预测结果及评价</w:t>
            </w:r>
            <w:bookmarkEnd w:id="14"/>
            <w:bookmarkEnd w:id="15"/>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预测按照采取环评治理措施后的影响进行计算</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环安噪声预测软件Noise System</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，厂界噪声预测结果见表7-19</w:t>
            </w:r>
            <w:r>
              <w:rPr>
                <w:rFonts w:hint="eastAsia"/>
                <w:color w:val="000000" w:themeColor="text1"/>
                <w:kern w:val="0"/>
                <w:sz w:val="24"/>
                <w14:textFill>
                  <w14:solidFill>
                    <w14:schemeClr w14:val="tx1"/>
                  </w14:solidFill>
                </w14:textFill>
              </w:rPr>
              <w:t>，项目噪声贡献值等值线图见附图</w:t>
            </w:r>
            <w:r>
              <w:rPr>
                <w:color w:val="000000" w:themeColor="text1"/>
                <w:kern w:val="0"/>
                <w:sz w:val="24"/>
                <w14:textFill>
                  <w14:solidFill>
                    <w14:schemeClr w14:val="tx1"/>
                  </w14:solidFill>
                </w14:textFill>
              </w:rPr>
              <w:t>。</w:t>
            </w:r>
          </w:p>
          <w:p>
            <w:pPr>
              <w:spacing w:line="360" w:lineRule="auto"/>
              <w:ind w:firstLine="480" w:firstLineChars="200"/>
              <w:jc w:val="center"/>
              <w:rPr>
                <w:rFonts w:eastAsia="黑体"/>
                <w:color w:val="000000" w:themeColor="text1"/>
                <w:kern w:val="0"/>
                <w:sz w:val="24"/>
                <w14:textFill>
                  <w14:solidFill>
                    <w14:schemeClr w14:val="tx1"/>
                  </w14:solidFill>
                </w14:textFill>
              </w:rPr>
            </w:pPr>
            <w:r>
              <w:rPr>
                <w:rFonts w:eastAsia="黑体"/>
                <w:color w:val="000000" w:themeColor="text1"/>
                <w:kern w:val="0"/>
                <w:sz w:val="24"/>
                <w14:textFill>
                  <w14:solidFill>
                    <w14:schemeClr w14:val="tx1"/>
                  </w14:solidFill>
                </w14:textFill>
              </w:rPr>
              <w:t>表7-19    噪声预测结果        单位：dB(A)</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445"/>
              <w:gridCol w:w="1132"/>
              <w:gridCol w:w="1311"/>
              <w:gridCol w:w="1570"/>
              <w:gridCol w:w="15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1902" w:type="pct"/>
                  <w:vMerge w:val="restart"/>
                  <w:shd w:val="clear" w:color="auto" w:fill="auto"/>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位置</w:t>
                  </w:r>
                </w:p>
              </w:tc>
              <w:tc>
                <w:tcPr>
                  <w:tcW w:w="1349" w:type="pct"/>
                  <w:gridSpan w:val="2"/>
                  <w:shd w:val="clear" w:color="auto" w:fill="auto"/>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背景值</w:t>
                  </w:r>
                </w:p>
              </w:tc>
              <w:tc>
                <w:tcPr>
                  <w:tcW w:w="1749" w:type="pct"/>
                  <w:gridSpan w:val="2"/>
                  <w:shd w:val="clear" w:color="auto" w:fill="auto"/>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总噪声级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1902" w:type="pct"/>
                  <w:vMerge w:val="continue"/>
                  <w:shd w:val="clear" w:color="auto" w:fill="auto"/>
                  <w:vAlign w:val="center"/>
                </w:tcPr>
                <w:p>
                  <w:pPr>
                    <w:jc w:val="center"/>
                    <w:rPr>
                      <w:color w:val="000000" w:themeColor="text1"/>
                      <w:szCs w:val="21"/>
                      <w14:textFill>
                        <w14:solidFill>
                          <w14:schemeClr w14:val="tx1"/>
                        </w14:solidFill>
                      </w14:textFill>
                    </w:rPr>
                  </w:pPr>
                </w:p>
              </w:tc>
              <w:tc>
                <w:tcPr>
                  <w:tcW w:w="625" w:type="pct"/>
                  <w:shd w:val="clear" w:color="auto" w:fill="auto"/>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昼间</w:t>
                  </w:r>
                </w:p>
              </w:tc>
              <w:tc>
                <w:tcPr>
                  <w:tcW w:w="724" w:type="pct"/>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夜间</w:t>
                  </w:r>
                </w:p>
              </w:tc>
              <w:tc>
                <w:tcPr>
                  <w:tcW w:w="867" w:type="pct"/>
                  <w:shd w:val="clear" w:color="auto" w:fill="auto"/>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昼间</w:t>
                  </w:r>
                </w:p>
              </w:tc>
              <w:tc>
                <w:tcPr>
                  <w:tcW w:w="882" w:type="pct"/>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1902" w:type="pct"/>
                  <w:shd w:val="clear" w:color="auto" w:fill="auto"/>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北厂界（N</w:t>
                  </w:r>
                  <w:r>
                    <w:rPr>
                      <w:color w:val="000000" w:themeColor="text1"/>
                      <w:szCs w:val="21"/>
                      <w:vertAlign w:val="subscript"/>
                      <w14:textFill>
                        <w14:solidFill>
                          <w14:schemeClr w14:val="tx1"/>
                        </w14:solidFill>
                      </w14:textFill>
                    </w:rPr>
                    <w:t>1</w:t>
                  </w:r>
                  <w:r>
                    <w:rPr>
                      <w:color w:val="000000" w:themeColor="text1"/>
                      <w:szCs w:val="21"/>
                      <w14:textFill>
                        <w14:solidFill>
                          <w14:schemeClr w14:val="tx1"/>
                        </w14:solidFill>
                      </w14:textFill>
                    </w:rPr>
                    <w:t>）</w:t>
                  </w:r>
                </w:p>
              </w:tc>
              <w:tc>
                <w:tcPr>
                  <w:tcW w:w="625" w:type="pct"/>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3</w:t>
                  </w:r>
                </w:p>
              </w:tc>
              <w:tc>
                <w:tcPr>
                  <w:tcW w:w="724" w:type="pct"/>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4</w:t>
                  </w:r>
                </w:p>
              </w:tc>
              <w:tc>
                <w:tcPr>
                  <w:tcW w:w="867" w:type="pct"/>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8.54</w:t>
                  </w:r>
                </w:p>
              </w:tc>
              <w:tc>
                <w:tcPr>
                  <w:tcW w:w="88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8.54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1902" w:type="pct"/>
                  <w:shd w:val="clear" w:color="auto" w:fill="auto"/>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东厂界（N</w:t>
                  </w:r>
                  <w:r>
                    <w:rPr>
                      <w:color w:val="000000" w:themeColor="text1"/>
                      <w:szCs w:val="21"/>
                      <w:vertAlign w:val="subscript"/>
                      <w14:textFill>
                        <w14:solidFill>
                          <w14:schemeClr w14:val="tx1"/>
                        </w14:solidFill>
                      </w14:textFill>
                    </w:rPr>
                    <w:t>2</w:t>
                  </w:r>
                  <w:r>
                    <w:rPr>
                      <w:color w:val="000000" w:themeColor="text1"/>
                      <w:szCs w:val="21"/>
                      <w14:textFill>
                        <w14:solidFill>
                          <w14:schemeClr w14:val="tx1"/>
                        </w14:solidFill>
                      </w14:textFill>
                    </w:rPr>
                    <w:t>）</w:t>
                  </w:r>
                </w:p>
              </w:tc>
              <w:tc>
                <w:tcPr>
                  <w:tcW w:w="625" w:type="pct"/>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2</w:t>
                  </w:r>
                </w:p>
              </w:tc>
              <w:tc>
                <w:tcPr>
                  <w:tcW w:w="724" w:type="pct"/>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3</w:t>
                  </w:r>
                </w:p>
              </w:tc>
              <w:tc>
                <w:tcPr>
                  <w:tcW w:w="867" w:type="pct"/>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7.31</w:t>
                  </w:r>
                </w:p>
              </w:tc>
              <w:tc>
                <w:tcPr>
                  <w:tcW w:w="88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7.31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1902" w:type="pct"/>
                  <w:shd w:val="clear" w:color="auto" w:fill="auto"/>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南厂界（N</w:t>
                  </w:r>
                  <w:r>
                    <w:rPr>
                      <w:color w:val="000000" w:themeColor="text1"/>
                      <w:szCs w:val="21"/>
                      <w:vertAlign w:val="subscript"/>
                      <w14:textFill>
                        <w14:solidFill>
                          <w14:schemeClr w14:val="tx1"/>
                        </w14:solidFill>
                      </w14:textFill>
                    </w:rPr>
                    <w:t>3</w:t>
                  </w:r>
                  <w:r>
                    <w:rPr>
                      <w:color w:val="000000" w:themeColor="text1"/>
                      <w:szCs w:val="21"/>
                      <w14:textFill>
                        <w14:solidFill>
                          <w14:schemeClr w14:val="tx1"/>
                        </w14:solidFill>
                      </w14:textFill>
                    </w:rPr>
                    <w:t>）</w:t>
                  </w:r>
                </w:p>
              </w:tc>
              <w:tc>
                <w:tcPr>
                  <w:tcW w:w="625" w:type="pct"/>
                  <w:shd w:val="clear" w:color="auto" w:fill="auto"/>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52</w:t>
                  </w:r>
                </w:p>
              </w:tc>
              <w:tc>
                <w:tcPr>
                  <w:tcW w:w="724" w:type="pct"/>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3</w:t>
                  </w:r>
                </w:p>
              </w:tc>
              <w:tc>
                <w:tcPr>
                  <w:tcW w:w="867" w:type="pct"/>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3.25</w:t>
                  </w:r>
                </w:p>
              </w:tc>
              <w:tc>
                <w:tcPr>
                  <w:tcW w:w="88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3.25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1902" w:type="pct"/>
                  <w:shd w:val="clear" w:color="auto" w:fill="auto"/>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西厂界（N</w:t>
                  </w:r>
                  <w:r>
                    <w:rPr>
                      <w:color w:val="000000" w:themeColor="text1"/>
                      <w:szCs w:val="21"/>
                      <w:vertAlign w:val="subscript"/>
                      <w14:textFill>
                        <w14:solidFill>
                          <w14:schemeClr w14:val="tx1"/>
                        </w14:solidFill>
                      </w14:textFill>
                    </w:rPr>
                    <w:t>4</w:t>
                  </w:r>
                  <w:r>
                    <w:rPr>
                      <w:color w:val="000000" w:themeColor="text1"/>
                      <w:szCs w:val="21"/>
                      <w14:textFill>
                        <w14:solidFill>
                          <w14:schemeClr w14:val="tx1"/>
                        </w14:solidFill>
                      </w14:textFill>
                    </w:rPr>
                    <w:t>）</w:t>
                  </w:r>
                </w:p>
              </w:tc>
              <w:tc>
                <w:tcPr>
                  <w:tcW w:w="625" w:type="pct"/>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3</w:t>
                  </w:r>
                </w:p>
              </w:tc>
              <w:tc>
                <w:tcPr>
                  <w:tcW w:w="724" w:type="pct"/>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44</w:t>
                  </w:r>
                </w:p>
              </w:tc>
              <w:tc>
                <w:tcPr>
                  <w:tcW w:w="867" w:type="pct"/>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7.97</w:t>
                  </w:r>
                </w:p>
              </w:tc>
              <w:tc>
                <w:tcPr>
                  <w:tcW w:w="88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7.97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1902" w:type="pct"/>
                  <w:shd w:val="clear" w:color="auto" w:fill="auto"/>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GB12348-2008 2类标准限值</w:t>
                  </w:r>
                </w:p>
              </w:tc>
              <w:tc>
                <w:tcPr>
                  <w:tcW w:w="625" w:type="pct"/>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724"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867" w:type="pct"/>
                  <w:shd w:val="clear" w:color="auto" w:fill="auto"/>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0</w:t>
                  </w:r>
                </w:p>
              </w:tc>
              <w:tc>
                <w:tcPr>
                  <w:tcW w:w="88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0</w:t>
                  </w:r>
                </w:p>
              </w:tc>
            </w:tr>
          </w:tbl>
          <w:p>
            <w:pPr>
              <w:ind w:firstLine="354" w:firstLineChars="196"/>
              <w:rPr>
                <w:b/>
                <w:color w:val="000000" w:themeColor="text1"/>
                <w:kern w:val="0"/>
                <w:sz w:val="18"/>
                <w:szCs w:val="18"/>
                <w14:textFill>
                  <w14:solidFill>
                    <w14:schemeClr w14:val="tx1"/>
                  </w14:solidFill>
                </w14:textFill>
              </w:rPr>
            </w:pPr>
            <w:r>
              <w:rPr>
                <w:b/>
                <w:color w:val="000000" w:themeColor="text1"/>
                <w:kern w:val="0"/>
                <w:sz w:val="18"/>
                <w:szCs w:val="18"/>
                <w14:textFill>
                  <w14:solidFill>
                    <w14:schemeClr w14:val="tx1"/>
                  </w14:solidFill>
                </w14:textFill>
              </w:rPr>
              <w:t>注：本工程24小时连续运行，昼夜间贡献值相同。</w:t>
            </w:r>
          </w:p>
          <w:p>
            <w:pPr>
              <w:spacing w:line="500" w:lineRule="exact"/>
              <w:ind w:firstLine="480" w:firstLineChars="200"/>
              <w:rPr>
                <w:color w:val="000000" w:themeColor="text1"/>
                <w:kern w:val="0"/>
                <w:sz w:val="24"/>
                <w:szCs w:val="20"/>
                <w14:textFill>
                  <w14:solidFill>
                    <w14:schemeClr w14:val="tx1"/>
                  </w14:solidFill>
                </w14:textFill>
              </w:rPr>
            </w:pPr>
            <w:r>
              <w:rPr>
                <w:color w:val="000000" w:themeColor="text1"/>
                <w:kern w:val="0"/>
                <w:sz w:val="24"/>
                <w14:textFill>
                  <w14:solidFill>
                    <w14:schemeClr w14:val="tx1"/>
                  </w14:solidFill>
                </w14:textFill>
              </w:rPr>
              <w:t>从预测结果看，</w:t>
            </w:r>
            <w:r>
              <w:rPr>
                <w:color w:val="000000" w:themeColor="text1"/>
                <w:kern w:val="0"/>
                <w:sz w:val="24"/>
                <w:szCs w:val="20"/>
                <w14:textFill>
                  <w14:solidFill>
                    <w14:schemeClr w14:val="tx1"/>
                  </w14:solidFill>
                </w14:textFill>
              </w:rPr>
              <w:t>厂界噪声可满足GB12348-2008《工业企业厂界环境噪声排放标准》2类标准</w:t>
            </w:r>
            <w:r>
              <w:rPr>
                <w:rFonts w:hint="eastAsia"/>
                <w:color w:val="000000" w:themeColor="text1"/>
                <w:kern w:val="0"/>
                <w:sz w:val="24"/>
                <w:szCs w:val="20"/>
                <w14:textFill>
                  <w14:solidFill>
                    <w14:schemeClr w14:val="tx1"/>
                  </w14:solidFill>
                </w14:textFill>
              </w:rPr>
              <w:t>，</w:t>
            </w:r>
            <w:r>
              <w:rPr>
                <w:color w:val="000000" w:themeColor="text1"/>
                <w:kern w:val="0"/>
                <w:sz w:val="24"/>
                <w:szCs w:val="20"/>
                <w14:textFill>
                  <w14:solidFill>
                    <w14:schemeClr w14:val="tx1"/>
                  </w14:solidFill>
                </w14:textFill>
              </w:rPr>
              <w:t>对周围环境及敏感点影响甚小。</w:t>
            </w:r>
          </w:p>
          <w:p>
            <w:pPr>
              <w:adjustRightInd w:val="0"/>
              <w:snapToGrid w:val="0"/>
              <w:spacing w:line="360" w:lineRule="auto"/>
              <w:ind w:firstLine="482" w:firstLineChars="200"/>
              <w:rPr>
                <w:b/>
                <w:kern w:val="0"/>
                <w:sz w:val="24"/>
              </w:rPr>
            </w:pPr>
            <w:r>
              <w:rPr>
                <w:b/>
                <w:kern w:val="0"/>
                <w:sz w:val="24"/>
              </w:rPr>
              <w:t>4、固废影响分析</w:t>
            </w:r>
          </w:p>
          <w:p>
            <w:pPr>
              <w:adjustRightInd w:val="0"/>
              <w:snapToGrid w:val="0"/>
              <w:spacing w:line="360" w:lineRule="auto"/>
              <w:ind w:firstLine="480"/>
              <w:rPr>
                <w:kern w:val="0"/>
                <w:sz w:val="24"/>
              </w:rPr>
            </w:pPr>
            <w:r>
              <w:rPr>
                <w:rFonts w:hint="eastAsia"/>
                <w:kern w:val="0"/>
                <w:sz w:val="24"/>
              </w:rPr>
              <w:t>运营期固废主要为生活垃圾、边角料、除尘器收集的粉尘、废包材、锅炉制水产生的废滤芯、废反渗透膜、危险废物（废活性炭、废机油、废油抹布）</w:t>
            </w:r>
            <w:r>
              <w:rPr>
                <w:kern w:val="0"/>
                <w:sz w:val="24"/>
              </w:rPr>
              <w:t>。</w:t>
            </w:r>
          </w:p>
          <w:p>
            <w:pPr>
              <w:spacing w:line="360" w:lineRule="auto"/>
              <w:jc w:val="center"/>
              <w:rPr>
                <w:b/>
                <w:bCs/>
                <w:color w:val="000000" w:themeColor="text1"/>
                <w:kern w:val="0"/>
                <w:sz w:val="24"/>
                <w:szCs w:val="20"/>
                <w14:textFill>
                  <w14:solidFill>
                    <w14:schemeClr w14:val="tx1"/>
                  </w14:solidFill>
                </w14:textFill>
              </w:rPr>
            </w:pPr>
            <w:r>
              <w:rPr>
                <w:rFonts w:hint="eastAsia"/>
                <w:b/>
                <w:bCs/>
                <w:color w:val="000000" w:themeColor="text1"/>
                <w:kern w:val="0"/>
                <w:sz w:val="24"/>
                <w:szCs w:val="20"/>
                <w14:textFill>
                  <w14:solidFill>
                    <w14:schemeClr w14:val="tx1"/>
                  </w14:solidFill>
                </w14:textFill>
              </w:rPr>
              <w:t>表</w:t>
            </w:r>
            <w:r>
              <w:rPr>
                <w:b/>
                <w:bCs/>
                <w:color w:val="000000" w:themeColor="text1"/>
                <w:kern w:val="0"/>
                <w:sz w:val="24"/>
                <w:szCs w:val="20"/>
                <w14:textFill>
                  <w14:solidFill>
                    <w14:schemeClr w14:val="tx1"/>
                  </w14:solidFill>
                </w14:textFill>
              </w:rPr>
              <w:t>7</w:t>
            </w:r>
            <w:r>
              <w:rPr>
                <w:rFonts w:hint="eastAsia"/>
                <w:b/>
                <w:bCs/>
                <w:color w:val="000000" w:themeColor="text1"/>
                <w:kern w:val="0"/>
                <w:sz w:val="24"/>
                <w:szCs w:val="20"/>
                <w14:textFill>
                  <w14:solidFill>
                    <w14:schemeClr w14:val="tx1"/>
                  </w14:solidFill>
                </w14:textFill>
              </w:rPr>
              <w:t>-</w:t>
            </w:r>
            <w:r>
              <w:rPr>
                <w:b/>
                <w:bCs/>
                <w:color w:val="000000" w:themeColor="text1"/>
                <w:kern w:val="0"/>
                <w:sz w:val="24"/>
                <w:szCs w:val="20"/>
                <w14:textFill>
                  <w14:solidFill>
                    <w14:schemeClr w14:val="tx1"/>
                  </w14:solidFill>
                </w14:textFill>
              </w:rPr>
              <w:t>20   项目固废产生情况一览表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21"/>
              <w:gridCol w:w="1513"/>
              <w:gridCol w:w="2067"/>
              <w:gridCol w:w="2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Align w:val="center"/>
                </w:tcPr>
                <w:p>
                  <w:pPr>
                    <w:adjustRightInd w:val="0"/>
                    <w:snapToGrid w:val="0"/>
                    <w:jc w:val="center"/>
                    <w:rPr>
                      <w:kern w:val="0"/>
                      <w:szCs w:val="21"/>
                    </w:rPr>
                  </w:pPr>
                  <w:r>
                    <w:rPr>
                      <w:rFonts w:hint="eastAsia"/>
                      <w:kern w:val="0"/>
                      <w:szCs w:val="21"/>
                    </w:rPr>
                    <w:t>固废名称</w:t>
                  </w:r>
                </w:p>
              </w:tc>
              <w:tc>
                <w:tcPr>
                  <w:tcW w:w="835" w:type="pct"/>
                  <w:vAlign w:val="center"/>
                </w:tcPr>
                <w:p>
                  <w:pPr>
                    <w:adjustRightInd w:val="0"/>
                    <w:snapToGrid w:val="0"/>
                    <w:jc w:val="center"/>
                    <w:rPr>
                      <w:kern w:val="0"/>
                      <w:szCs w:val="21"/>
                    </w:rPr>
                  </w:pPr>
                  <w:r>
                    <w:rPr>
                      <w:rFonts w:hint="eastAsia"/>
                      <w:kern w:val="0"/>
                      <w:szCs w:val="21"/>
                    </w:rPr>
                    <w:t>产物因子</w:t>
                  </w:r>
                </w:p>
              </w:tc>
              <w:tc>
                <w:tcPr>
                  <w:tcW w:w="1141" w:type="pct"/>
                </w:tcPr>
                <w:p>
                  <w:pPr>
                    <w:adjustRightInd w:val="0"/>
                    <w:snapToGrid w:val="0"/>
                    <w:jc w:val="center"/>
                    <w:rPr>
                      <w:kern w:val="0"/>
                      <w:szCs w:val="21"/>
                    </w:rPr>
                  </w:pPr>
                  <w:r>
                    <w:rPr>
                      <w:rFonts w:hint="eastAsia"/>
                      <w:kern w:val="0"/>
                      <w:szCs w:val="21"/>
                    </w:rPr>
                    <w:t>产生量t</w:t>
                  </w:r>
                  <w:r>
                    <w:rPr>
                      <w:kern w:val="0"/>
                      <w:szCs w:val="21"/>
                    </w:rPr>
                    <w:t>/a</w:t>
                  </w:r>
                </w:p>
              </w:tc>
              <w:tc>
                <w:tcPr>
                  <w:tcW w:w="1191" w:type="pct"/>
                </w:tcPr>
                <w:p>
                  <w:pPr>
                    <w:adjustRightInd w:val="0"/>
                    <w:snapToGrid w:val="0"/>
                    <w:jc w:val="center"/>
                    <w:rPr>
                      <w:kern w:val="0"/>
                      <w:szCs w:val="21"/>
                    </w:rPr>
                  </w:pPr>
                  <w:r>
                    <w:rPr>
                      <w:rFonts w:hint="eastAsia"/>
                      <w:kern w:val="0"/>
                      <w:szCs w:val="21"/>
                    </w:rPr>
                    <w:t>处置措施及去向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Align w:val="center"/>
                </w:tcPr>
                <w:p>
                  <w:pPr>
                    <w:adjustRightInd w:val="0"/>
                    <w:snapToGrid w:val="0"/>
                    <w:jc w:val="center"/>
                    <w:rPr>
                      <w:kern w:val="0"/>
                      <w:szCs w:val="21"/>
                    </w:rPr>
                  </w:pPr>
                  <w:r>
                    <w:rPr>
                      <w:rFonts w:hint="eastAsia"/>
                      <w:kern w:val="0"/>
                      <w:szCs w:val="21"/>
                    </w:rPr>
                    <w:t>生活垃圾</w:t>
                  </w:r>
                </w:p>
              </w:tc>
              <w:tc>
                <w:tcPr>
                  <w:tcW w:w="835" w:type="pct"/>
                  <w:vAlign w:val="center"/>
                </w:tcPr>
                <w:p>
                  <w:pPr>
                    <w:adjustRightInd w:val="0"/>
                    <w:snapToGrid w:val="0"/>
                    <w:jc w:val="center"/>
                    <w:rPr>
                      <w:kern w:val="0"/>
                      <w:szCs w:val="21"/>
                    </w:rPr>
                  </w:pPr>
                  <w:r>
                    <w:rPr>
                      <w:rFonts w:hint="eastAsia"/>
                      <w:kern w:val="0"/>
                      <w:szCs w:val="21"/>
                    </w:rPr>
                    <w:t>生活垃圾</w:t>
                  </w:r>
                </w:p>
              </w:tc>
              <w:tc>
                <w:tcPr>
                  <w:tcW w:w="1141" w:type="pct"/>
                </w:tcPr>
                <w:p>
                  <w:pPr>
                    <w:adjustRightInd w:val="0"/>
                    <w:snapToGrid w:val="0"/>
                    <w:jc w:val="center"/>
                    <w:rPr>
                      <w:kern w:val="0"/>
                      <w:szCs w:val="21"/>
                    </w:rPr>
                  </w:pPr>
                  <w:r>
                    <w:rPr>
                      <w:rFonts w:hint="eastAsia"/>
                      <w:kern w:val="0"/>
                      <w:szCs w:val="21"/>
                    </w:rPr>
                    <w:t>3</w:t>
                  </w:r>
                  <w:r>
                    <w:rPr>
                      <w:kern w:val="0"/>
                      <w:szCs w:val="21"/>
                    </w:rPr>
                    <w:t>.0</w:t>
                  </w:r>
                </w:p>
              </w:tc>
              <w:tc>
                <w:tcPr>
                  <w:tcW w:w="1191" w:type="pct"/>
                </w:tcPr>
                <w:p>
                  <w:pPr>
                    <w:adjustRightInd w:val="0"/>
                    <w:snapToGrid w:val="0"/>
                    <w:jc w:val="center"/>
                    <w:rPr>
                      <w:kern w:val="0"/>
                      <w:szCs w:val="21"/>
                    </w:rPr>
                  </w:pPr>
                  <w:r>
                    <w:rPr>
                      <w:rFonts w:hint="eastAsia"/>
                      <w:kern w:val="0"/>
                      <w:szCs w:val="21"/>
                    </w:rPr>
                    <w:t>分类收集，交由环卫部门处置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restart"/>
                  <w:vAlign w:val="center"/>
                </w:tcPr>
                <w:p>
                  <w:pPr>
                    <w:adjustRightInd w:val="0"/>
                    <w:snapToGrid w:val="0"/>
                    <w:jc w:val="center"/>
                    <w:rPr>
                      <w:rFonts w:ascii="宋体" w:hAnsi="宋体"/>
                      <w:kern w:val="0"/>
                      <w:szCs w:val="21"/>
                    </w:rPr>
                  </w:pPr>
                  <w:r>
                    <w:rPr>
                      <w:rFonts w:hint="eastAsia"/>
                      <w:kern w:val="0"/>
                      <w:szCs w:val="21"/>
                    </w:rPr>
                    <w:t>一般固废</w:t>
                  </w:r>
                </w:p>
              </w:tc>
              <w:tc>
                <w:tcPr>
                  <w:tcW w:w="835" w:type="pct"/>
                  <w:vAlign w:val="center"/>
                </w:tcPr>
                <w:p>
                  <w:pPr>
                    <w:adjustRightInd w:val="0"/>
                    <w:snapToGrid w:val="0"/>
                    <w:jc w:val="center"/>
                    <w:rPr>
                      <w:kern w:val="0"/>
                      <w:szCs w:val="21"/>
                    </w:rPr>
                  </w:pPr>
                  <w:r>
                    <w:rPr>
                      <w:rFonts w:hint="eastAsia" w:ascii="宋体" w:hAnsi="宋体"/>
                      <w:szCs w:val="21"/>
                    </w:rPr>
                    <w:t>边角料</w:t>
                  </w:r>
                </w:p>
              </w:tc>
              <w:tc>
                <w:tcPr>
                  <w:tcW w:w="1141" w:type="pct"/>
                </w:tcPr>
                <w:p>
                  <w:pPr>
                    <w:adjustRightInd w:val="0"/>
                    <w:snapToGrid w:val="0"/>
                    <w:jc w:val="center"/>
                    <w:rPr>
                      <w:kern w:val="0"/>
                      <w:szCs w:val="21"/>
                    </w:rPr>
                  </w:pPr>
                  <w:r>
                    <w:rPr>
                      <w:rFonts w:hint="eastAsia"/>
                      <w:kern w:val="0"/>
                      <w:szCs w:val="21"/>
                    </w:rPr>
                    <w:t>2</w:t>
                  </w:r>
                  <w:r>
                    <w:rPr>
                      <w:kern w:val="0"/>
                      <w:szCs w:val="21"/>
                    </w:rPr>
                    <w:t>8</w:t>
                  </w:r>
                </w:p>
              </w:tc>
              <w:tc>
                <w:tcPr>
                  <w:tcW w:w="1191" w:type="pct"/>
                </w:tcPr>
                <w:p>
                  <w:pPr>
                    <w:adjustRightInd w:val="0"/>
                    <w:snapToGrid w:val="0"/>
                    <w:jc w:val="center"/>
                    <w:rPr>
                      <w:kern w:val="0"/>
                      <w:szCs w:val="21"/>
                    </w:rPr>
                  </w:pPr>
                  <w:r>
                    <w:rPr>
                      <w:rFonts w:hint="eastAsia"/>
                      <w:kern w:val="0"/>
                      <w:szCs w:val="21"/>
                    </w:rPr>
                    <w:t>回收熔融后外售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continue"/>
                  <w:vAlign w:val="center"/>
                </w:tcPr>
                <w:p>
                  <w:pPr>
                    <w:adjustRightInd w:val="0"/>
                    <w:snapToGrid w:val="0"/>
                    <w:jc w:val="center"/>
                    <w:rPr>
                      <w:rFonts w:ascii="宋体" w:hAnsi="宋体"/>
                      <w:kern w:val="0"/>
                      <w:szCs w:val="21"/>
                    </w:rPr>
                  </w:pPr>
                </w:p>
              </w:tc>
              <w:tc>
                <w:tcPr>
                  <w:tcW w:w="835" w:type="pct"/>
                  <w:vAlign w:val="center"/>
                </w:tcPr>
                <w:p>
                  <w:pPr>
                    <w:adjustRightInd w:val="0"/>
                    <w:snapToGrid w:val="0"/>
                    <w:jc w:val="center"/>
                    <w:rPr>
                      <w:kern w:val="0"/>
                      <w:szCs w:val="21"/>
                    </w:rPr>
                  </w:pPr>
                  <w:r>
                    <w:rPr>
                      <w:rFonts w:hint="eastAsia" w:ascii="宋体" w:hAnsi="宋体"/>
                      <w:szCs w:val="21"/>
                    </w:rPr>
                    <w:t>粉尘</w:t>
                  </w:r>
                </w:p>
              </w:tc>
              <w:tc>
                <w:tcPr>
                  <w:tcW w:w="1141" w:type="pct"/>
                </w:tcPr>
                <w:p>
                  <w:pPr>
                    <w:adjustRightInd w:val="0"/>
                    <w:snapToGrid w:val="0"/>
                    <w:jc w:val="center"/>
                    <w:rPr>
                      <w:kern w:val="0"/>
                      <w:szCs w:val="21"/>
                    </w:rPr>
                  </w:pPr>
                  <w:r>
                    <w:rPr>
                      <w:rFonts w:hint="eastAsia"/>
                      <w:kern w:val="0"/>
                      <w:szCs w:val="21"/>
                    </w:rPr>
                    <w:t>5</w:t>
                  </w:r>
                  <w:r>
                    <w:rPr>
                      <w:kern w:val="0"/>
                      <w:szCs w:val="21"/>
                    </w:rPr>
                    <w:t>.668</w:t>
                  </w:r>
                </w:p>
              </w:tc>
              <w:tc>
                <w:tcPr>
                  <w:tcW w:w="1191" w:type="pct"/>
                </w:tcPr>
                <w:p>
                  <w:pPr>
                    <w:adjustRightInd w:val="0"/>
                    <w:snapToGrid w:val="0"/>
                    <w:jc w:val="center"/>
                    <w:rPr>
                      <w:kern w:val="0"/>
                      <w:szCs w:val="21"/>
                    </w:rPr>
                  </w:pPr>
                  <w:r>
                    <w:rPr>
                      <w:rFonts w:hint="eastAsia"/>
                      <w:kern w:val="0"/>
                      <w:szCs w:val="21"/>
                    </w:rPr>
                    <w:t>收集后外售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continue"/>
                  <w:vAlign w:val="center"/>
                </w:tcPr>
                <w:p>
                  <w:pPr>
                    <w:adjustRightInd w:val="0"/>
                    <w:snapToGrid w:val="0"/>
                    <w:jc w:val="center"/>
                    <w:rPr>
                      <w:rFonts w:ascii="宋体" w:hAnsi="宋体"/>
                      <w:kern w:val="0"/>
                      <w:szCs w:val="21"/>
                    </w:rPr>
                  </w:pPr>
                </w:p>
              </w:tc>
              <w:tc>
                <w:tcPr>
                  <w:tcW w:w="835" w:type="pct"/>
                  <w:vAlign w:val="center"/>
                </w:tcPr>
                <w:p>
                  <w:pPr>
                    <w:adjustRightInd w:val="0"/>
                    <w:snapToGrid w:val="0"/>
                    <w:jc w:val="center"/>
                    <w:rPr>
                      <w:kern w:val="0"/>
                      <w:szCs w:val="21"/>
                    </w:rPr>
                  </w:pPr>
                  <w:r>
                    <w:rPr>
                      <w:rFonts w:hint="eastAsia" w:ascii="宋体" w:hAnsi="宋体"/>
                      <w:szCs w:val="21"/>
                    </w:rPr>
                    <w:t>废包材</w:t>
                  </w:r>
                </w:p>
              </w:tc>
              <w:tc>
                <w:tcPr>
                  <w:tcW w:w="1141" w:type="pct"/>
                </w:tcPr>
                <w:p>
                  <w:pPr>
                    <w:adjustRightInd w:val="0"/>
                    <w:snapToGrid w:val="0"/>
                    <w:jc w:val="center"/>
                    <w:rPr>
                      <w:kern w:val="0"/>
                      <w:szCs w:val="21"/>
                    </w:rPr>
                  </w:pPr>
                  <w:r>
                    <w:rPr>
                      <w:rFonts w:hint="eastAsia"/>
                      <w:kern w:val="0"/>
                      <w:szCs w:val="21"/>
                    </w:rPr>
                    <w:t>0</w:t>
                  </w:r>
                  <w:r>
                    <w:rPr>
                      <w:kern w:val="0"/>
                      <w:szCs w:val="21"/>
                    </w:rPr>
                    <w:t>.3</w:t>
                  </w:r>
                </w:p>
              </w:tc>
              <w:tc>
                <w:tcPr>
                  <w:tcW w:w="1191" w:type="pct"/>
                </w:tcPr>
                <w:p>
                  <w:pPr>
                    <w:adjustRightInd w:val="0"/>
                    <w:snapToGrid w:val="0"/>
                    <w:jc w:val="center"/>
                    <w:rPr>
                      <w:kern w:val="0"/>
                      <w:szCs w:val="21"/>
                    </w:rPr>
                  </w:pPr>
                  <w:r>
                    <w:rPr>
                      <w:rFonts w:hint="eastAsia"/>
                      <w:kern w:val="0"/>
                      <w:szCs w:val="21"/>
                    </w:rPr>
                    <w:t>定点收集，环卫清运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continue"/>
                  <w:vAlign w:val="center"/>
                </w:tcPr>
                <w:p>
                  <w:pPr>
                    <w:adjustRightInd w:val="0"/>
                    <w:snapToGrid w:val="0"/>
                    <w:jc w:val="center"/>
                    <w:rPr>
                      <w:rFonts w:ascii="宋体" w:hAnsi="宋体"/>
                      <w:kern w:val="0"/>
                      <w:szCs w:val="21"/>
                    </w:rPr>
                  </w:pPr>
                </w:p>
              </w:tc>
              <w:tc>
                <w:tcPr>
                  <w:tcW w:w="835" w:type="pct"/>
                  <w:vAlign w:val="center"/>
                </w:tcPr>
                <w:p>
                  <w:pPr>
                    <w:adjustRightInd w:val="0"/>
                    <w:snapToGrid w:val="0"/>
                    <w:jc w:val="center"/>
                    <w:rPr>
                      <w:kern w:val="0"/>
                      <w:szCs w:val="21"/>
                    </w:rPr>
                  </w:pPr>
                  <w:r>
                    <w:rPr>
                      <w:rFonts w:hint="eastAsia" w:ascii="宋体" w:hAnsi="宋体"/>
                      <w:szCs w:val="21"/>
                    </w:rPr>
                    <w:t>废滤芯</w:t>
                  </w:r>
                </w:p>
              </w:tc>
              <w:tc>
                <w:tcPr>
                  <w:tcW w:w="1141" w:type="pct"/>
                  <w:vAlign w:val="center"/>
                </w:tcPr>
                <w:p>
                  <w:pPr>
                    <w:adjustRightInd w:val="0"/>
                    <w:snapToGrid w:val="0"/>
                    <w:jc w:val="center"/>
                    <w:rPr>
                      <w:kern w:val="0"/>
                      <w:szCs w:val="21"/>
                    </w:rPr>
                  </w:pPr>
                  <w:r>
                    <w:rPr>
                      <w:rFonts w:hint="eastAsia"/>
                      <w:szCs w:val="21"/>
                    </w:rPr>
                    <w:t>25kg/a</w:t>
                  </w:r>
                </w:p>
              </w:tc>
              <w:tc>
                <w:tcPr>
                  <w:tcW w:w="1191" w:type="pct"/>
                  <w:vMerge w:val="restart"/>
                  <w:vAlign w:val="center"/>
                </w:tcPr>
                <w:p>
                  <w:pPr>
                    <w:adjustRightInd w:val="0"/>
                    <w:snapToGrid w:val="0"/>
                    <w:jc w:val="center"/>
                    <w:rPr>
                      <w:kern w:val="0"/>
                      <w:szCs w:val="21"/>
                    </w:rPr>
                  </w:pPr>
                  <w:r>
                    <w:rPr>
                      <w:rFonts w:hint="eastAsia"/>
                      <w:kern w:val="0"/>
                      <w:szCs w:val="21"/>
                    </w:rPr>
                    <w:t>交厂家回收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continue"/>
                  <w:vAlign w:val="center"/>
                </w:tcPr>
                <w:p>
                  <w:pPr>
                    <w:adjustRightInd w:val="0"/>
                    <w:snapToGrid w:val="0"/>
                    <w:jc w:val="center"/>
                    <w:rPr>
                      <w:rFonts w:ascii="宋体" w:hAnsi="宋体"/>
                      <w:kern w:val="0"/>
                      <w:szCs w:val="21"/>
                    </w:rPr>
                  </w:pPr>
                </w:p>
              </w:tc>
              <w:tc>
                <w:tcPr>
                  <w:tcW w:w="835" w:type="pct"/>
                  <w:vAlign w:val="center"/>
                </w:tcPr>
                <w:p>
                  <w:pPr>
                    <w:adjustRightInd w:val="0"/>
                    <w:snapToGrid w:val="0"/>
                    <w:jc w:val="center"/>
                    <w:rPr>
                      <w:kern w:val="0"/>
                      <w:szCs w:val="21"/>
                    </w:rPr>
                  </w:pPr>
                  <w:r>
                    <w:rPr>
                      <w:rFonts w:hint="eastAsia" w:ascii="宋体" w:hAnsi="宋体"/>
                      <w:szCs w:val="21"/>
                    </w:rPr>
                    <w:t>废反渗透膜</w:t>
                  </w:r>
                </w:p>
              </w:tc>
              <w:tc>
                <w:tcPr>
                  <w:tcW w:w="1141" w:type="pct"/>
                  <w:vAlign w:val="center"/>
                </w:tcPr>
                <w:p>
                  <w:pPr>
                    <w:adjustRightInd w:val="0"/>
                    <w:snapToGrid w:val="0"/>
                    <w:jc w:val="center"/>
                    <w:rPr>
                      <w:kern w:val="0"/>
                      <w:szCs w:val="21"/>
                    </w:rPr>
                  </w:pPr>
                  <w:r>
                    <w:rPr>
                      <w:rFonts w:hint="eastAsia"/>
                      <w:szCs w:val="21"/>
                    </w:rPr>
                    <w:t>3kg/a</w:t>
                  </w:r>
                </w:p>
              </w:tc>
              <w:tc>
                <w:tcPr>
                  <w:tcW w:w="1191" w:type="pct"/>
                  <w:vMerge w:val="continue"/>
                  <w:vAlign w:val="center"/>
                </w:tcPr>
                <w:p>
                  <w:pPr>
                    <w:adjustRightInd w:val="0"/>
                    <w:snapToGrid w:val="0"/>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restart"/>
                  <w:vAlign w:val="center"/>
                </w:tcPr>
                <w:p>
                  <w:pPr>
                    <w:adjustRightInd w:val="0"/>
                    <w:snapToGrid w:val="0"/>
                    <w:jc w:val="center"/>
                    <w:rPr>
                      <w:kern w:val="0"/>
                      <w:szCs w:val="21"/>
                    </w:rPr>
                  </w:pPr>
                  <w:r>
                    <w:rPr>
                      <w:rFonts w:hint="eastAsia"/>
                      <w:kern w:val="0"/>
                      <w:szCs w:val="21"/>
                    </w:rPr>
                    <w:t>危险废物</w:t>
                  </w:r>
                </w:p>
              </w:tc>
              <w:tc>
                <w:tcPr>
                  <w:tcW w:w="835" w:type="pct"/>
                  <w:vAlign w:val="center"/>
                </w:tcPr>
                <w:p>
                  <w:pPr>
                    <w:adjustRightInd w:val="0"/>
                    <w:snapToGrid w:val="0"/>
                    <w:jc w:val="center"/>
                    <w:rPr>
                      <w:kern w:val="0"/>
                      <w:szCs w:val="21"/>
                    </w:rPr>
                  </w:pPr>
                  <w:r>
                    <w:rPr>
                      <w:rFonts w:hint="eastAsia"/>
                      <w:kern w:val="0"/>
                      <w:szCs w:val="21"/>
                    </w:rPr>
                    <w:t>废活性炭</w:t>
                  </w:r>
                </w:p>
              </w:tc>
              <w:tc>
                <w:tcPr>
                  <w:tcW w:w="1141" w:type="pct"/>
                </w:tcPr>
                <w:p>
                  <w:pPr>
                    <w:adjustRightInd w:val="0"/>
                    <w:snapToGrid w:val="0"/>
                    <w:jc w:val="center"/>
                    <w:rPr>
                      <w:kern w:val="0"/>
                      <w:szCs w:val="21"/>
                    </w:rPr>
                  </w:pPr>
                  <w:r>
                    <w:rPr>
                      <w:kern w:val="0"/>
                      <w:szCs w:val="21"/>
                    </w:rPr>
                    <w:t>18.8</w:t>
                  </w:r>
                </w:p>
              </w:tc>
              <w:tc>
                <w:tcPr>
                  <w:tcW w:w="1191" w:type="pct"/>
                  <w:vMerge w:val="restart"/>
                  <w:vAlign w:val="center"/>
                </w:tcPr>
                <w:p>
                  <w:pPr>
                    <w:adjustRightInd w:val="0"/>
                    <w:snapToGrid w:val="0"/>
                    <w:jc w:val="center"/>
                    <w:rPr>
                      <w:kern w:val="0"/>
                      <w:szCs w:val="21"/>
                    </w:rPr>
                  </w:pPr>
                  <w:r>
                    <w:rPr>
                      <w:rFonts w:hint="eastAsia"/>
                      <w:kern w:val="0"/>
                      <w:szCs w:val="21"/>
                    </w:rPr>
                    <w:t>危废暂存间存放，交由有资质单位处置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continue"/>
                  <w:vAlign w:val="center"/>
                </w:tcPr>
                <w:p>
                  <w:pPr>
                    <w:adjustRightInd w:val="0"/>
                    <w:snapToGrid w:val="0"/>
                    <w:jc w:val="center"/>
                    <w:rPr>
                      <w:kern w:val="0"/>
                      <w:szCs w:val="21"/>
                    </w:rPr>
                  </w:pPr>
                </w:p>
              </w:tc>
              <w:tc>
                <w:tcPr>
                  <w:tcW w:w="835" w:type="pct"/>
                  <w:vAlign w:val="center"/>
                </w:tcPr>
                <w:p>
                  <w:pPr>
                    <w:adjustRightInd w:val="0"/>
                    <w:snapToGrid w:val="0"/>
                    <w:jc w:val="center"/>
                    <w:rPr>
                      <w:kern w:val="0"/>
                      <w:szCs w:val="21"/>
                    </w:rPr>
                  </w:pPr>
                  <w:r>
                    <w:rPr>
                      <w:rFonts w:hint="eastAsia"/>
                      <w:kern w:val="0"/>
                      <w:szCs w:val="21"/>
                    </w:rPr>
                    <w:t>废机油</w:t>
                  </w:r>
                </w:p>
              </w:tc>
              <w:tc>
                <w:tcPr>
                  <w:tcW w:w="1141" w:type="pct"/>
                </w:tcPr>
                <w:p>
                  <w:pPr>
                    <w:adjustRightInd w:val="0"/>
                    <w:snapToGrid w:val="0"/>
                    <w:jc w:val="center"/>
                    <w:rPr>
                      <w:kern w:val="0"/>
                      <w:szCs w:val="21"/>
                    </w:rPr>
                  </w:pPr>
                  <w:r>
                    <w:rPr>
                      <w:rFonts w:hint="eastAsia"/>
                      <w:kern w:val="0"/>
                      <w:szCs w:val="21"/>
                    </w:rPr>
                    <w:t>0</w:t>
                  </w:r>
                  <w:r>
                    <w:rPr>
                      <w:kern w:val="0"/>
                      <w:szCs w:val="21"/>
                    </w:rPr>
                    <w:t>.05</w:t>
                  </w:r>
                </w:p>
              </w:tc>
              <w:tc>
                <w:tcPr>
                  <w:tcW w:w="1191" w:type="pct"/>
                  <w:vMerge w:val="continue"/>
                </w:tcPr>
                <w:p>
                  <w:pPr>
                    <w:adjustRightInd w:val="0"/>
                    <w:snapToGrid w:val="0"/>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34" w:type="pct"/>
                  <w:vMerge w:val="continue"/>
                  <w:vAlign w:val="center"/>
                </w:tcPr>
                <w:p>
                  <w:pPr>
                    <w:adjustRightInd w:val="0"/>
                    <w:snapToGrid w:val="0"/>
                    <w:jc w:val="center"/>
                    <w:rPr>
                      <w:kern w:val="0"/>
                      <w:szCs w:val="21"/>
                    </w:rPr>
                  </w:pPr>
                </w:p>
              </w:tc>
              <w:tc>
                <w:tcPr>
                  <w:tcW w:w="835" w:type="pct"/>
                  <w:vAlign w:val="center"/>
                </w:tcPr>
                <w:p>
                  <w:pPr>
                    <w:adjustRightInd w:val="0"/>
                    <w:snapToGrid w:val="0"/>
                    <w:jc w:val="center"/>
                    <w:rPr>
                      <w:kern w:val="0"/>
                      <w:szCs w:val="21"/>
                    </w:rPr>
                  </w:pPr>
                  <w:r>
                    <w:rPr>
                      <w:rFonts w:hint="eastAsia"/>
                      <w:kern w:val="0"/>
                      <w:szCs w:val="21"/>
                    </w:rPr>
                    <w:t>废油抹布</w:t>
                  </w:r>
                </w:p>
              </w:tc>
              <w:tc>
                <w:tcPr>
                  <w:tcW w:w="1141" w:type="pct"/>
                </w:tcPr>
                <w:p>
                  <w:pPr>
                    <w:adjustRightInd w:val="0"/>
                    <w:snapToGrid w:val="0"/>
                    <w:jc w:val="center"/>
                    <w:rPr>
                      <w:kern w:val="0"/>
                      <w:szCs w:val="21"/>
                    </w:rPr>
                  </w:pPr>
                  <w:r>
                    <w:rPr>
                      <w:rFonts w:hint="eastAsia"/>
                      <w:kern w:val="0"/>
                      <w:szCs w:val="21"/>
                    </w:rPr>
                    <w:t>0</w:t>
                  </w:r>
                  <w:r>
                    <w:rPr>
                      <w:kern w:val="0"/>
                      <w:szCs w:val="21"/>
                    </w:rPr>
                    <w:t>.035</w:t>
                  </w:r>
                </w:p>
              </w:tc>
              <w:tc>
                <w:tcPr>
                  <w:tcW w:w="1191" w:type="pct"/>
                  <w:vMerge w:val="continue"/>
                </w:tcPr>
                <w:p>
                  <w:pPr>
                    <w:adjustRightInd w:val="0"/>
                    <w:snapToGrid w:val="0"/>
                    <w:jc w:val="center"/>
                    <w:rPr>
                      <w:kern w:val="0"/>
                      <w:szCs w:val="21"/>
                    </w:rPr>
                  </w:pPr>
                </w:p>
              </w:tc>
            </w:tr>
          </w:tbl>
          <w:p>
            <w:pPr>
              <w:adjustRightInd w:val="0"/>
              <w:snapToGrid w:val="0"/>
              <w:spacing w:line="360" w:lineRule="auto"/>
              <w:ind w:firstLine="480" w:firstLineChars="200"/>
              <w:rPr>
                <w:kern w:val="0"/>
                <w:sz w:val="24"/>
              </w:rPr>
            </w:pPr>
            <w:r>
              <w:rPr>
                <w:kern w:val="0"/>
                <w:sz w:val="24"/>
              </w:rPr>
              <w:t>本项目固体废物处理处置规范要求：</w:t>
            </w:r>
          </w:p>
          <w:p>
            <w:pPr>
              <w:adjustRightInd w:val="0"/>
              <w:snapToGrid w:val="0"/>
              <w:spacing w:line="360" w:lineRule="auto"/>
              <w:ind w:firstLine="480" w:firstLineChars="200"/>
              <w:rPr>
                <w:kern w:val="0"/>
                <w:sz w:val="24"/>
              </w:rPr>
            </w:pPr>
            <w:r>
              <w:rPr>
                <w:rFonts w:hint="eastAsia"/>
                <w:kern w:val="0"/>
                <w:sz w:val="24"/>
              </w:rPr>
              <w:t>（1）</w:t>
            </w:r>
            <w:r>
              <w:rPr>
                <w:kern w:val="0"/>
                <w:sz w:val="24"/>
              </w:rPr>
              <w:t>一般固体废物处理处置规范要求</w:t>
            </w:r>
          </w:p>
          <w:p>
            <w:pPr>
              <w:adjustRightInd w:val="0"/>
              <w:snapToGrid w:val="0"/>
              <w:spacing w:line="360" w:lineRule="auto"/>
              <w:ind w:firstLine="480" w:firstLineChars="200"/>
              <w:rPr>
                <w:kern w:val="0"/>
                <w:sz w:val="24"/>
              </w:rPr>
            </w:pPr>
            <w:r>
              <w:rPr>
                <w:kern w:val="0"/>
                <w:sz w:val="24"/>
              </w:rPr>
              <w:t>厂区内一般</w:t>
            </w:r>
            <w:r>
              <w:rPr>
                <w:rFonts w:hint="eastAsia"/>
                <w:kern w:val="0"/>
                <w:sz w:val="24"/>
              </w:rPr>
              <w:t>工业</w:t>
            </w:r>
            <w:r>
              <w:rPr>
                <w:kern w:val="0"/>
                <w:sz w:val="24"/>
              </w:rPr>
              <w:t>固体废弃物临时集中堆场按照《一般工业固体废物贮存、处置场污染控制标准》（GB18599-2001）中的第Ⅰ类一般工业固体废物标准规定设置</w:t>
            </w:r>
            <w:r>
              <w:rPr>
                <w:rFonts w:hint="eastAsia"/>
                <w:kern w:val="0"/>
                <w:sz w:val="24"/>
              </w:rPr>
              <w:t>：</w:t>
            </w:r>
          </w:p>
          <w:p>
            <w:pPr>
              <w:adjustRightInd w:val="0"/>
              <w:snapToGrid w:val="0"/>
              <w:spacing w:line="360" w:lineRule="auto"/>
              <w:ind w:firstLine="480" w:firstLineChars="200"/>
              <w:jc w:val="left"/>
              <w:rPr>
                <w:kern w:val="0"/>
                <w:sz w:val="24"/>
              </w:rPr>
            </w:pPr>
            <w:r>
              <w:rPr>
                <w:kern w:val="0"/>
                <w:sz w:val="24"/>
              </w:rPr>
              <w:t>a、</w:t>
            </w:r>
            <w:r>
              <w:rPr>
                <w:rFonts w:hint="eastAsia"/>
                <w:kern w:val="0"/>
                <w:sz w:val="24"/>
              </w:rPr>
              <w:t>禁止危险废物混入</w:t>
            </w:r>
            <w:r>
              <w:rPr>
                <w:kern w:val="0"/>
                <w:sz w:val="24"/>
              </w:rPr>
              <w:t>。</w:t>
            </w:r>
          </w:p>
          <w:p>
            <w:pPr>
              <w:adjustRightInd w:val="0"/>
              <w:snapToGrid w:val="0"/>
              <w:spacing w:line="360" w:lineRule="auto"/>
              <w:ind w:firstLine="480" w:firstLineChars="200"/>
              <w:jc w:val="left"/>
              <w:rPr>
                <w:kern w:val="0"/>
                <w:sz w:val="24"/>
              </w:rPr>
            </w:pPr>
            <w:r>
              <w:rPr>
                <w:kern w:val="0"/>
                <w:sz w:val="24"/>
              </w:rPr>
              <w:t>b、</w:t>
            </w:r>
            <w:r>
              <w:rPr>
                <w:rFonts w:hint="eastAsia"/>
                <w:kern w:val="0"/>
                <w:sz w:val="24"/>
              </w:rPr>
              <w:t>储存地点</w:t>
            </w:r>
            <w:r>
              <w:rPr>
                <w:kern w:val="0"/>
                <w:sz w:val="24"/>
              </w:rPr>
              <w:t>必须</w:t>
            </w:r>
            <w:r>
              <w:rPr>
                <w:rFonts w:hint="eastAsia"/>
                <w:kern w:val="0"/>
                <w:sz w:val="24"/>
              </w:rPr>
              <w:t>具备可防雨、防火、防风等作用的场地</w:t>
            </w:r>
            <w:r>
              <w:rPr>
                <w:kern w:val="0"/>
                <w:sz w:val="24"/>
              </w:rPr>
              <w:t>。</w:t>
            </w:r>
          </w:p>
          <w:p>
            <w:pPr>
              <w:adjustRightInd w:val="0"/>
              <w:snapToGrid w:val="0"/>
              <w:spacing w:line="360" w:lineRule="auto"/>
              <w:ind w:firstLine="480" w:firstLineChars="200"/>
              <w:jc w:val="left"/>
              <w:rPr>
                <w:kern w:val="0"/>
                <w:sz w:val="24"/>
              </w:rPr>
            </w:pPr>
            <w:r>
              <w:rPr>
                <w:kern w:val="0"/>
                <w:sz w:val="24"/>
              </w:rPr>
              <w:t>c、</w:t>
            </w:r>
            <w:r>
              <w:rPr>
                <w:rFonts w:hint="eastAsia"/>
                <w:kern w:val="0"/>
                <w:sz w:val="24"/>
              </w:rPr>
              <w:t>储存地点按废物分类原则设置特定区域。</w:t>
            </w:r>
          </w:p>
          <w:p>
            <w:pPr>
              <w:adjustRightInd w:val="0"/>
              <w:snapToGrid w:val="0"/>
              <w:spacing w:line="360" w:lineRule="auto"/>
              <w:ind w:firstLine="480" w:firstLineChars="200"/>
              <w:jc w:val="left"/>
              <w:rPr>
                <w:kern w:val="0"/>
                <w:sz w:val="24"/>
              </w:rPr>
            </w:pPr>
            <w:r>
              <w:rPr>
                <w:rFonts w:hint="eastAsia"/>
                <w:kern w:val="0"/>
                <w:sz w:val="24"/>
              </w:rPr>
              <w:t>（2）</w:t>
            </w:r>
            <w:r>
              <w:rPr>
                <w:kern w:val="0"/>
                <w:sz w:val="24"/>
              </w:rPr>
              <w:t>生活垃圾</w:t>
            </w:r>
          </w:p>
          <w:p>
            <w:pPr>
              <w:adjustRightInd w:val="0"/>
              <w:snapToGrid w:val="0"/>
              <w:spacing w:line="360" w:lineRule="auto"/>
              <w:ind w:firstLine="480" w:firstLineChars="200"/>
              <w:jc w:val="left"/>
              <w:rPr>
                <w:kern w:val="0"/>
                <w:sz w:val="24"/>
              </w:rPr>
            </w:pPr>
            <w:r>
              <w:rPr>
                <w:kern w:val="0"/>
                <w:sz w:val="24"/>
              </w:rPr>
              <w:t>职工生活垃圾产生量为3t/a。生活垃圾</w:t>
            </w:r>
            <w:r>
              <w:rPr>
                <w:rFonts w:hint="eastAsia"/>
                <w:kern w:val="0"/>
                <w:sz w:val="24"/>
              </w:rPr>
              <w:t>应</w:t>
            </w:r>
            <w:r>
              <w:rPr>
                <w:kern w:val="0"/>
                <w:sz w:val="24"/>
              </w:rPr>
              <w:t>分类收集于垃圾桶内，并定期由环卫部门清运处理。</w:t>
            </w:r>
          </w:p>
          <w:p>
            <w:pPr>
              <w:adjustRightInd w:val="0"/>
              <w:snapToGrid w:val="0"/>
              <w:spacing w:line="360" w:lineRule="auto"/>
              <w:ind w:firstLine="480" w:firstLineChars="200"/>
              <w:rPr>
                <w:kern w:val="0"/>
                <w:sz w:val="24"/>
              </w:rPr>
            </w:pPr>
            <w:r>
              <w:rPr>
                <w:rFonts w:hint="eastAsia"/>
                <w:kern w:val="0"/>
                <w:sz w:val="24"/>
              </w:rPr>
              <w:t>（3）</w:t>
            </w:r>
            <w:r>
              <w:rPr>
                <w:kern w:val="0"/>
                <w:sz w:val="24"/>
              </w:rPr>
              <w:t>危险废物处理处置规范要求</w:t>
            </w:r>
          </w:p>
          <w:p>
            <w:pPr>
              <w:adjustRightInd w:val="0"/>
              <w:snapToGrid w:val="0"/>
              <w:spacing w:line="360" w:lineRule="auto"/>
              <w:ind w:firstLine="480" w:firstLineChars="200"/>
              <w:rPr>
                <w:kern w:val="0"/>
                <w:sz w:val="24"/>
              </w:rPr>
            </w:pPr>
            <w:r>
              <w:rPr>
                <w:rFonts w:hint="eastAsia"/>
                <w:kern w:val="0"/>
                <w:sz w:val="24"/>
              </w:rPr>
              <w:t>废活性炭、废机油和废油抹布均</w:t>
            </w:r>
            <w:r>
              <w:rPr>
                <w:kern w:val="0"/>
                <w:sz w:val="24"/>
              </w:rPr>
              <w:t>属于危险废物。根据国家《危险废物贮存污染控制标准》，建设单位必须将危险废物装入专用容器内，对危险废物的容器设置危险废物识别标志，并且粘贴标签，在厂区设置临时暂存</w:t>
            </w:r>
            <w:r>
              <w:rPr>
                <w:rFonts w:hint="eastAsia"/>
                <w:kern w:val="0"/>
                <w:sz w:val="24"/>
              </w:rPr>
              <w:t>间（车间东北角）</w:t>
            </w:r>
            <w:r>
              <w:rPr>
                <w:kern w:val="0"/>
                <w:sz w:val="24"/>
              </w:rPr>
              <w:t>，定期交由有危废处置资质的单位进行处理，不得随意丢弃。并需严格按《危险废物贮存污染控制标准》（GB18597-2001）和《危险废物转移联单管理办法》（国家环保总局5号令）相关要求对其进行贮存及转移，危险废物必须填写转移联单。</w:t>
            </w:r>
          </w:p>
          <w:p>
            <w:pPr>
              <w:adjustRightInd w:val="0"/>
              <w:snapToGrid w:val="0"/>
              <w:spacing w:line="360" w:lineRule="auto"/>
              <w:ind w:firstLine="480" w:firstLineChars="200"/>
              <w:jc w:val="left"/>
              <w:rPr>
                <w:kern w:val="0"/>
                <w:sz w:val="24"/>
              </w:rPr>
            </w:pPr>
            <w:r>
              <w:rPr>
                <w:rFonts w:hint="eastAsia" w:ascii="宋体" w:hAnsi="宋体" w:cs="宋体"/>
                <w:kern w:val="0"/>
                <w:sz w:val="24"/>
              </w:rPr>
              <w:t>①</w:t>
            </w:r>
            <w:r>
              <w:rPr>
                <w:kern w:val="0"/>
                <w:sz w:val="24"/>
              </w:rPr>
              <w:t>危险废物贮存容器应符合下列要求：</w:t>
            </w:r>
          </w:p>
          <w:p>
            <w:pPr>
              <w:adjustRightInd w:val="0"/>
              <w:snapToGrid w:val="0"/>
              <w:spacing w:line="360" w:lineRule="auto"/>
              <w:ind w:firstLine="480" w:firstLineChars="200"/>
              <w:jc w:val="left"/>
              <w:rPr>
                <w:kern w:val="0"/>
                <w:sz w:val="24"/>
              </w:rPr>
            </w:pPr>
            <w:r>
              <w:rPr>
                <w:kern w:val="0"/>
                <w:sz w:val="24"/>
              </w:rPr>
              <w:t>a、应使用符合国家标准的容器盛装危险废物。</w:t>
            </w:r>
          </w:p>
          <w:p>
            <w:pPr>
              <w:adjustRightInd w:val="0"/>
              <w:snapToGrid w:val="0"/>
              <w:spacing w:line="360" w:lineRule="auto"/>
              <w:ind w:firstLine="480" w:firstLineChars="200"/>
              <w:jc w:val="left"/>
              <w:rPr>
                <w:kern w:val="0"/>
                <w:sz w:val="24"/>
              </w:rPr>
            </w:pPr>
            <w:r>
              <w:rPr>
                <w:kern w:val="0"/>
                <w:sz w:val="24"/>
              </w:rPr>
              <w:t>b、贮存容器必须具有耐腐蚀、耐压、密封和不与所贮存的废物发生反应等特性。</w:t>
            </w:r>
          </w:p>
          <w:p>
            <w:pPr>
              <w:adjustRightInd w:val="0"/>
              <w:snapToGrid w:val="0"/>
              <w:spacing w:line="360" w:lineRule="auto"/>
              <w:ind w:firstLine="480" w:firstLineChars="200"/>
              <w:jc w:val="left"/>
              <w:rPr>
                <w:kern w:val="0"/>
                <w:sz w:val="24"/>
              </w:rPr>
            </w:pPr>
            <w:r>
              <w:rPr>
                <w:kern w:val="0"/>
                <w:sz w:val="24"/>
              </w:rPr>
              <w:t>c、贮存容器应保证完好无损并具有明显标志。</w:t>
            </w:r>
          </w:p>
          <w:p>
            <w:pPr>
              <w:adjustRightInd w:val="0"/>
              <w:snapToGrid w:val="0"/>
              <w:spacing w:line="360" w:lineRule="auto"/>
              <w:ind w:firstLine="480" w:firstLineChars="200"/>
              <w:jc w:val="left"/>
              <w:rPr>
                <w:kern w:val="0"/>
                <w:sz w:val="24"/>
              </w:rPr>
            </w:pPr>
            <w:r>
              <w:rPr>
                <w:kern w:val="0"/>
                <w:sz w:val="24"/>
              </w:rPr>
              <w:t>d、液体危险废物可注入开孔直径不超过70mm并有放气孔的桶中。</w:t>
            </w:r>
          </w:p>
          <w:p>
            <w:pPr>
              <w:adjustRightInd w:val="0"/>
              <w:snapToGrid w:val="0"/>
              <w:spacing w:line="360" w:lineRule="auto"/>
              <w:ind w:firstLine="480" w:firstLineChars="200"/>
              <w:jc w:val="left"/>
              <w:rPr>
                <w:kern w:val="0"/>
                <w:sz w:val="24"/>
              </w:rPr>
            </w:pPr>
            <w:r>
              <w:rPr>
                <w:rFonts w:hint="eastAsia" w:ascii="宋体" w:hAnsi="宋体" w:cs="宋体"/>
                <w:kern w:val="0"/>
                <w:sz w:val="24"/>
              </w:rPr>
              <w:t>②</w:t>
            </w:r>
            <w:r>
              <w:rPr>
                <w:kern w:val="0"/>
                <w:sz w:val="24"/>
              </w:rPr>
              <w:t>危险废物贮存设施应满足以下要求：</w:t>
            </w:r>
          </w:p>
          <w:p>
            <w:pPr>
              <w:adjustRightInd w:val="0"/>
              <w:snapToGrid w:val="0"/>
              <w:spacing w:line="360" w:lineRule="auto"/>
              <w:ind w:firstLine="480" w:firstLineChars="200"/>
              <w:jc w:val="left"/>
              <w:rPr>
                <w:kern w:val="0"/>
                <w:sz w:val="24"/>
              </w:rPr>
            </w:pPr>
            <w:r>
              <w:rPr>
                <w:kern w:val="0"/>
                <w:sz w:val="24"/>
              </w:rPr>
              <w:t>a、危险废物贮存场所必须符合《危险废物贮存污染控制标准》（GB18597-2001）中有关规定，有符合《环境保护图形标志-固体废物贮存（处置）场》（GB15562.2-1995）的专用标志。</w:t>
            </w:r>
          </w:p>
          <w:p>
            <w:pPr>
              <w:adjustRightInd w:val="0"/>
              <w:snapToGrid w:val="0"/>
              <w:spacing w:line="360" w:lineRule="auto"/>
              <w:ind w:firstLine="480" w:firstLineChars="200"/>
              <w:jc w:val="left"/>
              <w:rPr>
                <w:kern w:val="0"/>
                <w:sz w:val="24"/>
              </w:rPr>
            </w:pPr>
            <w:r>
              <w:rPr>
                <w:rFonts w:hint="eastAsia"/>
                <w:kern w:val="0"/>
                <w:sz w:val="24"/>
              </w:rPr>
              <w:t>b</w:t>
            </w:r>
            <w:r>
              <w:rPr>
                <w:kern w:val="0"/>
                <w:sz w:val="24"/>
              </w:rPr>
              <w:t>、应建有堵截泄漏的裙角，地面与裙角要用兼顾防渗的材料建造，建筑材料必须与危险废物相容。</w:t>
            </w:r>
          </w:p>
          <w:p>
            <w:pPr>
              <w:adjustRightInd w:val="0"/>
              <w:snapToGrid w:val="0"/>
              <w:spacing w:line="360" w:lineRule="auto"/>
              <w:ind w:firstLine="480" w:firstLineChars="200"/>
              <w:jc w:val="left"/>
              <w:rPr>
                <w:kern w:val="0"/>
                <w:sz w:val="24"/>
              </w:rPr>
            </w:pPr>
            <w:r>
              <w:rPr>
                <w:rFonts w:hint="eastAsia"/>
                <w:kern w:val="0"/>
                <w:sz w:val="24"/>
              </w:rPr>
              <w:t>c</w:t>
            </w:r>
            <w:r>
              <w:rPr>
                <w:kern w:val="0"/>
                <w:sz w:val="24"/>
              </w:rPr>
              <w:t>、必须有泄漏液体收集装置及气体导出口和气体净化装置。</w:t>
            </w:r>
          </w:p>
          <w:p>
            <w:pPr>
              <w:adjustRightInd w:val="0"/>
              <w:snapToGrid w:val="0"/>
              <w:spacing w:line="360" w:lineRule="auto"/>
              <w:ind w:firstLine="480" w:firstLineChars="200"/>
              <w:jc w:val="left"/>
              <w:rPr>
                <w:kern w:val="0"/>
                <w:sz w:val="24"/>
              </w:rPr>
            </w:pPr>
            <w:r>
              <w:rPr>
                <w:rFonts w:hint="eastAsia"/>
                <w:kern w:val="0"/>
                <w:sz w:val="24"/>
              </w:rPr>
              <w:t>d</w:t>
            </w:r>
            <w:r>
              <w:rPr>
                <w:kern w:val="0"/>
                <w:sz w:val="24"/>
              </w:rPr>
              <w:t>、应有安全照明观察窗口，并应设有应急防护设施。</w:t>
            </w:r>
          </w:p>
          <w:p>
            <w:pPr>
              <w:adjustRightInd w:val="0"/>
              <w:snapToGrid w:val="0"/>
              <w:spacing w:line="360" w:lineRule="auto"/>
              <w:ind w:firstLine="480" w:firstLineChars="200"/>
              <w:jc w:val="left"/>
              <w:rPr>
                <w:kern w:val="0"/>
                <w:sz w:val="24"/>
              </w:rPr>
            </w:pPr>
            <w:r>
              <w:rPr>
                <w:rFonts w:hint="eastAsia"/>
                <w:kern w:val="0"/>
                <w:sz w:val="24"/>
              </w:rPr>
              <w:t>e</w:t>
            </w:r>
            <w:r>
              <w:rPr>
                <w:kern w:val="0"/>
                <w:sz w:val="24"/>
              </w:rPr>
              <w:t>、应有隔离设施、报警装置和防风、防晒、防雨设施以及消防设施。</w:t>
            </w:r>
          </w:p>
          <w:p>
            <w:pPr>
              <w:adjustRightInd w:val="0"/>
              <w:snapToGrid w:val="0"/>
              <w:spacing w:line="360" w:lineRule="auto"/>
              <w:ind w:firstLine="480" w:firstLineChars="200"/>
              <w:jc w:val="left"/>
              <w:rPr>
                <w:kern w:val="0"/>
                <w:sz w:val="24"/>
              </w:rPr>
            </w:pPr>
            <w:r>
              <w:rPr>
                <w:rFonts w:hint="eastAsia"/>
                <w:kern w:val="0"/>
                <w:sz w:val="24"/>
              </w:rPr>
              <w:t>f</w:t>
            </w:r>
            <w:r>
              <w:rPr>
                <w:kern w:val="0"/>
                <w:sz w:val="24"/>
              </w:rPr>
              <w:t>、墙面、棚面应防吸附，用于存放装载液体、半固体危险废物容器的地方，必须有耐腐蚀的硬化地面，且表面无裂隙。</w:t>
            </w:r>
          </w:p>
          <w:p>
            <w:pPr>
              <w:adjustRightInd w:val="0"/>
              <w:snapToGrid w:val="0"/>
              <w:spacing w:line="360" w:lineRule="auto"/>
              <w:ind w:firstLine="480" w:firstLineChars="200"/>
              <w:jc w:val="left"/>
              <w:rPr>
                <w:kern w:val="0"/>
                <w:sz w:val="24"/>
              </w:rPr>
            </w:pPr>
            <w:r>
              <w:rPr>
                <w:rFonts w:hint="eastAsia"/>
                <w:kern w:val="0"/>
                <w:sz w:val="24"/>
              </w:rPr>
              <w:t>g</w:t>
            </w:r>
            <w:r>
              <w:rPr>
                <w:kern w:val="0"/>
                <w:sz w:val="24"/>
              </w:rPr>
              <w:t>、贮存库容量的设计应考虑工艺运行的要求并应满足设备大修（一般以15天为宜）。</w:t>
            </w:r>
          </w:p>
          <w:p>
            <w:pPr>
              <w:adjustRightInd w:val="0"/>
              <w:snapToGrid w:val="0"/>
              <w:spacing w:line="360" w:lineRule="auto"/>
              <w:ind w:firstLine="480" w:firstLineChars="200"/>
              <w:jc w:val="left"/>
              <w:rPr>
                <w:kern w:val="0"/>
                <w:sz w:val="24"/>
              </w:rPr>
            </w:pPr>
            <w:r>
              <w:rPr>
                <w:kern w:val="0"/>
                <w:sz w:val="24"/>
              </w:rPr>
              <w:t>综上所述，本项目产生的固体废弃物经上述处理处置后，处理处置率达100％，符合国家固体废弃物处理处置政策，不会产生二次污染，不会对环境产生不利影响，处理处置措施可行。</w:t>
            </w:r>
          </w:p>
          <w:p>
            <w:pPr>
              <w:wordWrap w:val="0"/>
              <w:spacing w:line="480" w:lineRule="exact"/>
              <w:ind w:firstLine="482" w:firstLineChars="200"/>
              <w:rPr>
                <w:b/>
                <w:kern w:val="0"/>
                <w:sz w:val="24"/>
              </w:rPr>
            </w:pPr>
            <w:r>
              <w:rPr>
                <w:b/>
                <w:kern w:val="0"/>
                <w:sz w:val="24"/>
              </w:rPr>
              <w:t>5、</w:t>
            </w:r>
            <w:r>
              <w:rPr>
                <w:rFonts w:hint="eastAsia"/>
                <w:b/>
                <w:kern w:val="0"/>
                <w:sz w:val="24"/>
              </w:rPr>
              <w:t>地下水及</w:t>
            </w:r>
            <w:r>
              <w:rPr>
                <w:b/>
                <w:kern w:val="0"/>
                <w:sz w:val="24"/>
              </w:rPr>
              <w:t>土壤环境影响分析</w:t>
            </w:r>
          </w:p>
          <w:p>
            <w:pPr>
              <w:adjustRightInd w:val="0"/>
              <w:snapToGrid w:val="0"/>
              <w:spacing w:line="480" w:lineRule="exact"/>
              <w:ind w:firstLine="480" w:firstLineChars="200"/>
              <w:rPr>
                <w:kern w:val="0"/>
                <w:sz w:val="24"/>
                <w:lang w:val="zh-CN"/>
              </w:rPr>
            </w:pPr>
            <w:r>
              <w:rPr>
                <w:kern w:val="0"/>
                <w:sz w:val="24"/>
              </w:rPr>
              <w:t>本项目属于</w:t>
            </w:r>
            <w:r>
              <w:rPr>
                <w:rFonts w:hint="eastAsia"/>
                <w:kern w:val="0"/>
                <w:sz w:val="24"/>
              </w:rPr>
              <w:t>“十八、橡胶和塑料制品业 47、塑料制品制造—其他”，</w:t>
            </w:r>
            <w:r>
              <w:rPr>
                <w:kern w:val="0"/>
                <w:sz w:val="24"/>
              </w:rPr>
              <w:t>编制环境影响报告表，</w:t>
            </w:r>
            <w:r>
              <w:rPr>
                <w:rFonts w:hint="eastAsia"/>
                <w:kern w:val="0"/>
                <w:sz w:val="24"/>
              </w:rPr>
              <w:t>按照</w:t>
            </w:r>
            <w:r>
              <w:rPr>
                <w:kern w:val="0"/>
                <w:sz w:val="24"/>
              </w:rPr>
              <w:t>《环境影响评价技术导则 地下水环境》（HJ610-2016），对应的地下水环境影响评价类别为</w:t>
            </w:r>
            <w:r>
              <w:rPr>
                <w:kern w:val="0"/>
                <w:sz w:val="24"/>
              </w:rPr>
              <w:fldChar w:fldCharType="begin"/>
            </w:r>
            <w:r>
              <w:rPr>
                <w:kern w:val="0"/>
                <w:sz w:val="24"/>
              </w:rPr>
              <w:instrText xml:space="preserve"> = 4 \* ROMAN </w:instrText>
            </w:r>
            <w:r>
              <w:rPr>
                <w:kern w:val="0"/>
                <w:sz w:val="24"/>
              </w:rPr>
              <w:fldChar w:fldCharType="separate"/>
            </w:r>
            <w:r>
              <w:rPr>
                <w:kern w:val="0"/>
                <w:sz w:val="24"/>
              </w:rPr>
              <w:t>IV</w:t>
            </w:r>
            <w:r>
              <w:rPr>
                <w:kern w:val="0"/>
                <w:sz w:val="24"/>
              </w:rPr>
              <w:fldChar w:fldCharType="end"/>
            </w:r>
            <w:r>
              <w:rPr>
                <w:kern w:val="0"/>
                <w:sz w:val="24"/>
              </w:rPr>
              <w:t>类，</w:t>
            </w:r>
            <w:r>
              <w:rPr>
                <w:kern w:val="0"/>
                <w:sz w:val="24"/>
              </w:rPr>
              <w:fldChar w:fldCharType="begin"/>
            </w:r>
            <w:r>
              <w:rPr>
                <w:kern w:val="0"/>
                <w:sz w:val="24"/>
              </w:rPr>
              <w:instrText xml:space="preserve"> = 4 \* ROMAN </w:instrText>
            </w:r>
            <w:r>
              <w:rPr>
                <w:kern w:val="0"/>
                <w:sz w:val="24"/>
              </w:rPr>
              <w:fldChar w:fldCharType="separate"/>
            </w:r>
            <w:r>
              <w:rPr>
                <w:kern w:val="0"/>
                <w:sz w:val="24"/>
              </w:rPr>
              <w:t>IV</w:t>
            </w:r>
            <w:r>
              <w:rPr>
                <w:kern w:val="0"/>
                <w:sz w:val="24"/>
              </w:rPr>
              <w:fldChar w:fldCharType="end"/>
            </w:r>
            <w:r>
              <w:rPr>
                <w:kern w:val="0"/>
                <w:sz w:val="24"/>
              </w:rPr>
              <w:t>类建设项目不开展地下水环境影响评价</w:t>
            </w:r>
            <w:r>
              <w:rPr>
                <w:kern w:val="0"/>
                <w:sz w:val="24"/>
                <w:lang w:val="zh-CN"/>
              </w:rPr>
              <w:t>，因此不再对地下水环境影响进行分析</w:t>
            </w:r>
            <w:r>
              <w:rPr>
                <w:rFonts w:hint="eastAsia"/>
                <w:kern w:val="0"/>
                <w:sz w:val="24"/>
                <w:lang w:val="zh-CN"/>
              </w:rPr>
              <w:t>；</w:t>
            </w:r>
            <w:r>
              <w:rPr>
                <w:kern w:val="0"/>
                <w:sz w:val="24"/>
              </w:rPr>
              <w:t>按照《环境影响评价技术导则土壤环境（试行）》（HJ 964-2018）附录中附录A，本项目</w:t>
            </w:r>
            <w:r>
              <w:rPr>
                <w:rFonts w:hint="eastAsia"/>
                <w:kern w:val="0"/>
                <w:sz w:val="24"/>
              </w:rPr>
              <w:t>不在其类别中</w:t>
            </w:r>
            <w:r>
              <w:rPr>
                <w:kern w:val="0"/>
                <w:sz w:val="24"/>
              </w:rPr>
              <w:t>，可不开展土壤环境影响评价工作。</w:t>
            </w:r>
          </w:p>
          <w:p>
            <w:pPr>
              <w:adjustRightInd w:val="0"/>
              <w:snapToGrid w:val="0"/>
              <w:spacing w:line="360" w:lineRule="auto"/>
              <w:ind w:firstLine="482" w:firstLineChars="200"/>
              <w:rPr>
                <w:kern w:val="0"/>
                <w:sz w:val="24"/>
              </w:rPr>
            </w:pPr>
            <w:r>
              <w:rPr>
                <w:rFonts w:hint="eastAsia"/>
                <w:b/>
                <w:bCs/>
                <w:kern w:val="0"/>
                <w:position w:val="8"/>
                <w:sz w:val="24"/>
              </w:rPr>
              <w:t>6、</w:t>
            </w:r>
            <w:r>
              <w:rPr>
                <w:b/>
                <w:bCs/>
                <w:kern w:val="0"/>
                <w:position w:val="8"/>
                <w:sz w:val="24"/>
              </w:rPr>
              <w:t>环境风险评价分析</w:t>
            </w:r>
          </w:p>
          <w:p>
            <w:pPr>
              <w:adjustRightInd w:val="0"/>
              <w:snapToGrid w:val="0"/>
              <w:spacing w:line="360" w:lineRule="auto"/>
              <w:ind w:firstLine="480" w:firstLineChars="200"/>
              <w:rPr>
                <w:kern w:val="0"/>
                <w:sz w:val="24"/>
              </w:rPr>
            </w:pPr>
            <w:r>
              <w:rPr>
                <w:rFonts w:hint="eastAsia"/>
                <w:kern w:val="0"/>
                <w:sz w:val="24"/>
              </w:rPr>
              <w:t>（1）评价依据</w:t>
            </w:r>
          </w:p>
          <w:p>
            <w:pPr>
              <w:adjustRightInd w:val="0"/>
              <w:snapToGrid w:val="0"/>
              <w:spacing w:line="360" w:lineRule="auto"/>
              <w:ind w:firstLine="480" w:firstLineChars="200"/>
              <w:rPr>
                <w:kern w:val="0"/>
                <w:sz w:val="24"/>
              </w:rPr>
            </w:pPr>
            <w:r>
              <w:rPr>
                <w:rFonts w:hint="eastAsia"/>
                <w:kern w:val="0"/>
                <w:sz w:val="24"/>
              </w:rPr>
              <w:t>①风险调查</w:t>
            </w:r>
          </w:p>
          <w:p>
            <w:pPr>
              <w:adjustRightInd w:val="0"/>
              <w:snapToGrid w:val="0"/>
              <w:spacing w:line="360" w:lineRule="auto"/>
              <w:ind w:firstLine="480" w:firstLineChars="200"/>
              <w:rPr>
                <w:kern w:val="0"/>
                <w:sz w:val="24"/>
              </w:rPr>
            </w:pPr>
            <w:r>
              <w:rPr>
                <w:rFonts w:hint="eastAsia"/>
                <w:kern w:val="0"/>
                <w:sz w:val="24"/>
              </w:rPr>
              <w:t>根据《建设项目环境风险评价技术导则》（HJ169-2018）中的规定，本项目主要危险物为天然气（甲烷）。本项目涉及危险物质数量及临界量辨识见下表。</w:t>
            </w:r>
          </w:p>
          <w:p>
            <w:pPr>
              <w:adjustRightInd w:val="0"/>
              <w:snapToGrid w:val="0"/>
              <w:jc w:val="center"/>
              <w:rPr>
                <w:b/>
                <w:bCs/>
                <w:kern w:val="0"/>
                <w:sz w:val="24"/>
              </w:rPr>
            </w:pPr>
            <w:r>
              <w:rPr>
                <w:rFonts w:hint="eastAsia"/>
                <w:b/>
                <w:bCs/>
                <w:kern w:val="0"/>
                <w:sz w:val="24"/>
              </w:rPr>
              <w:t>表</w:t>
            </w:r>
            <w:r>
              <w:rPr>
                <w:b/>
                <w:bCs/>
                <w:kern w:val="0"/>
                <w:sz w:val="24"/>
              </w:rPr>
              <w:t>7</w:t>
            </w:r>
            <w:r>
              <w:rPr>
                <w:rFonts w:hint="eastAsia"/>
                <w:b/>
                <w:bCs/>
                <w:kern w:val="0"/>
                <w:sz w:val="24"/>
              </w:rPr>
              <w:t>-</w:t>
            </w:r>
            <w:r>
              <w:rPr>
                <w:b/>
                <w:bCs/>
                <w:kern w:val="0"/>
                <w:sz w:val="24"/>
              </w:rPr>
              <w:t xml:space="preserve">21 </w:t>
            </w:r>
            <w:r>
              <w:rPr>
                <w:rFonts w:hint="eastAsia"/>
                <w:b/>
                <w:bCs/>
                <w:kern w:val="0"/>
                <w:sz w:val="24"/>
              </w:rPr>
              <w:t xml:space="preserve">  危险物质数量及临界量辨识</w:t>
            </w:r>
          </w:p>
          <w:tbl>
            <w:tblPr>
              <w:tblStyle w:val="5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239"/>
              <w:gridCol w:w="1118"/>
              <w:gridCol w:w="1755"/>
              <w:gridCol w:w="1567"/>
              <w:gridCol w:w="1415"/>
              <w:gridCol w:w="12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tl2br w:val="nil"/>
                    <w:tr2bl w:val="nil"/>
                  </w:tcBorders>
                  <w:vAlign w:val="center"/>
                </w:tcPr>
                <w:p>
                  <w:pPr>
                    <w:spacing w:after="120"/>
                    <w:jc w:val="center"/>
                    <w:rPr>
                      <w:b/>
                      <w:bCs/>
                      <w:kern w:val="0"/>
                      <w:szCs w:val="21"/>
                      <w:lang w:bidi="ar"/>
                    </w:rPr>
                  </w:pPr>
                  <w:r>
                    <w:rPr>
                      <w:rFonts w:hint="eastAsia"/>
                      <w:b/>
                      <w:bCs/>
                      <w:kern w:val="0"/>
                      <w:szCs w:val="21"/>
                      <w:lang w:bidi="ar"/>
                    </w:rPr>
                    <w:t>序号</w:t>
                  </w:r>
                </w:p>
              </w:tc>
              <w:tc>
                <w:tcPr>
                  <w:tcW w:w="684" w:type="pct"/>
                  <w:tcBorders>
                    <w:tl2br w:val="nil"/>
                    <w:tr2bl w:val="nil"/>
                  </w:tcBorders>
                  <w:vAlign w:val="center"/>
                </w:tcPr>
                <w:p>
                  <w:pPr>
                    <w:spacing w:after="120"/>
                    <w:jc w:val="center"/>
                    <w:rPr>
                      <w:b/>
                      <w:bCs/>
                      <w:kern w:val="0"/>
                      <w:szCs w:val="21"/>
                      <w:lang w:bidi="ar"/>
                    </w:rPr>
                  </w:pPr>
                  <w:r>
                    <w:rPr>
                      <w:rFonts w:hint="eastAsia"/>
                      <w:b/>
                      <w:bCs/>
                      <w:kern w:val="0"/>
                      <w:szCs w:val="21"/>
                      <w:lang w:bidi="ar"/>
                    </w:rPr>
                    <w:t>危险物质名称</w:t>
                  </w:r>
                </w:p>
              </w:tc>
              <w:tc>
                <w:tcPr>
                  <w:tcW w:w="617" w:type="pct"/>
                  <w:tcBorders>
                    <w:tl2br w:val="nil"/>
                    <w:tr2bl w:val="nil"/>
                  </w:tcBorders>
                  <w:vAlign w:val="center"/>
                </w:tcPr>
                <w:p>
                  <w:pPr>
                    <w:spacing w:after="120"/>
                    <w:jc w:val="center"/>
                    <w:rPr>
                      <w:b/>
                      <w:bCs/>
                      <w:kern w:val="0"/>
                      <w:szCs w:val="21"/>
                      <w:lang w:bidi="ar"/>
                    </w:rPr>
                  </w:pPr>
                  <w:r>
                    <w:rPr>
                      <w:rFonts w:hint="eastAsia"/>
                      <w:b/>
                      <w:bCs/>
                      <w:kern w:val="0"/>
                      <w:szCs w:val="21"/>
                      <w:lang w:bidi="ar"/>
                    </w:rPr>
                    <w:t>CAS号</w:t>
                  </w:r>
                </w:p>
              </w:tc>
              <w:tc>
                <w:tcPr>
                  <w:tcW w:w="969" w:type="pct"/>
                  <w:tcBorders>
                    <w:tl2br w:val="nil"/>
                    <w:tr2bl w:val="nil"/>
                  </w:tcBorders>
                  <w:vAlign w:val="center"/>
                </w:tcPr>
                <w:p>
                  <w:pPr>
                    <w:spacing w:after="120"/>
                    <w:jc w:val="center"/>
                    <w:rPr>
                      <w:b/>
                      <w:bCs/>
                      <w:kern w:val="0"/>
                      <w:szCs w:val="21"/>
                      <w:lang w:bidi="ar"/>
                    </w:rPr>
                  </w:pPr>
                  <w:r>
                    <w:rPr>
                      <w:rFonts w:hint="eastAsia"/>
                      <w:b/>
                      <w:bCs/>
                      <w:kern w:val="0"/>
                      <w:szCs w:val="21"/>
                      <w:lang w:bidi="ar"/>
                    </w:rPr>
                    <w:t>最大存在总量</w:t>
                  </w:r>
                </w:p>
                <w:p>
                  <w:pPr>
                    <w:spacing w:after="120"/>
                    <w:jc w:val="center"/>
                    <w:rPr>
                      <w:b/>
                      <w:bCs/>
                      <w:kern w:val="0"/>
                      <w:szCs w:val="21"/>
                      <w:lang w:bidi="ar"/>
                    </w:rPr>
                  </w:pPr>
                  <w:r>
                    <w:rPr>
                      <w:rFonts w:hint="eastAsia"/>
                      <w:b/>
                      <w:bCs/>
                      <w:kern w:val="0"/>
                      <w:szCs w:val="21"/>
                      <w:lang w:bidi="ar"/>
                    </w:rPr>
                    <w:t>(q1)/t</w:t>
                  </w:r>
                </w:p>
              </w:tc>
              <w:tc>
                <w:tcPr>
                  <w:tcW w:w="865" w:type="pct"/>
                  <w:tcBorders>
                    <w:tl2br w:val="nil"/>
                    <w:tr2bl w:val="nil"/>
                  </w:tcBorders>
                  <w:vAlign w:val="center"/>
                </w:tcPr>
                <w:p>
                  <w:pPr>
                    <w:adjustRightInd w:val="0"/>
                    <w:snapToGrid w:val="0"/>
                    <w:jc w:val="center"/>
                    <w:rPr>
                      <w:b/>
                      <w:bCs/>
                      <w:kern w:val="0"/>
                      <w:szCs w:val="21"/>
                      <w:lang w:bidi="ar"/>
                    </w:rPr>
                  </w:pPr>
                  <w:r>
                    <w:rPr>
                      <w:rFonts w:hint="eastAsia"/>
                      <w:b/>
                      <w:bCs/>
                      <w:kern w:val="0"/>
                      <w:szCs w:val="21"/>
                      <w:lang w:bidi="ar"/>
                    </w:rPr>
                    <w:t>年用量(t/a)</w:t>
                  </w:r>
                </w:p>
              </w:tc>
              <w:tc>
                <w:tcPr>
                  <w:tcW w:w="781" w:type="pct"/>
                  <w:tcBorders>
                    <w:tl2br w:val="nil"/>
                    <w:tr2bl w:val="nil"/>
                  </w:tcBorders>
                  <w:vAlign w:val="center"/>
                </w:tcPr>
                <w:p>
                  <w:pPr>
                    <w:adjustRightInd w:val="0"/>
                    <w:snapToGrid w:val="0"/>
                    <w:jc w:val="center"/>
                    <w:rPr>
                      <w:b/>
                      <w:bCs/>
                      <w:kern w:val="0"/>
                      <w:szCs w:val="21"/>
                      <w:lang w:bidi="ar"/>
                    </w:rPr>
                  </w:pPr>
                  <w:r>
                    <w:rPr>
                      <w:rFonts w:hint="eastAsia"/>
                      <w:b/>
                      <w:bCs/>
                      <w:kern w:val="0"/>
                      <w:szCs w:val="21"/>
                      <w:lang w:bidi="ar"/>
                    </w:rPr>
                    <w:t>临界量</w:t>
                  </w:r>
                </w:p>
                <w:p>
                  <w:pPr>
                    <w:adjustRightInd w:val="0"/>
                    <w:snapToGrid w:val="0"/>
                    <w:jc w:val="center"/>
                    <w:rPr>
                      <w:b/>
                      <w:bCs/>
                      <w:kern w:val="0"/>
                      <w:szCs w:val="21"/>
                      <w:lang w:bidi="ar"/>
                    </w:rPr>
                  </w:pPr>
                  <w:r>
                    <w:rPr>
                      <w:rFonts w:hint="eastAsia"/>
                      <w:b/>
                      <w:bCs/>
                      <w:kern w:val="0"/>
                      <w:szCs w:val="21"/>
                      <w:lang w:bidi="ar"/>
                    </w:rPr>
                    <w:t>（Q1）/t</w:t>
                  </w:r>
                </w:p>
              </w:tc>
              <w:tc>
                <w:tcPr>
                  <w:tcW w:w="708" w:type="pct"/>
                  <w:tcBorders>
                    <w:tl2br w:val="nil"/>
                    <w:tr2bl w:val="nil"/>
                  </w:tcBorders>
                  <w:vAlign w:val="center"/>
                </w:tcPr>
                <w:p>
                  <w:pPr>
                    <w:spacing w:after="120"/>
                    <w:jc w:val="center"/>
                    <w:rPr>
                      <w:b/>
                      <w:bCs/>
                      <w:kern w:val="0"/>
                      <w:szCs w:val="21"/>
                      <w:lang w:bidi="ar"/>
                    </w:rPr>
                  </w:pPr>
                  <w:r>
                    <w:rPr>
                      <w:rFonts w:hint="eastAsia"/>
                      <w:b/>
                      <w:bCs/>
                      <w:kern w:val="0"/>
                      <w:szCs w:val="21"/>
                      <w:lang w:bidi="ar"/>
                    </w:rPr>
                    <w:t>Q（q1/Q1）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tl2br w:val="nil"/>
                    <w:tr2bl w:val="nil"/>
                  </w:tcBorders>
                  <w:vAlign w:val="center"/>
                </w:tcPr>
                <w:p>
                  <w:pPr>
                    <w:spacing w:after="120"/>
                    <w:jc w:val="center"/>
                    <w:rPr>
                      <w:kern w:val="0"/>
                      <w:szCs w:val="21"/>
                      <w:lang w:bidi="ar"/>
                    </w:rPr>
                  </w:pPr>
                  <w:r>
                    <w:rPr>
                      <w:rFonts w:hint="eastAsia"/>
                      <w:kern w:val="0"/>
                      <w:szCs w:val="21"/>
                      <w:lang w:bidi="ar"/>
                    </w:rPr>
                    <w:t>1</w:t>
                  </w:r>
                </w:p>
              </w:tc>
              <w:tc>
                <w:tcPr>
                  <w:tcW w:w="684" w:type="pct"/>
                  <w:tcBorders>
                    <w:tl2br w:val="nil"/>
                    <w:tr2bl w:val="nil"/>
                  </w:tcBorders>
                  <w:vAlign w:val="center"/>
                </w:tcPr>
                <w:p>
                  <w:pPr>
                    <w:spacing w:after="120"/>
                    <w:jc w:val="center"/>
                    <w:rPr>
                      <w:kern w:val="0"/>
                      <w:szCs w:val="21"/>
                      <w:lang w:bidi="ar"/>
                    </w:rPr>
                  </w:pPr>
                  <w:r>
                    <w:rPr>
                      <w:rFonts w:hint="eastAsia"/>
                      <w:kern w:val="0"/>
                      <w:szCs w:val="21"/>
                    </w:rPr>
                    <w:t>天然气（甲烷）</w:t>
                  </w:r>
                </w:p>
              </w:tc>
              <w:tc>
                <w:tcPr>
                  <w:tcW w:w="617" w:type="pct"/>
                  <w:tcBorders>
                    <w:tl2br w:val="nil"/>
                    <w:tr2bl w:val="nil"/>
                  </w:tcBorders>
                  <w:vAlign w:val="center"/>
                </w:tcPr>
                <w:p>
                  <w:pPr>
                    <w:spacing w:after="120"/>
                    <w:jc w:val="center"/>
                    <w:rPr>
                      <w:kern w:val="0"/>
                      <w:szCs w:val="21"/>
                      <w:lang w:bidi="ar"/>
                    </w:rPr>
                  </w:pPr>
                  <w:r>
                    <w:rPr>
                      <w:rFonts w:hint="eastAsia"/>
                      <w:kern w:val="0"/>
                      <w:szCs w:val="21"/>
                      <w:lang w:bidi="ar"/>
                    </w:rPr>
                    <w:t>74-72-8</w:t>
                  </w:r>
                </w:p>
              </w:tc>
              <w:tc>
                <w:tcPr>
                  <w:tcW w:w="969" w:type="pct"/>
                  <w:tcBorders>
                    <w:tl2br w:val="nil"/>
                    <w:tr2bl w:val="nil"/>
                  </w:tcBorders>
                  <w:vAlign w:val="center"/>
                </w:tcPr>
                <w:p>
                  <w:pPr>
                    <w:spacing w:after="120"/>
                    <w:jc w:val="center"/>
                    <w:rPr>
                      <w:kern w:val="0"/>
                      <w:szCs w:val="21"/>
                      <w:lang w:bidi="ar"/>
                    </w:rPr>
                  </w:pPr>
                  <w:r>
                    <w:rPr>
                      <w:rFonts w:hint="eastAsia"/>
                      <w:kern w:val="0"/>
                      <w:szCs w:val="21"/>
                      <w:lang w:bidi="ar"/>
                    </w:rPr>
                    <w:t>1.61</w:t>
                  </w:r>
                  <w:r>
                    <w:rPr>
                      <w:rFonts w:hint="eastAsia"/>
                      <w:bCs/>
                      <w:snapToGrid w:val="0"/>
                      <w:kern w:val="0"/>
                      <w:szCs w:val="21"/>
                      <w:lang w:bidi="ar"/>
                    </w:rPr>
                    <w:t>×10</w:t>
                  </w:r>
                  <w:r>
                    <w:rPr>
                      <w:rFonts w:hint="eastAsia"/>
                      <w:bCs/>
                      <w:snapToGrid w:val="0"/>
                      <w:kern w:val="0"/>
                      <w:szCs w:val="21"/>
                      <w:vertAlign w:val="superscript"/>
                      <w:lang w:bidi="ar"/>
                    </w:rPr>
                    <w:t>-</w:t>
                  </w:r>
                  <w:r>
                    <w:rPr>
                      <w:bCs/>
                      <w:snapToGrid w:val="0"/>
                      <w:kern w:val="0"/>
                      <w:szCs w:val="21"/>
                      <w:vertAlign w:val="superscript"/>
                      <w:lang w:bidi="ar"/>
                    </w:rPr>
                    <w:t>6</w:t>
                  </w:r>
                </w:p>
              </w:tc>
              <w:tc>
                <w:tcPr>
                  <w:tcW w:w="865" w:type="pct"/>
                  <w:tcBorders>
                    <w:tl2br w:val="nil"/>
                    <w:tr2bl w:val="nil"/>
                  </w:tcBorders>
                  <w:vAlign w:val="center"/>
                </w:tcPr>
                <w:p>
                  <w:pPr>
                    <w:spacing w:after="120"/>
                    <w:jc w:val="center"/>
                    <w:rPr>
                      <w:kern w:val="0"/>
                      <w:szCs w:val="21"/>
                      <w:lang w:bidi="ar"/>
                    </w:rPr>
                  </w:pPr>
                  <w:r>
                    <w:rPr>
                      <w:kern w:val="0"/>
                      <w:szCs w:val="21"/>
                      <w:lang w:bidi="ar"/>
                    </w:rPr>
                    <w:t>134.4</w:t>
                  </w:r>
                </w:p>
              </w:tc>
              <w:tc>
                <w:tcPr>
                  <w:tcW w:w="781" w:type="pct"/>
                  <w:tcBorders>
                    <w:tl2br w:val="nil"/>
                    <w:tr2bl w:val="nil"/>
                  </w:tcBorders>
                  <w:vAlign w:val="center"/>
                </w:tcPr>
                <w:p>
                  <w:pPr>
                    <w:spacing w:after="120"/>
                    <w:jc w:val="center"/>
                    <w:rPr>
                      <w:kern w:val="0"/>
                      <w:szCs w:val="21"/>
                      <w:lang w:bidi="ar"/>
                    </w:rPr>
                  </w:pPr>
                  <w:r>
                    <w:rPr>
                      <w:rFonts w:hint="eastAsia"/>
                      <w:kern w:val="0"/>
                      <w:szCs w:val="21"/>
                      <w:lang w:bidi="ar"/>
                    </w:rPr>
                    <w:t>10</w:t>
                  </w:r>
                </w:p>
              </w:tc>
              <w:tc>
                <w:tcPr>
                  <w:tcW w:w="708" w:type="pct"/>
                  <w:tcBorders>
                    <w:tl2br w:val="nil"/>
                    <w:tr2bl w:val="nil"/>
                  </w:tcBorders>
                  <w:vAlign w:val="center"/>
                </w:tcPr>
                <w:p>
                  <w:pPr>
                    <w:spacing w:after="120"/>
                    <w:jc w:val="center"/>
                    <w:rPr>
                      <w:kern w:val="0"/>
                      <w:szCs w:val="21"/>
                      <w:lang w:bidi="ar"/>
                    </w:rPr>
                  </w:pPr>
                  <w:r>
                    <w:rPr>
                      <w:rFonts w:hint="eastAsia"/>
                      <w:kern w:val="0"/>
                      <w:szCs w:val="21"/>
                      <w:lang w:bidi="ar"/>
                    </w:rPr>
                    <w:t>1.61×10</w:t>
                  </w:r>
                  <w:r>
                    <w:rPr>
                      <w:rFonts w:hint="eastAsia"/>
                      <w:kern w:val="0"/>
                      <w:szCs w:val="21"/>
                      <w:vertAlign w:val="superscript"/>
                      <w:lang w:bidi="ar"/>
                    </w:rPr>
                    <w:t>-</w:t>
                  </w:r>
                  <w:r>
                    <w:rPr>
                      <w:kern w:val="0"/>
                      <w:szCs w:val="21"/>
                      <w:vertAlign w:val="superscript"/>
                      <w:lang w:bidi="ar"/>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92" w:type="pct"/>
                  <w:gridSpan w:val="6"/>
                  <w:tcBorders>
                    <w:tl2br w:val="nil"/>
                    <w:tr2bl w:val="nil"/>
                  </w:tcBorders>
                  <w:vAlign w:val="center"/>
                </w:tcPr>
                <w:p>
                  <w:pPr>
                    <w:spacing w:after="120"/>
                    <w:jc w:val="center"/>
                    <w:rPr>
                      <w:kern w:val="0"/>
                      <w:szCs w:val="21"/>
                      <w:lang w:bidi="ar"/>
                    </w:rPr>
                  </w:pPr>
                  <w:r>
                    <w:rPr>
                      <w:rFonts w:hint="eastAsia"/>
                      <w:kern w:val="0"/>
                      <w:szCs w:val="21"/>
                    </w:rPr>
                    <w:t>项目Q值∑</w:t>
                  </w:r>
                </w:p>
              </w:tc>
              <w:tc>
                <w:tcPr>
                  <w:tcW w:w="708" w:type="pct"/>
                  <w:tcBorders>
                    <w:tl2br w:val="nil"/>
                    <w:tr2bl w:val="nil"/>
                  </w:tcBorders>
                  <w:vAlign w:val="center"/>
                </w:tcPr>
                <w:p>
                  <w:pPr>
                    <w:spacing w:after="120"/>
                    <w:jc w:val="center"/>
                    <w:rPr>
                      <w:kern w:val="0"/>
                      <w:szCs w:val="21"/>
                      <w:lang w:bidi="ar"/>
                    </w:rPr>
                  </w:pPr>
                  <w:r>
                    <w:rPr>
                      <w:rFonts w:hint="eastAsia"/>
                      <w:kern w:val="0"/>
                      <w:szCs w:val="21"/>
                      <w:lang w:bidi="ar"/>
                    </w:rPr>
                    <w:t>1.61×10</w:t>
                  </w:r>
                  <w:r>
                    <w:rPr>
                      <w:rFonts w:hint="eastAsia"/>
                      <w:kern w:val="0"/>
                      <w:szCs w:val="21"/>
                      <w:vertAlign w:val="superscript"/>
                      <w:lang w:bidi="ar"/>
                    </w:rPr>
                    <w:t>-</w:t>
                  </w:r>
                  <w:r>
                    <w:rPr>
                      <w:kern w:val="0"/>
                      <w:szCs w:val="21"/>
                      <w:vertAlign w:val="superscript"/>
                      <w:lang w:bidi="ar"/>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92" w:type="pct"/>
                  <w:gridSpan w:val="6"/>
                  <w:tcBorders>
                    <w:tl2br w:val="nil"/>
                    <w:tr2bl w:val="nil"/>
                  </w:tcBorders>
                  <w:vAlign w:val="center"/>
                </w:tcPr>
                <w:p>
                  <w:pPr>
                    <w:adjustRightInd w:val="0"/>
                    <w:snapToGrid w:val="0"/>
                    <w:rPr>
                      <w:kern w:val="0"/>
                      <w:szCs w:val="21"/>
                    </w:rPr>
                  </w:pPr>
                  <w:r>
                    <w:rPr>
                      <w:rFonts w:hint="eastAsia"/>
                      <w:bCs/>
                      <w:snapToGrid w:val="0"/>
                      <w:kern w:val="0"/>
                      <w:szCs w:val="21"/>
                    </w:rPr>
                    <w:t>天然气的气化率（101.325kPa；20℃）为1488m</w:t>
                  </w:r>
                  <w:r>
                    <w:rPr>
                      <w:rFonts w:hint="eastAsia"/>
                      <w:bCs/>
                      <w:snapToGrid w:val="0"/>
                      <w:kern w:val="0"/>
                      <w:szCs w:val="21"/>
                      <w:vertAlign w:val="superscript"/>
                    </w:rPr>
                    <w:t>3</w:t>
                  </w:r>
                  <w:r>
                    <w:rPr>
                      <w:rFonts w:hint="eastAsia"/>
                      <w:bCs/>
                      <w:snapToGrid w:val="0"/>
                      <w:kern w:val="0"/>
                      <w:szCs w:val="21"/>
                    </w:rPr>
                    <w:t>/t</w:t>
                  </w:r>
                </w:p>
              </w:tc>
              <w:tc>
                <w:tcPr>
                  <w:tcW w:w="708" w:type="pct"/>
                  <w:tcBorders>
                    <w:tl2br w:val="nil"/>
                    <w:tr2bl w:val="nil"/>
                  </w:tcBorders>
                  <w:vAlign w:val="center"/>
                </w:tcPr>
                <w:p>
                  <w:pPr>
                    <w:spacing w:after="120"/>
                    <w:jc w:val="center"/>
                    <w:rPr>
                      <w:kern w:val="0"/>
                      <w:szCs w:val="21"/>
                      <w:lang w:bidi="ar"/>
                    </w:rPr>
                  </w:pPr>
                  <w:r>
                    <w:rPr>
                      <w:rFonts w:hint="eastAsia"/>
                      <w:kern w:val="0"/>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92" w:type="pct"/>
                  <w:gridSpan w:val="6"/>
                  <w:tcBorders>
                    <w:tl2br w:val="nil"/>
                    <w:tr2bl w:val="nil"/>
                  </w:tcBorders>
                  <w:vAlign w:val="center"/>
                </w:tcPr>
                <w:p>
                  <w:pPr>
                    <w:adjustRightInd w:val="0"/>
                    <w:snapToGrid w:val="0"/>
                    <w:rPr>
                      <w:bCs/>
                      <w:snapToGrid w:val="0"/>
                      <w:kern w:val="0"/>
                      <w:szCs w:val="21"/>
                    </w:rPr>
                  </w:pPr>
                  <w:r>
                    <w:rPr>
                      <w:rFonts w:hint="eastAsia"/>
                      <w:bCs/>
                      <w:snapToGrid w:val="0"/>
                      <w:kern w:val="0"/>
                      <w:szCs w:val="21"/>
                    </w:rPr>
                    <w:t>最大暂存量：项目接入市政天然气，企业提供资料，用气量约</w:t>
                  </w:r>
                  <w:r>
                    <w:rPr>
                      <w:bCs/>
                      <w:snapToGrid w:val="0"/>
                      <w:kern w:val="0"/>
                      <w:szCs w:val="21"/>
                    </w:rPr>
                    <w:t>2</w:t>
                  </w:r>
                  <w:r>
                    <w:rPr>
                      <w:rFonts w:hint="eastAsia"/>
                      <w:bCs/>
                      <w:snapToGrid w:val="0"/>
                      <w:kern w:val="0"/>
                      <w:szCs w:val="21"/>
                    </w:rPr>
                    <w:t>0万m</w:t>
                  </w:r>
                  <w:r>
                    <w:rPr>
                      <w:rFonts w:hint="eastAsia"/>
                      <w:bCs/>
                      <w:snapToGrid w:val="0"/>
                      <w:kern w:val="0"/>
                      <w:szCs w:val="21"/>
                      <w:vertAlign w:val="superscript"/>
                    </w:rPr>
                    <w:t>3</w:t>
                  </w:r>
                  <w:r>
                    <w:rPr>
                      <w:rFonts w:hint="eastAsia"/>
                      <w:bCs/>
                      <w:snapToGrid w:val="0"/>
                      <w:kern w:val="0"/>
                      <w:szCs w:val="21"/>
                    </w:rPr>
                    <w:t>/a，折算约</w:t>
                  </w:r>
                  <w:r>
                    <w:rPr>
                      <w:bCs/>
                      <w:snapToGrid w:val="0"/>
                      <w:kern w:val="0"/>
                      <w:szCs w:val="21"/>
                    </w:rPr>
                    <w:t>134.4</w:t>
                  </w:r>
                  <w:r>
                    <w:rPr>
                      <w:rFonts w:hint="eastAsia"/>
                      <w:bCs/>
                      <w:snapToGrid w:val="0"/>
                      <w:kern w:val="0"/>
                      <w:szCs w:val="21"/>
                    </w:rPr>
                    <w:t>t/a，入厂管径DN40mm，厂内管道长约6m，以此计算最大暂存量</w:t>
                  </w:r>
                  <w:r>
                    <w:rPr>
                      <w:bCs/>
                      <w:snapToGrid w:val="0"/>
                      <w:kern w:val="0"/>
                      <w:szCs w:val="21"/>
                    </w:rPr>
                    <w:t>0.0024</w:t>
                  </w:r>
                  <w:r>
                    <w:rPr>
                      <w:rFonts w:hint="eastAsia"/>
                      <w:bCs/>
                      <w:snapToGrid w:val="0"/>
                      <w:kern w:val="0"/>
                      <w:szCs w:val="21"/>
                    </w:rPr>
                    <w:t>m</w:t>
                  </w:r>
                  <w:r>
                    <w:rPr>
                      <w:rFonts w:hint="eastAsia"/>
                      <w:bCs/>
                      <w:snapToGrid w:val="0"/>
                      <w:kern w:val="0"/>
                      <w:szCs w:val="21"/>
                      <w:vertAlign w:val="superscript"/>
                    </w:rPr>
                    <w:t>3</w:t>
                  </w:r>
                  <w:r>
                    <w:rPr>
                      <w:rFonts w:hint="eastAsia"/>
                      <w:bCs/>
                      <w:snapToGrid w:val="0"/>
                      <w:kern w:val="0"/>
                      <w:szCs w:val="21"/>
                    </w:rPr>
                    <w:t>，折算约1.61×10</w:t>
                  </w:r>
                  <w:r>
                    <w:rPr>
                      <w:rFonts w:hint="eastAsia"/>
                      <w:bCs/>
                      <w:snapToGrid w:val="0"/>
                      <w:kern w:val="0"/>
                      <w:szCs w:val="21"/>
                      <w:vertAlign w:val="superscript"/>
                    </w:rPr>
                    <w:t>-</w:t>
                  </w:r>
                  <w:r>
                    <w:rPr>
                      <w:bCs/>
                      <w:snapToGrid w:val="0"/>
                      <w:kern w:val="0"/>
                      <w:szCs w:val="21"/>
                      <w:vertAlign w:val="superscript"/>
                    </w:rPr>
                    <w:t>6</w:t>
                  </w:r>
                  <w:r>
                    <w:rPr>
                      <w:rFonts w:hint="eastAsia"/>
                      <w:bCs/>
                      <w:snapToGrid w:val="0"/>
                      <w:kern w:val="0"/>
                      <w:szCs w:val="21"/>
                    </w:rPr>
                    <w:t>t。</w:t>
                  </w:r>
                </w:p>
              </w:tc>
              <w:tc>
                <w:tcPr>
                  <w:tcW w:w="708" w:type="pct"/>
                  <w:tcBorders>
                    <w:tl2br w:val="nil"/>
                    <w:tr2bl w:val="nil"/>
                  </w:tcBorders>
                  <w:vAlign w:val="center"/>
                </w:tcPr>
                <w:p>
                  <w:pPr>
                    <w:spacing w:after="120"/>
                    <w:jc w:val="center"/>
                    <w:rPr>
                      <w:kern w:val="0"/>
                      <w:szCs w:val="21"/>
                      <w:lang w:bidi="ar"/>
                    </w:rPr>
                  </w:pPr>
                  <w:r>
                    <w:rPr>
                      <w:rFonts w:hint="eastAsia"/>
                      <w:kern w:val="0"/>
                      <w:szCs w:val="21"/>
                      <w:lang w:bidi="ar"/>
                    </w:rPr>
                    <w:t>-</w:t>
                  </w:r>
                </w:p>
              </w:tc>
            </w:tr>
          </w:tbl>
          <w:p>
            <w:pPr>
              <w:adjustRightInd w:val="0"/>
              <w:snapToGrid w:val="0"/>
              <w:spacing w:line="360" w:lineRule="auto"/>
              <w:ind w:firstLine="480" w:firstLineChars="200"/>
              <w:rPr>
                <w:kern w:val="0"/>
                <w:sz w:val="24"/>
              </w:rPr>
            </w:pPr>
            <w:r>
              <w:rPr>
                <w:rFonts w:hint="eastAsia"/>
                <w:kern w:val="0"/>
                <w:sz w:val="24"/>
              </w:rPr>
              <w:t>②风险潜势初判</w:t>
            </w:r>
          </w:p>
          <w:p>
            <w:pPr>
              <w:adjustRightInd w:val="0"/>
              <w:snapToGrid w:val="0"/>
              <w:spacing w:line="360" w:lineRule="auto"/>
              <w:ind w:firstLine="480" w:firstLineChars="200"/>
              <w:rPr>
                <w:kern w:val="0"/>
                <w:sz w:val="24"/>
              </w:rPr>
            </w:pPr>
            <w:r>
              <w:rPr>
                <w:rFonts w:hint="eastAsia"/>
                <w:kern w:val="0"/>
                <w:sz w:val="24"/>
              </w:rPr>
              <w:t>根据表5-6可以看出，危险物质数量与临界量Q&lt;1，本项目环境风险潜势为I，环境风险评价仅进行简单分析。</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③评价等级</w:t>
            </w:r>
          </w:p>
          <w:p>
            <w:pPr>
              <w:spacing w:line="360" w:lineRule="auto"/>
              <w:jc w:val="center"/>
              <w:rPr>
                <w:b/>
                <w:bCs/>
                <w:color w:val="000000" w:themeColor="text1"/>
                <w:kern w:val="0"/>
                <w:sz w:val="24"/>
                <w:szCs w:val="21"/>
                <w14:textFill>
                  <w14:solidFill>
                    <w14:schemeClr w14:val="tx1"/>
                  </w14:solidFill>
                </w14:textFill>
              </w:rPr>
            </w:pPr>
            <w:r>
              <w:rPr>
                <w:b/>
                <w:bCs/>
                <w:color w:val="000000" w:themeColor="text1"/>
                <w:kern w:val="0"/>
                <w:sz w:val="24"/>
                <w:szCs w:val="21"/>
                <w14:textFill>
                  <w14:solidFill>
                    <w14:schemeClr w14:val="tx1"/>
                  </w14:solidFill>
                </w14:textFill>
              </w:rPr>
              <w:t>表7</w:t>
            </w:r>
            <w:r>
              <w:rPr>
                <w:rFonts w:hint="eastAsia"/>
                <w:b/>
                <w:bCs/>
                <w:color w:val="000000" w:themeColor="text1"/>
                <w:kern w:val="0"/>
                <w:sz w:val="24"/>
                <w:szCs w:val="21"/>
                <w14:textFill>
                  <w14:solidFill>
                    <w14:schemeClr w14:val="tx1"/>
                  </w14:solidFill>
                </w14:textFill>
              </w:rPr>
              <w:t>-</w:t>
            </w:r>
            <w:r>
              <w:rPr>
                <w:b/>
                <w:bCs/>
                <w:color w:val="000000" w:themeColor="text1"/>
                <w:kern w:val="0"/>
                <w:sz w:val="24"/>
                <w:szCs w:val="21"/>
                <w14:textFill>
                  <w14:solidFill>
                    <w14:schemeClr w14:val="tx1"/>
                  </w14:solidFill>
                </w14:textFill>
              </w:rPr>
              <w:t xml:space="preserve">22   </w:t>
            </w:r>
            <w:r>
              <w:rPr>
                <w:rFonts w:hint="eastAsia"/>
                <w:b/>
                <w:bCs/>
                <w:color w:val="000000" w:themeColor="text1"/>
                <w:kern w:val="0"/>
                <w:sz w:val="24"/>
                <w:szCs w:val="21"/>
                <w14:textFill>
                  <w14:solidFill>
                    <w14:schemeClr w14:val="tx1"/>
                  </w14:solidFill>
                </w14:textFill>
              </w:rPr>
              <w:t>评价工作等级划分</w:t>
            </w:r>
            <w:r>
              <w:rPr>
                <w:b/>
                <w:bCs/>
                <w:color w:val="000000" w:themeColor="text1"/>
                <w:kern w:val="0"/>
                <w:sz w:val="24"/>
                <w:szCs w:val="21"/>
                <w14:textFill>
                  <w14:solidFill>
                    <w14:schemeClr w14:val="tx1"/>
                  </w14:solidFill>
                </w14:textFill>
              </w:rPr>
              <w:t>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1"/>
              <w:gridCol w:w="1811"/>
              <w:gridCol w:w="1811"/>
              <w:gridCol w:w="1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环境风险潜势</w:t>
                  </w:r>
                </w:p>
              </w:tc>
              <w:tc>
                <w:tcPr>
                  <w:tcW w:w="178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Ⅳ、Ⅳ</w:t>
                  </w:r>
                  <w:r>
                    <w:rPr>
                      <w:color w:val="000000" w:themeColor="text1"/>
                      <w:szCs w:val="21"/>
                      <w:vertAlign w:val="superscript"/>
                      <w14:textFill>
                        <w14:solidFill>
                          <w14:schemeClr w14:val="tx1"/>
                        </w14:solidFill>
                      </w14:textFill>
                    </w:rPr>
                    <w:t>+</w:t>
                  </w:r>
                </w:p>
              </w:tc>
              <w:tc>
                <w:tcPr>
                  <w:tcW w:w="178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Ⅲ</w:t>
                  </w:r>
                </w:p>
              </w:tc>
              <w:tc>
                <w:tcPr>
                  <w:tcW w:w="1789" w:type="dxa"/>
                  <w:shd w:val="clear" w:color="auto" w:fill="auto"/>
                  <w:vAlign w:val="center"/>
                </w:tcPr>
                <w:p>
                  <w:pPr>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Ⅱ</w:t>
                  </w:r>
                </w:p>
              </w:tc>
              <w:tc>
                <w:tcPr>
                  <w:tcW w:w="1790" w:type="dxa"/>
                  <w:shd w:val="clear" w:color="auto" w:fill="auto"/>
                  <w:vAlign w:val="center"/>
                </w:tcPr>
                <w:p>
                  <w:pPr>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9" w:type="dxa"/>
                  <w:shd w:val="clear" w:color="auto" w:fill="auto"/>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评价工作等级</w:t>
                  </w:r>
                </w:p>
              </w:tc>
              <w:tc>
                <w:tcPr>
                  <w:tcW w:w="1789" w:type="dxa"/>
                  <w:shd w:val="clear" w:color="auto" w:fill="auto"/>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一</w:t>
                  </w:r>
                </w:p>
              </w:tc>
              <w:tc>
                <w:tcPr>
                  <w:tcW w:w="1789" w:type="dxa"/>
                  <w:shd w:val="clear" w:color="auto" w:fill="auto"/>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二</w:t>
                  </w:r>
                </w:p>
              </w:tc>
              <w:tc>
                <w:tcPr>
                  <w:tcW w:w="1789" w:type="dxa"/>
                  <w:shd w:val="clear" w:color="auto" w:fill="auto"/>
                  <w:vAlign w:val="center"/>
                </w:tcPr>
                <w:p>
                  <w:pPr>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三</w:t>
                  </w:r>
                </w:p>
              </w:tc>
              <w:tc>
                <w:tcPr>
                  <w:tcW w:w="1790" w:type="dxa"/>
                  <w:shd w:val="pct20" w:color="auto" w:fill="auto"/>
                  <w:vAlign w:val="center"/>
                </w:tcPr>
                <w:p>
                  <w:pPr>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简单分析</w:t>
                  </w:r>
                  <w:r>
                    <w:rPr>
                      <w:color w:val="000000" w:themeColor="text1"/>
                      <w:szCs w:val="21"/>
                      <w:vertAlign w:val="superscript"/>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46" w:type="dxa"/>
                  <w:gridSpan w:val="5"/>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 是相对于详细评价工作内容而言，在描述危险物质、环境影响途径、环境危害后果、风险防范措施等方面给出定性的说明。见附录A。</w:t>
                  </w:r>
                </w:p>
              </w:tc>
            </w:tr>
          </w:tbl>
          <w:p>
            <w:pPr>
              <w:spacing w:line="360" w:lineRule="auto"/>
              <w:ind w:firstLine="480"/>
              <w:rPr>
                <w:rFonts w:hAnsi="宋体"/>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依据</w:t>
            </w:r>
            <w:r>
              <w:rPr>
                <w:rFonts w:hint="eastAsia"/>
                <w:color w:val="000000" w:themeColor="text1"/>
                <w:kern w:val="0"/>
                <w:sz w:val="24"/>
                <w14:textFill>
                  <w14:solidFill>
                    <w14:schemeClr w14:val="tx1"/>
                  </w14:solidFill>
                </w14:textFill>
              </w:rPr>
              <w:t>表</w:t>
            </w:r>
            <w:r>
              <w:rPr>
                <w:color w:val="000000" w:themeColor="text1"/>
                <w:kern w:val="0"/>
                <w:sz w:val="24"/>
                <w14:textFill>
                  <w14:solidFill>
                    <w14:schemeClr w14:val="tx1"/>
                  </w14:solidFill>
                </w14:textFill>
              </w:rPr>
              <w:t>7</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25中所规定的判定原则，本次</w:t>
            </w:r>
            <w:r>
              <w:rPr>
                <w:rFonts w:hAnsi="宋体"/>
                <w:color w:val="000000" w:themeColor="text1"/>
                <w:kern w:val="0"/>
                <w:sz w:val="24"/>
                <w14:textFill>
                  <w14:solidFill>
                    <w14:schemeClr w14:val="tx1"/>
                  </w14:solidFill>
                </w14:textFill>
              </w:rPr>
              <w:t>环境风险评价工作等级判定为</w:t>
            </w:r>
            <w:r>
              <w:rPr>
                <w:rFonts w:hint="eastAsia" w:hAnsi="宋体"/>
                <w:color w:val="000000" w:themeColor="text1"/>
                <w:kern w:val="0"/>
                <w:sz w:val="24"/>
                <w14:textFill>
                  <w14:solidFill>
                    <w14:schemeClr w14:val="tx1"/>
                  </w14:solidFill>
                </w14:textFill>
              </w:rPr>
              <w:t>简单</w:t>
            </w:r>
            <w:r>
              <w:rPr>
                <w:rFonts w:hAnsi="宋体"/>
                <w:color w:val="000000" w:themeColor="text1"/>
                <w:kern w:val="0"/>
                <w:sz w:val="24"/>
                <w14:textFill>
                  <w14:solidFill>
                    <w14:schemeClr w14:val="tx1"/>
                  </w14:solidFill>
                </w14:textFill>
              </w:rPr>
              <w:t>分析。</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（2）环境敏感目标概况</w:t>
            </w:r>
          </w:p>
          <w:p>
            <w:pPr>
              <w:spacing w:line="360" w:lineRule="auto"/>
              <w:ind w:firstLine="480" w:firstLineChars="200"/>
              <w:rPr>
                <w:kern w:val="0"/>
                <w:sz w:val="24"/>
              </w:rPr>
            </w:pPr>
            <w:r>
              <w:rPr>
                <w:rFonts w:hint="eastAsia"/>
                <w:kern w:val="0"/>
                <w:sz w:val="24"/>
              </w:rPr>
              <w:t>本项目环境敏感目标概况见表</w:t>
            </w:r>
            <w:r>
              <w:rPr>
                <w:kern w:val="0"/>
                <w:sz w:val="24"/>
              </w:rPr>
              <w:t>7-23</w:t>
            </w:r>
            <w:r>
              <w:rPr>
                <w:rFonts w:hint="eastAsia"/>
                <w:kern w:val="0"/>
                <w:sz w:val="24"/>
              </w:rPr>
              <w:t>。</w:t>
            </w:r>
          </w:p>
          <w:p>
            <w:pPr>
              <w:spacing w:line="360" w:lineRule="auto"/>
              <w:jc w:val="center"/>
              <w:rPr>
                <w:b/>
                <w:kern w:val="0"/>
                <w:sz w:val="24"/>
              </w:rPr>
            </w:pPr>
            <w:r>
              <w:rPr>
                <w:b/>
                <w:kern w:val="0"/>
                <w:sz w:val="24"/>
              </w:rPr>
              <w:t xml:space="preserve">表7-23   </w:t>
            </w:r>
            <w:r>
              <w:rPr>
                <w:rFonts w:hint="eastAsia"/>
                <w:b/>
                <w:kern w:val="0"/>
                <w:sz w:val="24"/>
              </w:rPr>
              <w:t>环境敏感目标概况表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699"/>
              <w:gridCol w:w="868"/>
              <w:gridCol w:w="1730"/>
              <w:gridCol w:w="765"/>
              <w:gridCol w:w="494"/>
              <w:gridCol w:w="1527"/>
              <w:gridCol w:w="492"/>
              <w:gridCol w:w="986"/>
              <w:gridCol w:w="14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99" w:type="dxa"/>
                  <w:tcBorders>
                    <w:bottom w:val="single" w:color="auto" w:sz="4" w:space="0"/>
                  </w:tcBorders>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类别</w:t>
                  </w:r>
                </w:p>
              </w:tc>
              <w:tc>
                <w:tcPr>
                  <w:tcW w:w="8358" w:type="dxa"/>
                  <w:gridSpan w:val="8"/>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环境敏感特征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699" w:type="dxa"/>
                  <w:vMerge w:val="restart"/>
                  <w:tcBorders>
                    <w:top w:val="single" w:color="auto" w:sz="4" w:space="0"/>
                  </w:tcBorders>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p>
                  <w:pPr>
                    <w:adjustRightInd w:val="0"/>
                    <w:snapToGrid w:val="0"/>
                    <w:spacing w:line="240" w:lineRule="exact"/>
                    <w:jc w:val="center"/>
                    <w:rPr>
                      <w:color w:val="000000" w:themeColor="text1"/>
                      <w:szCs w:val="21"/>
                      <w14:textFill>
                        <w14:solidFill>
                          <w14:schemeClr w14:val="tx1"/>
                        </w14:solidFill>
                      </w14:textFill>
                    </w:rPr>
                  </w:pPr>
                </w:p>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w:t>
                  </w:r>
                </w:p>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境</w:t>
                  </w:r>
                </w:p>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空</w:t>
                  </w:r>
                </w:p>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气</w:t>
                  </w:r>
                </w:p>
              </w:tc>
              <w:tc>
                <w:tcPr>
                  <w:tcW w:w="8358" w:type="dxa"/>
                  <w:gridSpan w:val="8"/>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厂址周边5km范围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730"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敏感</w:t>
                  </w:r>
                </w:p>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目标名称</w:t>
                  </w:r>
                </w:p>
              </w:tc>
              <w:tc>
                <w:tcPr>
                  <w:tcW w:w="1259" w:type="dxa"/>
                  <w:gridSpan w:val="2"/>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相对方位</w:t>
                  </w:r>
                </w:p>
              </w:tc>
              <w:tc>
                <w:tcPr>
                  <w:tcW w:w="1527"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距离/m</w:t>
                  </w:r>
                </w:p>
              </w:tc>
              <w:tc>
                <w:tcPr>
                  <w:tcW w:w="1478" w:type="dxa"/>
                  <w:gridSpan w:val="2"/>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属性</w:t>
                  </w:r>
                </w:p>
              </w:tc>
              <w:tc>
                <w:tcPr>
                  <w:tcW w:w="1496"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人口数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9"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730"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大王村</w:t>
                  </w:r>
                </w:p>
              </w:tc>
              <w:tc>
                <w:tcPr>
                  <w:tcW w:w="1259" w:type="dxa"/>
                  <w:gridSpan w:val="2"/>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南</w:t>
                  </w:r>
                </w:p>
              </w:tc>
              <w:tc>
                <w:tcPr>
                  <w:tcW w:w="1527"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30</w:t>
                  </w:r>
                </w:p>
              </w:tc>
              <w:tc>
                <w:tcPr>
                  <w:tcW w:w="1478" w:type="dxa"/>
                  <w:gridSpan w:val="2"/>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730"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李都村</w:t>
                  </w:r>
                </w:p>
              </w:tc>
              <w:tc>
                <w:tcPr>
                  <w:tcW w:w="1259" w:type="dxa"/>
                  <w:gridSpan w:val="2"/>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东</w:t>
                  </w:r>
                </w:p>
              </w:tc>
              <w:tc>
                <w:tcPr>
                  <w:tcW w:w="1527" w:type="dxa"/>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04</w:t>
                  </w:r>
                </w:p>
              </w:tc>
              <w:tc>
                <w:tcPr>
                  <w:tcW w:w="1478" w:type="dxa"/>
                  <w:gridSpan w:val="2"/>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上帝王村</w:t>
                  </w:r>
                </w:p>
              </w:tc>
              <w:tc>
                <w:tcPr>
                  <w:tcW w:w="1259"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东南</w:t>
                  </w:r>
                </w:p>
              </w:tc>
              <w:tc>
                <w:tcPr>
                  <w:tcW w:w="1527"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509</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下帝王村</w:t>
                  </w:r>
                </w:p>
              </w:tc>
              <w:tc>
                <w:tcPr>
                  <w:tcW w:w="1259"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东南</w:t>
                  </w:r>
                </w:p>
              </w:tc>
              <w:tc>
                <w:tcPr>
                  <w:tcW w:w="1527"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678</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互助村</w:t>
                  </w:r>
                </w:p>
              </w:tc>
              <w:tc>
                <w:tcPr>
                  <w:tcW w:w="1259"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南</w:t>
                  </w:r>
                </w:p>
              </w:tc>
              <w:tc>
                <w:tcPr>
                  <w:tcW w:w="1527"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776</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夏家寨</w:t>
                  </w:r>
                </w:p>
              </w:tc>
              <w:tc>
                <w:tcPr>
                  <w:tcW w:w="1259"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西南</w:t>
                  </w:r>
                </w:p>
              </w:tc>
              <w:tc>
                <w:tcPr>
                  <w:tcW w:w="1527"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195</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张安村</w:t>
                  </w:r>
                </w:p>
              </w:tc>
              <w:tc>
                <w:tcPr>
                  <w:tcW w:w="1259"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西北</w:t>
                  </w:r>
                </w:p>
              </w:tc>
              <w:tc>
                <w:tcPr>
                  <w:tcW w:w="1527"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135</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苏家村</w:t>
                  </w:r>
                </w:p>
              </w:tc>
              <w:tc>
                <w:tcPr>
                  <w:tcW w:w="1259"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西北</w:t>
                  </w:r>
                </w:p>
              </w:tc>
              <w:tc>
                <w:tcPr>
                  <w:tcW w:w="1527"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495</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庞村</w:t>
                  </w:r>
                </w:p>
              </w:tc>
              <w:tc>
                <w:tcPr>
                  <w:tcW w:w="1259" w:type="dxa"/>
                  <w:gridSpan w:val="2"/>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东北</w:t>
                  </w:r>
                </w:p>
              </w:tc>
              <w:tc>
                <w:tcPr>
                  <w:tcW w:w="1527" w:type="dxa"/>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700</w:t>
                  </w:r>
                </w:p>
              </w:tc>
              <w:tc>
                <w:tcPr>
                  <w:tcW w:w="1478" w:type="dxa"/>
                  <w:gridSpan w:val="2"/>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府阳村</w:t>
                  </w:r>
                </w:p>
              </w:tc>
              <w:tc>
                <w:tcPr>
                  <w:tcW w:w="1259"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东北</w:t>
                  </w:r>
                </w:p>
              </w:tc>
              <w:tc>
                <w:tcPr>
                  <w:tcW w:w="1527"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850</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1</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南上召村</w:t>
                  </w:r>
                </w:p>
              </w:tc>
              <w:tc>
                <w:tcPr>
                  <w:tcW w:w="1259" w:type="dxa"/>
                  <w:gridSpan w:val="2"/>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东</w:t>
                  </w:r>
                </w:p>
              </w:tc>
              <w:tc>
                <w:tcPr>
                  <w:tcW w:w="1527" w:type="dxa"/>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900</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北上召村</w:t>
                  </w:r>
                </w:p>
              </w:tc>
              <w:tc>
                <w:tcPr>
                  <w:tcW w:w="1259" w:type="dxa"/>
                  <w:gridSpan w:val="2"/>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东</w:t>
                  </w:r>
                </w:p>
              </w:tc>
              <w:tc>
                <w:tcPr>
                  <w:tcW w:w="1527" w:type="dxa"/>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700</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3</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崔家村</w:t>
                  </w:r>
                </w:p>
              </w:tc>
              <w:tc>
                <w:tcPr>
                  <w:tcW w:w="1259" w:type="dxa"/>
                  <w:gridSpan w:val="2"/>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东</w:t>
                  </w:r>
                </w:p>
              </w:tc>
              <w:tc>
                <w:tcPr>
                  <w:tcW w:w="1527" w:type="dxa"/>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500</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4</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十二台村</w:t>
                  </w:r>
                </w:p>
              </w:tc>
              <w:tc>
                <w:tcPr>
                  <w:tcW w:w="1259" w:type="dxa"/>
                  <w:gridSpan w:val="2"/>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东南</w:t>
                  </w:r>
                </w:p>
              </w:tc>
              <w:tc>
                <w:tcPr>
                  <w:tcW w:w="1527" w:type="dxa"/>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760</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陈仟村</w:t>
                  </w:r>
                </w:p>
              </w:tc>
              <w:tc>
                <w:tcPr>
                  <w:tcW w:w="1259" w:type="dxa"/>
                  <w:gridSpan w:val="2"/>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西南</w:t>
                  </w:r>
                </w:p>
              </w:tc>
              <w:tc>
                <w:tcPr>
                  <w:tcW w:w="1527" w:type="dxa"/>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080</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6</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崔张村</w:t>
                  </w:r>
                </w:p>
              </w:tc>
              <w:tc>
                <w:tcPr>
                  <w:tcW w:w="1259" w:type="dxa"/>
                  <w:gridSpan w:val="2"/>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西</w:t>
                  </w:r>
                </w:p>
              </w:tc>
              <w:tc>
                <w:tcPr>
                  <w:tcW w:w="1527" w:type="dxa"/>
                  <w:shd w:val="clear" w:color="auto" w:fill="FFFFFF"/>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150</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7</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白良村</w:t>
                  </w:r>
                </w:p>
              </w:tc>
              <w:tc>
                <w:tcPr>
                  <w:tcW w:w="1259"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西北</w:t>
                  </w:r>
                </w:p>
              </w:tc>
              <w:tc>
                <w:tcPr>
                  <w:tcW w:w="1527"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500</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8</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双照村</w:t>
                  </w:r>
                </w:p>
              </w:tc>
              <w:tc>
                <w:tcPr>
                  <w:tcW w:w="1259"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西北</w:t>
                  </w:r>
                </w:p>
              </w:tc>
              <w:tc>
                <w:tcPr>
                  <w:tcW w:w="1527"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950</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村庄</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9</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rPr>
                    <w:t>双照镇大王中心小学</w:t>
                  </w:r>
                </w:p>
              </w:tc>
              <w:tc>
                <w:tcPr>
                  <w:tcW w:w="1259" w:type="dxa"/>
                  <w:gridSpan w:val="2"/>
                  <w:shd w:val="clear" w:color="auto" w:fill="FFFFFF"/>
                </w:tcPr>
                <w:p>
                  <w:pPr>
                    <w:jc w:val="center"/>
                    <w:rPr>
                      <w:color w:val="000000" w:themeColor="text1"/>
                      <w:szCs w:val="21"/>
                      <w14:textFill>
                        <w14:solidFill>
                          <w14:schemeClr w14:val="tx1"/>
                        </w14:solidFill>
                      </w14:textFill>
                    </w:rPr>
                  </w:pPr>
                  <w:r>
                    <w:rPr>
                      <w:rFonts w:hint="eastAsia"/>
                    </w:rPr>
                    <w:t>东南</w:t>
                  </w:r>
                </w:p>
              </w:tc>
              <w:tc>
                <w:tcPr>
                  <w:tcW w:w="1527"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20</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学校</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w:t>
                  </w:r>
                </w:p>
              </w:tc>
              <w:tc>
                <w:tcPr>
                  <w:tcW w:w="1730" w:type="dxa"/>
                  <w:shd w:val="clear" w:color="auto" w:fill="FFFFFF"/>
                </w:tcPr>
                <w:p>
                  <w:pPr>
                    <w:ind w:firstLine="210" w:firstLineChars="100"/>
                    <w:jc w:val="center"/>
                    <w:rPr>
                      <w:color w:val="000000" w:themeColor="text1"/>
                      <w:szCs w:val="21"/>
                      <w14:textFill>
                        <w14:solidFill>
                          <w14:schemeClr w14:val="tx1"/>
                        </w14:solidFill>
                      </w14:textFill>
                    </w:rPr>
                  </w:pPr>
                  <w:r>
                    <w:rPr>
                      <w:rFonts w:hint="eastAsia"/>
                    </w:rPr>
                    <w:t>平陵中学</w:t>
                  </w:r>
                </w:p>
              </w:tc>
              <w:tc>
                <w:tcPr>
                  <w:tcW w:w="1259" w:type="dxa"/>
                  <w:gridSpan w:val="2"/>
                  <w:shd w:val="clear" w:color="auto" w:fill="FFFFFF"/>
                </w:tcPr>
                <w:p>
                  <w:pPr>
                    <w:jc w:val="center"/>
                    <w:rPr>
                      <w:color w:val="000000" w:themeColor="text1"/>
                      <w:szCs w:val="21"/>
                      <w14:textFill>
                        <w14:solidFill>
                          <w14:schemeClr w14:val="tx1"/>
                        </w14:solidFill>
                      </w14:textFill>
                    </w:rPr>
                  </w:pPr>
                  <w:r>
                    <w:rPr>
                      <w:rFonts w:hint="eastAsia"/>
                    </w:rPr>
                    <w:t>南</w:t>
                  </w:r>
                </w:p>
              </w:tc>
              <w:tc>
                <w:tcPr>
                  <w:tcW w:w="1527"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40</w:t>
                  </w:r>
                </w:p>
              </w:tc>
              <w:tc>
                <w:tcPr>
                  <w:tcW w:w="1478" w:type="dxa"/>
                  <w:gridSpan w:val="2"/>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学校</w:t>
                  </w:r>
                </w:p>
              </w:tc>
              <w:tc>
                <w:tcPr>
                  <w:tcW w:w="1496" w:type="dxa"/>
                  <w:shd w:val="clear" w:color="auto" w:fill="FFFFFF"/>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6862" w:type="dxa"/>
                  <w:gridSpan w:val="7"/>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厂址周边500m范围内人口数小计</w:t>
                  </w:r>
                </w:p>
              </w:tc>
              <w:tc>
                <w:tcPr>
                  <w:tcW w:w="1496"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730人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6862" w:type="dxa"/>
                  <w:gridSpan w:val="7"/>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厂址周边5km范围内人口数小计</w:t>
                  </w:r>
                </w:p>
              </w:tc>
              <w:tc>
                <w:tcPr>
                  <w:tcW w:w="1496"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2330人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699" w:type="dxa"/>
                  <w:vMerge w:val="restart"/>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w:t>
                  </w:r>
                </w:p>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表</w:t>
                  </w:r>
                </w:p>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水</w:t>
                  </w:r>
                </w:p>
              </w:tc>
              <w:tc>
                <w:tcPr>
                  <w:tcW w:w="8358" w:type="dxa"/>
                  <w:gridSpan w:val="8"/>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受纳水体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2495" w:type="dxa"/>
                  <w:gridSpan w:val="2"/>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受纳水体名称</w:t>
                  </w:r>
                </w:p>
              </w:tc>
              <w:tc>
                <w:tcPr>
                  <w:tcW w:w="2513" w:type="dxa"/>
                  <w:gridSpan w:val="3"/>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排放点水域环境功能</w:t>
                  </w:r>
                </w:p>
              </w:tc>
              <w:tc>
                <w:tcPr>
                  <w:tcW w:w="2482" w:type="dxa"/>
                  <w:gridSpan w:val="2"/>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24h内流经范围/km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868" w:type="dxa"/>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2495" w:type="dxa"/>
                  <w:gridSpan w:val="2"/>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渭河</w:t>
                  </w:r>
                </w:p>
              </w:tc>
              <w:tc>
                <w:tcPr>
                  <w:tcW w:w="2513" w:type="dxa"/>
                  <w:gridSpan w:val="3"/>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Ⅳ</w:t>
                  </w:r>
                  <w:r>
                    <w:rPr>
                      <w:color w:val="000000" w:themeColor="text1"/>
                      <w:szCs w:val="21"/>
                      <w14:textFill>
                        <w14:solidFill>
                          <w14:schemeClr w14:val="tx1"/>
                        </w14:solidFill>
                      </w14:textFill>
                    </w:rPr>
                    <w:t>类水域</w:t>
                  </w:r>
                </w:p>
              </w:tc>
              <w:tc>
                <w:tcPr>
                  <w:tcW w:w="2482" w:type="dxa"/>
                  <w:gridSpan w:val="2"/>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9" w:type="dxa"/>
                  <w:vMerge w:val="continue"/>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p>
              </w:tc>
              <w:tc>
                <w:tcPr>
                  <w:tcW w:w="5876" w:type="dxa"/>
                  <w:gridSpan w:val="6"/>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地表水环境敏感程度E值</w:t>
                  </w:r>
                </w:p>
              </w:tc>
              <w:tc>
                <w:tcPr>
                  <w:tcW w:w="2482" w:type="dxa"/>
                  <w:gridSpan w:val="2"/>
                  <w:shd w:val="clear" w:color="auto" w:fill="FFFFFF"/>
                  <w:vAlign w:val="center"/>
                </w:tcPr>
                <w:p>
                  <w:pPr>
                    <w:adjustRightInd w:val="0"/>
                    <w:snapToGrid w:val="0"/>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E2</w:t>
                  </w:r>
                </w:p>
              </w:tc>
            </w:tr>
          </w:tbl>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（3）环境风险识别</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1）危险物质</w:t>
            </w:r>
          </w:p>
          <w:p>
            <w:pPr>
              <w:adjustRightInd w:val="0"/>
              <w:snapToGrid w:val="0"/>
              <w:spacing w:line="360" w:lineRule="auto"/>
              <w:ind w:firstLine="480" w:firstLineChars="200"/>
              <w:rPr>
                <w:kern w:val="0"/>
                <w:sz w:val="24"/>
              </w:rPr>
            </w:pPr>
            <w:r>
              <w:rPr>
                <w:kern w:val="0"/>
                <w:sz w:val="24"/>
              </w:rPr>
              <w:t>根据《危险化学品重大危险源辨识》（GB18218-2018），天然气属于易燃易爆物质，它是一种多组分的混合物，主要成分为烷烃，其中甲烷占到摩尔百分数的93.07%。天然气特性及火灾、爆炸危险类别见表7</w:t>
            </w:r>
            <w:r>
              <w:rPr>
                <w:rFonts w:hint="eastAsia"/>
                <w:kern w:val="0"/>
                <w:sz w:val="24"/>
              </w:rPr>
              <w:t>-</w:t>
            </w:r>
            <w:r>
              <w:rPr>
                <w:kern w:val="0"/>
                <w:sz w:val="24"/>
              </w:rPr>
              <w:t>24：</w:t>
            </w:r>
          </w:p>
          <w:p>
            <w:pPr>
              <w:adjustRightInd w:val="0"/>
              <w:snapToGrid w:val="0"/>
              <w:jc w:val="center"/>
              <w:rPr>
                <w:b/>
                <w:kern w:val="0"/>
                <w:sz w:val="24"/>
              </w:rPr>
            </w:pPr>
            <w:r>
              <w:rPr>
                <w:b/>
                <w:kern w:val="0"/>
                <w:sz w:val="24"/>
              </w:rPr>
              <w:t>表7</w:t>
            </w:r>
            <w:r>
              <w:rPr>
                <w:rFonts w:hint="eastAsia"/>
                <w:b/>
                <w:kern w:val="0"/>
                <w:sz w:val="24"/>
              </w:rPr>
              <w:t>-</w:t>
            </w:r>
            <w:r>
              <w:rPr>
                <w:b/>
                <w:kern w:val="0"/>
                <w:sz w:val="24"/>
              </w:rPr>
              <w:t>24</w:t>
            </w:r>
            <w:r>
              <w:rPr>
                <w:rFonts w:hint="eastAsia"/>
                <w:b/>
                <w:kern w:val="0"/>
                <w:sz w:val="24"/>
              </w:rPr>
              <w:t xml:space="preserve"> </w:t>
            </w:r>
            <w:r>
              <w:rPr>
                <w:b/>
                <w:kern w:val="0"/>
                <w:sz w:val="24"/>
              </w:rPr>
              <w:t xml:space="preserve">  天然气性质表</w:t>
            </w:r>
          </w:p>
          <w:tbl>
            <w:tblPr>
              <w:tblStyle w:val="5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3568"/>
              <w:gridCol w:w="953"/>
              <w:gridCol w:w="1311"/>
              <w:gridCol w:w="22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9" w:type="pct"/>
                  <w:tcBorders>
                    <w:tl2br w:val="nil"/>
                    <w:tr2bl w:val="nil"/>
                  </w:tcBorders>
                  <w:vAlign w:val="center"/>
                </w:tcPr>
                <w:p>
                  <w:pPr>
                    <w:jc w:val="center"/>
                    <w:rPr>
                      <w:rFonts w:eastAsia="仿宋"/>
                      <w:b/>
                      <w:bCs/>
                      <w:kern w:val="0"/>
                      <w:sz w:val="20"/>
                      <w:szCs w:val="21"/>
                    </w:rPr>
                  </w:pPr>
                  <w:r>
                    <w:rPr>
                      <w:rFonts w:hint="eastAsia"/>
                      <w:b/>
                      <w:bCs/>
                      <w:kern w:val="0"/>
                      <w:sz w:val="20"/>
                      <w:szCs w:val="21"/>
                    </w:rPr>
                    <w:t>品名</w:t>
                  </w:r>
                </w:p>
              </w:tc>
              <w:tc>
                <w:tcPr>
                  <w:tcW w:w="1970" w:type="pct"/>
                  <w:tcBorders>
                    <w:tl2br w:val="nil"/>
                    <w:tr2bl w:val="nil"/>
                  </w:tcBorders>
                  <w:vAlign w:val="center"/>
                </w:tcPr>
                <w:p>
                  <w:pPr>
                    <w:jc w:val="center"/>
                    <w:rPr>
                      <w:rFonts w:eastAsia="仿宋"/>
                      <w:kern w:val="0"/>
                      <w:sz w:val="20"/>
                      <w:szCs w:val="21"/>
                    </w:rPr>
                  </w:pPr>
                  <w:r>
                    <w:rPr>
                      <w:rFonts w:hint="eastAsia"/>
                      <w:kern w:val="0"/>
                      <w:sz w:val="20"/>
                      <w:szCs w:val="21"/>
                    </w:rPr>
                    <w:t>天然气</w:t>
                  </w:r>
                </w:p>
              </w:tc>
              <w:tc>
                <w:tcPr>
                  <w:tcW w:w="1250" w:type="pct"/>
                  <w:gridSpan w:val="2"/>
                  <w:tcBorders>
                    <w:tl2br w:val="nil"/>
                    <w:tr2bl w:val="nil"/>
                  </w:tcBorders>
                  <w:vAlign w:val="center"/>
                </w:tcPr>
                <w:p>
                  <w:pPr>
                    <w:jc w:val="center"/>
                    <w:rPr>
                      <w:rFonts w:eastAsia="仿宋"/>
                      <w:b/>
                      <w:bCs/>
                      <w:kern w:val="0"/>
                      <w:sz w:val="20"/>
                      <w:szCs w:val="21"/>
                    </w:rPr>
                  </w:pPr>
                  <w:r>
                    <w:rPr>
                      <w:rFonts w:hint="eastAsia"/>
                      <w:b/>
                      <w:bCs/>
                      <w:kern w:val="0"/>
                      <w:sz w:val="20"/>
                      <w:szCs w:val="21"/>
                    </w:rPr>
                    <w:t>英文名</w:t>
                  </w:r>
                </w:p>
              </w:tc>
              <w:tc>
                <w:tcPr>
                  <w:tcW w:w="1250" w:type="pct"/>
                  <w:tcBorders>
                    <w:tl2br w:val="nil"/>
                    <w:tr2bl w:val="nil"/>
                  </w:tcBorders>
                  <w:vAlign w:val="center"/>
                </w:tcPr>
                <w:p>
                  <w:pPr>
                    <w:jc w:val="center"/>
                    <w:rPr>
                      <w:rFonts w:eastAsia="仿宋"/>
                      <w:kern w:val="0"/>
                      <w:sz w:val="20"/>
                      <w:szCs w:val="21"/>
                    </w:rPr>
                  </w:pPr>
                  <w:r>
                    <w:rPr>
                      <w:rFonts w:ascii="Arial" w:hAnsi="Arial" w:cs="Arial"/>
                      <w:kern w:val="0"/>
                      <w:sz w:val="18"/>
                      <w:szCs w:val="18"/>
                      <w:lang w:bidi="ar"/>
                    </w:rPr>
                    <w:t>Natural gas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9" w:type="pct"/>
                  <w:tcBorders>
                    <w:tl2br w:val="nil"/>
                    <w:tr2bl w:val="nil"/>
                  </w:tcBorders>
                  <w:vAlign w:val="center"/>
                </w:tcPr>
                <w:p>
                  <w:pPr>
                    <w:jc w:val="center"/>
                    <w:rPr>
                      <w:b/>
                      <w:bCs/>
                      <w:kern w:val="0"/>
                      <w:sz w:val="20"/>
                      <w:szCs w:val="21"/>
                    </w:rPr>
                  </w:pPr>
                  <w:r>
                    <w:rPr>
                      <w:rFonts w:hint="eastAsia"/>
                      <w:b/>
                      <w:bCs/>
                      <w:kern w:val="0"/>
                      <w:sz w:val="20"/>
                      <w:szCs w:val="21"/>
                    </w:rPr>
                    <w:t>CAS号</w:t>
                  </w:r>
                </w:p>
              </w:tc>
              <w:tc>
                <w:tcPr>
                  <w:tcW w:w="1970" w:type="pct"/>
                  <w:tcBorders>
                    <w:tl2br w:val="nil"/>
                    <w:tr2bl w:val="nil"/>
                  </w:tcBorders>
                  <w:vAlign w:val="center"/>
                </w:tcPr>
                <w:p>
                  <w:pPr>
                    <w:jc w:val="center"/>
                    <w:rPr>
                      <w:kern w:val="0"/>
                      <w:sz w:val="20"/>
                      <w:szCs w:val="21"/>
                    </w:rPr>
                  </w:pPr>
                  <w:r>
                    <w:rPr>
                      <w:rFonts w:hint="eastAsia"/>
                      <w:kern w:val="0"/>
                      <w:sz w:val="20"/>
                      <w:szCs w:val="21"/>
                    </w:rPr>
                    <w:t>8006-14-2</w:t>
                  </w:r>
                </w:p>
              </w:tc>
              <w:tc>
                <w:tcPr>
                  <w:tcW w:w="1250" w:type="pct"/>
                  <w:gridSpan w:val="2"/>
                  <w:tcBorders>
                    <w:tl2br w:val="nil"/>
                    <w:tr2bl w:val="nil"/>
                  </w:tcBorders>
                  <w:vAlign w:val="center"/>
                </w:tcPr>
                <w:p>
                  <w:pPr>
                    <w:jc w:val="center"/>
                    <w:rPr>
                      <w:b/>
                      <w:bCs/>
                      <w:kern w:val="0"/>
                      <w:sz w:val="20"/>
                      <w:szCs w:val="21"/>
                    </w:rPr>
                  </w:pPr>
                  <w:r>
                    <w:rPr>
                      <w:rFonts w:hint="eastAsia"/>
                      <w:b/>
                      <w:bCs/>
                      <w:kern w:val="0"/>
                      <w:sz w:val="20"/>
                      <w:szCs w:val="21"/>
                    </w:rPr>
                    <w:t>危险货物编号</w:t>
                  </w:r>
                </w:p>
              </w:tc>
              <w:tc>
                <w:tcPr>
                  <w:tcW w:w="1250" w:type="pct"/>
                  <w:tcBorders>
                    <w:tl2br w:val="nil"/>
                    <w:tr2bl w:val="nil"/>
                  </w:tcBorders>
                  <w:vAlign w:val="center"/>
                </w:tcPr>
                <w:p>
                  <w:pPr>
                    <w:jc w:val="center"/>
                    <w:rPr>
                      <w:kern w:val="0"/>
                      <w:sz w:val="20"/>
                      <w:szCs w:val="21"/>
                    </w:rPr>
                  </w:pPr>
                  <w:r>
                    <w:rPr>
                      <w:rFonts w:hint="eastAsia"/>
                      <w:kern w:val="0"/>
                      <w:sz w:val="20"/>
                      <w:szCs w:val="21"/>
                    </w:rPr>
                    <w:t>21007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9" w:type="pct"/>
                  <w:vMerge w:val="restart"/>
                  <w:tcBorders>
                    <w:tl2br w:val="nil"/>
                    <w:tr2bl w:val="nil"/>
                  </w:tcBorders>
                  <w:vAlign w:val="center"/>
                </w:tcPr>
                <w:p>
                  <w:pPr>
                    <w:jc w:val="center"/>
                    <w:rPr>
                      <w:b/>
                      <w:bCs/>
                      <w:kern w:val="0"/>
                      <w:sz w:val="20"/>
                      <w:szCs w:val="21"/>
                    </w:rPr>
                  </w:pPr>
                  <w:r>
                    <w:rPr>
                      <w:rFonts w:hint="eastAsia"/>
                      <w:b/>
                      <w:bCs/>
                      <w:kern w:val="0"/>
                      <w:sz w:val="20"/>
                      <w:szCs w:val="21"/>
                    </w:rPr>
                    <w:t>理化</w:t>
                  </w:r>
                </w:p>
                <w:p>
                  <w:pPr>
                    <w:jc w:val="center"/>
                    <w:rPr>
                      <w:kern w:val="0"/>
                      <w:sz w:val="20"/>
                      <w:szCs w:val="21"/>
                    </w:rPr>
                  </w:pPr>
                  <w:r>
                    <w:rPr>
                      <w:rFonts w:hint="eastAsia"/>
                      <w:b/>
                      <w:bCs/>
                      <w:kern w:val="0"/>
                      <w:sz w:val="20"/>
                      <w:szCs w:val="21"/>
                    </w:rPr>
                    <w:t>性质</w:t>
                  </w:r>
                </w:p>
              </w:tc>
              <w:tc>
                <w:tcPr>
                  <w:tcW w:w="2496" w:type="pct"/>
                  <w:gridSpan w:val="2"/>
                  <w:tcBorders>
                    <w:tl2br w:val="nil"/>
                    <w:tr2bl w:val="nil"/>
                  </w:tcBorders>
                  <w:vAlign w:val="center"/>
                </w:tcPr>
                <w:p>
                  <w:pPr>
                    <w:jc w:val="center"/>
                    <w:rPr>
                      <w:kern w:val="0"/>
                      <w:sz w:val="20"/>
                      <w:szCs w:val="21"/>
                    </w:rPr>
                  </w:pPr>
                  <w:r>
                    <w:rPr>
                      <w:kern w:val="0"/>
                      <w:sz w:val="20"/>
                      <w:szCs w:val="21"/>
                    </w:rPr>
                    <w:t>性状</w:t>
                  </w:r>
                  <w:r>
                    <w:rPr>
                      <w:rFonts w:hint="eastAsia"/>
                      <w:kern w:val="0"/>
                      <w:sz w:val="20"/>
                      <w:szCs w:val="21"/>
                    </w:rPr>
                    <w:t>：无色无臭气体</w:t>
                  </w:r>
                  <w:r>
                    <w:rPr>
                      <w:kern w:val="0"/>
                      <w:sz w:val="20"/>
                      <w:szCs w:val="21"/>
                    </w:rPr>
                    <w:t>。</w:t>
                  </w:r>
                </w:p>
              </w:tc>
              <w:tc>
                <w:tcPr>
                  <w:tcW w:w="1974" w:type="pct"/>
                  <w:gridSpan w:val="2"/>
                  <w:tcBorders>
                    <w:tl2br w:val="nil"/>
                    <w:tr2bl w:val="nil"/>
                  </w:tcBorders>
                  <w:vAlign w:val="center"/>
                </w:tcPr>
                <w:p>
                  <w:pPr>
                    <w:jc w:val="center"/>
                    <w:rPr>
                      <w:kern w:val="0"/>
                      <w:sz w:val="20"/>
                      <w:szCs w:val="21"/>
                    </w:rPr>
                  </w:pPr>
                  <w:r>
                    <w:rPr>
                      <w:rFonts w:hint="eastAsia"/>
                      <w:kern w:val="0"/>
                      <w:sz w:val="20"/>
                      <w:szCs w:val="21"/>
                    </w:rPr>
                    <w:t>燃烧热值（kJ/mol）：803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9" w:type="pct"/>
                  <w:vMerge w:val="continue"/>
                  <w:tcBorders>
                    <w:tl2br w:val="nil"/>
                    <w:tr2bl w:val="nil"/>
                  </w:tcBorders>
                  <w:vAlign w:val="center"/>
                </w:tcPr>
                <w:p>
                  <w:pPr>
                    <w:jc w:val="center"/>
                    <w:rPr>
                      <w:kern w:val="0"/>
                      <w:sz w:val="20"/>
                      <w:szCs w:val="21"/>
                    </w:rPr>
                  </w:pPr>
                </w:p>
              </w:tc>
              <w:tc>
                <w:tcPr>
                  <w:tcW w:w="2496" w:type="pct"/>
                  <w:gridSpan w:val="2"/>
                  <w:tcBorders>
                    <w:tl2br w:val="nil"/>
                    <w:tr2bl w:val="nil"/>
                  </w:tcBorders>
                  <w:vAlign w:val="center"/>
                </w:tcPr>
                <w:p>
                  <w:pPr>
                    <w:jc w:val="center"/>
                    <w:rPr>
                      <w:kern w:val="0"/>
                      <w:sz w:val="20"/>
                      <w:szCs w:val="21"/>
                    </w:rPr>
                  </w:pPr>
                  <w:r>
                    <w:rPr>
                      <w:kern w:val="0"/>
                      <w:sz w:val="20"/>
                      <w:szCs w:val="21"/>
                    </w:rPr>
                    <w:t>熔点/</w:t>
                  </w:r>
                  <w:r>
                    <w:rPr>
                      <w:rFonts w:hint="eastAsia"/>
                      <w:kern w:val="0"/>
                      <w:sz w:val="20"/>
                      <w:szCs w:val="21"/>
                    </w:rPr>
                    <w:t>℃</w:t>
                  </w:r>
                  <w:r>
                    <w:rPr>
                      <w:kern w:val="0"/>
                      <w:sz w:val="20"/>
                      <w:szCs w:val="21"/>
                    </w:rPr>
                    <w:t>：</w:t>
                  </w:r>
                  <w:r>
                    <w:rPr>
                      <w:rFonts w:hint="eastAsia"/>
                      <w:kern w:val="0"/>
                      <w:sz w:val="20"/>
                      <w:szCs w:val="21"/>
                    </w:rPr>
                    <w:t>-182.5</w:t>
                  </w:r>
                </w:p>
              </w:tc>
              <w:tc>
                <w:tcPr>
                  <w:tcW w:w="1974" w:type="pct"/>
                  <w:gridSpan w:val="2"/>
                  <w:tcBorders>
                    <w:tl2br w:val="nil"/>
                    <w:tr2bl w:val="nil"/>
                  </w:tcBorders>
                  <w:vAlign w:val="center"/>
                </w:tcPr>
                <w:p>
                  <w:pPr>
                    <w:jc w:val="center"/>
                    <w:rPr>
                      <w:rFonts w:eastAsia="仿宋"/>
                      <w:kern w:val="0"/>
                      <w:sz w:val="20"/>
                      <w:szCs w:val="21"/>
                    </w:rPr>
                  </w:pPr>
                  <w:r>
                    <w:rPr>
                      <w:kern w:val="0"/>
                      <w:sz w:val="20"/>
                      <w:szCs w:val="21"/>
                    </w:rPr>
                    <w:t>溶解性：</w:t>
                  </w:r>
                  <w:r>
                    <w:rPr>
                      <w:rFonts w:hint="eastAsia"/>
                      <w:kern w:val="0"/>
                      <w:sz w:val="20"/>
                      <w:szCs w:val="21"/>
                    </w:rPr>
                    <w:t>溶于水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9" w:type="pct"/>
                  <w:vMerge w:val="continue"/>
                  <w:tcBorders>
                    <w:tl2br w:val="nil"/>
                    <w:tr2bl w:val="nil"/>
                  </w:tcBorders>
                  <w:vAlign w:val="center"/>
                </w:tcPr>
                <w:p>
                  <w:pPr>
                    <w:jc w:val="center"/>
                    <w:rPr>
                      <w:b/>
                      <w:bCs/>
                      <w:kern w:val="0"/>
                      <w:sz w:val="20"/>
                      <w:szCs w:val="21"/>
                    </w:rPr>
                  </w:pPr>
                </w:p>
              </w:tc>
              <w:tc>
                <w:tcPr>
                  <w:tcW w:w="2496" w:type="pct"/>
                  <w:gridSpan w:val="2"/>
                  <w:tcBorders>
                    <w:tl2br w:val="nil"/>
                    <w:tr2bl w:val="nil"/>
                  </w:tcBorders>
                  <w:vAlign w:val="center"/>
                </w:tcPr>
                <w:p>
                  <w:pPr>
                    <w:jc w:val="center"/>
                    <w:rPr>
                      <w:rFonts w:eastAsia="仿宋"/>
                      <w:kern w:val="0"/>
                      <w:sz w:val="20"/>
                      <w:szCs w:val="21"/>
                    </w:rPr>
                  </w:pPr>
                  <w:r>
                    <w:rPr>
                      <w:rFonts w:hint="eastAsia"/>
                      <w:kern w:val="0"/>
                      <w:sz w:val="20"/>
                      <w:szCs w:val="21"/>
                    </w:rPr>
                    <w:t>沸点</w:t>
                  </w:r>
                  <w:r>
                    <w:rPr>
                      <w:kern w:val="0"/>
                      <w:sz w:val="20"/>
                      <w:szCs w:val="21"/>
                    </w:rPr>
                    <w:t>/</w:t>
                  </w:r>
                  <w:r>
                    <w:rPr>
                      <w:rFonts w:hint="eastAsia"/>
                      <w:kern w:val="0"/>
                      <w:sz w:val="20"/>
                      <w:szCs w:val="21"/>
                    </w:rPr>
                    <w:t>℃</w:t>
                  </w:r>
                  <w:r>
                    <w:rPr>
                      <w:kern w:val="0"/>
                      <w:sz w:val="20"/>
                      <w:szCs w:val="21"/>
                    </w:rPr>
                    <w:t>：</w:t>
                  </w:r>
                  <w:r>
                    <w:rPr>
                      <w:rFonts w:hint="eastAsia"/>
                      <w:kern w:val="0"/>
                      <w:sz w:val="20"/>
                      <w:szCs w:val="21"/>
                    </w:rPr>
                    <w:t>-160</w:t>
                  </w:r>
                </w:p>
              </w:tc>
              <w:tc>
                <w:tcPr>
                  <w:tcW w:w="1974" w:type="pct"/>
                  <w:gridSpan w:val="2"/>
                  <w:tcBorders>
                    <w:tl2br w:val="nil"/>
                    <w:tr2bl w:val="nil"/>
                  </w:tcBorders>
                  <w:vAlign w:val="center"/>
                </w:tcPr>
                <w:p>
                  <w:pPr>
                    <w:jc w:val="center"/>
                    <w:rPr>
                      <w:rFonts w:eastAsia="仿宋"/>
                      <w:kern w:val="0"/>
                      <w:sz w:val="20"/>
                      <w:szCs w:val="21"/>
                    </w:rPr>
                  </w:pPr>
                  <w:r>
                    <w:rPr>
                      <w:rFonts w:hint="eastAsia"/>
                      <w:kern w:val="0"/>
                      <w:sz w:val="20"/>
                      <w:szCs w:val="21"/>
                    </w:rPr>
                    <w:t>相对密度（水=1）：约0.45（液化）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9" w:type="pct"/>
                  <w:vMerge w:val="restart"/>
                  <w:tcBorders>
                    <w:tl2br w:val="nil"/>
                    <w:tr2bl w:val="nil"/>
                  </w:tcBorders>
                  <w:vAlign w:val="center"/>
                </w:tcPr>
                <w:p>
                  <w:pPr>
                    <w:jc w:val="center"/>
                    <w:rPr>
                      <w:b/>
                      <w:bCs/>
                      <w:kern w:val="0"/>
                      <w:sz w:val="20"/>
                      <w:szCs w:val="21"/>
                    </w:rPr>
                  </w:pPr>
                  <w:r>
                    <w:rPr>
                      <w:rFonts w:hint="eastAsia"/>
                      <w:b/>
                      <w:bCs/>
                      <w:kern w:val="0"/>
                      <w:sz w:val="20"/>
                      <w:szCs w:val="21"/>
                    </w:rPr>
                    <w:t>危险</w:t>
                  </w:r>
                </w:p>
                <w:p>
                  <w:pPr>
                    <w:jc w:val="center"/>
                    <w:rPr>
                      <w:b/>
                      <w:bCs/>
                      <w:kern w:val="0"/>
                      <w:sz w:val="20"/>
                      <w:szCs w:val="21"/>
                    </w:rPr>
                  </w:pPr>
                  <w:r>
                    <w:rPr>
                      <w:rFonts w:hint="eastAsia"/>
                      <w:b/>
                      <w:bCs/>
                      <w:kern w:val="0"/>
                      <w:sz w:val="20"/>
                      <w:szCs w:val="21"/>
                    </w:rPr>
                    <w:t>特性</w:t>
                  </w:r>
                </w:p>
              </w:tc>
              <w:tc>
                <w:tcPr>
                  <w:tcW w:w="2496" w:type="pct"/>
                  <w:gridSpan w:val="2"/>
                  <w:tcBorders>
                    <w:tl2br w:val="nil"/>
                    <w:tr2bl w:val="nil"/>
                  </w:tcBorders>
                  <w:vAlign w:val="center"/>
                </w:tcPr>
                <w:p>
                  <w:pPr>
                    <w:jc w:val="center"/>
                    <w:rPr>
                      <w:rFonts w:eastAsia="仿宋"/>
                      <w:kern w:val="0"/>
                      <w:sz w:val="20"/>
                      <w:szCs w:val="21"/>
                    </w:rPr>
                  </w:pPr>
                  <w:r>
                    <w:rPr>
                      <w:rFonts w:hint="eastAsia"/>
                      <w:kern w:val="0"/>
                      <w:sz w:val="20"/>
                      <w:szCs w:val="21"/>
                    </w:rPr>
                    <w:t>燃烧性：易燃</w:t>
                  </w:r>
                </w:p>
              </w:tc>
              <w:tc>
                <w:tcPr>
                  <w:tcW w:w="1974" w:type="pct"/>
                  <w:gridSpan w:val="2"/>
                  <w:tcBorders>
                    <w:tl2br w:val="nil"/>
                    <w:tr2bl w:val="nil"/>
                  </w:tcBorders>
                  <w:vAlign w:val="center"/>
                </w:tcPr>
                <w:p>
                  <w:pPr>
                    <w:jc w:val="center"/>
                    <w:rPr>
                      <w:rFonts w:eastAsia="仿宋"/>
                      <w:kern w:val="0"/>
                      <w:sz w:val="20"/>
                      <w:szCs w:val="21"/>
                    </w:rPr>
                  </w:pPr>
                  <w:r>
                    <w:rPr>
                      <w:rFonts w:hint="eastAsia"/>
                      <w:kern w:val="0"/>
                      <w:sz w:val="20"/>
                      <w:szCs w:val="21"/>
                    </w:rPr>
                    <w:t>稳定性：稳定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9" w:type="pct"/>
                  <w:vMerge w:val="continue"/>
                  <w:tcBorders>
                    <w:tl2br w:val="nil"/>
                    <w:tr2bl w:val="nil"/>
                  </w:tcBorders>
                  <w:vAlign w:val="center"/>
                </w:tcPr>
                <w:p>
                  <w:pPr>
                    <w:jc w:val="center"/>
                    <w:rPr>
                      <w:b/>
                      <w:bCs/>
                      <w:kern w:val="0"/>
                      <w:sz w:val="20"/>
                      <w:szCs w:val="21"/>
                    </w:rPr>
                  </w:pPr>
                </w:p>
              </w:tc>
              <w:tc>
                <w:tcPr>
                  <w:tcW w:w="4470" w:type="pct"/>
                  <w:gridSpan w:val="4"/>
                  <w:tcBorders>
                    <w:tl2br w:val="nil"/>
                    <w:tr2bl w:val="nil"/>
                  </w:tcBorders>
                  <w:vAlign w:val="center"/>
                </w:tcPr>
                <w:p>
                  <w:pPr>
                    <w:jc w:val="left"/>
                    <w:rPr>
                      <w:rFonts w:eastAsia="仿宋"/>
                      <w:kern w:val="0"/>
                      <w:sz w:val="20"/>
                      <w:szCs w:val="21"/>
                    </w:rPr>
                  </w:pPr>
                  <w:r>
                    <w:rPr>
                      <w:kern w:val="0"/>
                      <w:sz w:val="20"/>
                      <w:szCs w:val="21"/>
                    </w:rPr>
                    <w:t>危险特性</w:t>
                  </w:r>
                  <w:r>
                    <w:rPr>
                      <w:rFonts w:hint="eastAsia"/>
                      <w:kern w:val="0"/>
                      <w:sz w:val="20"/>
                      <w:szCs w:val="21"/>
                    </w:rPr>
                    <w:t>：与空气混合能形成爆炸性混合物，遇明火、高热极易燃烧爆炸。与氟、氯等能发生剧烈的化学反应。其蒸汽遇明火会引着回燃。遇高热，容器内压增大，有开裂和爆炸的危险</w:t>
                  </w:r>
                  <w:r>
                    <w:rPr>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9" w:type="pct"/>
                  <w:tcBorders>
                    <w:tl2br w:val="nil"/>
                    <w:tr2bl w:val="nil"/>
                  </w:tcBorders>
                  <w:vAlign w:val="center"/>
                </w:tcPr>
                <w:p>
                  <w:pPr>
                    <w:jc w:val="center"/>
                    <w:rPr>
                      <w:b/>
                      <w:bCs/>
                      <w:kern w:val="0"/>
                      <w:sz w:val="20"/>
                      <w:szCs w:val="21"/>
                    </w:rPr>
                  </w:pPr>
                  <w:r>
                    <w:rPr>
                      <w:rFonts w:hint="eastAsia"/>
                      <w:b/>
                      <w:bCs/>
                      <w:kern w:val="0"/>
                      <w:sz w:val="20"/>
                      <w:szCs w:val="21"/>
                    </w:rPr>
                    <w:t>对人体</w:t>
                  </w:r>
                </w:p>
                <w:p>
                  <w:pPr>
                    <w:jc w:val="center"/>
                    <w:rPr>
                      <w:b/>
                      <w:bCs/>
                      <w:kern w:val="0"/>
                      <w:sz w:val="20"/>
                      <w:szCs w:val="21"/>
                    </w:rPr>
                  </w:pPr>
                  <w:r>
                    <w:rPr>
                      <w:rFonts w:hint="eastAsia"/>
                      <w:b/>
                      <w:bCs/>
                      <w:kern w:val="0"/>
                      <w:sz w:val="20"/>
                      <w:szCs w:val="21"/>
                    </w:rPr>
                    <w:t>危害</w:t>
                  </w:r>
                </w:p>
              </w:tc>
              <w:tc>
                <w:tcPr>
                  <w:tcW w:w="4470" w:type="pct"/>
                  <w:gridSpan w:val="4"/>
                  <w:tcBorders>
                    <w:tl2br w:val="nil"/>
                    <w:tr2bl w:val="nil"/>
                  </w:tcBorders>
                  <w:vAlign w:val="center"/>
                </w:tcPr>
                <w:p>
                  <w:pPr>
                    <w:jc w:val="left"/>
                    <w:rPr>
                      <w:kern w:val="0"/>
                      <w:sz w:val="20"/>
                      <w:szCs w:val="21"/>
                    </w:rPr>
                  </w:pPr>
                  <w:r>
                    <w:rPr>
                      <w:rFonts w:hint="eastAsia"/>
                      <w:kern w:val="0"/>
                      <w:sz w:val="20"/>
                      <w:szCs w:val="21"/>
                    </w:rPr>
                    <w:t>侵入途径：吸入</w:t>
                  </w:r>
                </w:p>
                <w:p>
                  <w:pPr>
                    <w:jc w:val="left"/>
                    <w:rPr>
                      <w:rFonts w:eastAsia="仿宋"/>
                      <w:kern w:val="0"/>
                      <w:sz w:val="20"/>
                      <w:szCs w:val="21"/>
                    </w:rPr>
                  </w:pPr>
                  <w:r>
                    <w:rPr>
                      <w:rFonts w:hint="eastAsia"/>
                      <w:kern w:val="0"/>
                      <w:sz w:val="20"/>
                      <w:szCs w:val="21"/>
                    </w:rPr>
                    <w:t>健康危害：急性中毒时，可有头昏、头痛、呕吐、乏力甚至昏迷。病程中尚可出现精神症状，步态不稳，昏迷过程久者，醒后可有运动性失语及偏瘫。长期接触天然气者，可出现神经衰弱综合征</w:t>
                  </w:r>
                  <w:r>
                    <w:rPr>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9" w:type="pct"/>
                  <w:tcBorders>
                    <w:tl2br w:val="nil"/>
                    <w:tr2bl w:val="nil"/>
                  </w:tcBorders>
                  <w:vAlign w:val="center"/>
                </w:tcPr>
                <w:p>
                  <w:pPr>
                    <w:jc w:val="center"/>
                    <w:rPr>
                      <w:b/>
                      <w:bCs/>
                      <w:kern w:val="0"/>
                      <w:sz w:val="20"/>
                      <w:szCs w:val="21"/>
                    </w:rPr>
                  </w:pPr>
                  <w:r>
                    <w:rPr>
                      <w:rFonts w:hint="eastAsia"/>
                      <w:b/>
                      <w:bCs/>
                      <w:kern w:val="0"/>
                      <w:sz w:val="20"/>
                      <w:szCs w:val="21"/>
                    </w:rPr>
                    <w:t>急救</w:t>
                  </w:r>
                </w:p>
              </w:tc>
              <w:tc>
                <w:tcPr>
                  <w:tcW w:w="4470" w:type="pct"/>
                  <w:gridSpan w:val="4"/>
                  <w:tcBorders>
                    <w:tl2br w:val="nil"/>
                    <w:tr2bl w:val="nil"/>
                  </w:tcBorders>
                  <w:vAlign w:val="center"/>
                </w:tcPr>
                <w:p>
                  <w:pPr>
                    <w:jc w:val="left"/>
                    <w:rPr>
                      <w:rFonts w:eastAsia="仿宋"/>
                      <w:kern w:val="0"/>
                      <w:sz w:val="20"/>
                      <w:szCs w:val="21"/>
                    </w:rPr>
                  </w:pPr>
                  <w:r>
                    <w:rPr>
                      <w:rFonts w:hint="eastAsia"/>
                      <w:kern w:val="0"/>
                      <w:sz w:val="20"/>
                      <w:szCs w:val="21"/>
                    </w:rPr>
                    <w:t>吸入：脱离有毒环境，至新鲜空气处，给氧，对症治疗。注意防止脑水肿。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9" w:type="pct"/>
                  <w:tcBorders>
                    <w:tl2br w:val="nil"/>
                    <w:tr2bl w:val="nil"/>
                  </w:tcBorders>
                  <w:vAlign w:val="center"/>
                </w:tcPr>
                <w:p>
                  <w:pPr>
                    <w:jc w:val="center"/>
                    <w:rPr>
                      <w:b/>
                      <w:bCs/>
                      <w:kern w:val="0"/>
                      <w:sz w:val="20"/>
                      <w:szCs w:val="21"/>
                    </w:rPr>
                  </w:pPr>
                  <w:r>
                    <w:rPr>
                      <w:rFonts w:hint="eastAsia"/>
                      <w:b/>
                      <w:bCs/>
                      <w:kern w:val="0"/>
                      <w:sz w:val="20"/>
                      <w:szCs w:val="21"/>
                    </w:rPr>
                    <w:t>防护</w:t>
                  </w:r>
                </w:p>
              </w:tc>
              <w:tc>
                <w:tcPr>
                  <w:tcW w:w="4470" w:type="pct"/>
                  <w:gridSpan w:val="4"/>
                  <w:tcBorders>
                    <w:tl2br w:val="nil"/>
                    <w:tr2bl w:val="nil"/>
                  </w:tcBorders>
                  <w:vAlign w:val="center"/>
                </w:tcPr>
                <w:p>
                  <w:pPr>
                    <w:jc w:val="left"/>
                    <w:rPr>
                      <w:kern w:val="0"/>
                      <w:sz w:val="20"/>
                      <w:szCs w:val="21"/>
                    </w:rPr>
                  </w:pPr>
                  <w:r>
                    <w:rPr>
                      <w:kern w:val="0"/>
                      <w:sz w:val="20"/>
                      <w:szCs w:val="21"/>
                    </w:rPr>
                    <w:t>工程控制</w:t>
                  </w:r>
                  <w:r>
                    <w:rPr>
                      <w:rFonts w:hint="eastAsia"/>
                      <w:kern w:val="0"/>
                      <w:sz w:val="20"/>
                      <w:szCs w:val="21"/>
                    </w:rPr>
                    <w:t>：</w:t>
                  </w:r>
                  <w:r>
                    <w:rPr>
                      <w:kern w:val="0"/>
                      <w:sz w:val="20"/>
                      <w:szCs w:val="21"/>
                    </w:rPr>
                    <w:t>密闭操作</w:t>
                  </w:r>
                  <w:r>
                    <w:rPr>
                      <w:rFonts w:hint="eastAsia"/>
                      <w:kern w:val="0"/>
                      <w:sz w:val="20"/>
                      <w:szCs w:val="21"/>
                    </w:rPr>
                    <w:t>，提供良好的自然通风条件。</w:t>
                  </w:r>
                </w:p>
                <w:p>
                  <w:pPr>
                    <w:jc w:val="left"/>
                    <w:rPr>
                      <w:kern w:val="0"/>
                      <w:sz w:val="20"/>
                      <w:szCs w:val="21"/>
                    </w:rPr>
                  </w:pPr>
                  <w:r>
                    <w:rPr>
                      <w:kern w:val="0"/>
                      <w:sz w:val="20"/>
                      <w:szCs w:val="21"/>
                    </w:rPr>
                    <w:t>呼吸系统防护</w:t>
                  </w:r>
                  <w:r>
                    <w:rPr>
                      <w:rFonts w:hint="eastAsia"/>
                      <w:kern w:val="0"/>
                      <w:sz w:val="20"/>
                      <w:szCs w:val="21"/>
                    </w:rPr>
                    <w:t>：高浓度环境中，佩戴供气式呼吸器</w:t>
                  </w:r>
                  <w:r>
                    <w:rPr>
                      <w:kern w:val="0"/>
                      <w:sz w:val="20"/>
                      <w:szCs w:val="21"/>
                    </w:rPr>
                    <w:t>。</w:t>
                  </w:r>
                </w:p>
                <w:p>
                  <w:pPr>
                    <w:jc w:val="left"/>
                    <w:rPr>
                      <w:kern w:val="0"/>
                      <w:sz w:val="20"/>
                      <w:szCs w:val="21"/>
                    </w:rPr>
                  </w:pPr>
                  <w:r>
                    <w:rPr>
                      <w:kern w:val="0"/>
                      <w:sz w:val="20"/>
                      <w:szCs w:val="21"/>
                    </w:rPr>
                    <w:t>眼睛防护</w:t>
                  </w:r>
                  <w:r>
                    <w:rPr>
                      <w:rFonts w:hint="eastAsia"/>
                      <w:kern w:val="0"/>
                      <w:sz w:val="20"/>
                      <w:szCs w:val="21"/>
                    </w:rPr>
                    <w:t>：一般不需要特殊防护，高浓度接触时可戴化学安全防护眼镜。</w:t>
                  </w:r>
                </w:p>
                <w:p>
                  <w:pPr>
                    <w:jc w:val="left"/>
                    <w:rPr>
                      <w:kern w:val="0"/>
                      <w:sz w:val="20"/>
                      <w:szCs w:val="21"/>
                    </w:rPr>
                  </w:pPr>
                  <w:r>
                    <w:rPr>
                      <w:kern w:val="0"/>
                      <w:sz w:val="20"/>
                      <w:szCs w:val="21"/>
                    </w:rPr>
                    <w:t>防护服</w:t>
                  </w:r>
                  <w:r>
                    <w:rPr>
                      <w:rFonts w:hint="eastAsia"/>
                      <w:kern w:val="0"/>
                      <w:sz w:val="20"/>
                      <w:szCs w:val="21"/>
                    </w:rPr>
                    <w:t>：穿防静电工作服。</w:t>
                  </w:r>
                </w:p>
                <w:p>
                  <w:pPr>
                    <w:jc w:val="left"/>
                    <w:rPr>
                      <w:kern w:val="0"/>
                      <w:sz w:val="20"/>
                      <w:szCs w:val="21"/>
                    </w:rPr>
                  </w:pPr>
                  <w:r>
                    <w:rPr>
                      <w:kern w:val="0"/>
                      <w:sz w:val="20"/>
                      <w:szCs w:val="21"/>
                    </w:rPr>
                    <w:t>手防护</w:t>
                  </w:r>
                  <w:r>
                    <w:rPr>
                      <w:rFonts w:hint="eastAsia"/>
                      <w:kern w:val="0"/>
                      <w:sz w:val="20"/>
                      <w:szCs w:val="21"/>
                    </w:rPr>
                    <w:t>：必要时戴防护手套。</w:t>
                  </w:r>
                </w:p>
                <w:p>
                  <w:pPr>
                    <w:jc w:val="left"/>
                    <w:rPr>
                      <w:rFonts w:eastAsia="仿宋"/>
                      <w:kern w:val="0"/>
                      <w:sz w:val="20"/>
                      <w:szCs w:val="21"/>
                    </w:rPr>
                  </w:pPr>
                  <w:r>
                    <w:rPr>
                      <w:kern w:val="0"/>
                      <w:sz w:val="20"/>
                      <w:szCs w:val="21"/>
                    </w:rPr>
                    <w:t>其他</w:t>
                  </w:r>
                  <w:r>
                    <w:rPr>
                      <w:rFonts w:hint="eastAsia"/>
                      <w:kern w:val="0"/>
                      <w:sz w:val="20"/>
                      <w:szCs w:val="21"/>
                    </w:rPr>
                    <w:t>：工作现场严禁吸烟。避免高浓度吸入。进入灌或其他高浓度区作业，须有人监护。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9" w:type="pct"/>
                  <w:tcBorders>
                    <w:tl2br w:val="nil"/>
                    <w:tr2bl w:val="nil"/>
                  </w:tcBorders>
                  <w:vAlign w:val="center"/>
                </w:tcPr>
                <w:p>
                  <w:pPr>
                    <w:jc w:val="center"/>
                    <w:rPr>
                      <w:b/>
                      <w:bCs/>
                      <w:kern w:val="0"/>
                      <w:sz w:val="20"/>
                      <w:szCs w:val="21"/>
                    </w:rPr>
                  </w:pPr>
                  <w:r>
                    <w:rPr>
                      <w:rFonts w:hint="eastAsia"/>
                      <w:b/>
                      <w:bCs/>
                      <w:kern w:val="0"/>
                      <w:sz w:val="20"/>
                      <w:szCs w:val="21"/>
                    </w:rPr>
                    <w:t>泄露</w:t>
                  </w:r>
                </w:p>
                <w:p>
                  <w:pPr>
                    <w:jc w:val="center"/>
                    <w:rPr>
                      <w:b/>
                      <w:bCs/>
                      <w:kern w:val="0"/>
                      <w:sz w:val="20"/>
                      <w:szCs w:val="21"/>
                    </w:rPr>
                  </w:pPr>
                  <w:r>
                    <w:rPr>
                      <w:rFonts w:hint="eastAsia"/>
                      <w:b/>
                      <w:bCs/>
                      <w:kern w:val="0"/>
                      <w:sz w:val="20"/>
                      <w:szCs w:val="21"/>
                    </w:rPr>
                    <w:t>处理</w:t>
                  </w:r>
                </w:p>
              </w:tc>
              <w:tc>
                <w:tcPr>
                  <w:tcW w:w="4470" w:type="pct"/>
                  <w:gridSpan w:val="4"/>
                  <w:tcBorders>
                    <w:tl2br w:val="nil"/>
                    <w:tr2bl w:val="nil"/>
                  </w:tcBorders>
                  <w:vAlign w:val="center"/>
                </w:tcPr>
                <w:p>
                  <w:pPr>
                    <w:jc w:val="left"/>
                    <w:rPr>
                      <w:rFonts w:eastAsia="仿宋"/>
                      <w:kern w:val="0"/>
                      <w:sz w:val="20"/>
                      <w:szCs w:val="21"/>
                    </w:rPr>
                  </w:pPr>
                  <w:r>
                    <w:rPr>
                      <w:rFonts w:hint="eastAsia"/>
                      <w:kern w:val="0"/>
                      <w:sz w:val="20"/>
                      <w:szCs w:val="21"/>
                    </w:rPr>
                    <w:t>切断火源。戴自给式呼吸器，穿一般消防防护服。合理通风，禁止泄漏物进入受限制的空间，避免发生爆炸。切断气源，喷洒雾状水稀释，抽排或强力通风。漏气容器不能再用，且要经过技术处理以清除可能剩下的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9" w:type="pct"/>
                  <w:tcBorders>
                    <w:tl2br w:val="nil"/>
                    <w:tr2bl w:val="nil"/>
                  </w:tcBorders>
                  <w:vAlign w:val="center"/>
                </w:tcPr>
                <w:p>
                  <w:pPr>
                    <w:jc w:val="center"/>
                    <w:rPr>
                      <w:b/>
                      <w:bCs/>
                      <w:kern w:val="0"/>
                      <w:sz w:val="20"/>
                      <w:szCs w:val="21"/>
                    </w:rPr>
                  </w:pPr>
                  <w:r>
                    <w:rPr>
                      <w:rFonts w:hint="eastAsia"/>
                      <w:b/>
                      <w:bCs/>
                      <w:kern w:val="0"/>
                      <w:sz w:val="20"/>
                      <w:szCs w:val="21"/>
                    </w:rPr>
                    <w:t>储运</w:t>
                  </w:r>
                </w:p>
              </w:tc>
              <w:tc>
                <w:tcPr>
                  <w:tcW w:w="4470" w:type="pct"/>
                  <w:gridSpan w:val="4"/>
                  <w:tcBorders>
                    <w:tl2br w:val="nil"/>
                    <w:tr2bl w:val="nil"/>
                  </w:tcBorders>
                  <w:vAlign w:val="center"/>
                </w:tcPr>
                <w:p>
                  <w:pPr>
                    <w:jc w:val="left"/>
                    <w:rPr>
                      <w:rFonts w:eastAsia="仿宋"/>
                      <w:kern w:val="0"/>
                      <w:sz w:val="20"/>
                      <w:szCs w:val="21"/>
                    </w:rPr>
                  </w:pPr>
                  <w:r>
                    <w:rPr>
                      <w:rFonts w:hint="eastAsia"/>
                      <w:kern w:val="0"/>
                      <w:sz w:val="20"/>
                      <w:szCs w:val="21"/>
                    </w:rPr>
                    <w:t>易燃压缩气体。储存于阴凉、干燥、通风良好的不燃库房。仓库不宜超过30℃。远离火种、热源。防止阳光直射。应与氧气、压缩空气、卤素、氧化剂等分开存放。储存间内照明、通风等设施应采用防爆型。若是储罐存放，储罐区域要有禁火标志和防火防爆技术措施。禁止使用易产生火花的机械设备和工具。槽车运送时要灌装适量，不可超压超量运输。搬运时轻装轻卸，防止钢瓶及附件破损。</w:t>
                  </w:r>
                </w:p>
              </w:tc>
            </w:tr>
          </w:tbl>
          <w:p>
            <w:pPr>
              <w:adjustRightInd w:val="0"/>
              <w:snapToGrid w:val="0"/>
              <w:spacing w:line="360" w:lineRule="auto"/>
              <w:ind w:firstLine="480" w:firstLineChars="200"/>
              <w:contextualSpacing/>
              <w:textAlignment w:val="baseline"/>
              <w:rPr>
                <w:kern w:val="0"/>
                <w:sz w:val="24"/>
              </w:rPr>
            </w:pPr>
            <w:r>
              <w:rPr>
                <w:kern w:val="0"/>
                <w:sz w:val="24"/>
              </w:rPr>
              <w:t>由上表可知，天然气属于易燃、易爆物质，因此，天然气是本工程火灾、爆炸的主要危险物质。天然气与空气混合能形成爆炸性混合物，遇明火、高热极易燃烧爆炸。若遇高热，输气管道内压增大，有开裂和爆炸危险。</w:t>
            </w:r>
          </w:p>
          <w:p>
            <w:pPr>
              <w:adjustRightInd w:val="0"/>
              <w:snapToGrid w:val="0"/>
              <w:spacing w:line="360" w:lineRule="auto"/>
              <w:ind w:firstLine="480" w:firstLineChars="200"/>
              <w:contextualSpacing/>
              <w:textAlignment w:val="baseline"/>
              <w:rPr>
                <w:kern w:val="0"/>
                <w:sz w:val="24"/>
              </w:rPr>
            </w:pPr>
            <w:r>
              <w:rPr>
                <w:rFonts w:hint="eastAsia"/>
                <w:kern w:val="0"/>
                <w:sz w:val="24"/>
              </w:rPr>
              <w:t>2）风险识别</w:t>
            </w:r>
          </w:p>
          <w:p>
            <w:pPr>
              <w:adjustRightInd w:val="0"/>
              <w:snapToGrid w:val="0"/>
              <w:spacing w:line="360" w:lineRule="auto"/>
              <w:ind w:firstLine="480" w:firstLineChars="200"/>
              <w:contextualSpacing/>
              <w:textAlignment w:val="baseline"/>
              <w:rPr>
                <w:kern w:val="0"/>
                <w:sz w:val="24"/>
              </w:rPr>
            </w:pPr>
            <w:r>
              <w:rPr>
                <w:kern w:val="0"/>
                <w:sz w:val="24"/>
              </w:rPr>
              <w:t>项目运营期风险本次评价主要考虑市政供气工程，风险主要来自天然气输送管道破裂或者穿孔致使燃气泄漏，泄漏后的燃气遇到明火燃烧产生的热辐射可能危害周边环境及人员。泄漏的天然气为立即着火形成爆炸气体云团，遇火就会发生爆炸，在危险距离内的人和建筑物将受到危害。</w:t>
            </w:r>
          </w:p>
          <w:p>
            <w:pPr>
              <w:adjustRightInd w:val="0"/>
              <w:snapToGrid w:val="0"/>
              <w:spacing w:line="360" w:lineRule="auto"/>
              <w:ind w:firstLine="480" w:firstLineChars="200"/>
              <w:contextualSpacing/>
              <w:textAlignment w:val="baseline"/>
              <w:rPr>
                <w:rFonts w:ascii="宋体" w:hAnsi="宋体" w:eastAsia="楷体_GB2312" w:cs="宋体"/>
                <w:kern w:val="0"/>
                <w:sz w:val="24"/>
              </w:rPr>
            </w:pPr>
            <w:r>
              <w:rPr>
                <w:rFonts w:hint="eastAsia" w:ascii="宋体" w:hAnsi="宋体" w:eastAsia="楷体_GB2312" w:cs="宋体"/>
                <w:kern w:val="0"/>
                <w:sz w:val="24"/>
              </w:rPr>
              <w:t>（</w:t>
            </w:r>
            <w:r>
              <w:rPr>
                <w:rFonts w:ascii="宋体" w:hAnsi="宋体" w:eastAsia="楷体_GB2312" w:cs="宋体"/>
                <w:kern w:val="0"/>
                <w:sz w:val="24"/>
              </w:rPr>
              <w:t>4</w:t>
            </w:r>
            <w:r>
              <w:rPr>
                <w:rFonts w:hint="eastAsia" w:ascii="宋体" w:hAnsi="宋体" w:eastAsia="楷体_GB2312" w:cs="宋体"/>
                <w:kern w:val="0"/>
                <w:sz w:val="24"/>
              </w:rPr>
              <w:t>）</w:t>
            </w:r>
            <w:r>
              <w:rPr>
                <w:rFonts w:hint="eastAsia" w:ascii="宋体" w:hAnsi="宋体" w:cs="宋体"/>
                <w:kern w:val="0"/>
                <w:sz w:val="24"/>
              </w:rPr>
              <w:t>风险</w:t>
            </w:r>
            <w:r>
              <w:rPr>
                <w:rFonts w:ascii="宋体" w:hAnsi="宋体" w:cs="宋体"/>
                <w:kern w:val="0"/>
                <w:sz w:val="24"/>
              </w:rPr>
              <w:t>分析</w:t>
            </w:r>
          </w:p>
          <w:p>
            <w:pPr>
              <w:adjustRightInd w:val="0"/>
              <w:snapToGrid w:val="0"/>
              <w:spacing w:line="360" w:lineRule="auto"/>
              <w:ind w:firstLine="480" w:firstLineChars="200"/>
              <w:rPr>
                <w:bCs/>
                <w:kern w:val="0"/>
                <w:sz w:val="24"/>
              </w:rPr>
            </w:pPr>
            <w:r>
              <w:rPr>
                <w:rFonts w:hint="eastAsia"/>
                <w:bCs/>
                <w:kern w:val="0"/>
                <w:sz w:val="24"/>
              </w:rPr>
              <w:t>由于本项目天然气目前在管道内储存、输送，正常生产情况下不具备发生火灾爆炸的条件，但通过上述物料危险性分析可知，天然气属于易燃、易爆物质，具有较高的火灾、爆炸危险性。一旦发生天然气爆炸，在爆炸点附近还会有大量的泄漏现象发生。</w:t>
            </w:r>
          </w:p>
          <w:p>
            <w:pPr>
              <w:adjustRightInd w:val="0"/>
              <w:snapToGrid w:val="0"/>
              <w:spacing w:line="360" w:lineRule="auto"/>
              <w:ind w:firstLine="480" w:firstLineChars="200"/>
              <w:rPr>
                <w:kern w:val="0"/>
                <w:sz w:val="24"/>
              </w:rPr>
            </w:pPr>
            <w:r>
              <w:rPr>
                <w:rFonts w:hint="eastAsia"/>
                <w:kern w:val="0"/>
                <w:sz w:val="24"/>
              </w:rPr>
              <w:t>（5）环境风险防范措施及应急要求</w:t>
            </w:r>
          </w:p>
          <w:p>
            <w:pPr>
              <w:adjustRightInd w:val="0"/>
              <w:snapToGrid w:val="0"/>
              <w:spacing w:line="360" w:lineRule="auto"/>
              <w:ind w:firstLine="480" w:firstLineChars="200"/>
              <w:rPr>
                <w:kern w:val="0"/>
                <w:sz w:val="24"/>
              </w:rPr>
            </w:pPr>
            <w:r>
              <w:rPr>
                <w:rFonts w:hint="eastAsia"/>
                <w:kern w:val="0"/>
                <w:sz w:val="24"/>
              </w:rPr>
              <w:t>1）环境风险防范措施</w:t>
            </w:r>
          </w:p>
          <w:p>
            <w:pPr>
              <w:adjustRightInd w:val="0"/>
              <w:snapToGrid w:val="0"/>
              <w:spacing w:line="360" w:lineRule="auto"/>
              <w:ind w:firstLine="480" w:firstLineChars="200"/>
              <w:rPr>
                <w:kern w:val="0"/>
                <w:sz w:val="24"/>
              </w:rPr>
            </w:pPr>
            <w:r>
              <w:rPr>
                <w:kern w:val="0"/>
                <w:sz w:val="24"/>
              </w:rPr>
              <w:t>制定</w:t>
            </w:r>
            <w:r>
              <w:rPr>
                <w:rFonts w:hint="eastAsia"/>
                <w:kern w:val="0"/>
                <w:sz w:val="24"/>
              </w:rPr>
              <w:t>环境风险防范措施，</w:t>
            </w:r>
            <w:r>
              <w:rPr>
                <w:kern w:val="0"/>
                <w:sz w:val="24"/>
              </w:rPr>
              <w:t>根据全厂布局、系统关联、岗位工序、毒害物对象等要素，结合周边环境及特定条件，对潜在事故发生确定对策措施。</w:t>
            </w:r>
          </w:p>
          <w:p>
            <w:pPr>
              <w:adjustRightInd w:val="0"/>
              <w:snapToGrid w:val="0"/>
              <w:spacing w:line="360" w:lineRule="auto"/>
              <w:ind w:firstLine="480" w:firstLineChars="200"/>
              <w:rPr>
                <w:kern w:val="0"/>
                <w:sz w:val="24"/>
              </w:rPr>
            </w:pPr>
            <w:r>
              <w:rPr>
                <w:rFonts w:hint="eastAsia" w:ascii="宋体" w:hAnsi="宋体" w:cs="宋体"/>
                <w:kern w:val="0"/>
                <w:sz w:val="24"/>
              </w:rPr>
              <w:t>①</w:t>
            </w:r>
            <w:r>
              <w:rPr>
                <w:kern w:val="0"/>
                <w:sz w:val="24"/>
              </w:rPr>
              <w:t>项目设计、施工、运行必须科学规划、严格规范和标准，制定合理的工作程序和事故应急方案。包括区域消防、环保安全监察、区域报警、组织调查和医疗救护等。</w:t>
            </w:r>
          </w:p>
          <w:p>
            <w:pPr>
              <w:adjustRightInd w:val="0"/>
              <w:snapToGrid w:val="0"/>
              <w:spacing w:line="360" w:lineRule="auto"/>
              <w:ind w:firstLine="480" w:firstLineChars="200"/>
              <w:rPr>
                <w:kern w:val="0"/>
                <w:sz w:val="24"/>
              </w:rPr>
            </w:pPr>
            <w:r>
              <w:rPr>
                <w:rFonts w:hint="eastAsia" w:ascii="宋体" w:hAnsi="宋体" w:cs="宋体"/>
                <w:kern w:val="0"/>
                <w:sz w:val="24"/>
              </w:rPr>
              <w:t>②</w:t>
            </w:r>
            <w:r>
              <w:rPr>
                <w:kern w:val="0"/>
                <w:sz w:val="24"/>
              </w:rPr>
              <w:t>制定事故类型、等级和相应的应急响应程序，确定救援队伍和联络方式。</w:t>
            </w:r>
          </w:p>
          <w:p>
            <w:pPr>
              <w:adjustRightInd w:val="0"/>
              <w:snapToGrid w:val="0"/>
              <w:spacing w:line="360" w:lineRule="auto"/>
              <w:ind w:firstLine="480" w:firstLineChars="200"/>
              <w:rPr>
                <w:kern w:val="0"/>
                <w:sz w:val="24"/>
              </w:rPr>
            </w:pPr>
            <w:r>
              <w:rPr>
                <w:rFonts w:hint="eastAsia" w:ascii="宋体" w:hAnsi="宋体" w:cs="宋体"/>
                <w:kern w:val="0"/>
                <w:sz w:val="24"/>
              </w:rPr>
              <w:t>③</w:t>
            </w:r>
            <w:r>
              <w:rPr>
                <w:kern w:val="0"/>
                <w:sz w:val="24"/>
              </w:rPr>
              <w:t>配备必要的应急物资。</w:t>
            </w:r>
          </w:p>
          <w:p>
            <w:pPr>
              <w:adjustRightInd w:val="0"/>
              <w:snapToGrid w:val="0"/>
              <w:spacing w:line="360" w:lineRule="auto"/>
              <w:ind w:firstLine="480" w:firstLineChars="200"/>
              <w:rPr>
                <w:kern w:val="0"/>
                <w:sz w:val="24"/>
              </w:rPr>
            </w:pPr>
            <w:r>
              <w:rPr>
                <w:rFonts w:hint="eastAsia" w:ascii="宋体" w:hAnsi="宋体" w:cs="宋体"/>
                <w:kern w:val="0"/>
                <w:sz w:val="24"/>
              </w:rPr>
              <w:t>④</w:t>
            </w:r>
            <w:r>
              <w:rPr>
                <w:kern w:val="0"/>
                <w:sz w:val="24"/>
              </w:rPr>
              <w:t>岗位培训和演习，设置事故应急学习手册及报告、记录和评估。</w:t>
            </w:r>
          </w:p>
          <w:p>
            <w:pPr>
              <w:adjustRightInd w:val="0"/>
              <w:snapToGrid w:val="0"/>
              <w:spacing w:line="360" w:lineRule="auto"/>
              <w:ind w:left="420" w:leftChars="200"/>
              <w:rPr>
                <w:bCs/>
                <w:kern w:val="0"/>
                <w:sz w:val="24"/>
              </w:rPr>
            </w:pPr>
            <w:r>
              <w:rPr>
                <w:rFonts w:hint="eastAsia" w:ascii="宋体" w:hAnsi="宋体" w:cs="宋体"/>
                <w:bCs/>
                <w:kern w:val="0"/>
                <w:sz w:val="24"/>
              </w:rPr>
              <w:t>⑤</w:t>
            </w:r>
            <w:r>
              <w:rPr>
                <w:bCs/>
                <w:kern w:val="0"/>
                <w:sz w:val="24"/>
              </w:rPr>
              <w:t>天然气管道输送采取的风险防范措施为：</w:t>
            </w:r>
          </w:p>
          <w:p>
            <w:pPr>
              <w:adjustRightInd w:val="0"/>
              <w:snapToGrid w:val="0"/>
              <w:spacing w:line="360" w:lineRule="auto"/>
              <w:ind w:firstLine="480" w:firstLineChars="200"/>
              <w:contextualSpacing/>
              <w:textAlignment w:val="baseline"/>
              <w:rPr>
                <w:kern w:val="0"/>
                <w:sz w:val="24"/>
              </w:rPr>
            </w:pPr>
            <w:r>
              <w:rPr>
                <w:kern w:val="0"/>
                <w:sz w:val="24"/>
              </w:rPr>
              <w:t>A、定期对燃气管道进行检查，燃气管道需经常维护、保养，减少事故隐患。</w:t>
            </w:r>
          </w:p>
          <w:p>
            <w:pPr>
              <w:adjustRightInd w:val="0"/>
              <w:snapToGrid w:val="0"/>
              <w:spacing w:line="360" w:lineRule="auto"/>
              <w:ind w:firstLine="480" w:firstLineChars="200"/>
              <w:contextualSpacing/>
              <w:textAlignment w:val="baseline"/>
              <w:rPr>
                <w:kern w:val="0"/>
                <w:sz w:val="24"/>
              </w:rPr>
            </w:pPr>
            <w:r>
              <w:rPr>
                <w:kern w:val="0"/>
                <w:sz w:val="24"/>
              </w:rPr>
              <w:t>B、本项目燃气管道布设于厂区地下，可降低燃气泄露的概率。</w:t>
            </w:r>
          </w:p>
          <w:p>
            <w:pPr>
              <w:adjustRightInd w:val="0"/>
              <w:snapToGrid w:val="0"/>
              <w:spacing w:line="360" w:lineRule="auto"/>
              <w:ind w:firstLine="480" w:firstLineChars="200"/>
              <w:contextualSpacing/>
              <w:textAlignment w:val="baseline"/>
              <w:rPr>
                <w:kern w:val="0"/>
                <w:sz w:val="24"/>
              </w:rPr>
            </w:pPr>
            <w:r>
              <w:rPr>
                <w:kern w:val="0"/>
                <w:sz w:val="24"/>
              </w:rPr>
              <w:t>C、加强对员工的职业素养教育，搞好岗位技术培训，强化应急救援预案的演练，增强员工的应变能力，进一步提高员工的生产意识和自我防范能力。</w:t>
            </w:r>
          </w:p>
          <w:p>
            <w:pPr>
              <w:adjustRightInd w:val="0"/>
              <w:snapToGrid w:val="0"/>
              <w:spacing w:line="360" w:lineRule="auto"/>
              <w:ind w:firstLine="480" w:firstLineChars="200"/>
              <w:contextualSpacing/>
              <w:textAlignment w:val="baseline"/>
              <w:rPr>
                <w:kern w:val="0"/>
                <w:sz w:val="24"/>
              </w:rPr>
            </w:pPr>
            <w:r>
              <w:rPr>
                <w:kern w:val="0"/>
                <w:sz w:val="24"/>
              </w:rPr>
              <w:t>D、在输出管线上应设置手动紧急截断阀。紧急截断阀的安装位置应便于发生事故时能及时切断气源。</w:t>
            </w:r>
          </w:p>
          <w:p>
            <w:pPr>
              <w:adjustRightInd w:val="0"/>
              <w:snapToGrid w:val="0"/>
              <w:spacing w:line="360" w:lineRule="auto"/>
              <w:ind w:firstLine="480" w:firstLineChars="200"/>
              <w:contextualSpacing/>
              <w:textAlignment w:val="baseline"/>
              <w:rPr>
                <w:kern w:val="0"/>
                <w:sz w:val="24"/>
              </w:rPr>
            </w:pPr>
            <w:r>
              <w:rPr>
                <w:kern w:val="0"/>
                <w:sz w:val="24"/>
              </w:rPr>
              <w:t>E、加强明火管理，严防火种进入，在醒目的位置应该设置“严禁烟火”“禁火区”等标语和标牌。</w:t>
            </w:r>
          </w:p>
          <w:p>
            <w:pPr>
              <w:adjustRightInd w:val="0"/>
              <w:snapToGrid w:val="0"/>
              <w:spacing w:line="360" w:lineRule="auto"/>
              <w:ind w:firstLine="480" w:firstLineChars="200"/>
              <w:contextualSpacing/>
              <w:textAlignment w:val="baseline"/>
              <w:rPr>
                <w:kern w:val="0"/>
                <w:sz w:val="24"/>
              </w:rPr>
            </w:pPr>
            <w:r>
              <w:rPr>
                <w:kern w:val="0"/>
                <w:sz w:val="24"/>
              </w:rPr>
              <w:t>F、设置消防设备、火灾防护系统和消防水池。</w:t>
            </w:r>
          </w:p>
          <w:p>
            <w:pPr>
              <w:spacing w:line="360" w:lineRule="auto"/>
              <w:ind w:firstLine="480" w:firstLineChars="200"/>
              <w:rPr>
                <w:rFonts w:hAnsi="宋体"/>
                <w:color w:val="000000" w:themeColor="text1"/>
                <w:kern w:val="0"/>
                <w:sz w:val="24"/>
                <w14:textFill>
                  <w14:solidFill>
                    <w14:schemeClr w14:val="tx1"/>
                  </w14:solidFill>
                </w14:textFill>
              </w:rPr>
            </w:pPr>
            <w:r>
              <w:rPr>
                <w:rFonts w:hAnsi="宋体"/>
                <w:color w:val="000000" w:themeColor="text1"/>
                <w:kern w:val="0"/>
                <w:sz w:val="24"/>
                <w14:textFill>
                  <w14:solidFill>
                    <w14:schemeClr w14:val="tx1"/>
                  </w14:solidFill>
                </w14:textFill>
              </w:rPr>
              <w:t>2</w:t>
            </w:r>
            <w:r>
              <w:rPr>
                <w:rFonts w:hint="eastAsia" w:hAnsi="宋体"/>
                <w:color w:val="000000" w:themeColor="text1"/>
                <w:kern w:val="0"/>
                <w:sz w:val="24"/>
                <w14:textFill>
                  <w14:solidFill>
                    <w14:schemeClr w14:val="tx1"/>
                  </w14:solidFill>
                </w14:textFill>
              </w:rPr>
              <w:t>）应急要求</w:t>
            </w:r>
          </w:p>
          <w:p>
            <w:pPr>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遵照国家环保局(90)环管字057号《关于对重大环境污染事故隐患进行风险评价的通知》以及《关于加强环境影响评价管理防范环境风险的通知》(环发(2005)152号)的精神”，企业在投产前，应制定详细的防止重大环境污染事故发生应急预案、消除事故隐患的措施及应急处理办法。</w:t>
            </w:r>
          </w:p>
          <w:p>
            <w:pPr>
              <w:adjustRightInd w:val="0"/>
              <w:snapToGrid w:val="0"/>
              <w:spacing w:line="360" w:lineRule="auto"/>
              <w:ind w:firstLine="482" w:firstLineChars="200"/>
              <w:rPr>
                <w:b/>
                <w:bCs/>
                <w:kern w:val="0"/>
                <w:sz w:val="24"/>
              </w:rPr>
            </w:pPr>
            <w:r>
              <w:rPr>
                <w:rFonts w:hint="eastAsia"/>
                <w:b/>
                <w:bCs/>
                <w:kern w:val="0"/>
                <w:sz w:val="24"/>
              </w:rPr>
              <w:t>（6）</w:t>
            </w:r>
            <w:r>
              <w:rPr>
                <w:b/>
                <w:bCs/>
                <w:kern w:val="0"/>
                <w:sz w:val="24"/>
              </w:rPr>
              <w:t>环境风险评价结论与建议</w:t>
            </w:r>
          </w:p>
          <w:p>
            <w:pPr>
              <w:adjustRightInd w:val="0"/>
              <w:snapToGrid w:val="0"/>
              <w:spacing w:line="360" w:lineRule="auto"/>
              <w:ind w:firstLine="480" w:firstLineChars="200"/>
              <w:contextualSpacing/>
              <w:textAlignment w:val="baseline"/>
              <w:rPr>
                <w:kern w:val="0"/>
                <w:sz w:val="24"/>
              </w:rPr>
            </w:pPr>
            <w:r>
              <w:rPr>
                <w:kern w:val="0"/>
                <w:sz w:val="24"/>
              </w:rPr>
              <w:t>综上分析，本项目风险评价结论如下：</w:t>
            </w:r>
          </w:p>
          <w:p>
            <w:pPr>
              <w:adjustRightInd w:val="0"/>
              <w:snapToGrid w:val="0"/>
              <w:spacing w:line="360" w:lineRule="auto"/>
              <w:ind w:firstLine="480" w:firstLineChars="200"/>
              <w:contextualSpacing/>
              <w:textAlignment w:val="baseline"/>
              <w:rPr>
                <w:kern w:val="0"/>
                <w:sz w:val="24"/>
              </w:rPr>
            </w:pPr>
            <w:r>
              <w:rPr>
                <w:rFonts w:hint="eastAsia" w:ascii="宋体" w:hAnsi="宋体" w:cs="宋体"/>
                <w:kern w:val="0"/>
                <w:sz w:val="24"/>
              </w:rPr>
              <w:t>①</w:t>
            </w:r>
            <w:r>
              <w:rPr>
                <w:kern w:val="0"/>
                <w:sz w:val="24"/>
              </w:rPr>
              <w:t>本工程具有潜在的事故风险，尽管最大可信事故概率较小，但要从建设、贮运等方面采取防护措施，这是确保安全的根本措施。</w:t>
            </w:r>
          </w:p>
          <w:p>
            <w:pPr>
              <w:adjustRightInd w:val="0"/>
              <w:snapToGrid w:val="0"/>
              <w:spacing w:line="360" w:lineRule="auto"/>
              <w:ind w:firstLine="480" w:firstLineChars="200"/>
              <w:rPr>
                <w:kern w:val="0"/>
                <w:sz w:val="24"/>
              </w:rPr>
            </w:pPr>
            <w:r>
              <w:rPr>
                <w:rFonts w:hint="eastAsia" w:ascii="宋体" w:hAnsi="宋体" w:cs="宋体"/>
                <w:kern w:val="0"/>
                <w:sz w:val="24"/>
              </w:rPr>
              <w:t>②</w:t>
            </w:r>
            <w:r>
              <w:rPr>
                <w:kern w:val="0"/>
                <w:sz w:val="24"/>
              </w:rPr>
              <w:t>为了防范事故和减少危害，需制定事故应急预案。当出现事故时，要采取紧急的工程应急措施，发生较大事故时，要采取社会应急措施，以控制事故和减少对环境造成的危害。</w:t>
            </w:r>
          </w:p>
          <w:p>
            <w:pPr>
              <w:widowControl/>
              <w:spacing w:before="120" w:after="120" w:line="360" w:lineRule="auto"/>
              <w:ind w:firstLine="480" w:firstLineChars="200"/>
              <w:rPr>
                <w:color w:val="000000" w:themeColor="text1"/>
                <w:kern w:val="0"/>
                <w:sz w:val="24"/>
                <w14:textFill>
                  <w14:solidFill>
                    <w14:schemeClr w14:val="tx1"/>
                  </w14:solidFill>
                </w14:textFill>
              </w:rPr>
            </w:pPr>
            <w:r>
              <w:rPr>
                <w:kern w:val="0"/>
                <w:sz w:val="24"/>
                <w:szCs w:val="20"/>
              </w:rPr>
              <w:t>项目应落实本报告相关要求，综上所述，本项目在认真落实环评提出的环境风险防范措施后，可以在最大程度上降低事故的发生率。项目的环境风险在可接受范围之内</w:t>
            </w:r>
            <w:r>
              <w:rPr>
                <w:rFonts w:hint="eastAsia"/>
                <w:kern w:val="0"/>
                <w:sz w:val="24"/>
                <w:szCs w:val="20"/>
              </w:rPr>
              <w:t>，</w:t>
            </w:r>
            <w:r>
              <w:rPr>
                <w:color w:val="000000" w:themeColor="text1"/>
                <w:kern w:val="0"/>
                <w:sz w:val="24"/>
                <w14:textFill>
                  <w14:solidFill>
                    <w14:schemeClr w14:val="tx1"/>
                  </w14:solidFill>
                </w14:textFill>
              </w:rPr>
              <w:t>本项目简单分析内容表见表7-25</w:t>
            </w:r>
            <w:r>
              <w:rPr>
                <w:rFonts w:hint="eastAsia"/>
                <w:color w:val="000000" w:themeColor="text1"/>
                <w:kern w:val="0"/>
                <w:sz w:val="24"/>
                <w14:textFill>
                  <w14:solidFill>
                    <w14:schemeClr w14:val="tx1"/>
                  </w14:solidFill>
                </w14:textFill>
              </w:rPr>
              <w:t>。</w:t>
            </w:r>
          </w:p>
          <w:p>
            <w:pPr>
              <w:adjustRightInd w:val="0"/>
              <w:snapToGrid w:val="0"/>
              <w:spacing w:line="360" w:lineRule="auto"/>
              <w:jc w:val="center"/>
              <w:rPr>
                <w:b/>
                <w:bCs/>
                <w:color w:val="000000" w:themeColor="text1"/>
                <w:kern w:val="0"/>
                <w:sz w:val="24"/>
                <w:szCs w:val="21"/>
                <w14:textFill>
                  <w14:solidFill>
                    <w14:schemeClr w14:val="tx1"/>
                  </w14:solidFill>
                </w14:textFill>
              </w:rPr>
            </w:pPr>
            <w:r>
              <w:rPr>
                <w:b/>
                <w:bCs/>
                <w:color w:val="000000" w:themeColor="text1"/>
                <w:kern w:val="0"/>
                <w:sz w:val="24"/>
                <w:szCs w:val="21"/>
                <w14:textFill>
                  <w14:solidFill>
                    <w14:schemeClr w14:val="tx1"/>
                  </w14:solidFill>
                </w14:textFill>
              </w:rPr>
              <w:t>表7</w:t>
            </w:r>
            <w:r>
              <w:rPr>
                <w:rFonts w:hint="eastAsia"/>
                <w:b/>
                <w:bCs/>
                <w:color w:val="000000" w:themeColor="text1"/>
                <w:kern w:val="0"/>
                <w:sz w:val="24"/>
                <w:szCs w:val="21"/>
                <w14:textFill>
                  <w14:solidFill>
                    <w14:schemeClr w14:val="tx1"/>
                  </w14:solidFill>
                </w14:textFill>
              </w:rPr>
              <w:t>-</w:t>
            </w:r>
            <w:r>
              <w:rPr>
                <w:b/>
                <w:bCs/>
                <w:color w:val="000000" w:themeColor="text1"/>
                <w:kern w:val="0"/>
                <w:sz w:val="24"/>
                <w:szCs w:val="21"/>
                <w14:textFill>
                  <w14:solidFill>
                    <w14:schemeClr w14:val="tx1"/>
                  </w14:solidFill>
                </w14:textFill>
              </w:rPr>
              <w:t>25   建设项目环境风险简单分析内容表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4"/>
              <w:gridCol w:w="1250"/>
              <w:gridCol w:w="1744"/>
              <w:gridCol w:w="1295"/>
              <w:gridCol w:w="1201"/>
              <w:gridCol w:w="17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85" w:type="pct"/>
                  <w:shd w:val="clear" w:color="auto" w:fill="auto"/>
                  <w:vAlign w:val="center"/>
                </w:tcPr>
                <w:p>
                  <w:pPr>
                    <w:tabs>
                      <w:tab w:val="left" w:pos="7448"/>
                    </w:tabs>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建设项目名称</w:t>
                  </w:r>
                </w:p>
              </w:tc>
              <w:tc>
                <w:tcPr>
                  <w:tcW w:w="4015" w:type="pct"/>
                  <w:gridSpan w:val="5"/>
                  <w:shd w:val="clear" w:color="auto" w:fill="auto"/>
                  <w:vAlign w:val="center"/>
                </w:tcPr>
                <w:p>
                  <w:pPr>
                    <w:tabs>
                      <w:tab w:val="left" w:pos="7448"/>
                    </w:tabs>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年产</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万立方米聚苯板建设项目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85" w:type="pct"/>
                  <w:shd w:val="clear" w:color="auto" w:fill="auto"/>
                  <w:vAlign w:val="center"/>
                </w:tcPr>
                <w:p>
                  <w:pPr>
                    <w:tabs>
                      <w:tab w:val="left" w:pos="7448"/>
                    </w:tabs>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建设地点</w:t>
                  </w:r>
                </w:p>
              </w:tc>
              <w:tc>
                <w:tcPr>
                  <w:tcW w:w="690" w:type="pct"/>
                  <w:shd w:val="clear" w:color="auto" w:fill="auto"/>
                  <w:vAlign w:val="center"/>
                </w:tcPr>
                <w:p>
                  <w:pPr>
                    <w:tabs>
                      <w:tab w:val="left" w:pos="7448"/>
                    </w:tabs>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(陕西)省</w:t>
                  </w:r>
                </w:p>
              </w:tc>
              <w:tc>
                <w:tcPr>
                  <w:tcW w:w="963" w:type="pct"/>
                  <w:shd w:val="clear" w:color="auto" w:fill="auto"/>
                  <w:vAlign w:val="center"/>
                </w:tcPr>
                <w:p>
                  <w:pPr>
                    <w:tabs>
                      <w:tab w:val="left" w:pos="7448"/>
                    </w:tabs>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西咸新区)</w:t>
                  </w:r>
                </w:p>
              </w:tc>
              <w:tc>
                <w:tcPr>
                  <w:tcW w:w="715" w:type="pct"/>
                  <w:shd w:val="clear" w:color="auto" w:fill="auto"/>
                  <w:vAlign w:val="center"/>
                </w:tcPr>
                <w:p>
                  <w:pPr>
                    <w:tabs>
                      <w:tab w:val="left" w:pos="7448"/>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秦汉新城</w:t>
                  </w:r>
                </w:p>
              </w:tc>
              <w:tc>
                <w:tcPr>
                  <w:tcW w:w="663" w:type="pct"/>
                  <w:shd w:val="clear" w:color="auto" w:fill="auto"/>
                  <w:vAlign w:val="center"/>
                </w:tcPr>
                <w:p>
                  <w:pPr>
                    <w:tabs>
                      <w:tab w:val="left" w:pos="7448"/>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984" w:type="pct"/>
                  <w:shd w:val="clear" w:color="auto" w:fill="auto"/>
                  <w:vAlign w:val="center"/>
                </w:tcPr>
                <w:p>
                  <w:pPr>
                    <w:tabs>
                      <w:tab w:val="left" w:pos="7448"/>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园区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85" w:type="pct"/>
                  <w:shd w:val="clear" w:color="auto" w:fill="auto"/>
                  <w:vAlign w:val="center"/>
                </w:tcPr>
                <w:p>
                  <w:pPr>
                    <w:tabs>
                      <w:tab w:val="left" w:pos="7448"/>
                    </w:tabs>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地理坐标</w:t>
                  </w:r>
                </w:p>
              </w:tc>
              <w:tc>
                <w:tcPr>
                  <w:tcW w:w="690" w:type="pct"/>
                  <w:shd w:val="clear" w:color="auto" w:fill="auto"/>
                  <w:vAlign w:val="center"/>
                </w:tcPr>
                <w:p>
                  <w:pPr>
                    <w:tabs>
                      <w:tab w:val="left" w:pos="7448"/>
                    </w:tabs>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经度</w:t>
                  </w:r>
                </w:p>
              </w:tc>
              <w:tc>
                <w:tcPr>
                  <w:tcW w:w="963" w:type="pct"/>
                  <w:shd w:val="clear" w:color="auto" w:fill="auto"/>
                  <w:vAlign w:val="center"/>
                </w:tcPr>
                <w:p>
                  <w:pPr>
                    <w:tabs>
                      <w:tab w:val="left" w:pos="7448"/>
                    </w:tabs>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108.639802</w:t>
                  </w:r>
                  <w:r>
                    <w:rPr>
                      <w:rFonts w:hint="eastAsia"/>
                      <w:color w:val="000000" w:themeColor="text1"/>
                      <w:szCs w:val="21"/>
                      <w14:textFill>
                        <w14:solidFill>
                          <w14:schemeClr w14:val="tx1"/>
                        </w14:solidFill>
                      </w14:textFill>
                    </w:rPr>
                    <w:t>°</w:t>
                  </w:r>
                </w:p>
              </w:tc>
              <w:tc>
                <w:tcPr>
                  <w:tcW w:w="715" w:type="pct"/>
                  <w:shd w:val="clear" w:color="auto" w:fill="auto"/>
                  <w:vAlign w:val="center"/>
                </w:tcPr>
                <w:p>
                  <w:pPr>
                    <w:tabs>
                      <w:tab w:val="left" w:pos="7448"/>
                    </w:tabs>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纬度</w:t>
                  </w:r>
                </w:p>
              </w:tc>
              <w:tc>
                <w:tcPr>
                  <w:tcW w:w="1647" w:type="pct"/>
                  <w:gridSpan w:val="2"/>
                  <w:shd w:val="clear" w:color="auto" w:fill="auto"/>
                  <w:vAlign w:val="center"/>
                </w:tcPr>
                <w:p>
                  <w:pPr>
                    <w:tabs>
                      <w:tab w:val="left" w:pos="7448"/>
                    </w:tabs>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34.373988</w:t>
                  </w:r>
                  <w:r>
                    <w:rPr>
                      <w:rFonts w:hint="eastAsia"/>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85" w:type="pct"/>
                  <w:shd w:val="clear" w:color="auto" w:fill="auto"/>
                  <w:vAlign w:val="center"/>
                </w:tcPr>
                <w:p>
                  <w:pPr>
                    <w:tabs>
                      <w:tab w:val="left" w:pos="7448"/>
                    </w:tabs>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主要危险物质及分布</w:t>
                  </w:r>
                </w:p>
              </w:tc>
              <w:tc>
                <w:tcPr>
                  <w:tcW w:w="4015" w:type="pct"/>
                  <w:gridSpan w:val="5"/>
                  <w:shd w:val="clear" w:color="auto" w:fill="auto"/>
                  <w:vAlign w:val="center"/>
                </w:tcPr>
                <w:p>
                  <w:pPr>
                    <w:tabs>
                      <w:tab w:val="left" w:pos="7448"/>
                    </w:tabs>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天然气存在于天然气管线中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85" w:type="pct"/>
                  <w:shd w:val="clear" w:color="auto" w:fill="auto"/>
                  <w:vAlign w:val="center"/>
                </w:tcPr>
                <w:p>
                  <w:pPr>
                    <w:tabs>
                      <w:tab w:val="left" w:pos="7448"/>
                    </w:tabs>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环境影响途径及危害后果</w:t>
                  </w:r>
                </w:p>
              </w:tc>
              <w:tc>
                <w:tcPr>
                  <w:tcW w:w="4015" w:type="pct"/>
                  <w:gridSpan w:val="5"/>
                  <w:shd w:val="clear" w:color="auto" w:fill="auto"/>
                  <w:vAlign w:val="center"/>
                </w:tcPr>
                <w:p>
                  <w:pPr>
                    <w:tabs>
                      <w:tab w:val="left" w:pos="7448"/>
                    </w:tabs>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泄露后遇明火、高热极易燃烧爆炸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85" w:type="pct"/>
                  <w:shd w:val="clear" w:color="auto" w:fill="auto"/>
                  <w:vAlign w:val="center"/>
                </w:tcPr>
                <w:p>
                  <w:pPr>
                    <w:tabs>
                      <w:tab w:val="left" w:pos="7448"/>
                    </w:tabs>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风险防范措施要求</w:t>
                  </w:r>
                </w:p>
              </w:tc>
              <w:tc>
                <w:tcPr>
                  <w:tcW w:w="4015" w:type="pct"/>
                  <w:gridSpan w:val="5"/>
                  <w:shd w:val="clear" w:color="auto" w:fill="auto"/>
                  <w:vAlign w:val="center"/>
                </w:tcPr>
                <w:p>
                  <w:pPr>
                    <w:tabs>
                      <w:tab w:val="left" w:pos="7448"/>
                    </w:tabs>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结合周边环境及特定条件，对潜在事故发生确定对策措施。</w:t>
                  </w:r>
                </w:p>
                <w:p>
                  <w:pPr>
                    <w:tabs>
                      <w:tab w:val="left" w:pos="7448"/>
                    </w:tabs>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①项目设计、施工、运行必须科学规划、严格规范和标准，制定合理的工作程序和事故应急方案。包括区域消防、环保安全监察、区域报警、组织调查和医疗救护等。</w:t>
                  </w:r>
                </w:p>
                <w:p>
                  <w:pPr>
                    <w:tabs>
                      <w:tab w:val="left" w:pos="7448"/>
                    </w:tabs>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②制定事故类型、等级和相应的应急响应程序，确定救援队伍和联络方式。</w:t>
                  </w:r>
                </w:p>
                <w:p>
                  <w:pPr>
                    <w:tabs>
                      <w:tab w:val="left" w:pos="7448"/>
                    </w:tabs>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③配备必要的应急物资。</w:t>
                  </w:r>
                </w:p>
                <w:p>
                  <w:pPr>
                    <w:tabs>
                      <w:tab w:val="left" w:pos="7448"/>
                    </w:tabs>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④岗位培训和演习，设置事故应急学习手册及报告、记录和评估。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auto"/>
                  <w:vAlign w:val="center"/>
                </w:tcPr>
                <w:p>
                  <w:pPr>
                    <w:tabs>
                      <w:tab w:val="left" w:pos="7448"/>
                    </w:tabs>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填表说明（列出项目相关信息及评价说明）</w:t>
                  </w:r>
                </w:p>
                <w:p>
                  <w:pPr>
                    <w:tabs>
                      <w:tab w:val="left" w:pos="7448"/>
                    </w:tabs>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危险物质总量与其临界量比值Q=</w:t>
                  </w:r>
                  <w:r>
                    <w:rPr>
                      <w:rFonts w:hint="eastAsia"/>
                      <w:szCs w:val="21"/>
                      <w:lang w:bidi="ar"/>
                    </w:rPr>
                    <w:t>1.61×10</w:t>
                  </w:r>
                  <w:r>
                    <w:rPr>
                      <w:rFonts w:hint="eastAsia"/>
                      <w:szCs w:val="21"/>
                      <w:vertAlign w:val="superscript"/>
                      <w:lang w:bidi="ar"/>
                    </w:rPr>
                    <w:t>-</w:t>
                  </w:r>
                  <w:r>
                    <w:rPr>
                      <w:szCs w:val="21"/>
                      <w:vertAlign w:val="superscript"/>
                      <w:lang w:bidi="ar"/>
                    </w:rPr>
                    <w:t>7</w:t>
                  </w:r>
                  <w:r>
                    <w:rPr>
                      <w:rFonts w:hint="eastAsia"/>
                      <w:color w:val="000000" w:themeColor="text1"/>
                      <w:szCs w:val="21"/>
                      <w14:textFill>
                        <w14:solidFill>
                          <w14:schemeClr w14:val="tx1"/>
                        </w14:solidFill>
                      </w14:textFill>
                    </w:rPr>
                    <w:t>＜1，故简单分析</w:t>
                  </w:r>
                </w:p>
              </w:tc>
            </w:tr>
          </w:tbl>
          <w:p>
            <w:pPr>
              <w:spacing w:line="360" w:lineRule="auto"/>
              <w:ind w:firstLine="482" w:firstLineChars="200"/>
              <w:rPr>
                <w:b/>
                <w:bCs/>
                <w:kern w:val="0"/>
                <w:sz w:val="24"/>
              </w:rPr>
            </w:pPr>
            <w:r>
              <w:rPr>
                <w:b/>
                <w:bCs/>
                <w:kern w:val="0"/>
                <w:sz w:val="24"/>
              </w:rPr>
              <w:t>7</w:t>
            </w:r>
            <w:r>
              <w:rPr>
                <w:rFonts w:hint="eastAsia"/>
                <w:b/>
                <w:bCs/>
                <w:kern w:val="0"/>
                <w:sz w:val="24"/>
              </w:rPr>
              <w:t>、环保投资</w:t>
            </w:r>
          </w:p>
          <w:p>
            <w:pPr>
              <w:spacing w:line="360" w:lineRule="auto"/>
              <w:ind w:firstLine="480" w:firstLineChars="200"/>
              <w:rPr>
                <w:kern w:val="0"/>
                <w:sz w:val="24"/>
              </w:rPr>
            </w:pPr>
            <w:r>
              <w:rPr>
                <w:rFonts w:hint="eastAsia"/>
                <w:kern w:val="0"/>
                <w:sz w:val="24"/>
              </w:rPr>
              <w:t>该工程总投资</w:t>
            </w:r>
            <w:r>
              <w:rPr>
                <w:color w:val="000000"/>
                <w:kern w:val="0"/>
                <w:sz w:val="24"/>
              </w:rPr>
              <w:t>500</w:t>
            </w:r>
            <w:r>
              <w:rPr>
                <w:rFonts w:hint="eastAsia"/>
                <w:kern w:val="0"/>
                <w:sz w:val="24"/>
              </w:rPr>
              <w:t>万元，其中环保投资</w:t>
            </w:r>
            <w:r>
              <w:rPr>
                <w:kern w:val="0"/>
                <w:sz w:val="24"/>
              </w:rPr>
              <w:t>27</w:t>
            </w:r>
            <w:r>
              <w:rPr>
                <w:rFonts w:hint="eastAsia"/>
                <w:kern w:val="0"/>
                <w:sz w:val="24"/>
              </w:rPr>
              <w:t>万元，占总投资的</w:t>
            </w:r>
            <w:r>
              <w:rPr>
                <w:kern w:val="0"/>
                <w:sz w:val="24"/>
              </w:rPr>
              <w:t>5.4%</w:t>
            </w:r>
            <w:r>
              <w:rPr>
                <w:rFonts w:hint="eastAsia"/>
                <w:kern w:val="0"/>
                <w:sz w:val="24"/>
              </w:rPr>
              <w:t>，主要用于废气防治、噪声防治及固体废物暂存等设施。环保投资见表</w:t>
            </w:r>
            <w:r>
              <w:rPr>
                <w:kern w:val="0"/>
                <w:sz w:val="24"/>
              </w:rPr>
              <w:t>7-26</w:t>
            </w:r>
            <w:r>
              <w:rPr>
                <w:rFonts w:hint="eastAsia"/>
                <w:kern w:val="0"/>
                <w:sz w:val="24"/>
              </w:rPr>
              <w:t>。</w:t>
            </w:r>
          </w:p>
          <w:p>
            <w:pPr>
              <w:spacing w:line="360" w:lineRule="auto"/>
              <w:jc w:val="center"/>
              <w:rPr>
                <w:b/>
                <w:kern w:val="0"/>
                <w:sz w:val="24"/>
              </w:rPr>
            </w:pPr>
            <w:r>
              <w:rPr>
                <w:rFonts w:hint="eastAsia"/>
                <w:b/>
                <w:kern w:val="0"/>
                <w:sz w:val="24"/>
              </w:rPr>
              <w:t>表</w:t>
            </w:r>
            <w:r>
              <w:rPr>
                <w:b/>
                <w:kern w:val="0"/>
                <w:sz w:val="24"/>
              </w:rPr>
              <w:t xml:space="preserve">7-26   </w:t>
            </w:r>
            <w:r>
              <w:rPr>
                <w:rFonts w:hint="eastAsia"/>
                <w:b/>
                <w:kern w:val="0"/>
                <w:sz w:val="24"/>
              </w:rPr>
              <w:t>项目环保投资</w:t>
            </w:r>
          </w:p>
          <w:tbl>
            <w:tblPr>
              <w:tblStyle w:val="20"/>
              <w:tblW w:w="90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78"/>
              <w:gridCol w:w="800"/>
              <w:gridCol w:w="1855"/>
              <w:gridCol w:w="4214"/>
              <w:gridCol w:w="17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133" w:type="dxa"/>
                  <w:gridSpan w:val="3"/>
                  <w:vAlign w:val="center"/>
                </w:tcPr>
                <w:p>
                  <w:pPr>
                    <w:tabs>
                      <w:tab w:val="left" w:leader="middleDot" w:pos="8399"/>
                    </w:tabs>
                    <w:adjustRightInd w:val="0"/>
                    <w:snapToGrid w:val="0"/>
                    <w:jc w:val="center"/>
                    <w:rPr>
                      <w:b/>
                      <w:szCs w:val="21"/>
                    </w:rPr>
                  </w:pPr>
                  <w:r>
                    <w:rPr>
                      <w:b/>
                      <w:szCs w:val="21"/>
                    </w:rPr>
                    <w:t>治理工程</w:t>
                  </w:r>
                </w:p>
              </w:tc>
              <w:tc>
                <w:tcPr>
                  <w:tcW w:w="4214" w:type="dxa"/>
                  <w:vAlign w:val="center"/>
                </w:tcPr>
                <w:p>
                  <w:pPr>
                    <w:tabs>
                      <w:tab w:val="left" w:leader="middleDot" w:pos="8399"/>
                    </w:tabs>
                    <w:adjustRightInd w:val="0"/>
                    <w:snapToGrid w:val="0"/>
                    <w:jc w:val="center"/>
                    <w:rPr>
                      <w:b/>
                      <w:szCs w:val="21"/>
                    </w:rPr>
                  </w:pPr>
                  <w:r>
                    <w:rPr>
                      <w:b/>
                      <w:szCs w:val="21"/>
                    </w:rPr>
                    <w:t>环保设备</w:t>
                  </w:r>
                </w:p>
              </w:tc>
              <w:tc>
                <w:tcPr>
                  <w:tcW w:w="1710" w:type="dxa"/>
                  <w:vAlign w:val="center"/>
                </w:tcPr>
                <w:p>
                  <w:pPr>
                    <w:tabs>
                      <w:tab w:val="left" w:leader="middleDot" w:pos="8399"/>
                    </w:tabs>
                    <w:adjustRightInd w:val="0"/>
                    <w:snapToGrid w:val="0"/>
                    <w:rPr>
                      <w:b/>
                      <w:szCs w:val="21"/>
                    </w:rPr>
                  </w:pPr>
                  <w:r>
                    <w:rPr>
                      <w:b/>
                      <w:szCs w:val="21"/>
                    </w:rPr>
                    <w:t>环保投资（万元）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478" w:type="dxa"/>
                  <w:vMerge w:val="restart"/>
                  <w:vAlign w:val="center"/>
                </w:tcPr>
                <w:p>
                  <w:pPr>
                    <w:tabs>
                      <w:tab w:val="left" w:leader="middleDot" w:pos="8399"/>
                    </w:tabs>
                    <w:adjustRightInd w:val="0"/>
                    <w:snapToGrid w:val="0"/>
                    <w:jc w:val="center"/>
                    <w:rPr>
                      <w:szCs w:val="21"/>
                    </w:rPr>
                  </w:pPr>
                  <w:r>
                    <w:rPr>
                      <w:szCs w:val="21"/>
                    </w:rPr>
                    <w:t>运</w:t>
                  </w:r>
                </w:p>
                <w:p>
                  <w:pPr>
                    <w:tabs>
                      <w:tab w:val="left" w:leader="middleDot" w:pos="8399"/>
                    </w:tabs>
                    <w:adjustRightInd w:val="0"/>
                    <w:snapToGrid w:val="0"/>
                    <w:jc w:val="center"/>
                    <w:rPr>
                      <w:szCs w:val="21"/>
                    </w:rPr>
                  </w:pPr>
                  <w:r>
                    <w:rPr>
                      <w:szCs w:val="21"/>
                    </w:rPr>
                    <w:t>营</w:t>
                  </w:r>
                </w:p>
                <w:p>
                  <w:pPr>
                    <w:tabs>
                      <w:tab w:val="left" w:leader="middleDot" w:pos="8399"/>
                    </w:tabs>
                    <w:adjustRightInd w:val="0"/>
                    <w:snapToGrid w:val="0"/>
                    <w:jc w:val="center"/>
                    <w:rPr>
                      <w:szCs w:val="21"/>
                    </w:rPr>
                  </w:pPr>
                  <w:r>
                    <w:rPr>
                      <w:szCs w:val="21"/>
                    </w:rPr>
                    <w:t>期</w:t>
                  </w:r>
                </w:p>
              </w:tc>
              <w:tc>
                <w:tcPr>
                  <w:tcW w:w="800" w:type="dxa"/>
                  <w:vMerge w:val="restart"/>
                  <w:tcBorders>
                    <w:right w:val="single" w:color="auto" w:sz="4" w:space="0"/>
                  </w:tcBorders>
                  <w:vAlign w:val="center"/>
                </w:tcPr>
                <w:p>
                  <w:pPr>
                    <w:tabs>
                      <w:tab w:val="left" w:leader="middleDot" w:pos="8399"/>
                    </w:tabs>
                    <w:adjustRightInd w:val="0"/>
                    <w:snapToGrid w:val="0"/>
                    <w:jc w:val="center"/>
                    <w:rPr>
                      <w:szCs w:val="21"/>
                    </w:rPr>
                  </w:pPr>
                  <w:r>
                    <w:rPr>
                      <w:szCs w:val="21"/>
                    </w:rPr>
                    <w:t>废气</w:t>
                  </w:r>
                </w:p>
              </w:tc>
              <w:tc>
                <w:tcPr>
                  <w:tcW w:w="1855" w:type="dxa"/>
                  <w:tcBorders>
                    <w:left w:val="single" w:color="auto" w:sz="4" w:space="0"/>
                  </w:tcBorders>
                  <w:vAlign w:val="center"/>
                </w:tcPr>
                <w:p>
                  <w:pPr>
                    <w:adjustRightInd w:val="0"/>
                    <w:snapToGrid w:val="0"/>
                    <w:spacing w:line="260" w:lineRule="exact"/>
                    <w:jc w:val="center"/>
                    <w:rPr>
                      <w:szCs w:val="21"/>
                    </w:rPr>
                  </w:pPr>
                  <w:r>
                    <w:rPr>
                      <w:rFonts w:hint="eastAsia"/>
                      <w:szCs w:val="21"/>
                    </w:rPr>
                    <w:t>有机废气</w:t>
                  </w:r>
                </w:p>
              </w:tc>
              <w:tc>
                <w:tcPr>
                  <w:tcW w:w="4214" w:type="dxa"/>
                  <w:vAlign w:val="center"/>
                </w:tcPr>
                <w:p>
                  <w:pPr>
                    <w:tabs>
                      <w:tab w:val="left" w:leader="middleDot" w:pos="8399"/>
                    </w:tabs>
                    <w:adjustRightInd w:val="0"/>
                    <w:snapToGrid w:val="0"/>
                    <w:jc w:val="center"/>
                    <w:rPr>
                      <w:szCs w:val="21"/>
                    </w:rPr>
                  </w:pPr>
                  <w:r>
                    <w:rPr>
                      <w:rFonts w:hint="eastAsia"/>
                      <w:szCs w:val="21"/>
                    </w:rPr>
                    <w:t>集气罩</w:t>
                  </w:r>
                  <w:r>
                    <w:rPr>
                      <w:szCs w:val="21"/>
                    </w:rPr>
                    <w:t>+</w:t>
                  </w:r>
                  <w:r>
                    <w:rPr>
                      <w:rFonts w:hint="eastAsia"/>
                      <w:szCs w:val="21"/>
                    </w:rPr>
                    <w:t>二级活性炭+15m排气筒1座</w:t>
                  </w:r>
                </w:p>
              </w:tc>
              <w:tc>
                <w:tcPr>
                  <w:tcW w:w="1710" w:type="dxa"/>
                  <w:vAlign w:val="center"/>
                </w:tcPr>
                <w:p>
                  <w:pPr>
                    <w:tabs>
                      <w:tab w:val="left" w:leader="middleDot" w:pos="8399"/>
                    </w:tabs>
                    <w:adjustRightInd w:val="0"/>
                    <w:snapToGrid w:val="0"/>
                    <w:jc w:val="center"/>
                    <w:rPr>
                      <w:szCs w:val="21"/>
                    </w:rPr>
                  </w:pPr>
                  <w:r>
                    <w:rPr>
                      <w:rFonts w:hint="eastAsia"/>
                      <w:szCs w:val="21"/>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478" w:type="dxa"/>
                  <w:vMerge w:val="continue"/>
                  <w:vAlign w:val="center"/>
                </w:tcPr>
                <w:p>
                  <w:pPr>
                    <w:tabs>
                      <w:tab w:val="left" w:leader="middleDot" w:pos="8399"/>
                    </w:tabs>
                    <w:adjustRightInd w:val="0"/>
                    <w:snapToGrid w:val="0"/>
                    <w:jc w:val="center"/>
                    <w:rPr>
                      <w:szCs w:val="21"/>
                    </w:rPr>
                  </w:pPr>
                </w:p>
              </w:tc>
              <w:tc>
                <w:tcPr>
                  <w:tcW w:w="800" w:type="dxa"/>
                  <w:vMerge w:val="continue"/>
                  <w:tcBorders>
                    <w:right w:val="single" w:color="auto" w:sz="4" w:space="0"/>
                  </w:tcBorders>
                  <w:vAlign w:val="center"/>
                </w:tcPr>
                <w:p>
                  <w:pPr>
                    <w:tabs>
                      <w:tab w:val="left" w:leader="middleDot" w:pos="8399"/>
                    </w:tabs>
                    <w:adjustRightInd w:val="0"/>
                    <w:snapToGrid w:val="0"/>
                    <w:jc w:val="center"/>
                    <w:rPr>
                      <w:szCs w:val="21"/>
                    </w:rPr>
                  </w:pPr>
                </w:p>
              </w:tc>
              <w:tc>
                <w:tcPr>
                  <w:tcW w:w="1855" w:type="dxa"/>
                  <w:tcBorders>
                    <w:left w:val="single" w:color="auto" w:sz="4" w:space="0"/>
                  </w:tcBorders>
                  <w:vAlign w:val="center"/>
                </w:tcPr>
                <w:p>
                  <w:pPr>
                    <w:adjustRightInd w:val="0"/>
                    <w:snapToGrid w:val="0"/>
                    <w:spacing w:line="260" w:lineRule="exact"/>
                    <w:jc w:val="center"/>
                    <w:rPr>
                      <w:szCs w:val="21"/>
                    </w:rPr>
                  </w:pPr>
                  <w:r>
                    <w:rPr>
                      <w:rFonts w:hint="eastAsia"/>
                      <w:szCs w:val="21"/>
                    </w:rPr>
                    <w:t>粉尘</w:t>
                  </w:r>
                </w:p>
              </w:tc>
              <w:tc>
                <w:tcPr>
                  <w:tcW w:w="4214" w:type="dxa"/>
                  <w:vAlign w:val="center"/>
                </w:tcPr>
                <w:p>
                  <w:pPr>
                    <w:tabs>
                      <w:tab w:val="left" w:leader="middleDot" w:pos="8399"/>
                    </w:tabs>
                    <w:adjustRightInd w:val="0"/>
                    <w:snapToGrid w:val="0"/>
                    <w:jc w:val="center"/>
                    <w:rPr>
                      <w:szCs w:val="21"/>
                    </w:rPr>
                  </w:pPr>
                  <w:r>
                    <w:rPr>
                      <w:rFonts w:hint="eastAsia"/>
                      <w:szCs w:val="21"/>
                    </w:rPr>
                    <w:t>集气罩+布袋除尘器+15m排气筒1座</w:t>
                  </w:r>
                </w:p>
              </w:tc>
              <w:tc>
                <w:tcPr>
                  <w:tcW w:w="1710" w:type="dxa"/>
                  <w:vAlign w:val="center"/>
                </w:tcPr>
                <w:p>
                  <w:pPr>
                    <w:tabs>
                      <w:tab w:val="left" w:leader="middleDot" w:pos="8399"/>
                    </w:tabs>
                    <w:adjustRightInd w:val="0"/>
                    <w:snapToGrid w:val="0"/>
                    <w:jc w:val="center"/>
                    <w:rPr>
                      <w:szCs w:val="21"/>
                    </w:rPr>
                  </w:pPr>
                  <w:r>
                    <w:rPr>
                      <w:rFonts w:hint="eastAsia"/>
                      <w:szCs w:val="21"/>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478" w:type="dxa"/>
                  <w:vMerge w:val="continue"/>
                  <w:vAlign w:val="center"/>
                </w:tcPr>
                <w:p>
                  <w:pPr>
                    <w:tabs>
                      <w:tab w:val="left" w:leader="middleDot" w:pos="8399"/>
                    </w:tabs>
                    <w:adjustRightInd w:val="0"/>
                    <w:snapToGrid w:val="0"/>
                    <w:jc w:val="center"/>
                    <w:rPr>
                      <w:szCs w:val="21"/>
                    </w:rPr>
                  </w:pPr>
                </w:p>
              </w:tc>
              <w:tc>
                <w:tcPr>
                  <w:tcW w:w="800" w:type="dxa"/>
                  <w:vMerge w:val="continue"/>
                  <w:tcBorders>
                    <w:right w:val="single" w:color="auto" w:sz="4" w:space="0"/>
                  </w:tcBorders>
                  <w:vAlign w:val="center"/>
                </w:tcPr>
                <w:p>
                  <w:pPr>
                    <w:tabs>
                      <w:tab w:val="left" w:leader="middleDot" w:pos="8399"/>
                    </w:tabs>
                    <w:adjustRightInd w:val="0"/>
                    <w:snapToGrid w:val="0"/>
                    <w:jc w:val="center"/>
                    <w:rPr>
                      <w:szCs w:val="21"/>
                    </w:rPr>
                  </w:pPr>
                </w:p>
              </w:tc>
              <w:tc>
                <w:tcPr>
                  <w:tcW w:w="1855" w:type="dxa"/>
                  <w:tcBorders>
                    <w:left w:val="single" w:color="auto" w:sz="4" w:space="0"/>
                  </w:tcBorders>
                  <w:vAlign w:val="center"/>
                </w:tcPr>
                <w:p>
                  <w:pPr>
                    <w:adjustRightInd w:val="0"/>
                    <w:snapToGrid w:val="0"/>
                    <w:spacing w:line="260" w:lineRule="exact"/>
                    <w:jc w:val="center"/>
                    <w:rPr>
                      <w:szCs w:val="21"/>
                    </w:rPr>
                  </w:pPr>
                  <w:r>
                    <w:rPr>
                      <w:rFonts w:hint="eastAsia"/>
                      <w:szCs w:val="21"/>
                    </w:rPr>
                    <w:t>锅炉废气</w:t>
                  </w:r>
                </w:p>
              </w:tc>
              <w:tc>
                <w:tcPr>
                  <w:tcW w:w="4214" w:type="dxa"/>
                  <w:vAlign w:val="center"/>
                </w:tcPr>
                <w:p>
                  <w:pPr>
                    <w:tabs>
                      <w:tab w:val="left" w:leader="middleDot" w:pos="8399"/>
                    </w:tabs>
                    <w:adjustRightInd w:val="0"/>
                    <w:snapToGrid w:val="0"/>
                    <w:jc w:val="center"/>
                    <w:rPr>
                      <w:szCs w:val="21"/>
                    </w:rPr>
                  </w:pPr>
                  <w:r>
                    <w:rPr>
                      <w:rFonts w:hint="eastAsia"/>
                      <w:szCs w:val="21"/>
                    </w:rPr>
                    <w:t>低氮燃烧器</w:t>
                  </w:r>
                  <w:r>
                    <w:rPr>
                      <w:szCs w:val="21"/>
                    </w:rPr>
                    <w:t>2</w:t>
                  </w:r>
                  <w:r>
                    <w:rPr>
                      <w:rFonts w:hint="eastAsia"/>
                      <w:szCs w:val="21"/>
                    </w:rPr>
                    <w:t>套+</w:t>
                  </w:r>
                  <w:r>
                    <w:rPr>
                      <w:szCs w:val="21"/>
                    </w:rPr>
                    <w:t>15</w:t>
                  </w:r>
                  <w:r>
                    <w:rPr>
                      <w:rFonts w:hint="eastAsia"/>
                      <w:szCs w:val="21"/>
                    </w:rPr>
                    <w:t>m排气筒1座</w:t>
                  </w:r>
                </w:p>
              </w:tc>
              <w:tc>
                <w:tcPr>
                  <w:tcW w:w="1710" w:type="dxa"/>
                  <w:vAlign w:val="center"/>
                </w:tcPr>
                <w:p>
                  <w:pPr>
                    <w:tabs>
                      <w:tab w:val="left" w:leader="middleDot" w:pos="8399"/>
                    </w:tabs>
                    <w:adjustRightInd w:val="0"/>
                    <w:snapToGrid w:val="0"/>
                    <w:jc w:val="center"/>
                    <w:rPr>
                      <w:szCs w:val="21"/>
                    </w:rPr>
                  </w:pPr>
                  <w:r>
                    <w:rPr>
                      <w:rFonts w:hint="eastAsia"/>
                      <w:szCs w:val="21"/>
                    </w:rPr>
                    <w:t>10.5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478" w:type="dxa"/>
                  <w:vMerge w:val="continue"/>
                  <w:vAlign w:val="center"/>
                </w:tcPr>
                <w:p>
                  <w:pPr>
                    <w:tabs>
                      <w:tab w:val="left" w:leader="middleDot" w:pos="8399"/>
                    </w:tabs>
                    <w:adjustRightInd w:val="0"/>
                    <w:snapToGrid w:val="0"/>
                    <w:jc w:val="center"/>
                    <w:rPr>
                      <w:szCs w:val="21"/>
                    </w:rPr>
                  </w:pPr>
                </w:p>
              </w:tc>
              <w:tc>
                <w:tcPr>
                  <w:tcW w:w="800" w:type="dxa"/>
                  <w:vMerge w:val="continue"/>
                  <w:tcBorders>
                    <w:right w:val="single" w:color="auto" w:sz="4" w:space="0"/>
                  </w:tcBorders>
                  <w:vAlign w:val="center"/>
                </w:tcPr>
                <w:p>
                  <w:pPr>
                    <w:adjustRightInd w:val="0"/>
                    <w:snapToGrid w:val="0"/>
                    <w:ind w:left="-63" w:leftChars="-30" w:right="-63" w:rightChars="-30"/>
                    <w:jc w:val="center"/>
                    <w:rPr>
                      <w:szCs w:val="21"/>
                    </w:rPr>
                  </w:pPr>
                </w:p>
              </w:tc>
              <w:tc>
                <w:tcPr>
                  <w:tcW w:w="1855" w:type="dxa"/>
                  <w:tcBorders>
                    <w:left w:val="single" w:color="auto" w:sz="4" w:space="0"/>
                  </w:tcBorders>
                  <w:vAlign w:val="center"/>
                </w:tcPr>
                <w:p>
                  <w:pPr>
                    <w:adjustRightInd w:val="0"/>
                    <w:snapToGrid w:val="0"/>
                    <w:jc w:val="center"/>
                    <w:rPr>
                      <w:szCs w:val="21"/>
                    </w:rPr>
                  </w:pPr>
                  <w:r>
                    <w:rPr>
                      <w:rFonts w:hint="eastAsia"/>
                      <w:szCs w:val="21"/>
                    </w:rPr>
                    <w:t>食堂油烟</w:t>
                  </w:r>
                </w:p>
              </w:tc>
              <w:tc>
                <w:tcPr>
                  <w:tcW w:w="4214" w:type="dxa"/>
                  <w:vAlign w:val="center"/>
                </w:tcPr>
                <w:p>
                  <w:pPr>
                    <w:adjustRightInd w:val="0"/>
                    <w:snapToGrid w:val="0"/>
                    <w:jc w:val="center"/>
                    <w:rPr>
                      <w:szCs w:val="21"/>
                    </w:rPr>
                  </w:pPr>
                  <w:r>
                    <w:rPr>
                      <w:rFonts w:hint="eastAsia"/>
                      <w:szCs w:val="21"/>
                    </w:rPr>
                    <w:t>1套油烟净化系统</w:t>
                  </w:r>
                </w:p>
              </w:tc>
              <w:tc>
                <w:tcPr>
                  <w:tcW w:w="1710" w:type="dxa"/>
                  <w:vAlign w:val="center"/>
                </w:tcPr>
                <w:p>
                  <w:pPr>
                    <w:tabs>
                      <w:tab w:val="left" w:leader="middleDot" w:pos="8399"/>
                    </w:tabs>
                    <w:adjustRightInd w:val="0"/>
                    <w:snapToGrid w:val="0"/>
                    <w:jc w:val="center"/>
                    <w:rPr>
                      <w:szCs w:val="21"/>
                    </w:rPr>
                  </w:pPr>
                  <w:r>
                    <w:rPr>
                      <w:rFonts w:hint="eastAsia"/>
                      <w:szCs w:val="21"/>
                    </w:rPr>
                    <w:t>0</w:t>
                  </w:r>
                  <w:r>
                    <w:rPr>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478" w:type="dxa"/>
                  <w:vMerge w:val="continue"/>
                  <w:vAlign w:val="center"/>
                </w:tcPr>
                <w:p>
                  <w:pPr>
                    <w:tabs>
                      <w:tab w:val="left" w:leader="middleDot" w:pos="8399"/>
                    </w:tabs>
                    <w:adjustRightInd w:val="0"/>
                    <w:snapToGrid w:val="0"/>
                    <w:jc w:val="center"/>
                    <w:rPr>
                      <w:szCs w:val="21"/>
                    </w:rPr>
                  </w:pPr>
                </w:p>
              </w:tc>
              <w:tc>
                <w:tcPr>
                  <w:tcW w:w="800" w:type="dxa"/>
                  <w:vMerge w:val="restart"/>
                  <w:tcBorders>
                    <w:right w:val="single" w:color="auto" w:sz="4" w:space="0"/>
                  </w:tcBorders>
                  <w:vAlign w:val="center"/>
                </w:tcPr>
                <w:p>
                  <w:pPr>
                    <w:tabs>
                      <w:tab w:val="left" w:leader="middleDot" w:pos="8399"/>
                    </w:tabs>
                    <w:adjustRightInd w:val="0"/>
                    <w:snapToGrid w:val="0"/>
                    <w:jc w:val="center"/>
                    <w:rPr>
                      <w:szCs w:val="21"/>
                    </w:rPr>
                  </w:pPr>
                  <w:r>
                    <w:rPr>
                      <w:szCs w:val="21"/>
                    </w:rPr>
                    <w:t>废水</w:t>
                  </w:r>
                </w:p>
              </w:tc>
              <w:tc>
                <w:tcPr>
                  <w:tcW w:w="1855" w:type="dxa"/>
                  <w:vMerge w:val="restart"/>
                  <w:tcBorders>
                    <w:left w:val="single" w:color="auto" w:sz="4" w:space="0"/>
                  </w:tcBorders>
                  <w:vAlign w:val="center"/>
                </w:tcPr>
                <w:p>
                  <w:pPr>
                    <w:tabs>
                      <w:tab w:val="left" w:leader="middleDot" w:pos="8399"/>
                    </w:tabs>
                    <w:adjustRightInd w:val="0"/>
                    <w:snapToGrid w:val="0"/>
                    <w:jc w:val="center"/>
                    <w:rPr>
                      <w:szCs w:val="21"/>
                    </w:rPr>
                  </w:pPr>
                  <w:r>
                    <w:rPr>
                      <w:rFonts w:hint="eastAsia"/>
                      <w:szCs w:val="21"/>
                    </w:rPr>
                    <w:t>生活污水和锅炉废水</w:t>
                  </w:r>
                </w:p>
              </w:tc>
              <w:tc>
                <w:tcPr>
                  <w:tcW w:w="4214" w:type="dxa"/>
                  <w:vAlign w:val="center"/>
                </w:tcPr>
                <w:p>
                  <w:pPr>
                    <w:tabs>
                      <w:tab w:val="left" w:leader="middleDot" w:pos="8399"/>
                    </w:tabs>
                    <w:adjustRightInd w:val="0"/>
                    <w:snapToGrid w:val="0"/>
                    <w:jc w:val="center"/>
                    <w:rPr>
                      <w:szCs w:val="21"/>
                    </w:rPr>
                  </w:pPr>
                  <w:r>
                    <w:rPr>
                      <w:rFonts w:hint="eastAsia"/>
                      <w:szCs w:val="21"/>
                    </w:rPr>
                    <w:t>依托咸阳伟杰商贸有限公司化粪池</w:t>
                  </w:r>
                </w:p>
              </w:tc>
              <w:tc>
                <w:tcPr>
                  <w:tcW w:w="1710" w:type="dxa"/>
                  <w:vAlign w:val="center"/>
                </w:tcPr>
                <w:p>
                  <w:pPr>
                    <w:tabs>
                      <w:tab w:val="left" w:leader="middleDot" w:pos="8399"/>
                    </w:tabs>
                    <w:adjustRightInd w:val="0"/>
                    <w:snapToGrid w:val="0"/>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478" w:type="dxa"/>
                  <w:vMerge w:val="continue"/>
                  <w:vAlign w:val="center"/>
                </w:tcPr>
                <w:p>
                  <w:pPr>
                    <w:tabs>
                      <w:tab w:val="left" w:leader="middleDot" w:pos="8399"/>
                    </w:tabs>
                    <w:adjustRightInd w:val="0"/>
                    <w:snapToGrid w:val="0"/>
                    <w:jc w:val="center"/>
                    <w:rPr>
                      <w:szCs w:val="21"/>
                    </w:rPr>
                  </w:pPr>
                </w:p>
              </w:tc>
              <w:tc>
                <w:tcPr>
                  <w:tcW w:w="800" w:type="dxa"/>
                  <w:vMerge w:val="continue"/>
                  <w:tcBorders>
                    <w:right w:val="single" w:color="auto" w:sz="4" w:space="0"/>
                  </w:tcBorders>
                  <w:vAlign w:val="center"/>
                </w:tcPr>
                <w:p>
                  <w:pPr>
                    <w:tabs>
                      <w:tab w:val="left" w:leader="middleDot" w:pos="8399"/>
                    </w:tabs>
                    <w:adjustRightInd w:val="0"/>
                    <w:snapToGrid w:val="0"/>
                    <w:jc w:val="center"/>
                    <w:rPr>
                      <w:szCs w:val="21"/>
                    </w:rPr>
                  </w:pPr>
                </w:p>
              </w:tc>
              <w:tc>
                <w:tcPr>
                  <w:tcW w:w="1855" w:type="dxa"/>
                  <w:vMerge w:val="continue"/>
                  <w:tcBorders>
                    <w:left w:val="single" w:color="auto" w:sz="4" w:space="0"/>
                  </w:tcBorders>
                  <w:vAlign w:val="center"/>
                </w:tcPr>
                <w:p>
                  <w:pPr>
                    <w:tabs>
                      <w:tab w:val="left" w:leader="middleDot" w:pos="8399"/>
                    </w:tabs>
                    <w:adjustRightInd w:val="0"/>
                    <w:snapToGrid w:val="0"/>
                    <w:jc w:val="center"/>
                    <w:rPr>
                      <w:szCs w:val="21"/>
                    </w:rPr>
                  </w:pPr>
                </w:p>
              </w:tc>
              <w:tc>
                <w:tcPr>
                  <w:tcW w:w="4214" w:type="dxa"/>
                  <w:vAlign w:val="center"/>
                </w:tcPr>
                <w:p>
                  <w:pPr>
                    <w:tabs>
                      <w:tab w:val="left" w:leader="middleDot" w:pos="8399"/>
                    </w:tabs>
                    <w:adjustRightInd w:val="0"/>
                    <w:snapToGrid w:val="0"/>
                    <w:jc w:val="center"/>
                    <w:rPr>
                      <w:szCs w:val="21"/>
                    </w:rPr>
                  </w:pPr>
                  <w:r>
                    <w:rPr>
                      <w:rFonts w:hint="eastAsia"/>
                      <w:szCs w:val="21"/>
                    </w:rPr>
                    <w:t>隔油池</w:t>
                  </w:r>
                </w:p>
              </w:tc>
              <w:tc>
                <w:tcPr>
                  <w:tcW w:w="1710" w:type="dxa"/>
                  <w:vAlign w:val="center"/>
                </w:tcPr>
                <w:p>
                  <w:pPr>
                    <w:tabs>
                      <w:tab w:val="left" w:leader="middleDot" w:pos="8399"/>
                    </w:tabs>
                    <w:adjustRightInd w:val="0"/>
                    <w:snapToGrid w:val="0"/>
                    <w:jc w:val="center"/>
                    <w:rPr>
                      <w:szCs w:val="21"/>
                    </w:rPr>
                  </w:pPr>
                  <w:r>
                    <w:rPr>
                      <w:rFonts w:hint="eastAsia"/>
                      <w:szCs w:val="21"/>
                    </w:rPr>
                    <w:t>0</w:t>
                  </w:r>
                  <w:r>
                    <w:rPr>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478" w:type="dxa"/>
                  <w:vMerge w:val="continue"/>
                  <w:vAlign w:val="center"/>
                </w:tcPr>
                <w:p>
                  <w:pPr>
                    <w:tabs>
                      <w:tab w:val="left" w:leader="middleDot" w:pos="8399"/>
                    </w:tabs>
                    <w:adjustRightInd w:val="0"/>
                    <w:snapToGrid w:val="0"/>
                    <w:jc w:val="center"/>
                    <w:rPr>
                      <w:szCs w:val="21"/>
                    </w:rPr>
                  </w:pPr>
                </w:p>
              </w:tc>
              <w:tc>
                <w:tcPr>
                  <w:tcW w:w="2655" w:type="dxa"/>
                  <w:gridSpan w:val="2"/>
                  <w:vAlign w:val="center"/>
                </w:tcPr>
                <w:p>
                  <w:pPr>
                    <w:tabs>
                      <w:tab w:val="left" w:leader="middleDot" w:pos="8399"/>
                    </w:tabs>
                    <w:adjustRightInd w:val="0"/>
                    <w:snapToGrid w:val="0"/>
                    <w:jc w:val="center"/>
                    <w:rPr>
                      <w:szCs w:val="21"/>
                    </w:rPr>
                  </w:pPr>
                  <w:r>
                    <w:rPr>
                      <w:szCs w:val="21"/>
                    </w:rPr>
                    <w:t>噪声</w:t>
                  </w:r>
                </w:p>
              </w:tc>
              <w:tc>
                <w:tcPr>
                  <w:tcW w:w="4214" w:type="dxa"/>
                  <w:vAlign w:val="center"/>
                </w:tcPr>
                <w:p>
                  <w:pPr>
                    <w:tabs>
                      <w:tab w:val="left" w:leader="middleDot" w:pos="8399"/>
                    </w:tabs>
                    <w:adjustRightInd w:val="0"/>
                    <w:snapToGrid w:val="0"/>
                    <w:jc w:val="center"/>
                    <w:rPr>
                      <w:szCs w:val="21"/>
                    </w:rPr>
                  </w:pPr>
                  <w:r>
                    <w:rPr>
                      <w:rFonts w:hint="eastAsia"/>
                      <w:spacing w:val="-2"/>
                      <w:szCs w:val="21"/>
                    </w:rPr>
                    <w:t>基础减震、消声、隔声，高噪风机必要时采取消声或风机房隔声</w:t>
                  </w:r>
                </w:p>
              </w:tc>
              <w:tc>
                <w:tcPr>
                  <w:tcW w:w="1710" w:type="dxa"/>
                  <w:vAlign w:val="center"/>
                </w:tcPr>
                <w:p>
                  <w:pPr>
                    <w:tabs>
                      <w:tab w:val="left" w:pos="405"/>
                    </w:tabs>
                    <w:adjustRightInd w:val="0"/>
                    <w:snapToGrid w:val="0"/>
                    <w:jc w:val="center"/>
                    <w:rPr>
                      <w:szCs w:val="21"/>
                    </w:rPr>
                  </w:pPr>
                  <w:r>
                    <w:rPr>
                      <w:szCs w:val="21"/>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478" w:type="dxa"/>
                  <w:vMerge w:val="continue"/>
                  <w:vAlign w:val="center"/>
                </w:tcPr>
                <w:p>
                  <w:pPr>
                    <w:tabs>
                      <w:tab w:val="left" w:leader="middleDot" w:pos="8399"/>
                    </w:tabs>
                    <w:adjustRightInd w:val="0"/>
                    <w:snapToGrid w:val="0"/>
                    <w:jc w:val="center"/>
                    <w:rPr>
                      <w:szCs w:val="21"/>
                    </w:rPr>
                  </w:pPr>
                </w:p>
              </w:tc>
              <w:tc>
                <w:tcPr>
                  <w:tcW w:w="800" w:type="dxa"/>
                  <w:vMerge w:val="restart"/>
                  <w:vAlign w:val="center"/>
                </w:tcPr>
                <w:p>
                  <w:pPr>
                    <w:tabs>
                      <w:tab w:val="left" w:leader="middleDot" w:pos="8399"/>
                    </w:tabs>
                    <w:adjustRightInd w:val="0"/>
                    <w:snapToGrid w:val="0"/>
                    <w:jc w:val="center"/>
                    <w:rPr>
                      <w:szCs w:val="21"/>
                    </w:rPr>
                  </w:pPr>
                  <w:r>
                    <w:rPr>
                      <w:szCs w:val="21"/>
                    </w:rPr>
                    <w:t>固废</w:t>
                  </w:r>
                </w:p>
              </w:tc>
              <w:tc>
                <w:tcPr>
                  <w:tcW w:w="1855" w:type="dxa"/>
                  <w:vAlign w:val="center"/>
                </w:tcPr>
                <w:p>
                  <w:pPr>
                    <w:tabs>
                      <w:tab w:val="left" w:leader="middleDot" w:pos="8399"/>
                    </w:tabs>
                    <w:adjustRightInd w:val="0"/>
                    <w:snapToGrid w:val="0"/>
                    <w:jc w:val="center"/>
                    <w:rPr>
                      <w:szCs w:val="21"/>
                    </w:rPr>
                  </w:pPr>
                  <w:r>
                    <w:rPr>
                      <w:szCs w:val="21"/>
                    </w:rPr>
                    <w:t>生活垃圾</w:t>
                  </w:r>
                </w:p>
              </w:tc>
              <w:tc>
                <w:tcPr>
                  <w:tcW w:w="4214" w:type="dxa"/>
                  <w:vAlign w:val="center"/>
                </w:tcPr>
                <w:p>
                  <w:pPr>
                    <w:tabs>
                      <w:tab w:val="left" w:leader="middleDot" w:pos="8399"/>
                    </w:tabs>
                    <w:adjustRightInd w:val="0"/>
                    <w:snapToGrid w:val="0"/>
                    <w:jc w:val="center"/>
                    <w:rPr>
                      <w:szCs w:val="21"/>
                    </w:rPr>
                  </w:pPr>
                  <w:r>
                    <w:rPr>
                      <w:szCs w:val="21"/>
                    </w:rPr>
                    <w:t>垃圾桶，定点收集，环卫清运</w:t>
                  </w:r>
                </w:p>
              </w:tc>
              <w:tc>
                <w:tcPr>
                  <w:tcW w:w="1710" w:type="dxa"/>
                  <w:vAlign w:val="center"/>
                </w:tcPr>
                <w:p>
                  <w:pPr>
                    <w:tabs>
                      <w:tab w:val="left" w:pos="405"/>
                    </w:tabs>
                    <w:adjustRightInd w:val="0"/>
                    <w:snapToGrid w:val="0"/>
                    <w:jc w:val="center"/>
                    <w:rPr>
                      <w:szCs w:val="21"/>
                    </w:rPr>
                  </w:pPr>
                  <w:r>
                    <w:rPr>
                      <w:rFonts w:hint="eastAsia"/>
                      <w:szCs w:val="21"/>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478" w:type="dxa"/>
                  <w:vMerge w:val="continue"/>
                  <w:vAlign w:val="center"/>
                </w:tcPr>
                <w:p>
                  <w:pPr>
                    <w:tabs>
                      <w:tab w:val="left" w:leader="middleDot" w:pos="8399"/>
                    </w:tabs>
                    <w:adjustRightInd w:val="0"/>
                    <w:snapToGrid w:val="0"/>
                    <w:jc w:val="center"/>
                    <w:rPr>
                      <w:szCs w:val="21"/>
                    </w:rPr>
                  </w:pPr>
                </w:p>
              </w:tc>
              <w:tc>
                <w:tcPr>
                  <w:tcW w:w="800" w:type="dxa"/>
                  <w:vMerge w:val="continue"/>
                  <w:vAlign w:val="center"/>
                </w:tcPr>
                <w:p>
                  <w:pPr>
                    <w:tabs>
                      <w:tab w:val="left" w:leader="middleDot" w:pos="8399"/>
                    </w:tabs>
                    <w:adjustRightInd w:val="0"/>
                    <w:snapToGrid w:val="0"/>
                    <w:jc w:val="center"/>
                    <w:rPr>
                      <w:szCs w:val="21"/>
                    </w:rPr>
                  </w:pPr>
                </w:p>
              </w:tc>
              <w:tc>
                <w:tcPr>
                  <w:tcW w:w="1855" w:type="dxa"/>
                  <w:vAlign w:val="center"/>
                </w:tcPr>
                <w:p>
                  <w:pPr>
                    <w:tabs>
                      <w:tab w:val="left" w:leader="middleDot" w:pos="8399"/>
                    </w:tabs>
                    <w:adjustRightInd w:val="0"/>
                    <w:snapToGrid w:val="0"/>
                    <w:jc w:val="center"/>
                    <w:rPr>
                      <w:szCs w:val="21"/>
                    </w:rPr>
                  </w:pPr>
                  <w:r>
                    <w:rPr>
                      <w:rFonts w:hint="eastAsia"/>
                      <w:szCs w:val="21"/>
                    </w:rPr>
                    <w:t>一般固废</w:t>
                  </w:r>
                </w:p>
              </w:tc>
              <w:tc>
                <w:tcPr>
                  <w:tcW w:w="4214" w:type="dxa"/>
                  <w:vAlign w:val="center"/>
                </w:tcPr>
                <w:p>
                  <w:pPr>
                    <w:tabs>
                      <w:tab w:val="left" w:leader="middleDot" w:pos="8399"/>
                    </w:tabs>
                    <w:adjustRightInd w:val="0"/>
                    <w:snapToGrid w:val="0"/>
                    <w:jc w:val="center"/>
                    <w:rPr>
                      <w:szCs w:val="21"/>
                    </w:rPr>
                  </w:pPr>
                  <w:r>
                    <w:rPr>
                      <w:rFonts w:hint="eastAsia"/>
                      <w:szCs w:val="21"/>
                    </w:rPr>
                    <w:t>一般固废暂存间</w:t>
                  </w:r>
                </w:p>
              </w:tc>
              <w:tc>
                <w:tcPr>
                  <w:tcW w:w="1710" w:type="dxa"/>
                  <w:vAlign w:val="center"/>
                </w:tcPr>
                <w:p>
                  <w:pPr>
                    <w:tabs>
                      <w:tab w:val="left" w:pos="405"/>
                    </w:tabs>
                    <w:adjustRightInd w:val="0"/>
                    <w:snapToGrid w:val="0"/>
                    <w:jc w:val="center"/>
                    <w:rPr>
                      <w:szCs w:val="21"/>
                    </w:rPr>
                  </w:pPr>
                  <w:r>
                    <w:rPr>
                      <w:rFonts w:hint="eastAsia"/>
                      <w:szCs w:val="21"/>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478" w:type="dxa"/>
                  <w:vMerge w:val="continue"/>
                  <w:vAlign w:val="center"/>
                </w:tcPr>
                <w:p>
                  <w:pPr>
                    <w:tabs>
                      <w:tab w:val="left" w:leader="middleDot" w:pos="8399"/>
                    </w:tabs>
                    <w:adjustRightInd w:val="0"/>
                    <w:snapToGrid w:val="0"/>
                    <w:jc w:val="center"/>
                    <w:rPr>
                      <w:szCs w:val="21"/>
                    </w:rPr>
                  </w:pPr>
                </w:p>
              </w:tc>
              <w:tc>
                <w:tcPr>
                  <w:tcW w:w="800" w:type="dxa"/>
                  <w:vMerge w:val="continue"/>
                  <w:vAlign w:val="center"/>
                </w:tcPr>
                <w:p>
                  <w:pPr>
                    <w:tabs>
                      <w:tab w:val="left" w:leader="middleDot" w:pos="8399"/>
                    </w:tabs>
                    <w:adjustRightInd w:val="0"/>
                    <w:snapToGrid w:val="0"/>
                    <w:jc w:val="center"/>
                    <w:rPr>
                      <w:szCs w:val="21"/>
                    </w:rPr>
                  </w:pPr>
                </w:p>
              </w:tc>
              <w:tc>
                <w:tcPr>
                  <w:tcW w:w="1855" w:type="dxa"/>
                  <w:vAlign w:val="center"/>
                </w:tcPr>
                <w:p>
                  <w:pPr>
                    <w:tabs>
                      <w:tab w:val="left" w:leader="middleDot" w:pos="8399"/>
                    </w:tabs>
                    <w:adjustRightInd w:val="0"/>
                    <w:snapToGrid w:val="0"/>
                    <w:jc w:val="center"/>
                    <w:rPr>
                      <w:szCs w:val="21"/>
                    </w:rPr>
                  </w:pPr>
                  <w:r>
                    <w:rPr>
                      <w:rFonts w:hint="eastAsia"/>
                      <w:szCs w:val="21"/>
                    </w:rPr>
                    <w:t>危险废物</w:t>
                  </w:r>
                </w:p>
              </w:tc>
              <w:tc>
                <w:tcPr>
                  <w:tcW w:w="4214" w:type="dxa"/>
                  <w:vAlign w:val="center"/>
                </w:tcPr>
                <w:p>
                  <w:pPr>
                    <w:tabs>
                      <w:tab w:val="left" w:leader="middleDot" w:pos="8399"/>
                    </w:tabs>
                    <w:adjustRightInd w:val="0"/>
                    <w:snapToGrid w:val="0"/>
                    <w:jc w:val="center"/>
                    <w:rPr>
                      <w:szCs w:val="21"/>
                    </w:rPr>
                  </w:pPr>
                  <w:r>
                    <w:rPr>
                      <w:rFonts w:hint="eastAsia"/>
                      <w:szCs w:val="21"/>
                    </w:rPr>
                    <w:t>危废暂存间</w:t>
                  </w:r>
                </w:p>
              </w:tc>
              <w:tc>
                <w:tcPr>
                  <w:tcW w:w="1710" w:type="dxa"/>
                  <w:vMerge w:val="restart"/>
                  <w:vAlign w:val="center"/>
                </w:tcPr>
                <w:p>
                  <w:pPr>
                    <w:tabs>
                      <w:tab w:val="left" w:pos="405"/>
                    </w:tabs>
                    <w:adjustRightInd w:val="0"/>
                    <w:snapToGrid w:val="0"/>
                    <w:jc w:val="center"/>
                    <w:rPr>
                      <w:szCs w:val="21"/>
                    </w:rPr>
                  </w:pPr>
                  <w:r>
                    <w:rPr>
                      <w:rFonts w:hint="eastAsia"/>
                      <w:szCs w:val="21"/>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133" w:type="dxa"/>
                  <w:gridSpan w:val="3"/>
                  <w:vAlign w:val="center"/>
                </w:tcPr>
                <w:p>
                  <w:pPr>
                    <w:tabs>
                      <w:tab w:val="left" w:leader="middleDot" w:pos="8399"/>
                    </w:tabs>
                    <w:adjustRightInd w:val="0"/>
                    <w:snapToGrid w:val="0"/>
                    <w:jc w:val="center"/>
                    <w:rPr>
                      <w:szCs w:val="21"/>
                    </w:rPr>
                  </w:pPr>
                  <w:r>
                    <w:rPr>
                      <w:szCs w:val="21"/>
                    </w:rPr>
                    <w:t>合计</w:t>
                  </w:r>
                </w:p>
              </w:tc>
              <w:tc>
                <w:tcPr>
                  <w:tcW w:w="4214" w:type="dxa"/>
                  <w:vAlign w:val="center"/>
                </w:tcPr>
                <w:p>
                  <w:pPr>
                    <w:tabs>
                      <w:tab w:val="left" w:leader="middleDot" w:pos="8399"/>
                    </w:tabs>
                    <w:adjustRightInd w:val="0"/>
                    <w:snapToGrid w:val="0"/>
                    <w:jc w:val="center"/>
                    <w:rPr>
                      <w:szCs w:val="21"/>
                    </w:rPr>
                  </w:pPr>
                  <w:r>
                    <w:rPr>
                      <w:szCs w:val="21"/>
                    </w:rPr>
                    <w:t>环保投资</w:t>
                  </w:r>
                </w:p>
              </w:tc>
              <w:tc>
                <w:tcPr>
                  <w:tcW w:w="1710" w:type="dxa"/>
                  <w:vAlign w:val="center"/>
                </w:tcPr>
                <w:p>
                  <w:pPr>
                    <w:tabs>
                      <w:tab w:val="left" w:leader="middleDot" w:pos="8399"/>
                    </w:tabs>
                    <w:adjustRightInd w:val="0"/>
                    <w:snapToGrid w:val="0"/>
                    <w:jc w:val="center"/>
                    <w:rPr>
                      <w:szCs w:val="21"/>
                    </w:rPr>
                  </w:pPr>
                  <w:r>
                    <w:rPr>
                      <w:rFonts w:hint="eastAsia"/>
                      <w:szCs w:val="21"/>
                    </w:rPr>
                    <w:t>2</w:t>
                  </w:r>
                  <w:r>
                    <w:rPr>
                      <w:szCs w:val="21"/>
                    </w:rPr>
                    <w:t>7</w:t>
                  </w:r>
                  <w:r>
                    <w:rPr>
                      <w:rFonts w:hint="eastAsia"/>
                      <w:szCs w:val="21"/>
                    </w:rPr>
                    <w:t>.0</w:t>
                  </w:r>
                </w:p>
              </w:tc>
            </w:tr>
          </w:tbl>
          <w:p>
            <w:pPr>
              <w:spacing w:line="360" w:lineRule="auto"/>
              <w:ind w:firstLine="482" w:firstLineChars="200"/>
              <w:rPr>
                <w:b/>
                <w:bCs/>
                <w:kern w:val="0"/>
                <w:sz w:val="24"/>
              </w:rPr>
            </w:pPr>
            <w:r>
              <w:rPr>
                <w:rFonts w:hint="eastAsia"/>
                <w:b/>
                <w:bCs/>
                <w:kern w:val="0"/>
                <w:sz w:val="24"/>
              </w:rPr>
              <w:t>8、环境管理</w:t>
            </w:r>
          </w:p>
          <w:p>
            <w:pPr>
              <w:spacing w:line="360" w:lineRule="auto"/>
              <w:ind w:firstLine="480" w:firstLineChars="200"/>
              <w:rPr>
                <w:kern w:val="0"/>
                <w:sz w:val="24"/>
              </w:rPr>
            </w:pPr>
            <w:r>
              <w:rPr>
                <w:rFonts w:hint="eastAsia"/>
                <w:kern w:val="0"/>
                <w:sz w:val="24"/>
              </w:rPr>
              <w:t>环境管理与监测计划的实施对环境污染的预防提供技术、方法、资源上的保障，对管理工作中的偏差及时进行更正，使其更具有有效性和针对性，以达到预防污染保护环境的目的。</w:t>
            </w:r>
          </w:p>
          <w:p>
            <w:pPr>
              <w:spacing w:line="360" w:lineRule="auto"/>
              <w:ind w:firstLine="480" w:firstLineChars="200"/>
              <w:rPr>
                <w:kern w:val="0"/>
                <w:sz w:val="24"/>
              </w:rPr>
            </w:pPr>
            <w:r>
              <w:rPr>
                <w:kern w:val="0"/>
                <w:sz w:val="24"/>
              </w:rPr>
              <w:t>环境管理主要内容建议见表7</w:t>
            </w:r>
            <w:r>
              <w:rPr>
                <w:rFonts w:hint="eastAsia"/>
                <w:kern w:val="0"/>
                <w:sz w:val="24"/>
              </w:rPr>
              <w:t>-</w:t>
            </w:r>
            <w:r>
              <w:rPr>
                <w:kern w:val="0"/>
                <w:sz w:val="24"/>
              </w:rPr>
              <w:t>27。</w:t>
            </w:r>
          </w:p>
          <w:p>
            <w:pPr>
              <w:spacing w:line="360" w:lineRule="auto"/>
              <w:jc w:val="center"/>
              <w:rPr>
                <w:b/>
                <w:kern w:val="0"/>
                <w:sz w:val="24"/>
              </w:rPr>
            </w:pPr>
            <w:r>
              <w:rPr>
                <w:b/>
                <w:kern w:val="0"/>
                <w:sz w:val="24"/>
              </w:rPr>
              <w:t>表7</w:t>
            </w:r>
            <w:r>
              <w:rPr>
                <w:rFonts w:hint="eastAsia"/>
                <w:b/>
                <w:kern w:val="0"/>
                <w:sz w:val="24"/>
              </w:rPr>
              <w:t>-</w:t>
            </w:r>
            <w:r>
              <w:rPr>
                <w:b/>
                <w:kern w:val="0"/>
                <w:sz w:val="24"/>
              </w:rPr>
              <w:t>27</w:t>
            </w:r>
            <w:r>
              <w:rPr>
                <w:rFonts w:hint="eastAsia"/>
                <w:b/>
                <w:kern w:val="0"/>
                <w:sz w:val="24"/>
              </w:rPr>
              <w:t xml:space="preserve"> </w:t>
            </w:r>
            <w:r>
              <w:rPr>
                <w:b/>
                <w:kern w:val="0"/>
                <w:sz w:val="24"/>
              </w:rPr>
              <w:t xml:space="preserve">  项目环境管理主要内容建议表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6"/>
              <w:gridCol w:w="1919"/>
              <w:gridCol w:w="64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357" w:type="pct"/>
                  <w:vMerge w:val="restart"/>
                  <w:vAlign w:val="center"/>
                </w:tcPr>
                <w:p>
                  <w:pPr>
                    <w:adjustRightInd w:val="0"/>
                    <w:snapToGrid w:val="0"/>
                    <w:jc w:val="center"/>
                    <w:rPr>
                      <w:szCs w:val="21"/>
                    </w:rPr>
                  </w:pPr>
                  <w:r>
                    <w:rPr>
                      <w:szCs w:val="21"/>
                    </w:rPr>
                    <w:t>环境管理内容</w:t>
                  </w:r>
                </w:p>
              </w:tc>
              <w:tc>
                <w:tcPr>
                  <w:tcW w:w="1059" w:type="pct"/>
                  <w:vMerge w:val="restart"/>
                  <w:vAlign w:val="center"/>
                </w:tcPr>
                <w:p>
                  <w:pPr>
                    <w:adjustRightInd w:val="0"/>
                    <w:snapToGrid w:val="0"/>
                    <w:jc w:val="center"/>
                    <w:rPr>
                      <w:szCs w:val="21"/>
                    </w:rPr>
                  </w:pPr>
                  <w:r>
                    <w:rPr>
                      <w:szCs w:val="21"/>
                    </w:rPr>
                    <w:t>环境计划管理</w:t>
                  </w:r>
                </w:p>
              </w:tc>
              <w:tc>
                <w:tcPr>
                  <w:tcW w:w="3583" w:type="pct"/>
                  <w:vAlign w:val="center"/>
                </w:tcPr>
                <w:p>
                  <w:pPr>
                    <w:adjustRightInd w:val="0"/>
                    <w:snapToGrid w:val="0"/>
                    <w:rPr>
                      <w:szCs w:val="21"/>
                    </w:rPr>
                  </w:pPr>
                  <w:r>
                    <w:rPr>
                      <w:szCs w:val="21"/>
                    </w:rPr>
                    <w:t>制定企业环境保护计划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357" w:type="pct"/>
                  <w:vMerge w:val="continue"/>
                  <w:vAlign w:val="center"/>
                </w:tcPr>
                <w:p>
                  <w:pPr>
                    <w:adjustRightInd w:val="0"/>
                    <w:snapToGrid w:val="0"/>
                    <w:jc w:val="center"/>
                    <w:rPr>
                      <w:szCs w:val="21"/>
                    </w:rPr>
                  </w:pPr>
                </w:p>
              </w:tc>
              <w:tc>
                <w:tcPr>
                  <w:tcW w:w="1059" w:type="pct"/>
                  <w:vMerge w:val="continue"/>
                  <w:vAlign w:val="center"/>
                </w:tcPr>
                <w:p>
                  <w:pPr>
                    <w:adjustRightInd w:val="0"/>
                    <w:snapToGrid w:val="0"/>
                    <w:jc w:val="center"/>
                    <w:rPr>
                      <w:szCs w:val="21"/>
                    </w:rPr>
                  </w:pPr>
                </w:p>
              </w:tc>
              <w:tc>
                <w:tcPr>
                  <w:tcW w:w="3583" w:type="pct"/>
                  <w:vAlign w:val="center"/>
                </w:tcPr>
                <w:p>
                  <w:pPr>
                    <w:adjustRightInd w:val="0"/>
                    <w:snapToGrid w:val="0"/>
                    <w:rPr>
                      <w:szCs w:val="21"/>
                    </w:rPr>
                  </w:pPr>
                  <w:r>
                    <w:rPr>
                      <w:szCs w:val="21"/>
                    </w:rPr>
                    <w:t>制定项目环境管理计划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357" w:type="pct"/>
                  <w:vMerge w:val="continue"/>
                  <w:vAlign w:val="center"/>
                </w:tcPr>
                <w:p>
                  <w:pPr>
                    <w:adjustRightInd w:val="0"/>
                    <w:snapToGrid w:val="0"/>
                    <w:jc w:val="center"/>
                    <w:rPr>
                      <w:szCs w:val="21"/>
                    </w:rPr>
                  </w:pPr>
                </w:p>
              </w:tc>
              <w:tc>
                <w:tcPr>
                  <w:tcW w:w="1059" w:type="pct"/>
                  <w:vMerge w:val="restart"/>
                  <w:vAlign w:val="center"/>
                </w:tcPr>
                <w:p>
                  <w:pPr>
                    <w:adjustRightInd w:val="0"/>
                    <w:snapToGrid w:val="0"/>
                    <w:jc w:val="center"/>
                    <w:rPr>
                      <w:szCs w:val="21"/>
                    </w:rPr>
                  </w:pPr>
                  <w:r>
                    <w:rPr>
                      <w:szCs w:val="21"/>
                    </w:rPr>
                    <w:t>环境质量管理</w:t>
                  </w:r>
                </w:p>
              </w:tc>
              <w:tc>
                <w:tcPr>
                  <w:tcW w:w="3583" w:type="pct"/>
                  <w:vAlign w:val="center"/>
                </w:tcPr>
                <w:p>
                  <w:pPr>
                    <w:adjustRightInd w:val="0"/>
                    <w:snapToGrid w:val="0"/>
                    <w:rPr>
                      <w:szCs w:val="21"/>
                    </w:rPr>
                  </w:pPr>
                  <w:r>
                    <w:rPr>
                      <w:szCs w:val="21"/>
                    </w:rPr>
                    <w:t>进行企业污染源和环境质量状况的调查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357" w:type="pct"/>
                  <w:vMerge w:val="continue"/>
                  <w:vAlign w:val="center"/>
                </w:tcPr>
                <w:p>
                  <w:pPr>
                    <w:adjustRightInd w:val="0"/>
                    <w:snapToGrid w:val="0"/>
                    <w:jc w:val="center"/>
                    <w:rPr>
                      <w:szCs w:val="21"/>
                    </w:rPr>
                  </w:pPr>
                </w:p>
              </w:tc>
              <w:tc>
                <w:tcPr>
                  <w:tcW w:w="1059" w:type="pct"/>
                  <w:vMerge w:val="continue"/>
                  <w:vAlign w:val="center"/>
                </w:tcPr>
                <w:p>
                  <w:pPr>
                    <w:adjustRightInd w:val="0"/>
                    <w:snapToGrid w:val="0"/>
                    <w:jc w:val="center"/>
                    <w:rPr>
                      <w:szCs w:val="21"/>
                    </w:rPr>
                  </w:pPr>
                </w:p>
              </w:tc>
              <w:tc>
                <w:tcPr>
                  <w:tcW w:w="3583" w:type="pct"/>
                  <w:vAlign w:val="center"/>
                </w:tcPr>
                <w:p>
                  <w:pPr>
                    <w:adjustRightInd w:val="0"/>
                    <w:snapToGrid w:val="0"/>
                    <w:rPr>
                      <w:szCs w:val="21"/>
                    </w:rPr>
                  </w:pPr>
                  <w:r>
                    <w:rPr>
                      <w:szCs w:val="21"/>
                    </w:rPr>
                    <w:t>建立环境监测制度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357" w:type="pct"/>
                  <w:vMerge w:val="continue"/>
                  <w:vAlign w:val="center"/>
                </w:tcPr>
                <w:p>
                  <w:pPr>
                    <w:adjustRightInd w:val="0"/>
                    <w:snapToGrid w:val="0"/>
                    <w:jc w:val="center"/>
                    <w:rPr>
                      <w:szCs w:val="21"/>
                    </w:rPr>
                  </w:pPr>
                </w:p>
              </w:tc>
              <w:tc>
                <w:tcPr>
                  <w:tcW w:w="1059" w:type="pct"/>
                  <w:vMerge w:val="continue"/>
                  <w:vAlign w:val="center"/>
                </w:tcPr>
                <w:p>
                  <w:pPr>
                    <w:adjustRightInd w:val="0"/>
                    <w:snapToGrid w:val="0"/>
                    <w:jc w:val="center"/>
                    <w:rPr>
                      <w:szCs w:val="21"/>
                    </w:rPr>
                  </w:pPr>
                </w:p>
              </w:tc>
              <w:tc>
                <w:tcPr>
                  <w:tcW w:w="3583" w:type="pct"/>
                  <w:vAlign w:val="center"/>
                </w:tcPr>
                <w:p>
                  <w:pPr>
                    <w:adjustRightInd w:val="0"/>
                    <w:snapToGrid w:val="0"/>
                    <w:rPr>
                      <w:szCs w:val="21"/>
                    </w:rPr>
                  </w:pPr>
                  <w:r>
                    <w:rPr>
                      <w:szCs w:val="21"/>
                    </w:rPr>
                    <w:t>处理污染事故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357" w:type="pct"/>
                  <w:vMerge w:val="continue"/>
                  <w:vAlign w:val="center"/>
                </w:tcPr>
                <w:p>
                  <w:pPr>
                    <w:adjustRightInd w:val="0"/>
                    <w:snapToGrid w:val="0"/>
                    <w:jc w:val="center"/>
                    <w:rPr>
                      <w:szCs w:val="21"/>
                    </w:rPr>
                  </w:pPr>
                </w:p>
              </w:tc>
              <w:tc>
                <w:tcPr>
                  <w:tcW w:w="1059" w:type="pct"/>
                  <w:vMerge w:val="restart"/>
                  <w:vAlign w:val="center"/>
                </w:tcPr>
                <w:p>
                  <w:pPr>
                    <w:adjustRightInd w:val="0"/>
                    <w:snapToGrid w:val="0"/>
                    <w:jc w:val="center"/>
                    <w:rPr>
                      <w:szCs w:val="21"/>
                    </w:rPr>
                  </w:pPr>
                  <w:r>
                    <w:rPr>
                      <w:szCs w:val="21"/>
                    </w:rPr>
                    <w:t>环境技术管理</w:t>
                  </w:r>
                </w:p>
              </w:tc>
              <w:tc>
                <w:tcPr>
                  <w:tcW w:w="3583" w:type="pct"/>
                  <w:vAlign w:val="center"/>
                </w:tcPr>
                <w:p>
                  <w:pPr>
                    <w:adjustRightInd w:val="0"/>
                    <w:snapToGrid w:val="0"/>
                    <w:rPr>
                      <w:szCs w:val="21"/>
                    </w:rPr>
                  </w:pPr>
                  <w:r>
                    <w:rPr>
                      <w:szCs w:val="21"/>
                    </w:rPr>
                    <w:t>组织制定环境保护技术操作规程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357" w:type="pct"/>
                  <w:vMerge w:val="continue"/>
                  <w:vAlign w:val="center"/>
                </w:tcPr>
                <w:p>
                  <w:pPr>
                    <w:adjustRightInd w:val="0"/>
                    <w:snapToGrid w:val="0"/>
                    <w:jc w:val="center"/>
                    <w:rPr>
                      <w:szCs w:val="21"/>
                    </w:rPr>
                  </w:pPr>
                </w:p>
              </w:tc>
              <w:tc>
                <w:tcPr>
                  <w:tcW w:w="1059" w:type="pct"/>
                  <w:vMerge w:val="continue"/>
                  <w:vAlign w:val="center"/>
                </w:tcPr>
                <w:p>
                  <w:pPr>
                    <w:adjustRightInd w:val="0"/>
                    <w:snapToGrid w:val="0"/>
                    <w:jc w:val="center"/>
                    <w:rPr>
                      <w:szCs w:val="21"/>
                    </w:rPr>
                  </w:pPr>
                </w:p>
              </w:tc>
              <w:tc>
                <w:tcPr>
                  <w:tcW w:w="3583" w:type="pct"/>
                  <w:vAlign w:val="center"/>
                </w:tcPr>
                <w:p>
                  <w:pPr>
                    <w:adjustRightInd w:val="0"/>
                    <w:snapToGrid w:val="0"/>
                    <w:rPr>
                      <w:szCs w:val="21"/>
                    </w:rPr>
                  </w:pPr>
                  <w:r>
                    <w:rPr>
                      <w:szCs w:val="21"/>
                    </w:rPr>
                    <w:t>开展综合利用，减少三废排放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357" w:type="pct"/>
                  <w:vMerge w:val="continue"/>
                  <w:vAlign w:val="center"/>
                </w:tcPr>
                <w:p>
                  <w:pPr>
                    <w:adjustRightInd w:val="0"/>
                    <w:snapToGrid w:val="0"/>
                    <w:jc w:val="center"/>
                    <w:rPr>
                      <w:szCs w:val="21"/>
                    </w:rPr>
                  </w:pPr>
                </w:p>
              </w:tc>
              <w:tc>
                <w:tcPr>
                  <w:tcW w:w="1059" w:type="pct"/>
                  <w:vMerge w:val="continue"/>
                  <w:vAlign w:val="center"/>
                </w:tcPr>
                <w:p>
                  <w:pPr>
                    <w:adjustRightInd w:val="0"/>
                    <w:snapToGrid w:val="0"/>
                    <w:jc w:val="center"/>
                    <w:rPr>
                      <w:szCs w:val="21"/>
                    </w:rPr>
                  </w:pPr>
                </w:p>
              </w:tc>
              <w:tc>
                <w:tcPr>
                  <w:tcW w:w="3583" w:type="pct"/>
                  <w:vAlign w:val="center"/>
                </w:tcPr>
                <w:p>
                  <w:pPr>
                    <w:adjustRightInd w:val="0"/>
                    <w:snapToGrid w:val="0"/>
                    <w:rPr>
                      <w:szCs w:val="21"/>
                    </w:rPr>
                  </w:pPr>
                  <w:r>
                    <w:rPr>
                      <w:szCs w:val="21"/>
                    </w:rPr>
                    <w:t>参与编制、组织和实施清洁生产审核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357" w:type="pct"/>
                  <w:vMerge w:val="continue"/>
                  <w:vAlign w:val="center"/>
                </w:tcPr>
                <w:p>
                  <w:pPr>
                    <w:adjustRightInd w:val="0"/>
                    <w:snapToGrid w:val="0"/>
                    <w:jc w:val="center"/>
                    <w:rPr>
                      <w:szCs w:val="21"/>
                    </w:rPr>
                  </w:pPr>
                </w:p>
              </w:tc>
              <w:tc>
                <w:tcPr>
                  <w:tcW w:w="1059" w:type="pct"/>
                  <w:vMerge w:val="restart"/>
                  <w:vAlign w:val="center"/>
                </w:tcPr>
                <w:p>
                  <w:pPr>
                    <w:adjustRightInd w:val="0"/>
                    <w:snapToGrid w:val="0"/>
                    <w:jc w:val="center"/>
                    <w:rPr>
                      <w:szCs w:val="21"/>
                    </w:rPr>
                  </w:pPr>
                  <w:r>
                    <w:rPr>
                      <w:szCs w:val="21"/>
                    </w:rPr>
                    <w:t>环保设备管理</w:t>
                  </w:r>
                </w:p>
              </w:tc>
              <w:tc>
                <w:tcPr>
                  <w:tcW w:w="3583" w:type="pct"/>
                  <w:vAlign w:val="center"/>
                </w:tcPr>
                <w:p>
                  <w:pPr>
                    <w:adjustRightInd w:val="0"/>
                    <w:snapToGrid w:val="0"/>
                    <w:rPr>
                      <w:szCs w:val="21"/>
                    </w:rPr>
                  </w:pPr>
                  <w:r>
                    <w:rPr>
                      <w:szCs w:val="21"/>
                    </w:rPr>
                    <w:t>建立健全环保设备管理制度和管理措施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357" w:type="pct"/>
                  <w:vMerge w:val="continue"/>
                  <w:vAlign w:val="center"/>
                </w:tcPr>
                <w:p>
                  <w:pPr>
                    <w:adjustRightInd w:val="0"/>
                    <w:snapToGrid w:val="0"/>
                    <w:jc w:val="center"/>
                    <w:rPr>
                      <w:szCs w:val="21"/>
                    </w:rPr>
                  </w:pPr>
                </w:p>
              </w:tc>
              <w:tc>
                <w:tcPr>
                  <w:tcW w:w="1059" w:type="pct"/>
                  <w:vMerge w:val="continue"/>
                  <w:vAlign w:val="center"/>
                </w:tcPr>
                <w:p>
                  <w:pPr>
                    <w:adjustRightInd w:val="0"/>
                    <w:snapToGrid w:val="0"/>
                    <w:jc w:val="center"/>
                    <w:rPr>
                      <w:szCs w:val="21"/>
                    </w:rPr>
                  </w:pPr>
                </w:p>
              </w:tc>
              <w:tc>
                <w:tcPr>
                  <w:tcW w:w="3583" w:type="pct"/>
                  <w:vAlign w:val="center"/>
                </w:tcPr>
                <w:p>
                  <w:pPr>
                    <w:adjustRightInd w:val="0"/>
                    <w:snapToGrid w:val="0"/>
                    <w:rPr>
                      <w:szCs w:val="21"/>
                    </w:rPr>
                  </w:pPr>
                  <w:r>
                    <w:rPr>
                      <w:szCs w:val="21"/>
                    </w:rPr>
                    <w:t>对环保设备定期检查、保养和维护，确保其正常运行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357" w:type="pct"/>
                  <w:vMerge w:val="continue"/>
                  <w:vAlign w:val="center"/>
                </w:tcPr>
                <w:p>
                  <w:pPr>
                    <w:adjustRightInd w:val="0"/>
                    <w:snapToGrid w:val="0"/>
                    <w:jc w:val="center"/>
                    <w:rPr>
                      <w:szCs w:val="21"/>
                    </w:rPr>
                  </w:pPr>
                </w:p>
              </w:tc>
              <w:tc>
                <w:tcPr>
                  <w:tcW w:w="1059" w:type="pct"/>
                  <w:vMerge w:val="restart"/>
                  <w:vAlign w:val="center"/>
                </w:tcPr>
                <w:p>
                  <w:pPr>
                    <w:adjustRightInd w:val="0"/>
                    <w:snapToGrid w:val="0"/>
                    <w:jc w:val="center"/>
                    <w:rPr>
                      <w:szCs w:val="21"/>
                    </w:rPr>
                  </w:pPr>
                  <w:r>
                    <w:rPr>
                      <w:szCs w:val="21"/>
                    </w:rPr>
                    <w:t>环保宣传教育</w:t>
                  </w:r>
                </w:p>
              </w:tc>
              <w:tc>
                <w:tcPr>
                  <w:tcW w:w="3583" w:type="pct"/>
                  <w:vAlign w:val="center"/>
                </w:tcPr>
                <w:p>
                  <w:pPr>
                    <w:adjustRightInd w:val="0"/>
                    <w:snapToGrid w:val="0"/>
                    <w:rPr>
                      <w:szCs w:val="21"/>
                    </w:rPr>
                  </w:pPr>
                  <w:r>
                    <w:rPr>
                      <w:szCs w:val="21"/>
                    </w:rPr>
                    <w:t>宣传环保法律、法规和方针政策，严格执行环保法规和标准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357" w:type="pct"/>
                  <w:vMerge w:val="continue"/>
                  <w:vAlign w:val="center"/>
                </w:tcPr>
                <w:p>
                  <w:pPr>
                    <w:adjustRightInd w:val="0"/>
                    <w:snapToGrid w:val="0"/>
                    <w:jc w:val="center"/>
                    <w:rPr>
                      <w:szCs w:val="21"/>
                    </w:rPr>
                  </w:pPr>
                </w:p>
              </w:tc>
              <w:tc>
                <w:tcPr>
                  <w:tcW w:w="1059" w:type="pct"/>
                  <w:vMerge w:val="continue"/>
                  <w:vAlign w:val="center"/>
                </w:tcPr>
                <w:p>
                  <w:pPr>
                    <w:adjustRightInd w:val="0"/>
                    <w:snapToGrid w:val="0"/>
                    <w:jc w:val="center"/>
                    <w:rPr>
                      <w:szCs w:val="21"/>
                    </w:rPr>
                  </w:pPr>
                </w:p>
              </w:tc>
              <w:tc>
                <w:tcPr>
                  <w:tcW w:w="3583" w:type="pct"/>
                  <w:vAlign w:val="center"/>
                </w:tcPr>
                <w:p>
                  <w:pPr>
                    <w:adjustRightInd w:val="0"/>
                    <w:snapToGrid w:val="0"/>
                    <w:rPr>
                      <w:szCs w:val="21"/>
                    </w:rPr>
                  </w:pPr>
                  <w:r>
                    <w:rPr>
                      <w:szCs w:val="21"/>
                    </w:rPr>
                    <w:t>组织企业环保专业技术培训，提高人员业务水平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357" w:type="pct"/>
                  <w:vMerge w:val="continue"/>
                  <w:vAlign w:val="center"/>
                </w:tcPr>
                <w:p>
                  <w:pPr>
                    <w:adjustRightInd w:val="0"/>
                    <w:snapToGrid w:val="0"/>
                    <w:jc w:val="center"/>
                    <w:rPr>
                      <w:szCs w:val="21"/>
                    </w:rPr>
                  </w:pPr>
                </w:p>
              </w:tc>
              <w:tc>
                <w:tcPr>
                  <w:tcW w:w="1059" w:type="pct"/>
                  <w:vMerge w:val="continue"/>
                  <w:vAlign w:val="center"/>
                </w:tcPr>
                <w:p>
                  <w:pPr>
                    <w:adjustRightInd w:val="0"/>
                    <w:snapToGrid w:val="0"/>
                    <w:jc w:val="center"/>
                    <w:rPr>
                      <w:szCs w:val="21"/>
                    </w:rPr>
                  </w:pPr>
                </w:p>
              </w:tc>
              <w:tc>
                <w:tcPr>
                  <w:tcW w:w="3583" w:type="pct"/>
                  <w:vAlign w:val="center"/>
                </w:tcPr>
                <w:p>
                  <w:pPr>
                    <w:adjustRightInd w:val="0"/>
                    <w:snapToGrid w:val="0"/>
                    <w:rPr>
                      <w:szCs w:val="21"/>
                    </w:rPr>
                  </w:pPr>
                  <w:r>
                    <w:rPr>
                      <w:szCs w:val="21"/>
                    </w:rPr>
                    <w:t>提高企业职工的环保意识</w:t>
                  </w:r>
                </w:p>
              </w:tc>
            </w:tr>
          </w:tbl>
          <w:p>
            <w:pPr>
              <w:spacing w:line="360" w:lineRule="auto"/>
              <w:ind w:firstLine="482" w:firstLineChars="200"/>
              <w:rPr>
                <w:b/>
                <w:bCs/>
                <w:kern w:val="0"/>
                <w:sz w:val="24"/>
              </w:rPr>
            </w:pPr>
            <w:r>
              <w:rPr>
                <w:b/>
                <w:bCs/>
                <w:kern w:val="0"/>
                <w:sz w:val="24"/>
              </w:rPr>
              <w:t>9</w:t>
            </w:r>
            <w:r>
              <w:rPr>
                <w:rFonts w:hint="eastAsia"/>
                <w:b/>
                <w:bCs/>
                <w:kern w:val="0"/>
                <w:sz w:val="24"/>
              </w:rPr>
              <w:t>、环境监测</w:t>
            </w:r>
          </w:p>
          <w:p>
            <w:pPr>
              <w:pStyle w:val="75"/>
              <w:spacing w:line="360" w:lineRule="auto"/>
              <w:ind w:firstLine="480" w:firstLineChars="200"/>
              <w:rPr>
                <w:kern w:val="0"/>
                <w:sz w:val="24"/>
              </w:rPr>
            </w:pPr>
            <w:r>
              <w:rPr>
                <w:rFonts w:hint="eastAsia"/>
                <w:kern w:val="0"/>
                <w:sz w:val="24"/>
                <w:szCs w:val="24"/>
              </w:rPr>
              <w:t>环境监测在环境监督管理中占有主要地位，通过制定并实施环境监测计划，可有效监督各项环保措施的落实情况，及时发现存在问题，以便进一步修正改进环保工程及措施，更好的贯彻执行有关环保法律法规和环保标准，确实保护好环境资源和环境质量，实现经济建设和环境保护协调发展。根据《排污单位自行监测技术指南 总则》（HJ819-2017），</w:t>
            </w:r>
            <w:r>
              <w:rPr>
                <w:rFonts w:hint="eastAsia"/>
                <w:kern w:val="0"/>
                <w:sz w:val="24"/>
              </w:rPr>
              <w:t>环境监测计划见表</w:t>
            </w:r>
            <w:r>
              <w:rPr>
                <w:kern w:val="0"/>
                <w:sz w:val="24"/>
              </w:rPr>
              <w:t>7-28</w:t>
            </w:r>
            <w:r>
              <w:rPr>
                <w:rFonts w:hint="eastAsia"/>
                <w:kern w:val="0"/>
                <w:sz w:val="24"/>
              </w:rPr>
              <w:t>。</w:t>
            </w:r>
          </w:p>
          <w:p>
            <w:pPr>
              <w:spacing w:line="360" w:lineRule="auto"/>
              <w:jc w:val="center"/>
              <w:rPr>
                <w:b/>
                <w:color w:val="00B0F0"/>
                <w:kern w:val="0"/>
                <w:sz w:val="24"/>
              </w:rPr>
            </w:pPr>
            <w:r>
              <w:rPr>
                <w:rFonts w:hint="eastAsia"/>
                <w:b/>
                <w:color w:val="00B0F0"/>
                <w:kern w:val="0"/>
                <w:sz w:val="24"/>
              </w:rPr>
              <w:t>表</w:t>
            </w:r>
            <w:r>
              <w:rPr>
                <w:b/>
                <w:color w:val="00B0F0"/>
                <w:kern w:val="0"/>
                <w:sz w:val="24"/>
              </w:rPr>
              <w:t xml:space="preserve">7-28   </w:t>
            </w:r>
            <w:r>
              <w:rPr>
                <w:rFonts w:hint="eastAsia"/>
                <w:b/>
                <w:color w:val="00B0F0"/>
                <w:kern w:val="0"/>
                <w:sz w:val="24"/>
              </w:rPr>
              <w:t>运营期环境监测计划</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47"/>
              <w:gridCol w:w="2239"/>
              <w:gridCol w:w="3838"/>
              <w:gridCol w:w="23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57" w:type="pct"/>
                  <w:tcBorders>
                    <w:top w:val="single" w:color="auto" w:sz="12" w:space="0"/>
                    <w:left w:val="single" w:color="auto" w:sz="12" w:space="0"/>
                    <w:bottom w:val="single" w:color="auto" w:sz="6" w:space="0"/>
                    <w:right w:val="single" w:color="auto" w:sz="6" w:space="0"/>
                  </w:tcBorders>
                  <w:vAlign w:val="center"/>
                </w:tcPr>
                <w:p>
                  <w:pPr>
                    <w:adjustRightInd w:val="0"/>
                    <w:snapToGrid w:val="0"/>
                    <w:jc w:val="center"/>
                    <w:rPr>
                      <w:color w:val="00B0F0"/>
                      <w:kern w:val="24"/>
                      <w:szCs w:val="21"/>
                    </w:rPr>
                  </w:pPr>
                  <w:r>
                    <w:rPr>
                      <w:rFonts w:hint="eastAsia" w:hAnsi="宋体"/>
                      <w:color w:val="00B0F0"/>
                      <w:kern w:val="24"/>
                      <w:szCs w:val="21"/>
                    </w:rPr>
                    <w:t>类别</w:t>
                  </w:r>
                </w:p>
              </w:tc>
              <w:tc>
                <w:tcPr>
                  <w:tcW w:w="1236" w:type="pct"/>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color w:val="00B0F0"/>
                      <w:kern w:val="24"/>
                      <w:szCs w:val="21"/>
                    </w:rPr>
                  </w:pPr>
                  <w:r>
                    <w:rPr>
                      <w:rFonts w:hint="eastAsia" w:hAnsi="宋体"/>
                      <w:color w:val="00B0F0"/>
                      <w:kern w:val="24"/>
                      <w:szCs w:val="21"/>
                    </w:rPr>
                    <w:t>监测点</w:t>
                  </w:r>
                </w:p>
              </w:tc>
              <w:tc>
                <w:tcPr>
                  <w:tcW w:w="2119" w:type="pct"/>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color w:val="00B0F0"/>
                      <w:kern w:val="24"/>
                      <w:szCs w:val="21"/>
                    </w:rPr>
                  </w:pPr>
                  <w:r>
                    <w:rPr>
                      <w:rFonts w:hint="eastAsia" w:hAnsi="宋体"/>
                      <w:color w:val="00B0F0"/>
                      <w:kern w:val="24"/>
                      <w:szCs w:val="21"/>
                    </w:rPr>
                    <w:t>监测项目</w:t>
                  </w:r>
                </w:p>
              </w:tc>
              <w:tc>
                <w:tcPr>
                  <w:tcW w:w="1288" w:type="pct"/>
                  <w:tcBorders>
                    <w:top w:val="single" w:color="auto" w:sz="12" w:space="0"/>
                    <w:left w:val="single" w:color="auto" w:sz="6" w:space="0"/>
                    <w:bottom w:val="single" w:color="auto" w:sz="6" w:space="0"/>
                    <w:right w:val="single" w:color="auto" w:sz="12" w:space="0"/>
                  </w:tcBorders>
                  <w:vAlign w:val="center"/>
                </w:tcPr>
                <w:p>
                  <w:pPr>
                    <w:adjustRightInd w:val="0"/>
                    <w:snapToGrid w:val="0"/>
                    <w:jc w:val="center"/>
                    <w:rPr>
                      <w:color w:val="00B0F0"/>
                      <w:kern w:val="24"/>
                      <w:szCs w:val="21"/>
                    </w:rPr>
                  </w:pPr>
                  <w:r>
                    <w:rPr>
                      <w:rFonts w:hint="eastAsia" w:hAnsi="宋体"/>
                      <w:color w:val="00B0F0"/>
                      <w:kern w:val="24"/>
                      <w:szCs w:val="21"/>
                    </w:rPr>
                    <w:t>监测频率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57" w:type="pct"/>
                  <w:vMerge w:val="restart"/>
                  <w:tcBorders>
                    <w:top w:val="single" w:color="auto" w:sz="6" w:space="0"/>
                    <w:left w:val="single" w:color="auto" w:sz="12" w:space="0"/>
                    <w:right w:val="single" w:color="auto" w:sz="6" w:space="0"/>
                  </w:tcBorders>
                  <w:vAlign w:val="center"/>
                </w:tcPr>
                <w:p>
                  <w:pPr>
                    <w:jc w:val="center"/>
                    <w:rPr>
                      <w:color w:val="00B0F0"/>
                      <w:kern w:val="24"/>
                      <w:szCs w:val="21"/>
                    </w:rPr>
                  </w:pPr>
                  <w:r>
                    <w:rPr>
                      <w:rFonts w:hint="eastAsia"/>
                      <w:color w:val="00B0F0"/>
                      <w:kern w:val="24"/>
                      <w:szCs w:val="21"/>
                    </w:rPr>
                    <w:t>废气</w:t>
                  </w:r>
                </w:p>
              </w:tc>
              <w:tc>
                <w:tcPr>
                  <w:tcW w:w="1236"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00B0F0"/>
                      <w:kern w:val="24"/>
                      <w:szCs w:val="21"/>
                    </w:rPr>
                  </w:pPr>
                  <w:r>
                    <w:rPr>
                      <w:rFonts w:hint="eastAsia"/>
                      <w:color w:val="00B0F0"/>
                      <w:kern w:val="24"/>
                      <w:szCs w:val="21"/>
                    </w:rPr>
                    <w:t>1#排气筒</w:t>
                  </w:r>
                </w:p>
              </w:tc>
              <w:tc>
                <w:tcPr>
                  <w:tcW w:w="211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00B0F0"/>
                      <w:kern w:val="24"/>
                      <w:szCs w:val="21"/>
                    </w:rPr>
                  </w:pPr>
                  <w:r>
                    <w:rPr>
                      <w:rFonts w:hint="eastAsia"/>
                      <w:color w:val="00B0F0"/>
                      <w:kern w:val="24"/>
                      <w:szCs w:val="21"/>
                    </w:rPr>
                    <w:t>苯乙烯、非甲烷总烃</w:t>
                  </w:r>
                </w:p>
              </w:tc>
              <w:tc>
                <w:tcPr>
                  <w:tcW w:w="1288" w:type="pct"/>
                  <w:vMerge w:val="restart"/>
                  <w:tcBorders>
                    <w:top w:val="single" w:color="auto" w:sz="6" w:space="0"/>
                    <w:left w:val="single" w:color="auto" w:sz="6" w:space="0"/>
                    <w:right w:val="single" w:color="auto" w:sz="12" w:space="0"/>
                  </w:tcBorders>
                  <w:vAlign w:val="center"/>
                </w:tcPr>
                <w:p>
                  <w:pPr>
                    <w:adjustRightInd w:val="0"/>
                    <w:snapToGrid w:val="0"/>
                    <w:jc w:val="center"/>
                    <w:rPr>
                      <w:color w:val="00B0F0"/>
                      <w:kern w:val="24"/>
                      <w:szCs w:val="21"/>
                    </w:rPr>
                  </w:pPr>
                  <w:r>
                    <w:rPr>
                      <w:rFonts w:hint="eastAsia" w:hAnsi="宋体"/>
                      <w:color w:val="00B0F0"/>
                      <w:kern w:val="24"/>
                      <w:szCs w:val="21"/>
                    </w:rPr>
                    <w:t>每年</w:t>
                  </w:r>
                  <w:r>
                    <w:rPr>
                      <w:rFonts w:hAnsi="宋体"/>
                      <w:color w:val="00B0F0"/>
                      <w:kern w:val="24"/>
                      <w:szCs w:val="21"/>
                    </w:rPr>
                    <w:t>1</w:t>
                  </w:r>
                  <w:r>
                    <w:rPr>
                      <w:rFonts w:hint="eastAsia" w:hAnsi="宋体"/>
                      <w:color w:val="00B0F0"/>
                      <w:kern w:val="24"/>
                      <w:szCs w:val="21"/>
                    </w:rPr>
                    <w:t>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57" w:type="pct"/>
                  <w:vMerge w:val="continue"/>
                  <w:tcBorders>
                    <w:left w:val="single" w:color="auto" w:sz="12" w:space="0"/>
                    <w:right w:val="single" w:color="auto" w:sz="6" w:space="0"/>
                  </w:tcBorders>
                  <w:vAlign w:val="center"/>
                </w:tcPr>
                <w:p>
                  <w:pPr>
                    <w:jc w:val="center"/>
                    <w:rPr>
                      <w:color w:val="00B0F0"/>
                      <w:kern w:val="24"/>
                      <w:szCs w:val="21"/>
                    </w:rPr>
                  </w:pPr>
                </w:p>
              </w:tc>
              <w:tc>
                <w:tcPr>
                  <w:tcW w:w="1236"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00B0F0"/>
                      <w:kern w:val="24"/>
                      <w:szCs w:val="21"/>
                    </w:rPr>
                  </w:pPr>
                  <w:r>
                    <w:rPr>
                      <w:color w:val="00B0F0"/>
                      <w:kern w:val="24"/>
                      <w:szCs w:val="21"/>
                    </w:rPr>
                    <w:t>2</w:t>
                  </w:r>
                  <w:r>
                    <w:rPr>
                      <w:rFonts w:hint="eastAsia"/>
                      <w:color w:val="00B0F0"/>
                      <w:kern w:val="24"/>
                      <w:szCs w:val="21"/>
                    </w:rPr>
                    <w:t>#排气筒</w:t>
                  </w:r>
                </w:p>
              </w:tc>
              <w:tc>
                <w:tcPr>
                  <w:tcW w:w="211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00B0F0"/>
                      <w:kern w:val="24"/>
                      <w:szCs w:val="21"/>
                    </w:rPr>
                  </w:pPr>
                  <w:r>
                    <w:rPr>
                      <w:rFonts w:hint="eastAsia"/>
                      <w:color w:val="00B0F0"/>
                      <w:kern w:val="24"/>
                      <w:szCs w:val="21"/>
                    </w:rPr>
                    <w:t>颗粒物</w:t>
                  </w:r>
                </w:p>
              </w:tc>
              <w:tc>
                <w:tcPr>
                  <w:tcW w:w="1288" w:type="pct"/>
                  <w:vMerge w:val="continue"/>
                  <w:tcBorders>
                    <w:left w:val="single" w:color="auto" w:sz="6" w:space="0"/>
                    <w:right w:val="single" w:color="auto" w:sz="12" w:space="0"/>
                  </w:tcBorders>
                  <w:vAlign w:val="center"/>
                </w:tcPr>
                <w:p>
                  <w:pPr>
                    <w:adjustRightInd w:val="0"/>
                    <w:snapToGrid w:val="0"/>
                    <w:jc w:val="center"/>
                    <w:rPr>
                      <w:rFonts w:hAnsi="宋体"/>
                      <w:color w:val="00B0F0"/>
                      <w:kern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57" w:type="pct"/>
                  <w:vMerge w:val="continue"/>
                  <w:tcBorders>
                    <w:left w:val="single" w:color="auto" w:sz="12" w:space="0"/>
                    <w:right w:val="single" w:color="auto" w:sz="6" w:space="0"/>
                  </w:tcBorders>
                  <w:vAlign w:val="center"/>
                </w:tcPr>
                <w:p>
                  <w:pPr>
                    <w:jc w:val="center"/>
                    <w:rPr>
                      <w:color w:val="00B0F0"/>
                      <w:kern w:val="24"/>
                      <w:szCs w:val="21"/>
                    </w:rPr>
                  </w:pPr>
                </w:p>
              </w:tc>
              <w:tc>
                <w:tcPr>
                  <w:tcW w:w="1236"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00B0F0"/>
                      <w:kern w:val="24"/>
                      <w:szCs w:val="21"/>
                    </w:rPr>
                  </w:pPr>
                  <w:r>
                    <w:rPr>
                      <w:color w:val="00B0F0"/>
                      <w:kern w:val="24"/>
                      <w:szCs w:val="21"/>
                    </w:rPr>
                    <w:t>3</w:t>
                  </w:r>
                  <w:r>
                    <w:rPr>
                      <w:rFonts w:hint="eastAsia"/>
                      <w:color w:val="00B0F0"/>
                      <w:kern w:val="24"/>
                      <w:szCs w:val="21"/>
                    </w:rPr>
                    <w:t>#排气筒</w:t>
                  </w:r>
                </w:p>
              </w:tc>
              <w:tc>
                <w:tcPr>
                  <w:tcW w:w="211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00B0F0"/>
                      <w:kern w:val="24"/>
                      <w:szCs w:val="21"/>
                    </w:rPr>
                  </w:pPr>
                  <w:r>
                    <w:rPr>
                      <w:rFonts w:hint="eastAsia"/>
                      <w:color w:val="00B0F0"/>
                      <w:kern w:val="24"/>
                      <w:szCs w:val="21"/>
                    </w:rPr>
                    <w:t>颗粒物、S</w:t>
                  </w:r>
                  <w:r>
                    <w:rPr>
                      <w:color w:val="00B0F0"/>
                      <w:kern w:val="24"/>
                      <w:szCs w:val="21"/>
                    </w:rPr>
                    <w:t>O</w:t>
                  </w:r>
                  <w:r>
                    <w:rPr>
                      <w:color w:val="00B0F0"/>
                      <w:kern w:val="24"/>
                      <w:szCs w:val="21"/>
                      <w:vertAlign w:val="subscript"/>
                    </w:rPr>
                    <w:t>2</w:t>
                  </w:r>
                  <w:r>
                    <w:rPr>
                      <w:rFonts w:hint="eastAsia"/>
                      <w:color w:val="00B0F0"/>
                      <w:kern w:val="24"/>
                      <w:szCs w:val="21"/>
                    </w:rPr>
                    <w:t>、N</w:t>
                  </w:r>
                  <w:r>
                    <w:rPr>
                      <w:color w:val="00B0F0"/>
                      <w:kern w:val="24"/>
                      <w:szCs w:val="21"/>
                    </w:rPr>
                    <w:t>O</w:t>
                  </w:r>
                  <w:r>
                    <w:rPr>
                      <w:color w:val="00B0F0"/>
                      <w:kern w:val="24"/>
                      <w:szCs w:val="21"/>
                      <w:vertAlign w:val="subscript"/>
                    </w:rPr>
                    <w:t>X</w:t>
                  </w:r>
                </w:p>
              </w:tc>
              <w:tc>
                <w:tcPr>
                  <w:tcW w:w="1288" w:type="pct"/>
                  <w:vMerge w:val="continue"/>
                  <w:tcBorders>
                    <w:left w:val="single" w:color="auto" w:sz="6" w:space="0"/>
                    <w:right w:val="single" w:color="auto" w:sz="12" w:space="0"/>
                  </w:tcBorders>
                  <w:vAlign w:val="center"/>
                </w:tcPr>
                <w:p>
                  <w:pPr>
                    <w:adjustRightInd w:val="0"/>
                    <w:snapToGrid w:val="0"/>
                    <w:jc w:val="center"/>
                    <w:rPr>
                      <w:rFonts w:hAnsi="宋体"/>
                      <w:color w:val="00B0F0"/>
                      <w:kern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jc w:val="center"/>
              </w:trPr>
              <w:tc>
                <w:tcPr>
                  <w:tcW w:w="357" w:type="pct"/>
                  <w:vMerge w:val="continue"/>
                  <w:tcBorders>
                    <w:left w:val="single" w:color="auto" w:sz="12" w:space="0"/>
                    <w:right w:val="single" w:color="auto" w:sz="6" w:space="0"/>
                  </w:tcBorders>
                  <w:vAlign w:val="center"/>
                </w:tcPr>
                <w:p>
                  <w:pPr>
                    <w:widowControl/>
                    <w:jc w:val="center"/>
                    <w:rPr>
                      <w:color w:val="00B0F0"/>
                      <w:kern w:val="24"/>
                      <w:szCs w:val="21"/>
                    </w:rPr>
                  </w:pPr>
                </w:p>
              </w:tc>
              <w:tc>
                <w:tcPr>
                  <w:tcW w:w="1236" w:type="pct"/>
                  <w:tcBorders>
                    <w:top w:val="single" w:color="auto" w:sz="6" w:space="0"/>
                    <w:left w:val="single" w:color="auto" w:sz="6" w:space="0"/>
                    <w:right w:val="single" w:color="auto" w:sz="6" w:space="0"/>
                  </w:tcBorders>
                  <w:vAlign w:val="center"/>
                </w:tcPr>
                <w:p>
                  <w:pPr>
                    <w:adjustRightInd w:val="0"/>
                    <w:snapToGrid w:val="0"/>
                    <w:jc w:val="center"/>
                    <w:rPr>
                      <w:rFonts w:hAnsi="宋体"/>
                      <w:color w:val="00B0F0"/>
                      <w:kern w:val="24"/>
                      <w:szCs w:val="21"/>
                    </w:rPr>
                  </w:pPr>
                  <w:r>
                    <w:rPr>
                      <w:rFonts w:hint="eastAsia" w:hAnsi="宋体"/>
                      <w:color w:val="00B0F0"/>
                      <w:kern w:val="24"/>
                      <w:szCs w:val="21"/>
                    </w:rPr>
                    <w:t>厂界无组织</w:t>
                  </w:r>
                </w:p>
              </w:tc>
              <w:tc>
                <w:tcPr>
                  <w:tcW w:w="2119" w:type="pct"/>
                  <w:tcBorders>
                    <w:top w:val="single" w:color="auto" w:sz="6" w:space="0"/>
                    <w:left w:val="single" w:color="auto" w:sz="6" w:space="0"/>
                    <w:right w:val="single" w:color="auto" w:sz="6" w:space="0"/>
                  </w:tcBorders>
                  <w:vAlign w:val="center"/>
                </w:tcPr>
                <w:p>
                  <w:pPr>
                    <w:adjustRightInd w:val="0"/>
                    <w:snapToGrid w:val="0"/>
                    <w:jc w:val="center"/>
                    <w:rPr>
                      <w:color w:val="00B0F0"/>
                    </w:rPr>
                  </w:pPr>
                  <w:r>
                    <w:rPr>
                      <w:color w:val="00B0F0"/>
                      <w:szCs w:val="21"/>
                    </w:rPr>
                    <w:t>TSP、非甲烷总烃</w:t>
                  </w:r>
                </w:p>
              </w:tc>
              <w:tc>
                <w:tcPr>
                  <w:tcW w:w="1288" w:type="pct"/>
                  <w:vMerge w:val="continue"/>
                  <w:tcBorders>
                    <w:left w:val="single" w:color="auto" w:sz="6" w:space="0"/>
                    <w:right w:val="single" w:color="auto" w:sz="12" w:space="0"/>
                  </w:tcBorders>
                  <w:vAlign w:val="center"/>
                </w:tcPr>
                <w:p>
                  <w:pPr>
                    <w:adjustRightInd w:val="0"/>
                    <w:snapToGrid w:val="0"/>
                    <w:jc w:val="center"/>
                    <w:rPr>
                      <w:rFonts w:hAnsi="宋体"/>
                      <w:color w:val="00B0F0"/>
                      <w:kern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57" w:type="pct"/>
                  <w:tcBorders>
                    <w:left w:val="single" w:color="auto" w:sz="12" w:space="0"/>
                    <w:right w:val="single" w:color="auto" w:sz="6" w:space="0"/>
                  </w:tcBorders>
                  <w:vAlign w:val="center"/>
                </w:tcPr>
                <w:p>
                  <w:pPr>
                    <w:widowControl/>
                    <w:jc w:val="center"/>
                    <w:rPr>
                      <w:color w:val="00B0F0"/>
                      <w:kern w:val="24"/>
                      <w:szCs w:val="21"/>
                    </w:rPr>
                  </w:pPr>
                  <w:r>
                    <w:rPr>
                      <w:rFonts w:hint="eastAsia"/>
                      <w:color w:val="00B0F0"/>
                      <w:kern w:val="24"/>
                      <w:szCs w:val="21"/>
                    </w:rPr>
                    <w:t>废水</w:t>
                  </w:r>
                </w:p>
              </w:tc>
              <w:tc>
                <w:tcPr>
                  <w:tcW w:w="1236"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Ansi="宋体"/>
                      <w:color w:val="00B0F0"/>
                      <w:kern w:val="24"/>
                      <w:szCs w:val="21"/>
                    </w:rPr>
                  </w:pPr>
                  <w:r>
                    <w:rPr>
                      <w:rFonts w:hint="eastAsia" w:hAnsi="宋体"/>
                      <w:color w:val="00B0F0"/>
                      <w:kern w:val="24"/>
                      <w:szCs w:val="21"/>
                    </w:rPr>
                    <w:t>总排口</w:t>
                  </w:r>
                </w:p>
              </w:tc>
              <w:tc>
                <w:tcPr>
                  <w:tcW w:w="211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00B0F0"/>
                      <w:kern w:val="24"/>
                      <w:szCs w:val="21"/>
                    </w:rPr>
                  </w:pPr>
                  <w:r>
                    <w:rPr>
                      <w:color w:val="00B0F0"/>
                      <w:szCs w:val="21"/>
                    </w:rPr>
                    <w:t>COD、BOD</w:t>
                  </w:r>
                  <w:r>
                    <w:rPr>
                      <w:color w:val="00B0F0"/>
                      <w:szCs w:val="21"/>
                      <w:vertAlign w:val="subscript"/>
                    </w:rPr>
                    <w:t>5</w:t>
                  </w:r>
                  <w:r>
                    <w:rPr>
                      <w:color w:val="00B0F0"/>
                      <w:szCs w:val="21"/>
                    </w:rPr>
                    <w:t>、SS、氨氮</w:t>
                  </w:r>
                </w:p>
              </w:tc>
              <w:tc>
                <w:tcPr>
                  <w:tcW w:w="1288" w:type="pct"/>
                  <w:tcBorders>
                    <w:left w:val="single" w:color="auto" w:sz="6" w:space="0"/>
                    <w:bottom w:val="single" w:color="auto" w:sz="6" w:space="0"/>
                    <w:right w:val="single" w:color="auto" w:sz="12" w:space="0"/>
                  </w:tcBorders>
                  <w:vAlign w:val="center"/>
                </w:tcPr>
                <w:p>
                  <w:pPr>
                    <w:adjustRightInd w:val="0"/>
                    <w:snapToGrid w:val="0"/>
                    <w:jc w:val="center"/>
                    <w:rPr>
                      <w:rFonts w:hAnsi="宋体"/>
                      <w:color w:val="00B0F0"/>
                      <w:kern w:val="24"/>
                      <w:szCs w:val="21"/>
                    </w:rPr>
                  </w:pPr>
                  <w:r>
                    <w:rPr>
                      <w:rFonts w:hint="eastAsia" w:hAnsi="宋体"/>
                      <w:color w:val="00B0F0"/>
                      <w:kern w:val="24"/>
                      <w:szCs w:val="21"/>
                    </w:rPr>
                    <w:t>每季度</w:t>
                  </w:r>
                  <w:r>
                    <w:rPr>
                      <w:rFonts w:hAnsi="宋体"/>
                      <w:color w:val="00B0F0"/>
                      <w:kern w:val="24"/>
                      <w:szCs w:val="21"/>
                    </w:rPr>
                    <w:t>1</w:t>
                  </w:r>
                  <w:r>
                    <w:rPr>
                      <w:rFonts w:hint="eastAsia" w:hAnsi="宋体"/>
                      <w:color w:val="00B0F0"/>
                      <w:kern w:val="24"/>
                      <w:szCs w:val="21"/>
                    </w:rPr>
                    <w:t>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57" w:type="pct"/>
                  <w:tcBorders>
                    <w:top w:val="single" w:color="auto" w:sz="6" w:space="0"/>
                    <w:left w:val="single" w:color="auto" w:sz="12" w:space="0"/>
                    <w:bottom w:val="single" w:color="auto" w:sz="12" w:space="0"/>
                    <w:right w:val="single" w:color="auto" w:sz="6" w:space="0"/>
                  </w:tcBorders>
                  <w:vAlign w:val="center"/>
                </w:tcPr>
                <w:p>
                  <w:pPr>
                    <w:adjustRightInd w:val="0"/>
                    <w:snapToGrid w:val="0"/>
                    <w:jc w:val="center"/>
                    <w:rPr>
                      <w:color w:val="00B0F0"/>
                      <w:kern w:val="24"/>
                      <w:szCs w:val="21"/>
                    </w:rPr>
                  </w:pPr>
                  <w:r>
                    <w:rPr>
                      <w:rFonts w:hint="eastAsia" w:hAnsi="宋体"/>
                      <w:color w:val="00B0F0"/>
                      <w:kern w:val="24"/>
                      <w:szCs w:val="21"/>
                    </w:rPr>
                    <w:t>噪声</w:t>
                  </w:r>
                </w:p>
              </w:tc>
              <w:tc>
                <w:tcPr>
                  <w:tcW w:w="1236" w:type="pct"/>
                  <w:tcBorders>
                    <w:top w:val="single" w:color="auto" w:sz="6" w:space="0"/>
                    <w:left w:val="single" w:color="auto" w:sz="6" w:space="0"/>
                    <w:bottom w:val="single" w:color="auto" w:sz="12" w:space="0"/>
                    <w:right w:val="single" w:color="auto" w:sz="6" w:space="0"/>
                  </w:tcBorders>
                  <w:vAlign w:val="center"/>
                </w:tcPr>
                <w:p>
                  <w:pPr>
                    <w:adjustRightInd w:val="0"/>
                    <w:snapToGrid w:val="0"/>
                    <w:jc w:val="center"/>
                    <w:rPr>
                      <w:color w:val="00B0F0"/>
                      <w:kern w:val="24"/>
                      <w:szCs w:val="21"/>
                    </w:rPr>
                  </w:pPr>
                  <w:r>
                    <w:rPr>
                      <w:rFonts w:hint="eastAsia" w:hAnsi="宋体"/>
                      <w:color w:val="00B0F0"/>
                      <w:kern w:val="24"/>
                      <w:szCs w:val="21"/>
                    </w:rPr>
                    <w:t>厂界四周设</w:t>
                  </w:r>
                  <w:r>
                    <w:rPr>
                      <w:color w:val="00B0F0"/>
                      <w:kern w:val="24"/>
                      <w:szCs w:val="21"/>
                    </w:rPr>
                    <w:t>4</w:t>
                  </w:r>
                  <w:r>
                    <w:rPr>
                      <w:rFonts w:hint="eastAsia" w:hAnsi="宋体"/>
                      <w:color w:val="00B0F0"/>
                      <w:kern w:val="24"/>
                      <w:szCs w:val="21"/>
                    </w:rPr>
                    <w:t>个测点</w:t>
                  </w:r>
                </w:p>
              </w:tc>
              <w:tc>
                <w:tcPr>
                  <w:tcW w:w="2119" w:type="pct"/>
                  <w:tcBorders>
                    <w:top w:val="single" w:color="auto" w:sz="6" w:space="0"/>
                    <w:left w:val="single" w:color="auto" w:sz="6" w:space="0"/>
                    <w:bottom w:val="single" w:color="auto" w:sz="12" w:space="0"/>
                    <w:right w:val="single" w:color="auto" w:sz="6" w:space="0"/>
                  </w:tcBorders>
                  <w:vAlign w:val="center"/>
                </w:tcPr>
                <w:p>
                  <w:pPr>
                    <w:adjustRightInd w:val="0"/>
                    <w:snapToGrid w:val="0"/>
                    <w:jc w:val="center"/>
                    <w:rPr>
                      <w:color w:val="00B0F0"/>
                      <w:kern w:val="24"/>
                      <w:szCs w:val="21"/>
                    </w:rPr>
                  </w:pPr>
                  <w:r>
                    <w:rPr>
                      <w:rFonts w:hint="eastAsia" w:hAnsi="宋体"/>
                      <w:color w:val="00B0F0"/>
                      <w:kern w:val="24"/>
                      <w:szCs w:val="21"/>
                    </w:rPr>
                    <w:t>连续等效声级</w:t>
                  </w:r>
                  <w:r>
                    <w:rPr>
                      <w:color w:val="00B0F0"/>
                      <w:kern w:val="24"/>
                      <w:szCs w:val="21"/>
                    </w:rPr>
                    <w:t>Leq(A)</w:t>
                  </w:r>
                </w:p>
              </w:tc>
              <w:tc>
                <w:tcPr>
                  <w:tcW w:w="1288" w:type="pct"/>
                  <w:tcBorders>
                    <w:top w:val="single" w:color="auto" w:sz="6" w:space="0"/>
                    <w:left w:val="single" w:color="auto" w:sz="6" w:space="0"/>
                    <w:bottom w:val="single" w:color="auto" w:sz="12" w:space="0"/>
                    <w:right w:val="single" w:color="auto" w:sz="12" w:space="0"/>
                  </w:tcBorders>
                  <w:vAlign w:val="center"/>
                </w:tcPr>
                <w:p>
                  <w:pPr>
                    <w:adjustRightInd w:val="0"/>
                    <w:snapToGrid w:val="0"/>
                    <w:jc w:val="center"/>
                    <w:rPr>
                      <w:color w:val="00B0F0"/>
                      <w:szCs w:val="21"/>
                    </w:rPr>
                  </w:pPr>
                  <w:r>
                    <w:rPr>
                      <w:rFonts w:hint="eastAsia" w:hAnsi="宋体"/>
                      <w:color w:val="00B0F0"/>
                      <w:kern w:val="24"/>
                      <w:szCs w:val="21"/>
                    </w:rPr>
                    <w:t>每季度</w:t>
                  </w:r>
                  <w:r>
                    <w:rPr>
                      <w:rFonts w:hAnsi="宋体"/>
                      <w:color w:val="00B0F0"/>
                      <w:kern w:val="24"/>
                      <w:szCs w:val="21"/>
                    </w:rPr>
                    <w:t>1</w:t>
                  </w:r>
                  <w:r>
                    <w:rPr>
                      <w:rFonts w:hint="eastAsia" w:hAnsi="宋体"/>
                      <w:color w:val="00B0F0"/>
                      <w:kern w:val="24"/>
                      <w:szCs w:val="21"/>
                    </w:rPr>
                    <w:t>次</w:t>
                  </w:r>
                </w:p>
              </w:tc>
            </w:tr>
          </w:tbl>
          <w:p>
            <w:pPr>
              <w:spacing w:line="360" w:lineRule="auto"/>
              <w:ind w:firstLine="420" w:firstLineChars="200"/>
              <w:rPr>
                <w:color w:val="00B0F0"/>
                <w:kern w:val="0"/>
                <w:szCs w:val="21"/>
              </w:rPr>
            </w:pPr>
            <w:r>
              <w:rPr>
                <w:rFonts w:hint="eastAsia"/>
                <w:color w:val="00B0F0"/>
                <w:kern w:val="0"/>
                <w:szCs w:val="21"/>
              </w:rPr>
              <w:t>注：项目运行后如果作为重点排污单位，应按照重点排污单位的废气监测指标进行监测。</w:t>
            </w:r>
          </w:p>
          <w:p>
            <w:pPr>
              <w:spacing w:line="360" w:lineRule="auto"/>
              <w:ind w:firstLine="482" w:firstLineChars="200"/>
              <w:rPr>
                <w:b/>
                <w:bCs/>
                <w:kern w:val="0"/>
                <w:sz w:val="24"/>
              </w:rPr>
            </w:pPr>
            <w:r>
              <w:rPr>
                <w:b/>
                <w:bCs/>
                <w:kern w:val="0"/>
                <w:sz w:val="24"/>
              </w:rPr>
              <w:t>10</w:t>
            </w:r>
            <w:r>
              <w:rPr>
                <w:rFonts w:hint="eastAsia"/>
                <w:b/>
                <w:bCs/>
                <w:kern w:val="0"/>
                <w:sz w:val="24"/>
              </w:rPr>
              <w:t>、项目竣工环境保护设施验收指南</w:t>
            </w:r>
          </w:p>
          <w:p>
            <w:pPr>
              <w:spacing w:line="360" w:lineRule="auto"/>
              <w:ind w:firstLine="480" w:firstLineChars="200"/>
              <w:rPr>
                <w:kern w:val="0"/>
                <w:sz w:val="24"/>
              </w:rPr>
            </w:pPr>
            <w:r>
              <w:rPr>
                <w:rFonts w:hint="eastAsia"/>
                <w:kern w:val="0"/>
                <w:sz w:val="24"/>
              </w:rPr>
              <w:t>根据《国务院关于修改〈建设项目环境保护管理条例〉的决定》国令第</w:t>
            </w:r>
            <w:r>
              <w:rPr>
                <w:kern w:val="0"/>
                <w:sz w:val="24"/>
              </w:rPr>
              <w:t>682</w:t>
            </w:r>
            <w:r>
              <w:rPr>
                <w:rFonts w:hint="eastAsia"/>
                <w:kern w:val="0"/>
                <w:sz w:val="24"/>
              </w:rPr>
              <w:t>号，本项目竣工后，建设单位应当按照国务院环境保护行政主管部门规定的标准和程序，对配套建设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本项目竣工环境保护验收清单见表</w:t>
            </w:r>
            <w:r>
              <w:rPr>
                <w:kern w:val="0"/>
                <w:sz w:val="24"/>
              </w:rPr>
              <w:t>7-29</w:t>
            </w:r>
            <w:r>
              <w:rPr>
                <w:rFonts w:hint="eastAsia"/>
                <w:kern w:val="0"/>
                <w:sz w:val="24"/>
              </w:rPr>
              <w:t>。</w:t>
            </w:r>
          </w:p>
          <w:p>
            <w:pPr>
              <w:spacing w:line="360" w:lineRule="auto"/>
              <w:jc w:val="center"/>
              <w:rPr>
                <w:b/>
                <w:kern w:val="0"/>
                <w:sz w:val="24"/>
              </w:rPr>
            </w:pPr>
            <w:r>
              <w:rPr>
                <w:rFonts w:hint="eastAsia"/>
                <w:b/>
                <w:kern w:val="0"/>
                <w:sz w:val="24"/>
              </w:rPr>
              <w:t>表</w:t>
            </w:r>
            <w:r>
              <w:rPr>
                <w:b/>
                <w:kern w:val="0"/>
                <w:sz w:val="24"/>
              </w:rPr>
              <w:t xml:space="preserve">7-29   </w:t>
            </w:r>
            <w:r>
              <w:rPr>
                <w:rFonts w:hint="eastAsia"/>
                <w:b/>
                <w:kern w:val="0"/>
                <w:sz w:val="24"/>
              </w:rPr>
              <w:t>项目竣工环境保护设施验收清单</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121"/>
              <w:gridCol w:w="3197"/>
              <w:gridCol w:w="39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5" w:type="pct"/>
                  <w:vAlign w:val="center"/>
                </w:tcPr>
                <w:p>
                  <w:pPr>
                    <w:jc w:val="center"/>
                    <w:rPr>
                      <w:szCs w:val="21"/>
                    </w:rPr>
                  </w:pPr>
                  <w:r>
                    <w:rPr>
                      <w:rFonts w:hint="eastAsia"/>
                      <w:szCs w:val="21"/>
                    </w:rPr>
                    <w:t>序号</w:t>
                  </w:r>
                </w:p>
              </w:tc>
              <w:tc>
                <w:tcPr>
                  <w:tcW w:w="619" w:type="pct"/>
                  <w:vAlign w:val="center"/>
                </w:tcPr>
                <w:p>
                  <w:pPr>
                    <w:jc w:val="center"/>
                    <w:rPr>
                      <w:szCs w:val="21"/>
                    </w:rPr>
                  </w:pPr>
                  <w:r>
                    <w:rPr>
                      <w:rFonts w:hint="eastAsia"/>
                      <w:szCs w:val="21"/>
                    </w:rPr>
                    <w:t>项目</w:t>
                  </w:r>
                </w:p>
              </w:tc>
              <w:tc>
                <w:tcPr>
                  <w:tcW w:w="1765" w:type="pct"/>
                  <w:vAlign w:val="center"/>
                </w:tcPr>
                <w:p>
                  <w:pPr>
                    <w:jc w:val="center"/>
                    <w:rPr>
                      <w:szCs w:val="21"/>
                    </w:rPr>
                  </w:pPr>
                  <w:r>
                    <w:rPr>
                      <w:rFonts w:hint="eastAsia"/>
                      <w:szCs w:val="21"/>
                    </w:rPr>
                    <w:t>验收内容</w:t>
                  </w:r>
                </w:p>
              </w:tc>
              <w:tc>
                <w:tcPr>
                  <w:tcW w:w="2171" w:type="pct"/>
                  <w:vAlign w:val="center"/>
                </w:tcPr>
                <w:p>
                  <w:pPr>
                    <w:jc w:val="center"/>
                    <w:rPr>
                      <w:szCs w:val="21"/>
                    </w:rPr>
                  </w:pPr>
                  <w:r>
                    <w:rPr>
                      <w:szCs w:val="21"/>
                    </w:rPr>
                    <w:t>验收标准或要求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5" w:type="pct"/>
                  <w:vMerge w:val="restart"/>
                  <w:vAlign w:val="center"/>
                </w:tcPr>
                <w:p>
                  <w:pPr>
                    <w:jc w:val="center"/>
                    <w:rPr>
                      <w:szCs w:val="21"/>
                    </w:rPr>
                  </w:pPr>
                  <w:r>
                    <w:rPr>
                      <w:rFonts w:hint="eastAsia"/>
                      <w:szCs w:val="21"/>
                    </w:rPr>
                    <w:t>1</w:t>
                  </w:r>
                </w:p>
              </w:tc>
              <w:tc>
                <w:tcPr>
                  <w:tcW w:w="619" w:type="pct"/>
                  <w:vMerge w:val="restart"/>
                  <w:vAlign w:val="center"/>
                </w:tcPr>
                <w:p>
                  <w:pPr>
                    <w:jc w:val="center"/>
                    <w:rPr>
                      <w:szCs w:val="21"/>
                    </w:rPr>
                  </w:pPr>
                  <w:r>
                    <w:rPr>
                      <w:rFonts w:hint="eastAsia"/>
                      <w:szCs w:val="21"/>
                    </w:rPr>
                    <w:t>废水处理设施</w:t>
                  </w:r>
                </w:p>
              </w:tc>
              <w:tc>
                <w:tcPr>
                  <w:tcW w:w="1765" w:type="pct"/>
                  <w:vAlign w:val="center"/>
                </w:tcPr>
                <w:p>
                  <w:pPr>
                    <w:jc w:val="center"/>
                    <w:rPr>
                      <w:szCs w:val="21"/>
                    </w:rPr>
                  </w:pPr>
                  <w:r>
                    <w:rPr>
                      <w:rFonts w:hint="eastAsia"/>
                      <w:szCs w:val="21"/>
                    </w:rPr>
                    <w:t>食堂设置隔油池</w:t>
                  </w:r>
                </w:p>
              </w:tc>
              <w:tc>
                <w:tcPr>
                  <w:tcW w:w="2171" w:type="pct"/>
                  <w:vMerge w:val="restart"/>
                  <w:vAlign w:val="center"/>
                </w:tcPr>
                <w:p>
                  <w:pPr>
                    <w:rPr>
                      <w:szCs w:val="21"/>
                    </w:rPr>
                  </w:pPr>
                  <w:r>
                    <w:rPr>
                      <w:rFonts w:hint="eastAsia"/>
                      <w:color w:val="000000" w:themeColor="text1"/>
                      <w:szCs w:val="21"/>
                      <w14:textFill>
                        <w14:solidFill>
                          <w14:schemeClr w14:val="tx1"/>
                        </w14:solidFill>
                      </w14:textFill>
                    </w:rPr>
                    <w:t>排入化粪池，废水不外排，对化粪池定期清掏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5" w:type="pct"/>
                  <w:vMerge w:val="continue"/>
                  <w:vAlign w:val="center"/>
                </w:tcPr>
                <w:p>
                  <w:pPr>
                    <w:jc w:val="center"/>
                    <w:rPr>
                      <w:szCs w:val="21"/>
                    </w:rPr>
                  </w:pPr>
                </w:p>
              </w:tc>
              <w:tc>
                <w:tcPr>
                  <w:tcW w:w="619" w:type="pct"/>
                  <w:vMerge w:val="continue"/>
                  <w:vAlign w:val="center"/>
                </w:tcPr>
                <w:p>
                  <w:pPr>
                    <w:jc w:val="center"/>
                    <w:rPr>
                      <w:szCs w:val="21"/>
                    </w:rPr>
                  </w:pPr>
                </w:p>
              </w:tc>
              <w:tc>
                <w:tcPr>
                  <w:tcW w:w="1765" w:type="pct"/>
                  <w:vAlign w:val="center"/>
                </w:tcPr>
                <w:p>
                  <w:pPr>
                    <w:jc w:val="center"/>
                    <w:rPr>
                      <w:szCs w:val="21"/>
                    </w:rPr>
                  </w:pPr>
                  <w:r>
                    <w:rPr>
                      <w:rFonts w:hint="eastAsia"/>
                      <w:szCs w:val="21"/>
                    </w:rPr>
                    <w:t>生活废水：化粪池(依托</w:t>
                  </w:r>
                  <w:r>
                    <w:rPr>
                      <w:szCs w:val="21"/>
                    </w:rPr>
                    <w:t>)</w:t>
                  </w:r>
                </w:p>
              </w:tc>
              <w:tc>
                <w:tcPr>
                  <w:tcW w:w="2171" w:type="pct"/>
                  <w:vMerge w:val="continue"/>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5" w:type="pct"/>
                  <w:vMerge w:val="restart"/>
                  <w:vAlign w:val="center"/>
                </w:tcPr>
                <w:p>
                  <w:pPr>
                    <w:jc w:val="center"/>
                    <w:rPr>
                      <w:szCs w:val="21"/>
                    </w:rPr>
                  </w:pPr>
                  <w:r>
                    <w:rPr>
                      <w:rFonts w:hint="eastAsia"/>
                      <w:szCs w:val="21"/>
                    </w:rPr>
                    <w:t>2</w:t>
                  </w:r>
                </w:p>
              </w:tc>
              <w:tc>
                <w:tcPr>
                  <w:tcW w:w="619" w:type="pct"/>
                  <w:vMerge w:val="restart"/>
                  <w:vAlign w:val="center"/>
                </w:tcPr>
                <w:p>
                  <w:pPr>
                    <w:jc w:val="center"/>
                    <w:rPr>
                      <w:szCs w:val="21"/>
                    </w:rPr>
                  </w:pPr>
                  <w:r>
                    <w:rPr>
                      <w:szCs w:val="21"/>
                    </w:rPr>
                    <w:t>废气</w:t>
                  </w:r>
                  <w:r>
                    <w:rPr>
                      <w:rFonts w:hint="eastAsia"/>
                      <w:szCs w:val="21"/>
                    </w:rPr>
                    <w:t>处理设施</w:t>
                  </w:r>
                </w:p>
              </w:tc>
              <w:tc>
                <w:tcPr>
                  <w:tcW w:w="1765" w:type="pct"/>
                  <w:vAlign w:val="center"/>
                </w:tcPr>
                <w:p>
                  <w:pPr>
                    <w:rPr>
                      <w:szCs w:val="21"/>
                    </w:rPr>
                  </w:pPr>
                  <w:r>
                    <w:rPr>
                      <w:rFonts w:hint="eastAsia"/>
                      <w:szCs w:val="21"/>
                    </w:rPr>
                    <w:t>有机废气：集气罩+二级活性炭+</w:t>
                  </w:r>
                  <w:r>
                    <w:rPr>
                      <w:szCs w:val="21"/>
                    </w:rPr>
                    <w:t>15m</w:t>
                  </w:r>
                  <w:r>
                    <w:rPr>
                      <w:rFonts w:hint="eastAsia"/>
                      <w:szCs w:val="21"/>
                    </w:rPr>
                    <w:t>排气筒P</w:t>
                  </w:r>
                  <w:r>
                    <w:rPr>
                      <w:szCs w:val="21"/>
                    </w:rPr>
                    <w:t>1</w:t>
                  </w:r>
                </w:p>
              </w:tc>
              <w:tc>
                <w:tcPr>
                  <w:tcW w:w="2171" w:type="pct"/>
                  <w:vMerge w:val="restart"/>
                  <w:vAlign w:val="center"/>
                </w:tcPr>
                <w:p>
                  <w:pPr>
                    <w:rPr>
                      <w:szCs w:val="21"/>
                    </w:rPr>
                  </w:pPr>
                  <w:r>
                    <w:rPr>
                      <w:rFonts w:hint="eastAsia"/>
                      <w:szCs w:val="21"/>
                    </w:rPr>
                    <w:t>《合成树脂工业污染物排放标准》（GB31572-2015）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5" w:type="pct"/>
                  <w:vMerge w:val="continue"/>
                  <w:vAlign w:val="center"/>
                </w:tcPr>
                <w:p>
                  <w:pPr>
                    <w:jc w:val="center"/>
                    <w:rPr>
                      <w:szCs w:val="21"/>
                    </w:rPr>
                  </w:pPr>
                </w:p>
              </w:tc>
              <w:tc>
                <w:tcPr>
                  <w:tcW w:w="619" w:type="pct"/>
                  <w:vMerge w:val="continue"/>
                  <w:vAlign w:val="center"/>
                </w:tcPr>
                <w:p>
                  <w:pPr>
                    <w:jc w:val="center"/>
                    <w:rPr>
                      <w:szCs w:val="21"/>
                    </w:rPr>
                  </w:pPr>
                </w:p>
              </w:tc>
              <w:tc>
                <w:tcPr>
                  <w:tcW w:w="1765" w:type="pct"/>
                  <w:vAlign w:val="center"/>
                </w:tcPr>
                <w:p>
                  <w:pPr>
                    <w:rPr>
                      <w:szCs w:val="21"/>
                    </w:rPr>
                  </w:pPr>
                  <w:r>
                    <w:rPr>
                      <w:rFonts w:hint="eastAsia"/>
                      <w:szCs w:val="21"/>
                    </w:rPr>
                    <w:t>粉尘：集气罩+布袋除尘器炭+</w:t>
                  </w:r>
                  <w:r>
                    <w:rPr>
                      <w:szCs w:val="21"/>
                    </w:rPr>
                    <w:t>15m</w:t>
                  </w:r>
                  <w:r>
                    <w:rPr>
                      <w:rFonts w:hint="eastAsia"/>
                      <w:szCs w:val="21"/>
                    </w:rPr>
                    <w:t>排气筒P</w:t>
                  </w:r>
                  <w:r>
                    <w:rPr>
                      <w:szCs w:val="21"/>
                    </w:rPr>
                    <w:t>2</w:t>
                  </w:r>
                </w:p>
              </w:tc>
              <w:tc>
                <w:tcPr>
                  <w:tcW w:w="2171" w:type="pct"/>
                  <w:vMerge w:val="continue"/>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45" w:type="pct"/>
                  <w:vMerge w:val="continue"/>
                  <w:vAlign w:val="center"/>
                </w:tcPr>
                <w:p>
                  <w:pPr>
                    <w:jc w:val="center"/>
                    <w:rPr>
                      <w:szCs w:val="21"/>
                    </w:rPr>
                  </w:pPr>
                </w:p>
              </w:tc>
              <w:tc>
                <w:tcPr>
                  <w:tcW w:w="619" w:type="pct"/>
                  <w:vMerge w:val="continue"/>
                  <w:vAlign w:val="center"/>
                </w:tcPr>
                <w:p>
                  <w:pPr>
                    <w:jc w:val="center"/>
                    <w:rPr>
                      <w:szCs w:val="21"/>
                    </w:rPr>
                  </w:pPr>
                </w:p>
              </w:tc>
              <w:tc>
                <w:tcPr>
                  <w:tcW w:w="1765" w:type="pct"/>
                  <w:vAlign w:val="center"/>
                </w:tcPr>
                <w:p>
                  <w:pPr>
                    <w:rPr>
                      <w:szCs w:val="21"/>
                    </w:rPr>
                  </w:pPr>
                  <w:r>
                    <w:rPr>
                      <w:rFonts w:hint="eastAsia"/>
                      <w:szCs w:val="21"/>
                    </w:rPr>
                    <w:t>锅炉废气：低氮燃气器+</w:t>
                  </w:r>
                  <w:r>
                    <w:rPr>
                      <w:szCs w:val="21"/>
                    </w:rPr>
                    <w:t>15m</w:t>
                  </w:r>
                  <w:r>
                    <w:rPr>
                      <w:rFonts w:hint="eastAsia"/>
                      <w:szCs w:val="21"/>
                    </w:rPr>
                    <w:t>排气筒P</w:t>
                  </w:r>
                  <w:r>
                    <w:rPr>
                      <w:szCs w:val="21"/>
                    </w:rPr>
                    <w:t>3</w:t>
                  </w:r>
                </w:p>
              </w:tc>
              <w:tc>
                <w:tcPr>
                  <w:tcW w:w="2171" w:type="pct"/>
                  <w:vAlign w:val="center"/>
                </w:tcPr>
                <w:p>
                  <w:pPr>
                    <w:rPr>
                      <w:szCs w:val="21"/>
                    </w:rPr>
                  </w:pPr>
                  <w:r>
                    <w:rPr>
                      <w:szCs w:val="21"/>
                    </w:rPr>
                    <w:t>《锅炉大气污染物排放标准》（</w:t>
                  </w:r>
                  <w:r>
                    <w:rPr>
                      <w:rFonts w:hint="eastAsia"/>
                      <w:szCs w:val="21"/>
                    </w:rPr>
                    <w:t>D</w:t>
                  </w:r>
                  <w:r>
                    <w:rPr>
                      <w:szCs w:val="21"/>
                    </w:rPr>
                    <w:t>B</w:t>
                  </w:r>
                  <w:r>
                    <w:rPr>
                      <w:rFonts w:hint="eastAsia"/>
                      <w:szCs w:val="21"/>
                    </w:rPr>
                    <w:t>61/1226-2018</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5" w:type="pct"/>
                  <w:vMerge w:val="continue"/>
                  <w:vAlign w:val="center"/>
                </w:tcPr>
                <w:p>
                  <w:pPr>
                    <w:jc w:val="center"/>
                    <w:rPr>
                      <w:szCs w:val="21"/>
                    </w:rPr>
                  </w:pPr>
                </w:p>
              </w:tc>
              <w:tc>
                <w:tcPr>
                  <w:tcW w:w="619" w:type="pct"/>
                  <w:vMerge w:val="continue"/>
                  <w:vAlign w:val="center"/>
                </w:tcPr>
                <w:p>
                  <w:pPr>
                    <w:jc w:val="center"/>
                    <w:rPr>
                      <w:szCs w:val="21"/>
                    </w:rPr>
                  </w:pPr>
                </w:p>
              </w:tc>
              <w:tc>
                <w:tcPr>
                  <w:tcW w:w="1765" w:type="pct"/>
                  <w:vAlign w:val="center"/>
                </w:tcPr>
                <w:p>
                  <w:pPr>
                    <w:rPr>
                      <w:szCs w:val="21"/>
                    </w:rPr>
                  </w:pPr>
                  <w:r>
                    <w:rPr>
                      <w:rFonts w:hint="eastAsia"/>
                      <w:szCs w:val="21"/>
                    </w:rPr>
                    <w:t>食堂油烟通过油烟净化系统处理</w:t>
                  </w:r>
                </w:p>
              </w:tc>
              <w:tc>
                <w:tcPr>
                  <w:tcW w:w="2171" w:type="pct"/>
                  <w:vAlign w:val="center"/>
                </w:tcPr>
                <w:p>
                  <w:pPr>
                    <w:rPr>
                      <w:szCs w:val="21"/>
                    </w:rPr>
                  </w:pPr>
                  <w:r>
                    <w:rPr>
                      <w:rFonts w:hint="eastAsia"/>
                      <w:szCs w:val="21"/>
                    </w:rPr>
                    <w:t>《饮食业油烟排放标准（试行）》（GB18483-2001）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5" w:type="pct"/>
                  <w:vAlign w:val="center"/>
                </w:tcPr>
                <w:p>
                  <w:pPr>
                    <w:jc w:val="center"/>
                    <w:rPr>
                      <w:szCs w:val="21"/>
                    </w:rPr>
                  </w:pPr>
                  <w:r>
                    <w:rPr>
                      <w:rFonts w:hint="eastAsia"/>
                      <w:szCs w:val="21"/>
                    </w:rPr>
                    <w:t>3</w:t>
                  </w:r>
                </w:p>
              </w:tc>
              <w:tc>
                <w:tcPr>
                  <w:tcW w:w="619" w:type="pct"/>
                  <w:vAlign w:val="center"/>
                </w:tcPr>
                <w:p>
                  <w:pPr>
                    <w:jc w:val="center"/>
                    <w:rPr>
                      <w:szCs w:val="21"/>
                    </w:rPr>
                  </w:pPr>
                  <w:r>
                    <w:rPr>
                      <w:szCs w:val="21"/>
                    </w:rPr>
                    <w:t>噪声</w:t>
                  </w:r>
                  <w:r>
                    <w:rPr>
                      <w:rFonts w:hint="eastAsia"/>
                      <w:szCs w:val="21"/>
                    </w:rPr>
                    <w:t>防治设施</w:t>
                  </w:r>
                </w:p>
              </w:tc>
              <w:tc>
                <w:tcPr>
                  <w:tcW w:w="1765" w:type="pct"/>
                  <w:vAlign w:val="center"/>
                </w:tcPr>
                <w:p>
                  <w:pPr>
                    <w:rPr>
                      <w:szCs w:val="21"/>
                    </w:rPr>
                  </w:pPr>
                  <w:r>
                    <w:rPr>
                      <w:rFonts w:hint="eastAsia"/>
                      <w:szCs w:val="21"/>
                    </w:rPr>
                    <w:t>合理布置、基础减振、设备维护、柔性连接、建筑隔声、距离衰减、周边绿化</w:t>
                  </w:r>
                  <w:r>
                    <w:rPr>
                      <w:szCs w:val="21"/>
                    </w:rPr>
                    <w:t>等</w:t>
                  </w:r>
                </w:p>
              </w:tc>
              <w:tc>
                <w:tcPr>
                  <w:tcW w:w="2171" w:type="pct"/>
                  <w:vAlign w:val="center"/>
                </w:tcPr>
                <w:p>
                  <w:pPr>
                    <w:rPr>
                      <w:szCs w:val="21"/>
                    </w:rPr>
                  </w:pPr>
                  <w:r>
                    <w:rPr>
                      <w:rFonts w:hint="eastAsia"/>
                      <w:szCs w:val="21"/>
                    </w:rPr>
                    <w:t>厂界噪声执行《工业企业厂界环境噪声排放标准》（GB12348-2008）</w:t>
                  </w:r>
                  <w:r>
                    <w:rPr>
                      <w:szCs w:val="21"/>
                    </w:rPr>
                    <w:t>2</w:t>
                  </w:r>
                  <w:r>
                    <w:rPr>
                      <w:rFonts w:hint="eastAsia"/>
                      <w:szCs w:val="21"/>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5" w:type="pct"/>
                  <w:vMerge w:val="restart"/>
                  <w:vAlign w:val="center"/>
                </w:tcPr>
                <w:p>
                  <w:pPr>
                    <w:jc w:val="center"/>
                    <w:rPr>
                      <w:szCs w:val="21"/>
                    </w:rPr>
                  </w:pPr>
                  <w:r>
                    <w:rPr>
                      <w:rFonts w:hint="eastAsia"/>
                      <w:szCs w:val="21"/>
                    </w:rPr>
                    <w:t>4</w:t>
                  </w:r>
                </w:p>
              </w:tc>
              <w:tc>
                <w:tcPr>
                  <w:tcW w:w="619" w:type="pct"/>
                  <w:vMerge w:val="restart"/>
                  <w:vAlign w:val="center"/>
                </w:tcPr>
                <w:p>
                  <w:pPr>
                    <w:jc w:val="center"/>
                    <w:rPr>
                      <w:szCs w:val="21"/>
                    </w:rPr>
                  </w:pPr>
                  <w:r>
                    <w:rPr>
                      <w:rFonts w:hint="eastAsia"/>
                      <w:szCs w:val="21"/>
                    </w:rPr>
                    <w:t>固体废物</w:t>
                  </w:r>
                </w:p>
              </w:tc>
              <w:tc>
                <w:tcPr>
                  <w:tcW w:w="1765" w:type="pct"/>
                  <w:vAlign w:val="center"/>
                </w:tcPr>
                <w:p>
                  <w:pPr>
                    <w:rPr>
                      <w:szCs w:val="21"/>
                    </w:rPr>
                  </w:pPr>
                  <w:r>
                    <w:rPr>
                      <w:rFonts w:hint="eastAsia"/>
                      <w:szCs w:val="21"/>
                    </w:rPr>
                    <w:t>生活垃圾分类收集于</w:t>
                  </w:r>
                  <w:r>
                    <w:rPr>
                      <w:szCs w:val="21"/>
                    </w:rPr>
                    <w:t>垃圾桶</w:t>
                  </w:r>
                  <w:r>
                    <w:rPr>
                      <w:rFonts w:hint="eastAsia"/>
                      <w:szCs w:val="21"/>
                    </w:rPr>
                    <w:t>，定期交由环卫部门清运</w:t>
                  </w:r>
                </w:p>
              </w:tc>
              <w:tc>
                <w:tcPr>
                  <w:tcW w:w="2171" w:type="pct"/>
                  <w:vAlign w:val="center"/>
                </w:tcPr>
                <w:p>
                  <w:pPr>
                    <w:rPr>
                      <w:szCs w:val="21"/>
                    </w:rPr>
                  </w:pPr>
                  <w:r>
                    <w:rPr>
                      <w:szCs w:val="21"/>
                    </w:rPr>
                    <w:t>妥善处置，处置率100%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5" w:type="pct"/>
                  <w:vMerge w:val="continue"/>
                  <w:vAlign w:val="center"/>
                </w:tcPr>
                <w:p>
                  <w:pPr>
                    <w:jc w:val="center"/>
                    <w:rPr>
                      <w:szCs w:val="21"/>
                    </w:rPr>
                  </w:pPr>
                </w:p>
              </w:tc>
              <w:tc>
                <w:tcPr>
                  <w:tcW w:w="619" w:type="pct"/>
                  <w:vMerge w:val="continue"/>
                  <w:vAlign w:val="center"/>
                </w:tcPr>
                <w:p>
                  <w:pPr>
                    <w:jc w:val="center"/>
                    <w:rPr>
                      <w:szCs w:val="21"/>
                    </w:rPr>
                  </w:pPr>
                </w:p>
              </w:tc>
              <w:tc>
                <w:tcPr>
                  <w:tcW w:w="1765" w:type="pct"/>
                  <w:vAlign w:val="center"/>
                </w:tcPr>
                <w:p>
                  <w:pPr>
                    <w:rPr>
                      <w:szCs w:val="21"/>
                    </w:rPr>
                  </w:pPr>
                  <w:r>
                    <w:rPr>
                      <w:rFonts w:hint="eastAsia"/>
                      <w:szCs w:val="21"/>
                    </w:rPr>
                    <w:t>一般固废统一分类收集，外售给回收单位处理</w:t>
                  </w:r>
                </w:p>
              </w:tc>
              <w:tc>
                <w:tcPr>
                  <w:tcW w:w="2171" w:type="pct"/>
                  <w:vAlign w:val="center"/>
                </w:tcPr>
                <w:p>
                  <w:pPr>
                    <w:rPr>
                      <w:szCs w:val="21"/>
                    </w:rPr>
                  </w:pPr>
                  <w:r>
                    <w:rPr>
                      <w:szCs w:val="21"/>
                    </w:rPr>
                    <w:t>一般工业固体废物暂存场所执行《一般工业固体废物贮存、处置场污染控制标准》（GB18599-2001）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5" w:type="pct"/>
                  <w:vMerge w:val="continue"/>
                  <w:vAlign w:val="center"/>
                </w:tcPr>
                <w:p>
                  <w:pPr>
                    <w:jc w:val="center"/>
                    <w:rPr>
                      <w:szCs w:val="21"/>
                    </w:rPr>
                  </w:pPr>
                </w:p>
              </w:tc>
              <w:tc>
                <w:tcPr>
                  <w:tcW w:w="619" w:type="pct"/>
                  <w:vMerge w:val="continue"/>
                  <w:vAlign w:val="center"/>
                </w:tcPr>
                <w:p>
                  <w:pPr>
                    <w:jc w:val="center"/>
                    <w:rPr>
                      <w:szCs w:val="21"/>
                    </w:rPr>
                  </w:pPr>
                </w:p>
              </w:tc>
              <w:tc>
                <w:tcPr>
                  <w:tcW w:w="1765" w:type="pct"/>
                  <w:vAlign w:val="center"/>
                </w:tcPr>
                <w:p>
                  <w:pPr>
                    <w:rPr>
                      <w:szCs w:val="21"/>
                    </w:rPr>
                  </w:pPr>
                  <w:r>
                    <w:rPr>
                      <w:rFonts w:hint="eastAsia"/>
                      <w:szCs w:val="21"/>
                    </w:rPr>
                    <w:t>危险废物暂存于危废暂存间，定期交由有资质单位处置</w:t>
                  </w:r>
                </w:p>
              </w:tc>
              <w:tc>
                <w:tcPr>
                  <w:tcW w:w="2171" w:type="pct"/>
                  <w:vAlign w:val="center"/>
                </w:tcPr>
                <w:p>
                  <w:pPr>
                    <w:rPr>
                      <w:szCs w:val="21"/>
                    </w:rPr>
                  </w:pPr>
                  <w:r>
                    <w:rPr>
                      <w:szCs w:val="21"/>
                    </w:rPr>
                    <w:t>《危险废物贮存污染控制标准》（GB 18597-2001）及其2013年修改单中的相关规定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5" w:type="pct"/>
                  <w:vAlign w:val="center"/>
                </w:tcPr>
                <w:p>
                  <w:pPr>
                    <w:jc w:val="center"/>
                    <w:rPr>
                      <w:szCs w:val="21"/>
                    </w:rPr>
                  </w:pPr>
                  <w:r>
                    <w:rPr>
                      <w:rFonts w:hint="eastAsia"/>
                      <w:szCs w:val="21"/>
                    </w:rPr>
                    <w:t>5</w:t>
                  </w:r>
                </w:p>
              </w:tc>
              <w:tc>
                <w:tcPr>
                  <w:tcW w:w="619" w:type="pct"/>
                  <w:vAlign w:val="center"/>
                </w:tcPr>
                <w:p>
                  <w:pPr>
                    <w:jc w:val="center"/>
                    <w:rPr>
                      <w:szCs w:val="21"/>
                    </w:rPr>
                  </w:pPr>
                  <w:r>
                    <w:rPr>
                      <w:szCs w:val="21"/>
                    </w:rPr>
                    <w:t>其它</w:t>
                  </w:r>
                </w:p>
              </w:tc>
              <w:tc>
                <w:tcPr>
                  <w:tcW w:w="1765" w:type="pct"/>
                  <w:vAlign w:val="center"/>
                </w:tcPr>
                <w:p>
                  <w:pPr>
                    <w:rPr>
                      <w:szCs w:val="21"/>
                    </w:rPr>
                  </w:pPr>
                  <w:r>
                    <w:rPr>
                      <w:szCs w:val="21"/>
                    </w:rPr>
                    <w:t>环境保护措施与设施、环境管理规章制度、建档等</w:t>
                  </w:r>
                </w:p>
              </w:tc>
              <w:tc>
                <w:tcPr>
                  <w:tcW w:w="2171" w:type="pct"/>
                  <w:vAlign w:val="center"/>
                </w:tcPr>
                <w:p>
                  <w:pPr>
                    <w:rPr>
                      <w:szCs w:val="21"/>
                    </w:rPr>
                  </w:pPr>
                  <w:r>
                    <w:rPr>
                      <w:rFonts w:hint="eastAsia"/>
                      <w:szCs w:val="21"/>
                    </w:rPr>
                    <w:t>按环评报告及批复要求落实</w:t>
                  </w:r>
                </w:p>
              </w:tc>
            </w:tr>
          </w:tbl>
          <w:p>
            <w:pPr>
              <w:spacing w:line="360" w:lineRule="auto"/>
              <w:ind w:firstLine="482" w:firstLineChars="200"/>
              <w:rPr>
                <w:b/>
                <w:bCs/>
                <w:kern w:val="0"/>
                <w:sz w:val="24"/>
              </w:rPr>
            </w:pPr>
            <w:r>
              <w:rPr>
                <w:b/>
                <w:bCs/>
                <w:kern w:val="0"/>
                <w:sz w:val="24"/>
              </w:rPr>
              <w:t>12</w:t>
            </w:r>
            <w:r>
              <w:rPr>
                <w:rFonts w:hint="eastAsia"/>
                <w:b/>
                <w:bCs/>
                <w:kern w:val="0"/>
                <w:sz w:val="24"/>
              </w:rPr>
              <w:t>、</w:t>
            </w:r>
            <w:r>
              <w:rPr>
                <w:b/>
                <w:bCs/>
                <w:kern w:val="0"/>
                <w:sz w:val="24"/>
              </w:rPr>
              <w:t>污染物排放清单</w:t>
            </w:r>
          </w:p>
          <w:p>
            <w:pPr>
              <w:spacing w:line="360" w:lineRule="auto"/>
              <w:ind w:firstLine="480" w:firstLineChars="200"/>
              <w:rPr>
                <w:color w:val="000000"/>
                <w:kern w:val="0"/>
                <w:sz w:val="24"/>
              </w:rPr>
            </w:pPr>
            <w:r>
              <w:rPr>
                <w:color w:val="000000"/>
                <w:kern w:val="0"/>
                <w:sz w:val="24"/>
              </w:rPr>
              <w:t>本项目污染物排放清单见表7-30。</w:t>
            </w:r>
          </w:p>
          <w:p>
            <w:pPr>
              <w:spacing w:line="360" w:lineRule="auto"/>
              <w:jc w:val="center"/>
              <w:rPr>
                <w:b/>
                <w:kern w:val="0"/>
                <w:sz w:val="24"/>
              </w:rPr>
            </w:pPr>
            <w:r>
              <w:rPr>
                <w:b/>
                <w:kern w:val="0"/>
                <w:sz w:val="24"/>
              </w:rPr>
              <w:t>表7-30   污染物排放清单一览表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926"/>
              <w:gridCol w:w="1058"/>
              <w:gridCol w:w="1397"/>
              <w:gridCol w:w="1127"/>
              <w:gridCol w:w="1464"/>
              <w:gridCol w:w="26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restart"/>
                  <w:vAlign w:val="center"/>
                </w:tcPr>
                <w:p>
                  <w:pPr>
                    <w:jc w:val="center"/>
                    <w:rPr>
                      <w:szCs w:val="21"/>
                    </w:rPr>
                  </w:pPr>
                  <w:r>
                    <w:rPr>
                      <w:szCs w:val="21"/>
                    </w:rPr>
                    <w:t>类别</w:t>
                  </w:r>
                </w:p>
              </w:tc>
              <w:tc>
                <w:tcPr>
                  <w:tcW w:w="511" w:type="pct"/>
                  <w:vMerge w:val="restart"/>
                  <w:vAlign w:val="center"/>
                </w:tcPr>
                <w:p>
                  <w:pPr>
                    <w:jc w:val="center"/>
                    <w:rPr>
                      <w:szCs w:val="21"/>
                    </w:rPr>
                  </w:pPr>
                  <w:r>
                    <w:rPr>
                      <w:rFonts w:hint="eastAsia"/>
                      <w:szCs w:val="21"/>
                    </w:rPr>
                    <w:t>排污口</w:t>
                  </w:r>
                </w:p>
                <w:p>
                  <w:pPr>
                    <w:jc w:val="center"/>
                    <w:rPr>
                      <w:szCs w:val="21"/>
                    </w:rPr>
                  </w:pPr>
                  <w:r>
                    <w:rPr>
                      <w:rFonts w:hint="eastAsia"/>
                      <w:szCs w:val="21"/>
                    </w:rPr>
                    <w:t>位置</w:t>
                  </w:r>
                </w:p>
              </w:tc>
              <w:tc>
                <w:tcPr>
                  <w:tcW w:w="584" w:type="pct"/>
                  <w:vMerge w:val="restart"/>
                  <w:vAlign w:val="center"/>
                </w:tcPr>
                <w:p>
                  <w:pPr>
                    <w:jc w:val="center"/>
                    <w:rPr>
                      <w:szCs w:val="21"/>
                    </w:rPr>
                  </w:pPr>
                  <w:r>
                    <w:rPr>
                      <w:szCs w:val="21"/>
                    </w:rPr>
                    <w:t>污染物</w:t>
                  </w:r>
                </w:p>
              </w:tc>
              <w:tc>
                <w:tcPr>
                  <w:tcW w:w="1393" w:type="pct"/>
                  <w:gridSpan w:val="2"/>
                  <w:vAlign w:val="center"/>
                </w:tcPr>
                <w:p>
                  <w:pPr>
                    <w:jc w:val="center"/>
                    <w:rPr>
                      <w:szCs w:val="21"/>
                    </w:rPr>
                  </w:pPr>
                  <w:r>
                    <w:rPr>
                      <w:szCs w:val="21"/>
                    </w:rPr>
                    <w:t>污染物排放清单</w:t>
                  </w:r>
                </w:p>
              </w:tc>
              <w:tc>
                <w:tcPr>
                  <w:tcW w:w="808" w:type="pct"/>
                  <w:vMerge w:val="restart"/>
                  <w:vAlign w:val="center"/>
                </w:tcPr>
                <w:p>
                  <w:pPr>
                    <w:jc w:val="center"/>
                    <w:rPr>
                      <w:szCs w:val="21"/>
                    </w:rPr>
                  </w:pPr>
                  <w:r>
                    <w:rPr>
                      <w:szCs w:val="21"/>
                    </w:rPr>
                    <w:t>采取的环保措施</w:t>
                  </w:r>
                </w:p>
              </w:tc>
              <w:tc>
                <w:tcPr>
                  <w:tcW w:w="1444" w:type="pct"/>
                  <w:vMerge w:val="restart"/>
                  <w:vAlign w:val="center"/>
                </w:tcPr>
                <w:p>
                  <w:pPr>
                    <w:jc w:val="center"/>
                    <w:rPr>
                      <w:szCs w:val="21"/>
                    </w:rPr>
                  </w:pPr>
                  <w:r>
                    <w:rPr>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continue"/>
                  <w:vAlign w:val="center"/>
                </w:tcPr>
                <w:p>
                  <w:pPr>
                    <w:jc w:val="center"/>
                    <w:rPr>
                      <w:szCs w:val="21"/>
                    </w:rPr>
                  </w:pPr>
                </w:p>
              </w:tc>
              <w:tc>
                <w:tcPr>
                  <w:tcW w:w="511" w:type="pct"/>
                  <w:vMerge w:val="continue"/>
                  <w:vAlign w:val="center"/>
                </w:tcPr>
                <w:p>
                  <w:pPr>
                    <w:jc w:val="center"/>
                    <w:rPr>
                      <w:szCs w:val="21"/>
                    </w:rPr>
                  </w:pPr>
                </w:p>
              </w:tc>
              <w:tc>
                <w:tcPr>
                  <w:tcW w:w="584" w:type="pct"/>
                  <w:vMerge w:val="continue"/>
                  <w:vAlign w:val="center"/>
                </w:tcPr>
                <w:p>
                  <w:pPr>
                    <w:jc w:val="center"/>
                    <w:rPr>
                      <w:szCs w:val="21"/>
                    </w:rPr>
                  </w:pPr>
                </w:p>
              </w:tc>
              <w:tc>
                <w:tcPr>
                  <w:tcW w:w="771" w:type="pct"/>
                  <w:vAlign w:val="center"/>
                </w:tcPr>
                <w:p>
                  <w:pPr>
                    <w:jc w:val="center"/>
                    <w:rPr>
                      <w:szCs w:val="21"/>
                    </w:rPr>
                  </w:pPr>
                  <w:r>
                    <w:rPr>
                      <w:szCs w:val="21"/>
                    </w:rPr>
                    <w:t>排放浓度</w:t>
                  </w:r>
                </w:p>
              </w:tc>
              <w:tc>
                <w:tcPr>
                  <w:tcW w:w="622" w:type="pct"/>
                  <w:vAlign w:val="center"/>
                </w:tcPr>
                <w:p>
                  <w:pPr>
                    <w:jc w:val="center"/>
                    <w:rPr>
                      <w:szCs w:val="21"/>
                    </w:rPr>
                  </w:pPr>
                  <w:r>
                    <w:rPr>
                      <w:szCs w:val="21"/>
                    </w:rPr>
                    <w:t>排放量</w:t>
                  </w:r>
                </w:p>
              </w:tc>
              <w:tc>
                <w:tcPr>
                  <w:tcW w:w="808" w:type="pct"/>
                  <w:vMerge w:val="continue"/>
                  <w:vAlign w:val="center"/>
                </w:tcPr>
                <w:p>
                  <w:pPr>
                    <w:jc w:val="center"/>
                    <w:rPr>
                      <w:szCs w:val="21"/>
                    </w:rPr>
                  </w:pPr>
                </w:p>
              </w:tc>
              <w:tc>
                <w:tcPr>
                  <w:tcW w:w="1444" w:type="pct"/>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59" w:type="pct"/>
                  <w:vAlign w:val="center"/>
                </w:tcPr>
                <w:p>
                  <w:pPr>
                    <w:jc w:val="center"/>
                    <w:rPr>
                      <w:szCs w:val="21"/>
                    </w:rPr>
                  </w:pPr>
                  <w:r>
                    <w:rPr>
                      <w:rFonts w:hint="eastAsia"/>
                      <w:szCs w:val="21"/>
                    </w:rPr>
                    <w:t>废水</w:t>
                  </w:r>
                </w:p>
              </w:tc>
              <w:tc>
                <w:tcPr>
                  <w:tcW w:w="511" w:type="pct"/>
                  <w:vAlign w:val="center"/>
                </w:tcPr>
                <w:p>
                  <w:pPr>
                    <w:jc w:val="center"/>
                    <w:rPr>
                      <w:szCs w:val="21"/>
                    </w:rPr>
                  </w:pPr>
                  <w:r>
                    <w:rPr>
                      <w:rFonts w:hint="eastAsia"/>
                      <w:szCs w:val="21"/>
                    </w:rPr>
                    <w:t>总排口</w:t>
                  </w:r>
                </w:p>
              </w:tc>
              <w:tc>
                <w:tcPr>
                  <w:tcW w:w="584" w:type="pct"/>
                  <w:vAlign w:val="center"/>
                </w:tcPr>
                <w:p>
                  <w:pPr>
                    <w:jc w:val="center"/>
                    <w:rPr>
                      <w:szCs w:val="21"/>
                    </w:rPr>
                  </w:pPr>
                  <w:r>
                    <w:rPr>
                      <w:rFonts w:hint="eastAsia"/>
                      <w:szCs w:val="21"/>
                    </w:rPr>
                    <w:t>C</w:t>
                  </w:r>
                  <w:r>
                    <w:rPr>
                      <w:szCs w:val="21"/>
                    </w:rPr>
                    <w:t>OD</w:t>
                  </w:r>
                </w:p>
                <w:p>
                  <w:pPr>
                    <w:jc w:val="center"/>
                    <w:rPr>
                      <w:szCs w:val="21"/>
                    </w:rPr>
                  </w:pPr>
                  <w:r>
                    <w:rPr>
                      <w:rFonts w:hint="eastAsia"/>
                      <w:szCs w:val="21"/>
                    </w:rPr>
                    <w:t>B</w:t>
                  </w:r>
                  <w:r>
                    <w:rPr>
                      <w:szCs w:val="21"/>
                    </w:rPr>
                    <w:t>OD</w:t>
                  </w:r>
                  <w:r>
                    <w:rPr>
                      <w:szCs w:val="21"/>
                      <w:vertAlign w:val="subscript"/>
                    </w:rPr>
                    <w:t>5</w:t>
                  </w:r>
                </w:p>
                <w:p>
                  <w:pPr>
                    <w:jc w:val="center"/>
                    <w:rPr>
                      <w:szCs w:val="21"/>
                    </w:rPr>
                  </w:pPr>
                  <w:r>
                    <w:rPr>
                      <w:rFonts w:hint="eastAsia"/>
                      <w:szCs w:val="21"/>
                    </w:rPr>
                    <w:t>S</w:t>
                  </w:r>
                  <w:r>
                    <w:rPr>
                      <w:szCs w:val="21"/>
                    </w:rPr>
                    <w:t>S</w:t>
                  </w:r>
                </w:p>
                <w:p>
                  <w:pPr>
                    <w:jc w:val="center"/>
                    <w:rPr>
                      <w:szCs w:val="21"/>
                    </w:rPr>
                  </w:pPr>
                  <w:r>
                    <w:rPr>
                      <w:rFonts w:hint="eastAsia"/>
                      <w:szCs w:val="21"/>
                    </w:rPr>
                    <w:t>N</w:t>
                  </w:r>
                  <w:r>
                    <w:rPr>
                      <w:szCs w:val="21"/>
                    </w:rPr>
                    <w:t>H</w:t>
                  </w:r>
                  <w:r>
                    <w:rPr>
                      <w:szCs w:val="21"/>
                      <w:vertAlign w:val="subscript"/>
                    </w:rPr>
                    <w:t>3</w:t>
                  </w:r>
                  <w:r>
                    <w:rPr>
                      <w:szCs w:val="21"/>
                    </w:rPr>
                    <w:t>-N</w:t>
                  </w:r>
                </w:p>
              </w:tc>
              <w:tc>
                <w:tcPr>
                  <w:tcW w:w="1393" w:type="pct"/>
                  <w:gridSpan w:val="2"/>
                  <w:vAlign w:val="center"/>
                </w:tcPr>
                <w:p>
                  <w:pPr>
                    <w:jc w:val="center"/>
                    <w:rPr>
                      <w:szCs w:val="21"/>
                    </w:rPr>
                  </w:pPr>
                  <w:r>
                    <w:rPr>
                      <w:szCs w:val="21"/>
                    </w:rPr>
                    <w:t>2.2m</w:t>
                  </w:r>
                  <w:r>
                    <w:rPr>
                      <w:szCs w:val="21"/>
                      <w:vertAlign w:val="superscript"/>
                    </w:rPr>
                    <w:t>3</w:t>
                  </w:r>
                  <w:r>
                    <w:rPr>
                      <w:szCs w:val="21"/>
                    </w:rPr>
                    <w:t>/d</w:t>
                  </w:r>
                  <w:r>
                    <w:rPr>
                      <w:rFonts w:hint="eastAsia" w:hAnsi="宋体"/>
                      <w:szCs w:val="21"/>
                    </w:rPr>
                    <w:t>（</w:t>
                  </w:r>
                  <w:r>
                    <w:rPr>
                      <w:rFonts w:hAnsi="宋体"/>
                      <w:szCs w:val="21"/>
                    </w:rPr>
                    <w:t>660</w:t>
                  </w:r>
                  <w:r>
                    <w:rPr>
                      <w:rFonts w:hint="eastAsia" w:hAnsi="宋体"/>
                      <w:szCs w:val="21"/>
                    </w:rPr>
                    <w:t>m</w:t>
                  </w:r>
                  <w:r>
                    <w:rPr>
                      <w:rFonts w:hint="eastAsia" w:hAnsi="宋体"/>
                      <w:szCs w:val="21"/>
                      <w:vertAlign w:val="superscript"/>
                    </w:rPr>
                    <w:t>3</w:t>
                  </w:r>
                  <w:r>
                    <w:rPr>
                      <w:rFonts w:hint="eastAsia" w:hAnsi="宋体"/>
                      <w:szCs w:val="21"/>
                    </w:rPr>
                    <w:t>/a）</w:t>
                  </w:r>
                </w:p>
              </w:tc>
              <w:tc>
                <w:tcPr>
                  <w:tcW w:w="808" w:type="pct"/>
                  <w:vAlign w:val="center"/>
                </w:tcPr>
                <w:p>
                  <w:pPr>
                    <w:rPr>
                      <w:szCs w:val="21"/>
                    </w:rPr>
                  </w:pPr>
                  <w:r>
                    <w:rPr>
                      <w:rFonts w:hint="eastAsia"/>
                      <w:szCs w:val="21"/>
                    </w:rPr>
                    <w:t>生产废水直接排入化粪池（依托）；食堂废水经过隔油池后进入化粪池（依托）处理</w:t>
                  </w:r>
                </w:p>
              </w:tc>
              <w:tc>
                <w:tcPr>
                  <w:tcW w:w="1444" w:type="pct"/>
                  <w:vAlign w:val="center"/>
                </w:tcPr>
                <w:p>
                  <w:pPr>
                    <w:rPr>
                      <w:szCs w:val="21"/>
                    </w:rPr>
                  </w:pPr>
                  <w:r>
                    <w:rPr>
                      <w:rFonts w:hint="eastAsia"/>
                      <w:color w:val="000000" w:themeColor="text1"/>
                      <w:szCs w:val="21"/>
                      <w14:textFill>
                        <w14:solidFill>
                          <w14:schemeClr w14:val="tx1"/>
                        </w14:solidFill>
                      </w14:textFill>
                    </w:rPr>
                    <w:t>排入化粪池，废水不外排，对化粪池定期清掏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restart"/>
                  <w:vAlign w:val="center"/>
                </w:tcPr>
                <w:p>
                  <w:pPr>
                    <w:jc w:val="center"/>
                    <w:rPr>
                      <w:szCs w:val="21"/>
                    </w:rPr>
                  </w:pPr>
                  <w:r>
                    <w:rPr>
                      <w:szCs w:val="21"/>
                    </w:rPr>
                    <w:t>废</w:t>
                  </w:r>
                  <w:r>
                    <w:rPr>
                      <w:rFonts w:hint="eastAsia"/>
                      <w:szCs w:val="21"/>
                    </w:rPr>
                    <w:t>气</w:t>
                  </w:r>
                </w:p>
              </w:tc>
              <w:tc>
                <w:tcPr>
                  <w:tcW w:w="511" w:type="pct"/>
                  <w:vMerge w:val="restart"/>
                  <w:vAlign w:val="center"/>
                </w:tcPr>
                <w:p>
                  <w:pPr>
                    <w:jc w:val="center"/>
                    <w:rPr>
                      <w:kern w:val="0"/>
                      <w:szCs w:val="21"/>
                    </w:rPr>
                  </w:pPr>
                  <w:r>
                    <w:rPr>
                      <w:rFonts w:hint="eastAsia"/>
                      <w:szCs w:val="21"/>
                    </w:rPr>
                    <w:t>排气筒P</w:t>
                  </w:r>
                  <w:r>
                    <w:rPr>
                      <w:szCs w:val="21"/>
                    </w:rPr>
                    <w:t>1</w:t>
                  </w:r>
                </w:p>
              </w:tc>
              <w:tc>
                <w:tcPr>
                  <w:tcW w:w="584" w:type="pct"/>
                  <w:vAlign w:val="center"/>
                </w:tcPr>
                <w:p>
                  <w:pPr>
                    <w:jc w:val="center"/>
                    <w:rPr>
                      <w:kern w:val="0"/>
                      <w:szCs w:val="21"/>
                    </w:rPr>
                  </w:pPr>
                  <w:r>
                    <w:rPr>
                      <w:rFonts w:hint="eastAsia"/>
                      <w:szCs w:val="21"/>
                    </w:rPr>
                    <w:t>苯乙烯</w:t>
                  </w:r>
                </w:p>
              </w:tc>
              <w:tc>
                <w:tcPr>
                  <w:tcW w:w="771" w:type="pct"/>
                  <w:vAlign w:val="center"/>
                </w:tcPr>
                <w:p>
                  <w:pPr>
                    <w:jc w:val="center"/>
                    <w:rPr>
                      <w:szCs w:val="21"/>
                    </w:rPr>
                  </w:pPr>
                  <w:r>
                    <w:rPr>
                      <w:color w:val="000000" w:themeColor="text1"/>
                      <w:szCs w:val="21"/>
                      <w14:textFill>
                        <w14:solidFill>
                          <w14:schemeClr w14:val="tx1"/>
                        </w14:solidFill>
                      </w14:textFill>
                    </w:rPr>
                    <w:t>0.005</w:t>
                  </w:r>
                  <w:r>
                    <w:rPr>
                      <w:rFonts w:hint="eastAsia"/>
                      <w:color w:val="000000" w:themeColor="text1"/>
                      <w:szCs w:val="21"/>
                      <w14:textFill>
                        <w14:solidFill>
                          <w14:schemeClr w14:val="tx1"/>
                        </w14:solidFill>
                      </w14:textFill>
                    </w:rPr>
                    <w:t>kg/h</w:t>
                  </w:r>
                </w:p>
              </w:tc>
              <w:tc>
                <w:tcPr>
                  <w:tcW w:w="622" w:type="pct"/>
                  <w:vAlign w:val="center"/>
                </w:tcPr>
                <w:p>
                  <w:pPr>
                    <w:jc w:val="center"/>
                    <w:rPr>
                      <w:szCs w:val="21"/>
                    </w:rPr>
                  </w:pPr>
                  <w:r>
                    <w:rPr>
                      <w:color w:val="000000" w:themeColor="text1"/>
                      <w:szCs w:val="21"/>
                      <w14:textFill>
                        <w14:solidFill>
                          <w14:schemeClr w14:val="tx1"/>
                        </w14:solidFill>
                      </w14:textFill>
                    </w:rPr>
                    <w:t>0.032t/a</w:t>
                  </w:r>
                </w:p>
              </w:tc>
              <w:tc>
                <w:tcPr>
                  <w:tcW w:w="808" w:type="pct"/>
                  <w:vMerge w:val="restart"/>
                  <w:vAlign w:val="center"/>
                </w:tcPr>
                <w:p>
                  <w:pPr>
                    <w:pStyle w:val="74"/>
                    <w:widowControl w:val="0"/>
                    <w:spacing w:before="0" w:after="0"/>
                    <w:jc w:val="both"/>
                    <w:rPr>
                      <w:szCs w:val="21"/>
                    </w:rPr>
                  </w:pPr>
                  <w:r>
                    <w:rPr>
                      <w:rFonts w:hint="eastAsia"/>
                      <w:color w:val="000000"/>
                      <w:kern w:val="2"/>
                      <w:szCs w:val="21"/>
                    </w:rPr>
                    <w:t>集气罩+二级活性炭+15m排气筒</w:t>
                  </w:r>
                </w:p>
              </w:tc>
              <w:tc>
                <w:tcPr>
                  <w:tcW w:w="1444" w:type="pct"/>
                  <w:vMerge w:val="restart"/>
                  <w:vAlign w:val="center"/>
                </w:tcPr>
                <w:p>
                  <w:pPr>
                    <w:rPr>
                      <w:szCs w:val="21"/>
                    </w:rPr>
                  </w:pPr>
                  <w:r>
                    <w:rPr>
                      <w:rFonts w:hint="eastAsia"/>
                      <w:szCs w:val="21"/>
                    </w:rPr>
                    <w:t>《合成树脂工业污染物排放标准》（GB31572-2015）</w:t>
                  </w:r>
                  <w:r>
                    <w:rPr>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continue"/>
                  <w:vAlign w:val="center"/>
                </w:tcPr>
                <w:p>
                  <w:pPr>
                    <w:jc w:val="center"/>
                    <w:rPr>
                      <w:color w:val="000000"/>
                      <w:szCs w:val="21"/>
                    </w:rPr>
                  </w:pPr>
                </w:p>
              </w:tc>
              <w:tc>
                <w:tcPr>
                  <w:tcW w:w="511" w:type="pct"/>
                  <w:vMerge w:val="continue"/>
                  <w:vAlign w:val="center"/>
                </w:tcPr>
                <w:p>
                  <w:pPr>
                    <w:jc w:val="center"/>
                    <w:rPr>
                      <w:color w:val="000000"/>
                      <w:kern w:val="0"/>
                      <w:szCs w:val="21"/>
                    </w:rPr>
                  </w:pPr>
                </w:p>
              </w:tc>
              <w:tc>
                <w:tcPr>
                  <w:tcW w:w="584" w:type="pct"/>
                  <w:vAlign w:val="center"/>
                </w:tcPr>
                <w:p>
                  <w:pPr>
                    <w:jc w:val="center"/>
                    <w:rPr>
                      <w:color w:val="000000"/>
                      <w:szCs w:val="21"/>
                    </w:rPr>
                  </w:pPr>
                  <w:r>
                    <w:rPr>
                      <w:rFonts w:hint="eastAsia"/>
                      <w:szCs w:val="21"/>
                    </w:rPr>
                    <w:t>非甲烷总烃</w:t>
                  </w:r>
                </w:p>
              </w:tc>
              <w:tc>
                <w:tcPr>
                  <w:tcW w:w="771" w:type="pct"/>
                  <w:vAlign w:val="center"/>
                </w:tcPr>
                <w:p>
                  <w:pPr>
                    <w:jc w:val="center"/>
                    <w:rPr>
                      <w:color w:val="000000"/>
                      <w:szCs w:val="21"/>
                    </w:rPr>
                  </w:pPr>
                  <w:r>
                    <w:rPr>
                      <w:rFonts w:hint="eastAsia"/>
                      <w:szCs w:val="21"/>
                    </w:rPr>
                    <w:t>0</w:t>
                  </w:r>
                  <w:r>
                    <w:rPr>
                      <w:szCs w:val="21"/>
                    </w:rPr>
                    <w:t>.052</w:t>
                  </w:r>
                  <w:r>
                    <w:rPr>
                      <w:color w:val="000000" w:themeColor="text1"/>
                      <w:szCs w:val="21"/>
                      <w14:textFill>
                        <w14:solidFill>
                          <w14:schemeClr w14:val="tx1"/>
                        </w14:solidFill>
                      </w14:textFill>
                    </w:rPr>
                    <w:t>kg/h</w:t>
                  </w:r>
                </w:p>
              </w:tc>
              <w:tc>
                <w:tcPr>
                  <w:tcW w:w="622" w:type="pct"/>
                  <w:vAlign w:val="center"/>
                </w:tcPr>
                <w:p>
                  <w:pPr>
                    <w:jc w:val="center"/>
                    <w:rPr>
                      <w:color w:val="000000"/>
                      <w:szCs w:val="21"/>
                    </w:rPr>
                  </w:pPr>
                  <w:r>
                    <w:rPr>
                      <w:rFonts w:hint="eastAsia"/>
                      <w:szCs w:val="21"/>
                    </w:rPr>
                    <w:t>0</w:t>
                  </w:r>
                  <w:r>
                    <w:rPr>
                      <w:szCs w:val="21"/>
                    </w:rPr>
                    <w:t>.373</w:t>
                  </w:r>
                  <w:r>
                    <w:rPr>
                      <w:color w:val="000000" w:themeColor="text1"/>
                      <w:szCs w:val="21"/>
                      <w14:textFill>
                        <w14:solidFill>
                          <w14:schemeClr w14:val="tx1"/>
                        </w14:solidFill>
                      </w14:textFill>
                    </w:rPr>
                    <w:t>t/a</w:t>
                  </w:r>
                </w:p>
              </w:tc>
              <w:tc>
                <w:tcPr>
                  <w:tcW w:w="808" w:type="pct"/>
                  <w:vMerge w:val="continue"/>
                  <w:vAlign w:val="center"/>
                </w:tcPr>
                <w:p>
                  <w:pPr>
                    <w:pStyle w:val="74"/>
                    <w:widowControl w:val="0"/>
                    <w:spacing w:before="0" w:after="0"/>
                    <w:ind w:firstLine="560"/>
                    <w:jc w:val="both"/>
                    <w:rPr>
                      <w:color w:val="000000"/>
                      <w:kern w:val="2"/>
                      <w:szCs w:val="21"/>
                    </w:rPr>
                  </w:pPr>
                </w:p>
              </w:tc>
              <w:tc>
                <w:tcPr>
                  <w:tcW w:w="1444"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59" w:type="pct"/>
                  <w:vMerge w:val="continue"/>
                  <w:vAlign w:val="center"/>
                </w:tcPr>
                <w:p>
                  <w:pPr>
                    <w:jc w:val="center"/>
                    <w:rPr>
                      <w:color w:val="000000"/>
                      <w:szCs w:val="21"/>
                    </w:rPr>
                  </w:pPr>
                </w:p>
              </w:tc>
              <w:tc>
                <w:tcPr>
                  <w:tcW w:w="511" w:type="pct"/>
                  <w:vAlign w:val="center"/>
                </w:tcPr>
                <w:p>
                  <w:pPr>
                    <w:jc w:val="center"/>
                    <w:rPr>
                      <w:color w:val="000000"/>
                      <w:kern w:val="0"/>
                      <w:szCs w:val="21"/>
                    </w:rPr>
                  </w:pPr>
                  <w:r>
                    <w:rPr>
                      <w:rFonts w:hint="eastAsia"/>
                      <w:szCs w:val="21"/>
                    </w:rPr>
                    <w:t>排气筒P</w:t>
                  </w:r>
                  <w:r>
                    <w:rPr>
                      <w:szCs w:val="21"/>
                    </w:rPr>
                    <w:t>2</w:t>
                  </w:r>
                </w:p>
              </w:tc>
              <w:tc>
                <w:tcPr>
                  <w:tcW w:w="584" w:type="pct"/>
                  <w:vAlign w:val="center"/>
                </w:tcPr>
                <w:p>
                  <w:pPr>
                    <w:jc w:val="center"/>
                    <w:rPr>
                      <w:color w:val="000000"/>
                      <w:szCs w:val="21"/>
                    </w:rPr>
                  </w:pPr>
                  <w:r>
                    <w:rPr>
                      <w:rFonts w:hint="eastAsia"/>
                      <w:color w:val="000000"/>
                      <w:szCs w:val="21"/>
                    </w:rPr>
                    <w:t>粉尘</w:t>
                  </w:r>
                </w:p>
              </w:tc>
              <w:tc>
                <w:tcPr>
                  <w:tcW w:w="771" w:type="pct"/>
                  <w:vAlign w:val="center"/>
                </w:tcPr>
                <w:p>
                  <w:pPr>
                    <w:jc w:val="center"/>
                    <w:rPr>
                      <w:color w:val="000000"/>
                      <w:szCs w:val="21"/>
                    </w:rPr>
                  </w:pPr>
                  <w:r>
                    <w:rPr>
                      <w:color w:val="000000" w:themeColor="text1"/>
                      <w:szCs w:val="21"/>
                      <w14:textFill>
                        <w14:solidFill>
                          <w14:schemeClr w14:val="tx1"/>
                        </w14:solidFill>
                      </w14:textFill>
                    </w:rPr>
                    <w:t>0.008kg/h</w:t>
                  </w:r>
                </w:p>
              </w:tc>
              <w:tc>
                <w:tcPr>
                  <w:tcW w:w="622" w:type="pct"/>
                  <w:vAlign w:val="center"/>
                </w:tcPr>
                <w:p>
                  <w:pPr>
                    <w:jc w:val="center"/>
                    <w:rPr>
                      <w:szCs w:val="21"/>
                    </w:rPr>
                  </w:pPr>
                  <w:r>
                    <w:rPr>
                      <w:color w:val="000000" w:themeColor="text1"/>
                      <w:szCs w:val="21"/>
                      <w14:textFill>
                        <w14:solidFill>
                          <w14:schemeClr w14:val="tx1"/>
                        </w14:solidFill>
                      </w14:textFill>
                    </w:rPr>
                    <w:t>0.058t/a</w:t>
                  </w:r>
                </w:p>
              </w:tc>
              <w:tc>
                <w:tcPr>
                  <w:tcW w:w="808" w:type="pct"/>
                  <w:vAlign w:val="center"/>
                </w:tcPr>
                <w:p>
                  <w:pPr>
                    <w:pStyle w:val="74"/>
                    <w:widowControl w:val="0"/>
                    <w:spacing w:before="0" w:after="0"/>
                    <w:jc w:val="both"/>
                    <w:rPr>
                      <w:color w:val="000000"/>
                      <w:kern w:val="2"/>
                      <w:szCs w:val="21"/>
                    </w:rPr>
                  </w:pPr>
                  <w:r>
                    <w:rPr>
                      <w:rFonts w:hint="eastAsia"/>
                      <w:color w:val="000000"/>
                      <w:kern w:val="2"/>
                      <w:szCs w:val="21"/>
                    </w:rPr>
                    <w:t>集气罩+布袋除尘器+15m排气筒</w:t>
                  </w:r>
                </w:p>
              </w:tc>
              <w:tc>
                <w:tcPr>
                  <w:tcW w:w="1444"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9" w:type="pct"/>
                  <w:vMerge w:val="continue"/>
                  <w:vAlign w:val="center"/>
                </w:tcPr>
                <w:p>
                  <w:pPr>
                    <w:jc w:val="center"/>
                    <w:rPr>
                      <w:color w:val="000000"/>
                      <w:szCs w:val="21"/>
                    </w:rPr>
                  </w:pPr>
                </w:p>
              </w:tc>
              <w:tc>
                <w:tcPr>
                  <w:tcW w:w="511" w:type="pct"/>
                  <w:vMerge w:val="restart"/>
                  <w:vAlign w:val="center"/>
                </w:tcPr>
                <w:p>
                  <w:pPr>
                    <w:jc w:val="center"/>
                    <w:rPr>
                      <w:color w:val="000000"/>
                      <w:kern w:val="0"/>
                      <w:szCs w:val="21"/>
                    </w:rPr>
                  </w:pPr>
                  <w:r>
                    <w:rPr>
                      <w:rFonts w:hint="eastAsia"/>
                      <w:szCs w:val="21"/>
                    </w:rPr>
                    <w:t>排气筒P</w:t>
                  </w:r>
                  <w:r>
                    <w:rPr>
                      <w:szCs w:val="21"/>
                    </w:rPr>
                    <w:t>3</w:t>
                  </w:r>
                </w:p>
              </w:tc>
              <w:tc>
                <w:tcPr>
                  <w:tcW w:w="584" w:type="pct"/>
                  <w:vAlign w:val="center"/>
                </w:tcPr>
                <w:p>
                  <w:pPr>
                    <w:jc w:val="center"/>
                    <w:rPr>
                      <w:color w:val="000000"/>
                      <w:szCs w:val="21"/>
                    </w:rPr>
                  </w:pPr>
                  <w:r>
                    <w:rPr>
                      <w:rFonts w:hint="eastAsia"/>
                      <w:szCs w:val="21"/>
                    </w:rPr>
                    <w:t>颗粒物</w:t>
                  </w:r>
                </w:p>
              </w:tc>
              <w:tc>
                <w:tcPr>
                  <w:tcW w:w="771" w:type="pct"/>
                  <w:vAlign w:val="center"/>
                </w:tcPr>
                <w:p>
                  <w:pPr>
                    <w:jc w:val="center"/>
                    <w:rPr>
                      <w:szCs w:val="21"/>
                    </w:rPr>
                  </w:pPr>
                  <w:r>
                    <w:rPr>
                      <w:color w:val="000000" w:themeColor="text1"/>
                      <w:szCs w:val="21"/>
                      <w14:textFill>
                        <w14:solidFill>
                          <w14:schemeClr w14:val="tx1"/>
                        </w14:solidFill>
                      </w14:textFill>
                    </w:rPr>
                    <w:t>5.568mg/m</w:t>
                  </w:r>
                  <w:r>
                    <w:rPr>
                      <w:color w:val="000000" w:themeColor="text1"/>
                      <w:szCs w:val="21"/>
                      <w:vertAlign w:val="superscript"/>
                      <w14:textFill>
                        <w14:solidFill>
                          <w14:schemeClr w14:val="tx1"/>
                        </w14:solidFill>
                      </w14:textFill>
                    </w:rPr>
                    <w:t>3</w:t>
                  </w:r>
                </w:p>
              </w:tc>
              <w:tc>
                <w:tcPr>
                  <w:tcW w:w="622" w:type="pct"/>
                  <w:vAlign w:val="center"/>
                </w:tcPr>
                <w:p>
                  <w:pPr>
                    <w:jc w:val="center"/>
                    <w:rPr>
                      <w:szCs w:val="21"/>
                    </w:rPr>
                  </w:pPr>
                  <w:r>
                    <w:rPr>
                      <w:color w:val="000000" w:themeColor="text1"/>
                      <w:szCs w:val="21"/>
                      <w14:textFill>
                        <w14:solidFill>
                          <w14:schemeClr w14:val="tx1"/>
                        </w14:solidFill>
                      </w14:textFill>
                    </w:rPr>
                    <w:t>0.0162t/a</w:t>
                  </w:r>
                </w:p>
              </w:tc>
              <w:tc>
                <w:tcPr>
                  <w:tcW w:w="808" w:type="pct"/>
                  <w:vMerge w:val="restart"/>
                  <w:vAlign w:val="center"/>
                </w:tcPr>
                <w:p>
                  <w:pPr>
                    <w:pStyle w:val="74"/>
                    <w:widowControl w:val="0"/>
                    <w:spacing w:before="0" w:after="0"/>
                    <w:jc w:val="both"/>
                    <w:rPr>
                      <w:color w:val="000000"/>
                      <w:kern w:val="2"/>
                      <w:szCs w:val="21"/>
                    </w:rPr>
                  </w:pPr>
                  <w:r>
                    <w:rPr>
                      <w:rFonts w:hint="eastAsia"/>
                      <w:color w:val="000000"/>
                      <w:kern w:val="2"/>
                      <w:szCs w:val="21"/>
                    </w:rPr>
                    <w:t>低氮燃烧器（2台）+</w:t>
                  </w:r>
                  <w:r>
                    <w:rPr>
                      <w:color w:val="000000"/>
                      <w:kern w:val="2"/>
                      <w:szCs w:val="21"/>
                    </w:rPr>
                    <w:t>15m</w:t>
                  </w:r>
                  <w:r>
                    <w:rPr>
                      <w:rFonts w:hint="eastAsia"/>
                      <w:color w:val="000000"/>
                      <w:kern w:val="2"/>
                      <w:szCs w:val="21"/>
                    </w:rPr>
                    <w:t>排气筒</w:t>
                  </w:r>
                </w:p>
              </w:tc>
              <w:tc>
                <w:tcPr>
                  <w:tcW w:w="1444" w:type="pct"/>
                  <w:vMerge w:val="restart"/>
                  <w:vAlign w:val="center"/>
                </w:tcPr>
                <w:p>
                  <w:pPr>
                    <w:jc w:val="center"/>
                    <w:rPr>
                      <w:color w:val="000000"/>
                      <w:szCs w:val="21"/>
                    </w:rPr>
                  </w:pPr>
                  <w:r>
                    <w:rPr>
                      <w:szCs w:val="21"/>
                    </w:rPr>
                    <w:t>《锅炉大气污染物排放标准》（</w:t>
                  </w:r>
                  <w:r>
                    <w:rPr>
                      <w:rFonts w:hint="eastAsia"/>
                      <w:szCs w:val="21"/>
                    </w:rPr>
                    <w:t>D</w:t>
                  </w:r>
                  <w:r>
                    <w:rPr>
                      <w:szCs w:val="21"/>
                    </w:rPr>
                    <w:t>B</w:t>
                  </w:r>
                  <w:r>
                    <w:rPr>
                      <w:rFonts w:hint="eastAsia"/>
                      <w:szCs w:val="21"/>
                    </w:rPr>
                    <w:t>61/1226-2018</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9" w:type="pct"/>
                  <w:vMerge w:val="continue"/>
                  <w:vAlign w:val="center"/>
                </w:tcPr>
                <w:p>
                  <w:pPr>
                    <w:jc w:val="center"/>
                    <w:rPr>
                      <w:color w:val="000000"/>
                      <w:szCs w:val="21"/>
                    </w:rPr>
                  </w:pPr>
                </w:p>
              </w:tc>
              <w:tc>
                <w:tcPr>
                  <w:tcW w:w="511" w:type="pct"/>
                  <w:vMerge w:val="continue"/>
                  <w:vAlign w:val="center"/>
                </w:tcPr>
                <w:p>
                  <w:pPr>
                    <w:jc w:val="center"/>
                    <w:rPr>
                      <w:szCs w:val="21"/>
                    </w:rPr>
                  </w:pPr>
                </w:p>
              </w:tc>
              <w:tc>
                <w:tcPr>
                  <w:tcW w:w="584" w:type="pct"/>
                  <w:vAlign w:val="center"/>
                </w:tcPr>
                <w:p>
                  <w:pPr>
                    <w:jc w:val="center"/>
                    <w:rPr>
                      <w:szCs w:val="21"/>
                    </w:rPr>
                  </w:pPr>
                  <w:r>
                    <w:rPr>
                      <w:color w:val="000000"/>
                      <w:szCs w:val="21"/>
                    </w:rPr>
                    <w:t>SO</w:t>
                  </w:r>
                  <w:r>
                    <w:rPr>
                      <w:color w:val="000000"/>
                      <w:szCs w:val="21"/>
                      <w:vertAlign w:val="subscript"/>
                    </w:rPr>
                    <w:t>2</w:t>
                  </w:r>
                </w:p>
              </w:tc>
              <w:tc>
                <w:tcPr>
                  <w:tcW w:w="771"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9.28mg/m</w:t>
                  </w:r>
                  <w:r>
                    <w:rPr>
                      <w:color w:val="000000" w:themeColor="text1"/>
                      <w:szCs w:val="21"/>
                      <w:vertAlign w:val="superscript"/>
                      <w14:textFill>
                        <w14:solidFill>
                          <w14:schemeClr w14:val="tx1"/>
                        </w14:solidFill>
                      </w14:textFill>
                    </w:rPr>
                    <w:t>3</w:t>
                  </w:r>
                </w:p>
              </w:tc>
              <w:tc>
                <w:tcPr>
                  <w:tcW w:w="622"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7t/a</w:t>
                  </w:r>
                </w:p>
              </w:tc>
              <w:tc>
                <w:tcPr>
                  <w:tcW w:w="808" w:type="pct"/>
                  <w:vMerge w:val="continue"/>
                  <w:vAlign w:val="center"/>
                </w:tcPr>
                <w:p>
                  <w:pPr>
                    <w:pStyle w:val="74"/>
                    <w:widowControl w:val="0"/>
                    <w:spacing w:before="0" w:after="0"/>
                    <w:jc w:val="both"/>
                    <w:rPr>
                      <w:szCs w:val="21"/>
                    </w:rPr>
                  </w:pPr>
                </w:p>
              </w:tc>
              <w:tc>
                <w:tcPr>
                  <w:tcW w:w="1444"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9" w:type="pct"/>
                  <w:vMerge w:val="continue"/>
                  <w:vAlign w:val="center"/>
                </w:tcPr>
                <w:p>
                  <w:pPr>
                    <w:jc w:val="center"/>
                    <w:rPr>
                      <w:color w:val="000000"/>
                      <w:szCs w:val="21"/>
                    </w:rPr>
                  </w:pPr>
                </w:p>
              </w:tc>
              <w:tc>
                <w:tcPr>
                  <w:tcW w:w="511" w:type="pct"/>
                  <w:vMerge w:val="continue"/>
                  <w:vAlign w:val="center"/>
                </w:tcPr>
                <w:p>
                  <w:pPr>
                    <w:jc w:val="center"/>
                    <w:rPr>
                      <w:szCs w:val="21"/>
                    </w:rPr>
                  </w:pPr>
                </w:p>
              </w:tc>
              <w:tc>
                <w:tcPr>
                  <w:tcW w:w="584" w:type="pct"/>
                  <w:vAlign w:val="center"/>
                </w:tcPr>
                <w:p>
                  <w:pPr>
                    <w:jc w:val="center"/>
                    <w:rPr>
                      <w:szCs w:val="21"/>
                    </w:rPr>
                  </w:pPr>
                  <w:r>
                    <w:rPr>
                      <w:color w:val="000000" w:themeColor="text1"/>
                      <w:szCs w:val="21"/>
                      <w14:textFill>
                        <w14:solidFill>
                          <w14:schemeClr w14:val="tx1"/>
                        </w14:solidFill>
                      </w14:textFill>
                    </w:rPr>
                    <w:t>NO</w:t>
                  </w:r>
                  <w:r>
                    <w:rPr>
                      <w:color w:val="000000" w:themeColor="text1"/>
                      <w:szCs w:val="21"/>
                      <w:vertAlign w:val="subscript"/>
                      <w14:textFill>
                        <w14:solidFill>
                          <w14:schemeClr w14:val="tx1"/>
                        </w14:solidFill>
                      </w14:textFill>
                    </w:rPr>
                    <w:t>X</w:t>
                  </w:r>
                </w:p>
              </w:tc>
              <w:tc>
                <w:tcPr>
                  <w:tcW w:w="771"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28.12mg/m</w:t>
                  </w:r>
                  <w:r>
                    <w:rPr>
                      <w:color w:val="000000" w:themeColor="text1"/>
                      <w:szCs w:val="21"/>
                      <w:vertAlign w:val="superscript"/>
                      <w14:textFill>
                        <w14:solidFill>
                          <w14:schemeClr w14:val="tx1"/>
                        </w14:solidFill>
                      </w14:textFill>
                    </w:rPr>
                    <w:t>3</w:t>
                  </w:r>
                </w:p>
              </w:tc>
              <w:tc>
                <w:tcPr>
                  <w:tcW w:w="622"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8181t/a</w:t>
                  </w:r>
                </w:p>
              </w:tc>
              <w:tc>
                <w:tcPr>
                  <w:tcW w:w="808" w:type="pct"/>
                  <w:vMerge w:val="continue"/>
                  <w:vAlign w:val="center"/>
                </w:tcPr>
                <w:p>
                  <w:pPr>
                    <w:pStyle w:val="74"/>
                    <w:widowControl w:val="0"/>
                    <w:spacing w:before="0" w:after="0"/>
                    <w:jc w:val="both"/>
                    <w:rPr>
                      <w:szCs w:val="21"/>
                    </w:rPr>
                  </w:pPr>
                </w:p>
              </w:tc>
              <w:tc>
                <w:tcPr>
                  <w:tcW w:w="1444"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continue"/>
                  <w:vAlign w:val="center"/>
                </w:tcPr>
                <w:p>
                  <w:pPr>
                    <w:jc w:val="center"/>
                    <w:rPr>
                      <w:color w:val="000000"/>
                      <w:szCs w:val="21"/>
                    </w:rPr>
                  </w:pPr>
                </w:p>
              </w:tc>
              <w:tc>
                <w:tcPr>
                  <w:tcW w:w="511" w:type="pct"/>
                  <w:vMerge w:val="restart"/>
                  <w:vAlign w:val="center"/>
                </w:tcPr>
                <w:p>
                  <w:pPr>
                    <w:jc w:val="center"/>
                    <w:rPr>
                      <w:color w:val="000000"/>
                      <w:kern w:val="0"/>
                      <w:szCs w:val="21"/>
                    </w:rPr>
                  </w:pPr>
                  <w:r>
                    <w:rPr>
                      <w:rFonts w:hint="eastAsia"/>
                      <w:color w:val="000000"/>
                      <w:kern w:val="0"/>
                      <w:szCs w:val="21"/>
                    </w:rPr>
                    <w:t>无组织</w:t>
                  </w:r>
                </w:p>
              </w:tc>
              <w:tc>
                <w:tcPr>
                  <w:tcW w:w="584" w:type="pct"/>
                  <w:vAlign w:val="center"/>
                </w:tcPr>
                <w:p>
                  <w:pPr>
                    <w:jc w:val="center"/>
                    <w:rPr>
                      <w:color w:val="000000"/>
                      <w:szCs w:val="21"/>
                    </w:rPr>
                  </w:pPr>
                  <w:r>
                    <w:rPr>
                      <w:rFonts w:hint="eastAsia"/>
                      <w:szCs w:val="21"/>
                    </w:rPr>
                    <w:t>苯乙烯</w:t>
                  </w:r>
                </w:p>
              </w:tc>
              <w:tc>
                <w:tcPr>
                  <w:tcW w:w="771" w:type="pct"/>
                  <w:vAlign w:val="center"/>
                </w:tcPr>
                <w:p>
                  <w:pPr>
                    <w:jc w:val="center"/>
                    <w:rPr>
                      <w:color w:val="000000"/>
                      <w:szCs w:val="21"/>
                    </w:rPr>
                  </w:pPr>
                  <w:r>
                    <w:rPr>
                      <w:rFonts w:hint="eastAsia"/>
                      <w:szCs w:val="21"/>
                    </w:rPr>
                    <w:t>0</w:t>
                  </w:r>
                  <w:r>
                    <w:rPr>
                      <w:szCs w:val="21"/>
                    </w:rPr>
                    <w:t>.002</w:t>
                  </w:r>
                  <w:r>
                    <w:rPr>
                      <w:rFonts w:hint="eastAsia"/>
                      <w:color w:val="000000" w:themeColor="text1"/>
                      <w:szCs w:val="21"/>
                      <w14:textFill>
                        <w14:solidFill>
                          <w14:schemeClr w14:val="tx1"/>
                        </w14:solidFill>
                      </w14:textFill>
                    </w:rPr>
                    <w:t>kg/h</w:t>
                  </w:r>
                </w:p>
              </w:tc>
              <w:tc>
                <w:tcPr>
                  <w:tcW w:w="622" w:type="pct"/>
                  <w:vAlign w:val="center"/>
                </w:tcPr>
                <w:p>
                  <w:pPr>
                    <w:jc w:val="center"/>
                    <w:rPr>
                      <w:color w:val="000000"/>
                      <w:szCs w:val="21"/>
                    </w:rPr>
                  </w:pPr>
                  <w:r>
                    <w:rPr>
                      <w:rFonts w:hint="eastAsia"/>
                      <w:szCs w:val="21"/>
                    </w:rPr>
                    <w:t>0</w:t>
                  </w:r>
                  <w:r>
                    <w:rPr>
                      <w:szCs w:val="21"/>
                    </w:rPr>
                    <w:t>.017</w:t>
                  </w:r>
                  <w:r>
                    <w:rPr>
                      <w:rFonts w:hint="eastAsia"/>
                      <w:color w:val="000000" w:themeColor="text1"/>
                      <w:szCs w:val="21"/>
                      <w14:textFill>
                        <w14:solidFill>
                          <w14:schemeClr w14:val="tx1"/>
                        </w14:solidFill>
                      </w14:textFill>
                    </w:rPr>
                    <w:t>t/a</w:t>
                  </w:r>
                </w:p>
              </w:tc>
              <w:tc>
                <w:tcPr>
                  <w:tcW w:w="808" w:type="pct"/>
                  <w:vMerge w:val="restart"/>
                  <w:vAlign w:val="center"/>
                </w:tcPr>
                <w:p>
                  <w:pPr>
                    <w:pStyle w:val="74"/>
                    <w:widowControl w:val="0"/>
                    <w:spacing w:before="0" w:after="0"/>
                    <w:jc w:val="both"/>
                    <w:rPr>
                      <w:color w:val="000000"/>
                      <w:kern w:val="2"/>
                      <w:szCs w:val="21"/>
                    </w:rPr>
                  </w:pPr>
                  <w:r>
                    <w:rPr>
                      <w:rFonts w:hint="eastAsia"/>
                      <w:color w:val="000000"/>
                      <w:kern w:val="2"/>
                      <w:szCs w:val="21"/>
                    </w:rPr>
                    <w:t>密闭厂房，加强通风</w:t>
                  </w:r>
                </w:p>
              </w:tc>
              <w:tc>
                <w:tcPr>
                  <w:tcW w:w="1444" w:type="pct"/>
                  <w:vMerge w:val="restart"/>
                  <w:vAlign w:val="center"/>
                </w:tcPr>
                <w:p>
                  <w:pPr>
                    <w:rPr>
                      <w:color w:val="000000"/>
                      <w:szCs w:val="21"/>
                    </w:rPr>
                  </w:pPr>
                  <w:r>
                    <w:rPr>
                      <w:rFonts w:hint="eastAsia"/>
                      <w:szCs w:val="21"/>
                    </w:rPr>
                    <w:t>《合成树脂工业污染物排放标准》（GB31572-2015）</w:t>
                  </w:r>
                  <w:r>
                    <w:rPr>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continue"/>
                  <w:vAlign w:val="center"/>
                </w:tcPr>
                <w:p>
                  <w:pPr>
                    <w:jc w:val="center"/>
                    <w:rPr>
                      <w:color w:val="000000"/>
                      <w:szCs w:val="21"/>
                    </w:rPr>
                  </w:pPr>
                </w:p>
              </w:tc>
              <w:tc>
                <w:tcPr>
                  <w:tcW w:w="511" w:type="pct"/>
                  <w:vMerge w:val="continue"/>
                  <w:vAlign w:val="center"/>
                </w:tcPr>
                <w:p>
                  <w:pPr>
                    <w:jc w:val="center"/>
                    <w:rPr>
                      <w:color w:val="000000"/>
                      <w:kern w:val="0"/>
                      <w:szCs w:val="21"/>
                    </w:rPr>
                  </w:pPr>
                </w:p>
              </w:tc>
              <w:tc>
                <w:tcPr>
                  <w:tcW w:w="584" w:type="pct"/>
                  <w:vAlign w:val="center"/>
                </w:tcPr>
                <w:p>
                  <w:pPr>
                    <w:jc w:val="center"/>
                    <w:rPr>
                      <w:szCs w:val="21"/>
                    </w:rPr>
                  </w:pPr>
                  <w:r>
                    <w:rPr>
                      <w:rFonts w:hint="eastAsia"/>
                      <w:szCs w:val="21"/>
                    </w:rPr>
                    <w:t>非甲烷总烃</w:t>
                  </w:r>
                </w:p>
              </w:tc>
              <w:tc>
                <w:tcPr>
                  <w:tcW w:w="771" w:type="pct"/>
                  <w:vAlign w:val="center"/>
                </w:tcPr>
                <w:p>
                  <w:pPr>
                    <w:jc w:val="center"/>
                    <w:rPr>
                      <w:szCs w:val="21"/>
                    </w:rPr>
                  </w:pPr>
                  <w:r>
                    <w:rPr>
                      <w:rFonts w:hint="eastAsia"/>
                      <w:szCs w:val="21"/>
                    </w:rPr>
                    <w:t>0</w:t>
                  </w:r>
                  <w:r>
                    <w:rPr>
                      <w:szCs w:val="21"/>
                    </w:rPr>
                    <w:t>.027</w:t>
                  </w:r>
                  <w:r>
                    <w:rPr>
                      <w:color w:val="000000" w:themeColor="text1"/>
                      <w:szCs w:val="21"/>
                      <w14:textFill>
                        <w14:solidFill>
                          <w14:schemeClr w14:val="tx1"/>
                        </w14:solidFill>
                      </w14:textFill>
                    </w:rPr>
                    <w:t>kg/h</w:t>
                  </w:r>
                </w:p>
              </w:tc>
              <w:tc>
                <w:tcPr>
                  <w:tcW w:w="622" w:type="pct"/>
                  <w:vAlign w:val="center"/>
                </w:tcPr>
                <w:p>
                  <w:pPr>
                    <w:jc w:val="center"/>
                    <w:rPr>
                      <w:szCs w:val="21"/>
                    </w:rPr>
                  </w:pPr>
                  <w:r>
                    <w:rPr>
                      <w:rFonts w:hint="eastAsia"/>
                      <w:szCs w:val="21"/>
                    </w:rPr>
                    <w:t>0</w:t>
                  </w:r>
                  <w:r>
                    <w:rPr>
                      <w:szCs w:val="21"/>
                    </w:rPr>
                    <w:t>.196</w:t>
                  </w:r>
                  <w:r>
                    <w:rPr>
                      <w:color w:val="000000" w:themeColor="text1"/>
                      <w:szCs w:val="21"/>
                      <w14:textFill>
                        <w14:solidFill>
                          <w14:schemeClr w14:val="tx1"/>
                        </w14:solidFill>
                      </w14:textFill>
                    </w:rPr>
                    <w:t>t/a</w:t>
                  </w:r>
                </w:p>
              </w:tc>
              <w:tc>
                <w:tcPr>
                  <w:tcW w:w="808" w:type="pct"/>
                  <w:vMerge w:val="continue"/>
                  <w:vAlign w:val="center"/>
                </w:tcPr>
                <w:p>
                  <w:pPr>
                    <w:pStyle w:val="74"/>
                    <w:widowControl w:val="0"/>
                    <w:spacing w:before="0" w:after="0"/>
                    <w:ind w:firstLine="560"/>
                    <w:rPr>
                      <w:color w:val="000000"/>
                      <w:kern w:val="2"/>
                      <w:szCs w:val="21"/>
                    </w:rPr>
                  </w:pPr>
                </w:p>
              </w:tc>
              <w:tc>
                <w:tcPr>
                  <w:tcW w:w="1444"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continue"/>
                  <w:vAlign w:val="center"/>
                </w:tcPr>
                <w:p>
                  <w:pPr>
                    <w:jc w:val="center"/>
                    <w:rPr>
                      <w:color w:val="000000"/>
                      <w:szCs w:val="21"/>
                    </w:rPr>
                  </w:pPr>
                </w:p>
              </w:tc>
              <w:tc>
                <w:tcPr>
                  <w:tcW w:w="511" w:type="pct"/>
                  <w:vMerge w:val="continue"/>
                  <w:vAlign w:val="center"/>
                </w:tcPr>
                <w:p>
                  <w:pPr>
                    <w:jc w:val="center"/>
                    <w:rPr>
                      <w:color w:val="000000"/>
                      <w:kern w:val="0"/>
                      <w:szCs w:val="21"/>
                    </w:rPr>
                  </w:pPr>
                </w:p>
              </w:tc>
              <w:tc>
                <w:tcPr>
                  <w:tcW w:w="584" w:type="pct"/>
                  <w:vAlign w:val="center"/>
                </w:tcPr>
                <w:p>
                  <w:pPr>
                    <w:jc w:val="center"/>
                    <w:rPr>
                      <w:szCs w:val="21"/>
                    </w:rPr>
                  </w:pPr>
                  <w:r>
                    <w:rPr>
                      <w:rFonts w:hint="eastAsia"/>
                      <w:szCs w:val="21"/>
                    </w:rPr>
                    <w:t>粉尘</w:t>
                  </w:r>
                </w:p>
              </w:tc>
              <w:tc>
                <w:tcPr>
                  <w:tcW w:w="771" w:type="pct"/>
                  <w:vAlign w:val="center"/>
                </w:tcPr>
                <w:p>
                  <w:pPr>
                    <w:jc w:val="center"/>
                    <w:rPr>
                      <w:szCs w:val="21"/>
                    </w:rPr>
                  </w:pPr>
                  <w:r>
                    <w:rPr>
                      <w:rFonts w:hint="eastAsia"/>
                      <w:szCs w:val="21"/>
                    </w:rPr>
                    <w:t>0</w:t>
                  </w:r>
                  <w:r>
                    <w:rPr>
                      <w:szCs w:val="21"/>
                    </w:rPr>
                    <w:t>.043</w:t>
                  </w:r>
                  <w:r>
                    <w:rPr>
                      <w:color w:val="000000" w:themeColor="text1"/>
                      <w:szCs w:val="21"/>
                      <w14:textFill>
                        <w14:solidFill>
                          <w14:schemeClr w14:val="tx1"/>
                        </w14:solidFill>
                      </w14:textFill>
                    </w:rPr>
                    <w:t>kg/h</w:t>
                  </w:r>
                </w:p>
              </w:tc>
              <w:tc>
                <w:tcPr>
                  <w:tcW w:w="622" w:type="pct"/>
                  <w:vAlign w:val="center"/>
                </w:tcPr>
                <w:p>
                  <w:pPr>
                    <w:jc w:val="center"/>
                    <w:rPr>
                      <w:szCs w:val="21"/>
                    </w:rPr>
                  </w:pPr>
                  <w:r>
                    <w:rPr>
                      <w:rFonts w:hint="eastAsia"/>
                      <w:szCs w:val="21"/>
                    </w:rPr>
                    <w:t>0</w:t>
                  </w:r>
                  <w:r>
                    <w:rPr>
                      <w:szCs w:val="21"/>
                    </w:rPr>
                    <w:t>.307t</w:t>
                  </w:r>
                  <w:r>
                    <w:rPr>
                      <w:rFonts w:hint="eastAsia"/>
                      <w:szCs w:val="21"/>
                    </w:rPr>
                    <w:t>/a</w:t>
                  </w:r>
                </w:p>
              </w:tc>
              <w:tc>
                <w:tcPr>
                  <w:tcW w:w="808" w:type="pct"/>
                  <w:vMerge w:val="continue"/>
                  <w:vAlign w:val="center"/>
                </w:tcPr>
                <w:p>
                  <w:pPr>
                    <w:pStyle w:val="74"/>
                    <w:widowControl w:val="0"/>
                    <w:spacing w:before="0" w:after="0"/>
                    <w:ind w:firstLine="560"/>
                    <w:rPr>
                      <w:color w:val="000000"/>
                      <w:kern w:val="2"/>
                      <w:szCs w:val="21"/>
                    </w:rPr>
                  </w:pPr>
                </w:p>
              </w:tc>
              <w:tc>
                <w:tcPr>
                  <w:tcW w:w="1444"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continue"/>
                  <w:vAlign w:val="center"/>
                </w:tcPr>
                <w:p>
                  <w:pPr>
                    <w:jc w:val="center"/>
                    <w:rPr>
                      <w:color w:val="000000"/>
                      <w:szCs w:val="21"/>
                    </w:rPr>
                  </w:pPr>
                </w:p>
              </w:tc>
              <w:tc>
                <w:tcPr>
                  <w:tcW w:w="1095" w:type="pct"/>
                  <w:gridSpan w:val="2"/>
                  <w:vAlign w:val="center"/>
                </w:tcPr>
                <w:p>
                  <w:pPr>
                    <w:jc w:val="center"/>
                    <w:rPr>
                      <w:color w:val="000000"/>
                      <w:szCs w:val="21"/>
                    </w:rPr>
                  </w:pPr>
                  <w:r>
                    <w:rPr>
                      <w:rFonts w:hint="eastAsia"/>
                      <w:color w:val="000000"/>
                      <w:szCs w:val="21"/>
                    </w:rPr>
                    <w:t>油烟</w:t>
                  </w:r>
                </w:p>
              </w:tc>
              <w:tc>
                <w:tcPr>
                  <w:tcW w:w="771" w:type="pct"/>
                  <w:vAlign w:val="center"/>
                </w:tcPr>
                <w:p>
                  <w:pPr>
                    <w:jc w:val="center"/>
                    <w:rPr>
                      <w:szCs w:val="21"/>
                    </w:rPr>
                  </w:pPr>
                  <w:r>
                    <w:rPr>
                      <w:szCs w:val="21"/>
                    </w:rPr>
                    <w:t>1.5mg/m</w:t>
                  </w:r>
                  <w:r>
                    <w:rPr>
                      <w:szCs w:val="21"/>
                      <w:vertAlign w:val="superscript"/>
                    </w:rPr>
                    <w:t>3</w:t>
                  </w:r>
                </w:p>
              </w:tc>
              <w:tc>
                <w:tcPr>
                  <w:tcW w:w="622" w:type="pct"/>
                  <w:vAlign w:val="center"/>
                </w:tcPr>
                <w:p>
                  <w:pPr>
                    <w:jc w:val="center"/>
                    <w:rPr>
                      <w:szCs w:val="21"/>
                    </w:rPr>
                  </w:pPr>
                  <w:r>
                    <w:rPr>
                      <w:szCs w:val="21"/>
                    </w:rPr>
                    <w:t>0.013</w:t>
                  </w:r>
                  <w:r>
                    <w:rPr>
                      <w:rFonts w:hint="eastAsia"/>
                      <w:szCs w:val="21"/>
                    </w:rPr>
                    <w:t>t</w:t>
                  </w:r>
                  <w:r>
                    <w:rPr>
                      <w:szCs w:val="21"/>
                    </w:rPr>
                    <w:t>/a</w:t>
                  </w:r>
                </w:p>
              </w:tc>
              <w:tc>
                <w:tcPr>
                  <w:tcW w:w="808" w:type="pct"/>
                  <w:vAlign w:val="center"/>
                </w:tcPr>
                <w:p>
                  <w:pPr>
                    <w:pStyle w:val="74"/>
                    <w:widowControl w:val="0"/>
                    <w:spacing w:before="0" w:after="0"/>
                    <w:jc w:val="both"/>
                    <w:rPr>
                      <w:color w:val="000000"/>
                      <w:kern w:val="2"/>
                      <w:szCs w:val="21"/>
                    </w:rPr>
                  </w:pPr>
                  <w:r>
                    <w:rPr>
                      <w:rFonts w:hint="eastAsia"/>
                      <w:color w:val="000000"/>
                      <w:kern w:val="2"/>
                      <w:szCs w:val="21"/>
                    </w:rPr>
                    <w:t>油烟净化系统</w:t>
                  </w:r>
                </w:p>
              </w:tc>
              <w:tc>
                <w:tcPr>
                  <w:tcW w:w="1444" w:type="pct"/>
                  <w:vAlign w:val="center"/>
                </w:tcPr>
                <w:p>
                  <w:pPr>
                    <w:jc w:val="left"/>
                    <w:rPr>
                      <w:color w:val="000000"/>
                      <w:szCs w:val="21"/>
                    </w:rPr>
                  </w:pPr>
                  <w:r>
                    <w:rPr>
                      <w:rFonts w:hint="eastAsia"/>
                      <w:szCs w:val="21"/>
                    </w:rPr>
                    <w:t>《饮食业油烟排放标准（试行）》（GB18483-2001）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Align w:val="center"/>
                </w:tcPr>
                <w:p>
                  <w:pPr>
                    <w:jc w:val="center"/>
                    <w:rPr>
                      <w:color w:val="000000"/>
                      <w:szCs w:val="21"/>
                    </w:rPr>
                  </w:pPr>
                  <w:r>
                    <w:rPr>
                      <w:color w:val="000000"/>
                      <w:szCs w:val="21"/>
                    </w:rPr>
                    <w:t>噪声</w:t>
                  </w:r>
                </w:p>
              </w:tc>
              <w:tc>
                <w:tcPr>
                  <w:tcW w:w="1095" w:type="pct"/>
                  <w:gridSpan w:val="2"/>
                  <w:vAlign w:val="center"/>
                </w:tcPr>
                <w:p>
                  <w:pPr>
                    <w:jc w:val="center"/>
                    <w:rPr>
                      <w:color w:val="000000"/>
                      <w:szCs w:val="21"/>
                    </w:rPr>
                  </w:pPr>
                  <w:r>
                    <w:rPr>
                      <w:rFonts w:hint="eastAsia"/>
                      <w:color w:val="000000"/>
                      <w:szCs w:val="21"/>
                    </w:rPr>
                    <w:t>生产设备噪声</w:t>
                  </w:r>
                </w:p>
              </w:tc>
              <w:tc>
                <w:tcPr>
                  <w:tcW w:w="1393" w:type="pct"/>
                  <w:gridSpan w:val="2"/>
                  <w:vAlign w:val="center"/>
                </w:tcPr>
                <w:p>
                  <w:pPr>
                    <w:jc w:val="center"/>
                    <w:rPr>
                      <w:color w:val="000000"/>
                      <w:szCs w:val="21"/>
                    </w:rPr>
                  </w:pPr>
                  <w:r>
                    <w:rPr>
                      <w:rFonts w:hint="eastAsia"/>
                      <w:color w:val="000000"/>
                      <w:szCs w:val="21"/>
                    </w:rPr>
                    <w:t>昼间≤6</w:t>
                  </w:r>
                  <w:r>
                    <w:rPr>
                      <w:color w:val="000000"/>
                      <w:szCs w:val="21"/>
                    </w:rPr>
                    <w:t>0</w:t>
                  </w:r>
                  <w:r>
                    <w:rPr>
                      <w:rFonts w:hint="eastAsia"/>
                      <w:color w:val="000000"/>
                      <w:szCs w:val="21"/>
                    </w:rPr>
                    <w:t>dB(A)、</w:t>
                  </w:r>
                </w:p>
                <w:p>
                  <w:pPr>
                    <w:jc w:val="center"/>
                    <w:rPr>
                      <w:color w:val="000000"/>
                      <w:szCs w:val="21"/>
                    </w:rPr>
                  </w:pPr>
                  <w:r>
                    <w:rPr>
                      <w:rFonts w:hint="eastAsia"/>
                      <w:color w:val="000000"/>
                      <w:szCs w:val="21"/>
                    </w:rPr>
                    <w:t>液间≤</w:t>
                  </w:r>
                  <w:r>
                    <w:rPr>
                      <w:color w:val="000000"/>
                      <w:szCs w:val="21"/>
                    </w:rPr>
                    <w:t>50</w:t>
                  </w:r>
                  <w:r>
                    <w:rPr>
                      <w:rFonts w:hint="eastAsia"/>
                      <w:color w:val="000000"/>
                      <w:szCs w:val="21"/>
                    </w:rPr>
                    <w:t xml:space="preserve"> dB(A)</w:t>
                  </w:r>
                </w:p>
              </w:tc>
              <w:tc>
                <w:tcPr>
                  <w:tcW w:w="808" w:type="pct"/>
                  <w:vAlign w:val="center"/>
                </w:tcPr>
                <w:p>
                  <w:pPr>
                    <w:rPr>
                      <w:color w:val="000000"/>
                      <w:szCs w:val="21"/>
                    </w:rPr>
                  </w:pPr>
                  <w:r>
                    <w:rPr>
                      <w:rFonts w:hint="eastAsia"/>
                      <w:color w:val="000000"/>
                      <w:szCs w:val="21"/>
                    </w:rPr>
                    <w:t>合理布置、基础减振、设备维护、柔性连接、建筑隔声、距离衰减、周边绿化等</w:t>
                  </w:r>
                </w:p>
              </w:tc>
              <w:tc>
                <w:tcPr>
                  <w:tcW w:w="1444" w:type="pct"/>
                  <w:vAlign w:val="center"/>
                </w:tcPr>
                <w:p>
                  <w:pPr>
                    <w:rPr>
                      <w:color w:val="000000"/>
                      <w:szCs w:val="21"/>
                    </w:rPr>
                  </w:pPr>
                  <w:r>
                    <w:rPr>
                      <w:rFonts w:hint="eastAsia"/>
                      <w:color w:val="000000"/>
                      <w:szCs w:val="21"/>
                    </w:rPr>
                    <w:t>《工业企业厂界环境噪声排放标准》（GB12348-2008）</w:t>
                  </w:r>
                  <w:r>
                    <w:rPr>
                      <w:color w:val="000000"/>
                      <w:szCs w:val="21"/>
                    </w:rPr>
                    <w:t>2</w:t>
                  </w:r>
                  <w:r>
                    <w:rPr>
                      <w:rFonts w:hint="eastAsia"/>
                      <w:color w:val="000000"/>
                      <w:szCs w:val="21"/>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restart"/>
                  <w:vAlign w:val="center"/>
                </w:tcPr>
                <w:p>
                  <w:pPr>
                    <w:jc w:val="center"/>
                    <w:rPr>
                      <w:color w:val="000000"/>
                      <w:szCs w:val="21"/>
                    </w:rPr>
                  </w:pPr>
                  <w:r>
                    <w:rPr>
                      <w:color w:val="000000"/>
                      <w:szCs w:val="21"/>
                    </w:rPr>
                    <w:t>固废</w:t>
                  </w:r>
                </w:p>
              </w:tc>
              <w:tc>
                <w:tcPr>
                  <w:tcW w:w="1095" w:type="pct"/>
                  <w:gridSpan w:val="2"/>
                  <w:vAlign w:val="center"/>
                </w:tcPr>
                <w:p>
                  <w:pPr>
                    <w:jc w:val="center"/>
                    <w:rPr>
                      <w:color w:val="000000"/>
                      <w:szCs w:val="21"/>
                    </w:rPr>
                  </w:pPr>
                  <w:r>
                    <w:rPr>
                      <w:rFonts w:hint="eastAsia"/>
                      <w:szCs w:val="21"/>
                    </w:rPr>
                    <w:t>生活垃圾</w:t>
                  </w:r>
                </w:p>
              </w:tc>
              <w:tc>
                <w:tcPr>
                  <w:tcW w:w="1393" w:type="pct"/>
                  <w:gridSpan w:val="2"/>
                  <w:vAlign w:val="center"/>
                </w:tcPr>
                <w:p>
                  <w:pPr>
                    <w:jc w:val="center"/>
                    <w:rPr>
                      <w:color w:val="000000"/>
                      <w:szCs w:val="21"/>
                    </w:rPr>
                  </w:pPr>
                  <w:r>
                    <w:rPr>
                      <w:rFonts w:hint="eastAsia"/>
                      <w:szCs w:val="21"/>
                    </w:rPr>
                    <w:t>3.0t</w:t>
                  </w:r>
                  <w:r>
                    <w:rPr>
                      <w:szCs w:val="21"/>
                    </w:rPr>
                    <w:t>/a</w:t>
                  </w:r>
                </w:p>
              </w:tc>
              <w:tc>
                <w:tcPr>
                  <w:tcW w:w="808" w:type="pct"/>
                  <w:vAlign w:val="center"/>
                </w:tcPr>
                <w:p>
                  <w:pPr>
                    <w:jc w:val="center"/>
                    <w:rPr>
                      <w:color w:val="000000"/>
                      <w:szCs w:val="21"/>
                    </w:rPr>
                  </w:pPr>
                  <w:r>
                    <w:rPr>
                      <w:rFonts w:hint="eastAsia"/>
                      <w:szCs w:val="21"/>
                    </w:rPr>
                    <w:t>分类收集，</w:t>
                  </w:r>
                  <w:r>
                    <w:rPr>
                      <w:szCs w:val="21"/>
                    </w:rPr>
                    <w:t>环卫部门统一清运</w:t>
                  </w:r>
                </w:p>
              </w:tc>
              <w:tc>
                <w:tcPr>
                  <w:tcW w:w="1444" w:type="pct"/>
                  <w:vMerge w:val="restart"/>
                  <w:vAlign w:val="center"/>
                </w:tcPr>
                <w:p>
                  <w:pPr>
                    <w:jc w:val="center"/>
                    <w:rPr>
                      <w:color w:val="000000"/>
                      <w:szCs w:val="21"/>
                    </w:rPr>
                  </w:pPr>
                  <w:r>
                    <w:rPr>
                      <w:rFonts w:hint="eastAsia"/>
                      <w:color w:val="000000"/>
                      <w:szCs w:val="21"/>
                    </w:rPr>
                    <w:t>处置率1</w:t>
                  </w:r>
                  <w:r>
                    <w:rPr>
                      <w:color w:val="000000"/>
                      <w:szCs w:val="21"/>
                    </w:rPr>
                    <w:t>00</w:t>
                  </w:r>
                  <w:r>
                    <w:rPr>
                      <w:rFonts w:hint="eastAsia"/>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continue"/>
                  <w:vAlign w:val="center"/>
                </w:tcPr>
                <w:p>
                  <w:pPr>
                    <w:jc w:val="center"/>
                    <w:rPr>
                      <w:color w:val="000000"/>
                      <w:szCs w:val="21"/>
                    </w:rPr>
                  </w:pPr>
                </w:p>
              </w:tc>
              <w:tc>
                <w:tcPr>
                  <w:tcW w:w="1095" w:type="pct"/>
                  <w:gridSpan w:val="2"/>
                  <w:vAlign w:val="center"/>
                </w:tcPr>
                <w:p>
                  <w:pPr>
                    <w:jc w:val="center"/>
                    <w:rPr>
                      <w:szCs w:val="21"/>
                    </w:rPr>
                  </w:pPr>
                  <w:r>
                    <w:rPr>
                      <w:rFonts w:hint="eastAsia"/>
                      <w:szCs w:val="21"/>
                    </w:rPr>
                    <w:t>边角料</w:t>
                  </w:r>
                </w:p>
              </w:tc>
              <w:tc>
                <w:tcPr>
                  <w:tcW w:w="1393" w:type="pct"/>
                  <w:gridSpan w:val="2"/>
                  <w:vAlign w:val="center"/>
                </w:tcPr>
                <w:p>
                  <w:pPr>
                    <w:jc w:val="center"/>
                    <w:rPr>
                      <w:szCs w:val="21"/>
                    </w:rPr>
                  </w:pPr>
                  <w:r>
                    <w:rPr>
                      <w:szCs w:val="21"/>
                    </w:rPr>
                    <w:t>28</w:t>
                  </w:r>
                  <w:r>
                    <w:rPr>
                      <w:rFonts w:hint="eastAsia"/>
                      <w:szCs w:val="21"/>
                    </w:rPr>
                    <w:t>t/a</w:t>
                  </w:r>
                </w:p>
              </w:tc>
              <w:tc>
                <w:tcPr>
                  <w:tcW w:w="808" w:type="pct"/>
                  <w:vAlign w:val="center"/>
                </w:tcPr>
                <w:p>
                  <w:pPr>
                    <w:jc w:val="center"/>
                    <w:rPr>
                      <w:szCs w:val="21"/>
                    </w:rPr>
                  </w:pPr>
                  <w:r>
                    <w:rPr>
                      <w:rFonts w:hint="eastAsia"/>
                      <w:kern w:val="0"/>
                      <w:szCs w:val="21"/>
                    </w:rPr>
                    <w:t>熔融后外售</w:t>
                  </w:r>
                </w:p>
              </w:tc>
              <w:tc>
                <w:tcPr>
                  <w:tcW w:w="1444"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continue"/>
                  <w:vAlign w:val="center"/>
                </w:tcPr>
                <w:p>
                  <w:pPr>
                    <w:jc w:val="center"/>
                    <w:rPr>
                      <w:color w:val="000000"/>
                      <w:szCs w:val="21"/>
                    </w:rPr>
                  </w:pPr>
                </w:p>
              </w:tc>
              <w:tc>
                <w:tcPr>
                  <w:tcW w:w="1095" w:type="pct"/>
                  <w:gridSpan w:val="2"/>
                  <w:vAlign w:val="center"/>
                </w:tcPr>
                <w:p>
                  <w:pPr>
                    <w:jc w:val="center"/>
                    <w:rPr>
                      <w:szCs w:val="21"/>
                    </w:rPr>
                  </w:pPr>
                  <w:r>
                    <w:rPr>
                      <w:rFonts w:hint="eastAsia"/>
                      <w:szCs w:val="21"/>
                    </w:rPr>
                    <w:t>粉尘</w:t>
                  </w:r>
                </w:p>
              </w:tc>
              <w:tc>
                <w:tcPr>
                  <w:tcW w:w="1393" w:type="pct"/>
                  <w:gridSpan w:val="2"/>
                  <w:vAlign w:val="center"/>
                </w:tcPr>
                <w:p>
                  <w:pPr>
                    <w:jc w:val="center"/>
                    <w:rPr>
                      <w:szCs w:val="21"/>
                    </w:rPr>
                  </w:pPr>
                  <w:r>
                    <w:rPr>
                      <w:szCs w:val="21"/>
                    </w:rPr>
                    <w:t>5.668</w:t>
                  </w:r>
                  <w:r>
                    <w:rPr>
                      <w:rFonts w:hint="eastAsia"/>
                      <w:szCs w:val="21"/>
                    </w:rPr>
                    <w:t>t/a</w:t>
                  </w:r>
                </w:p>
              </w:tc>
              <w:tc>
                <w:tcPr>
                  <w:tcW w:w="808" w:type="pct"/>
                  <w:vAlign w:val="center"/>
                </w:tcPr>
                <w:p>
                  <w:pPr>
                    <w:jc w:val="center"/>
                    <w:rPr>
                      <w:szCs w:val="21"/>
                    </w:rPr>
                  </w:pPr>
                  <w:r>
                    <w:rPr>
                      <w:rFonts w:hint="eastAsia"/>
                      <w:szCs w:val="21"/>
                    </w:rPr>
                    <w:t>收集后外售</w:t>
                  </w:r>
                </w:p>
              </w:tc>
              <w:tc>
                <w:tcPr>
                  <w:tcW w:w="1444"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59" w:type="pct"/>
                  <w:vMerge w:val="continue"/>
                  <w:vAlign w:val="center"/>
                </w:tcPr>
                <w:p>
                  <w:pPr>
                    <w:jc w:val="center"/>
                    <w:rPr>
                      <w:color w:val="000000"/>
                      <w:szCs w:val="21"/>
                    </w:rPr>
                  </w:pPr>
                </w:p>
              </w:tc>
              <w:tc>
                <w:tcPr>
                  <w:tcW w:w="1095" w:type="pct"/>
                  <w:gridSpan w:val="2"/>
                  <w:vAlign w:val="center"/>
                </w:tcPr>
                <w:p>
                  <w:pPr>
                    <w:jc w:val="center"/>
                    <w:rPr>
                      <w:szCs w:val="21"/>
                    </w:rPr>
                  </w:pPr>
                  <w:r>
                    <w:rPr>
                      <w:rFonts w:hint="eastAsia"/>
                      <w:szCs w:val="21"/>
                    </w:rPr>
                    <w:t>废包材</w:t>
                  </w:r>
                </w:p>
              </w:tc>
              <w:tc>
                <w:tcPr>
                  <w:tcW w:w="1393" w:type="pct"/>
                  <w:gridSpan w:val="2"/>
                  <w:vAlign w:val="center"/>
                </w:tcPr>
                <w:p>
                  <w:pPr>
                    <w:jc w:val="center"/>
                    <w:rPr>
                      <w:szCs w:val="21"/>
                    </w:rPr>
                  </w:pPr>
                  <w:r>
                    <w:rPr>
                      <w:rFonts w:hint="eastAsia"/>
                      <w:szCs w:val="21"/>
                    </w:rPr>
                    <w:t>0.3t/a</w:t>
                  </w:r>
                </w:p>
              </w:tc>
              <w:tc>
                <w:tcPr>
                  <w:tcW w:w="808" w:type="pct"/>
                  <w:vAlign w:val="center"/>
                </w:tcPr>
                <w:p>
                  <w:pPr>
                    <w:jc w:val="center"/>
                    <w:rPr>
                      <w:szCs w:val="21"/>
                    </w:rPr>
                  </w:pPr>
                  <w:r>
                    <w:rPr>
                      <w:rFonts w:hint="eastAsia"/>
                      <w:szCs w:val="21"/>
                    </w:rPr>
                    <w:t>定点收集，环卫清运</w:t>
                  </w:r>
                </w:p>
              </w:tc>
              <w:tc>
                <w:tcPr>
                  <w:tcW w:w="1444"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59" w:type="pct"/>
                  <w:vMerge w:val="continue"/>
                  <w:vAlign w:val="center"/>
                </w:tcPr>
                <w:p>
                  <w:pPr>
                    <w:jc w:val="center"/>
                    <w:rPr>
                      <w:color w:val="000000"/>
                      <w:szCs w:val="21"/>
                    </w:rPr>
                  </w:pPr>
                </w:p>
              </w:tc>
              <w:tc>
                <w:tcPr>
                  <w:tcW w:w="1095" w:type="pct"/>
                  <w:gridSpan w:val="2"/>
                  <w:vAlign w:val="center"/>
                </w:tcPr>
                <w:p>
                  <w:pPr>
                    <w:jc w:val="center"/>
                    <w:rPr>
                      <w:szCs w:val="21"/>
                    </w:rPr>
                  </w:pPr>
                  <w:r>
                    <w:rPr>
                      <w:rFonts w:hint="eastAsia"/>
                      <w:szCs w:val="21"/>
                    </w:rPr>
                    <w:t>废滤芯</w:t>
                  </w:r>
                </w:p>
              </w:tc>
              <w:tc>
                <w:tcPr>
                  <w:tcW w:w="1393" w:type="pct"/>
                  <w:gridSpan w:val="2"/>
                  <w:vAlign w:val="center"/>
                </w:tcPr>
                <w:p>
                  <w:pPr>
                    <w:jc w:val="center"/>
                    <w:rPr>
                      <w:szCs w:val="21"/>
                    </w:rPr>
                  </w:pPr>
                  <w:r>
                    <w:rPr>
                      <w:rFonts w:hint="eastAsia"/>
                      <w:szCs w:val="21"/>
                    </w:rPr>
                    <w:t>25kg/a</w:t>
                  </w:r>
                </w:p>
              </w:tc>
              <w:tc>
                <w:tcPr>
                  <w:tcW w:w="808" w:type="pct"/>
                  <w:vMerge w:val="restart"/>
                  <w:vAlign w:val="center"/>
                </w:tcPr>
                <w:p>
                  <w:pPr>
                    <w:jc w:val="center"/>
                    <w:rPr>
                      <w:szCs w:val="21"/>
                    </w:rPr>
                  </w:pPr>
                  <w:r>
                    <w:rPr>
                      <w:rFonts w:hint="eastAsia"/>
                      <w:szCs w:val="21"/>
                    </w:rPr>
                    <w:t>交厂家回收</w:t>
                  </w:r>
                </w:p>
              </w:tc>
              <w:tc>
                <w:tcPr>
                  <w:tcW w:w="1444"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continue"/>
                  <w:vAlign w:val="center"/>
                </w:tcPr>
                <w:p>
                  <w:pPr>
                    <w:jc w:val="center"/>
                    <w:rPr>
                      <w:color w:val="000000"/>
                      <w:szCs w:val="21"/>
                    </w:rPr>
                  </w:pPr>
                </w:p>
              </w:tc>
              <w:tc>
                <w:tcPr>
                  <w:tcW w:w="1095" w:type="pct"/>
                  <w:gridSpan w:val="2"/>
                  <w:vAlign w:val="center"/>
                </w:tcPr>
                <w:p>
                  <w:pPr>
                    <w:jc w:val="center"/>
                    <w:rPr>
                      <w:szCs w:val="21"/>
                    </w:rPr>
                  </w:pPr>
                  <w:r>
                    <w:rPr>
                      <w:rFonts w:hint="eastAsia"/>
                      <w:szCs w:val="21"/>
                    </w:rPr>
                    <w:t>废反渗透膜</w:t>
                  </w:r>
                </w:p>
              </w:tc>
              <w:tc>
                <w:tcPr>
                  <w:tcW w:w="1393" w:type="pct"/>
                  <w:gridSpan w:val="2"/>
                  <w:vAlign w:val="center"/>
                </w:tcPr>
                <w:p>
                  <w:pPr>
                    <w:jc w:val="center"/>
                    <w:rPr>
                      <w:szCs w:val="21"/>
                    </w:rPr>
                  </w:pPr>
                  <w:r>
                    <w:rPr>
                      <w:rFonts w:hint="eastAsia"/>
                      <w:szCs w:val="21"/>
                    </w:rPr>
                    <w:t>3kg/a</w:t>
                  </w:r>
                </w:p>
              </w:tc>
              <w:tc>
                <w:tcPr>
                  <w:tcW w:w="808" w:type="pct"/>
                  <w:vMerge w:val="continue"/>
                  <w:vAlign w:val="center"/>
                </w:tcPr>
                <w:p>
                  <w:pPr>
                    <w:jc w:val="center"/>
                    <w:rPr>
                      <w:szCs w:val="21"/>
                    </w:rPr>
                  </w:pPr>
                </w:p>
              </w:tc>
              <w:tc>
                <w:tcPr>
                  <w:tcW w:w="1444"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continue"/>
                  <w:vAlign w:val="center"/>
                </w:tcPr>
                <w:p>
                  <w:pPr>
                    <w:jc w:val="center"/>
                    <w:rPr>
                      <w:color w:val="000000"/>
                      <w:szCs w:val="21"/>
                    </w:rPr>
                  </w:pPr>
                </w:p>
              </w:tc>
              <w:tc>
                <w:tcPr>
                  <w:tcW w:w="1095" w:type="pct"/>
                  <w:gridSpan w:val="2"/>
                  <w:vAlign w:val="center"/>
                </w:tcPr>
                <w:p>
                  <w:pPr>
                    <w:jc w:val="center"/>
                    <w:rPr>
                      <w:szCs w:val="21"/>
                    </w:rPr>
                  </w:pPr>
                  <w:r>
                    <w:rPr>
                      <w:rFonts w:hint="eastAsia"/>
                      <w:szCs w:val="21"/>
                    </w:rPr>
                    <w:t>废活性炭</w:t>
                  </w:r>
                </w:p>
              </w:tc>
              <w:tc>
                <w:tcPr>
                  <w:tcW w:w="1393" w:type="pct"/>
                  <w:gridSpan w:val="2"/>
                  <w:vAlign w:val="center"/>
                </w:tcPr>
                <w:p>
                  <w:pPr>
                    <w:jc w:val="center"/>
                    <w:rPr>
                      <w:szCs w:val="21"/>
                    </w:rPr>
                  </w:pPr>
                  <w:r>
                    <w:rPr>
                      <w:szCs w:val="21"/>
                    </w:rPr>
                    <w:t>18.8</w:t>
                  </w:r>
                  <w:r>
                    <w:rPr>
                      <w:rFonts w:hint="eastAsia"/>
                      <w:szCs w:val="21"/>
                    </w:rPr>
                    <w:t>t/a</w:t>
                  </w:r>
                </w:p>
              </w:tc>
              <w:tc>
                <w:tcPr>
                  <w:tcW w:w="808" w:type="pct"/>
                  <w:vMerge w:val="restart"/>
                  <w:vAlign w:val="center"/>
                </w:tcPr>
                <w:p>
                  <w:pPr>
                    <w:jc w:val="center"/>
                    <w:rPr>
                      <w:szCs w:val="21"/>
                    </w:rPr>
                  </w:pPr>
                  <w:r>
                    <w:rPr>
                      <w:szCs w:val="21"/>
                    </w:rPr>
                    <w:t>危废暂存间暂存后，</w:t>
                  </w:r>
                  <w:r>
                    <w:rPr>
                      <w:rFonts w:hint="eastAsia"/>
                      <w:szCs w:val="21"/>
                    </w:rPr>
                    <w:t>交有资质单位处理</w:t>
                  </w:r>
                </w:p>
              </w:tc>
              <w:tc>
                <w:tcPr>
                  <w:tcW w:w="1444"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continue"/>
                  <w:vAlign w:val="center"/>
                </w:tcPr>
                <w:p>
                  <w:pPr>
                    <w:jc w:val="center"/>
                    <w:rPr>
                      <w:color w:val="000000"/>
                      <w:szCs w:val="21"/>
                    </w:rPr>
                  </w:pPr>
                </w:p>
              </w:tc>
              <w:tc>
                <w:tcPr>
                  <w:tcW w:w="1095" w:type="pct"/>
                  <w:gridSpan w:val="2"/>
                  <w:vAlign w:val="center"/>
                </w:tcPr>
                <w:p>
                  <w:pPr>
                    <w:jc w:val="center"/>
                    <w:rPr>
                      <w:szCs w:val="21"/>
                    </w:rPr>
                  </w:pPr>
                  <w:r>
                    <w:rPr>
                      <w:rFonts w:hint="eastAsia"/>
                      <w:szCs w:val="21"/>
                    </w:rPr>
                    <w:t>废机油</w:t>
                  </w:r>
                </w:p>
              </w:tc>
              <w:tc>
                <w:tcPr>
                  <w:tcW w:w="1393" w:type="pct"/>
                  <w:gridSpan w:val="2"/>
                  <w:vAlign w:val="center"/>
                </w:tcPr>
                <w:p>
                  <w:pPr>
                    <w:jc w:val="center"/>
                    <w:rPr>
                      <w:szCs w:val="21"/>
                    </w:rPr>
                  </w:pPr>
                  <w:r>
                    <w:rPr>
                      <w:rFonts w:hint="eastAsia"/>
                      <w:szCs w:val="21"/>
                    </w:rPr>
                    <w:t>0.05</w:t>
                  </w:r>
                  <w:r>
                    <w:rPr>
                      <w:szCs w:val="21"/>
                    </w:rPr>
                    <w:t>t/a</w:t>
                  </w:r>
                </w:p>
              </w:tc>
              <w:tc>
                <w:tcPr>
                  <w:tcW w:w="808" w:type="pct"/>
                  <w:vMerge w:val="continue"/>
                  <w:vAlign w:val="center"/>
                </w:tcPr>
                <w:p>
                  <w:pPr>
                    <w:jc w:val="center"/>
                    <w:rPr>
                      <w:szCs w:val="21"/>
                    </w:rPr>
                  </w:pPr>
                </w:p>
              </w:tc>
              <w:tc>
                <w:tcPr>
                  <w:tcW w:w="1444"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59" w:type="pct"/>
                  <w:vMerge w:val="continue"/>
                  <w:vAlign w:val="center"/>
                </w:tcPr>
                <w:p>
                  <w:pPr>
                    <w:jc w:val="center"/>
                    <w:rPr>
                      <w:color w:val="000000"/>
                      <w:szCs w:val="21"/>
                    </w:rPr>
                  </w:pPr>
                </w:p>
              </w:tc>
              <w:tc>
                <w:tcPr>
                  <w:tcW w:w="1095" w:type="pct"/>
                  <w:gridSpan w:val="2"/>
                  <w:vAlign w:val="center"/>
                </w:tcPr>
                <w:p>
                  <w:pPr>
                    <w:jc w:val="center"/>
                    <w:rPr>
                      <w:szCs w:val="21"/>
                    </w:rPr>
                  </w:pPr>
                  <w:r>
                    <w:rPr>
                      <w:szCs w:val="21"/>
                    </w:rPr>
                    <w:t>废</w:t>
                  </w:r>
                  <w:r>
                    <w:rPr>
                      <w:rFonts w:hint="eastAsia"/>
                      <w:szCs w:val="21"/>
                    </w:rPr>
                    <w:t>油抹布</w:t>
                  </w:r>
                </w:p>
              </w:tc>
              <w:tc>
                <w:tcPr>
                  <w:tcW w:w="1393" w:type="pct"/>
                  <w:gridSpan w:val="2"/>
                  <w:vAlign w:val="center"/>
                </w:tcPr>
                <w:p>
                  <w:pPr>
                    <w:jc w:val="center"/>
                    <w:rPr>
                      <w:szCs w:val="21"/>
                    </w:rPr>
                  </w:pPr>
                  <w:r>
                    <w:rPr>
                      <w:szCs w:val="21"/>
                    </w:rPr>
                    <w:t>0.035t/a</w:t>
                  </w:r>
                </w:p>
              </w:tc>
              <w:tc>
                <w:tcPr>
                  <w:tcW w:w="808" w:type="pct"/>
                  <w:vMerge w:val="continue"/>
                  <w:vAlign w:val="center"/>
                </w:tcPr>
                <w:p>
                  <w:pPr>
                    <w:jc w:val="center"/>
                    <w:rPr>
                      <w:szCs w:val="21"/>
                    </w:rPr>
                  </w:pPr>
                </w:p>
              </w:tc>
              <w:tc>
                <w:tcPr>
                  <w:tcW w:w="1444" w:type="pct"/>
                  <w:vMerge w:val="continue"/>
                  <w:vAlign w:val="center"/>
                </w:tcPr>
                <w:p>
                  <w:pPr>
                    <w:jc w:val="center"/>
                    <w:rPr>
                      <w:color w:val="000000"/>
                      <w:szCs w:val="21"/>
                    </w:rPr>
                  </w:pPr>
                </w:p>
              </w:tc>
            </w:tr>
          </w:tbl>
          <w:p>
            <w:pPr>
              <w:adjustRightInd w:val="0"/>
              <w:snapToGrid w:val="0"/>
              <w:jc w:val="center"/>
              <w:rPr>
                <w:b/>
                <w:kern w:val="0"/>
                <w:sz w:val="20"/>
                <w:szCs w:val="21"/>
              </w:rPr>
            </w:pPr>
          </w:p>
          <w:p>
            <w:pPr>
              <w:adjustRightInd w:val="0"/>
              <w:snapToGrid w:val="0"/>
              <w:jc w:val="center"/>
              <w:rPr>
                <w:b/>
                <w:kern w:val="0"/>
                <w:sz w:val="20"/>
                <w:szCs w:val="21"/>
              </w:rPr>
            </w:pPr>
          </w:p>
          <w:p>
            <w:pPr>
              <w:rPr>
                <w:b/>
                <w:kern w:val="0"/>
                <w:sz w:val="20"/>
                <w:szCs w:val="21"/>
              </w:rPr>
            </w:pPr>
          </w:p>
          <w:p>
            <w:pPr>
              <w:autoSpaceDE w:val="0"/>
              <w:autoSpaceDN w:val="0"/>
              <w:spacing w:line="360" w:lineRule="auto"/>
              <w:jc w:val="left"/>
              <w:outlineLvl w:val="1"/>
              <w:rPr>
                <w:rFonts w:eastAsia="仿宋"/>
                <w:b/>
                <w:kern w:val="0"/>
                <w:sz w:val="28"/>
                <w:szCs w:val="21"/>
                <w:lang w:bidi="ar"/>
              </w:rPr>
            </w:pPr>
          </w:p>
          <w:p>
            <w:pPr>
              <w:rPr>
                <w:b/>
                <w:kern w:val="0"/>
                <w:sz w:val="20"/>
                <w:szCs w:val="21"/>
              </w:rPr>
            </w:pPr>
          </w:p>
          <w:p>
            <w:pPr>
              <w:autoSpaceDE w:val="0"/>
              <w:autoSpaceDN w:val="0"/>
              <w:spacing w:line="360" w:lineRule="auto"/>
              <w:jc w:val="left"/>
              <w:outlineLvl w:val="1"/>
              <w:rPr>
                <w:rFonts w:eastAsia="仿宋"/>
                <w:b/>
                <w:kern w:val="0"/>
                <w:sz w:val="28"/>
                <w:szCs w:val="21"/>
                <w:lang w:bidi="ar"/>
              </w:rPr>
            </w:pPr>
          </w:p>
          <w:p>
            <w:pPr>
              <w:rPr>
                <w:b/>
                <w:kern w:val="0"/>
                <w:sz w:val="20"/>
                <w:szCs w:val="21"/>
              </w:rPr>
            </w:pPr>
          </w:p>
          <w:p>
            <w:pPr>
              <w:autoSpaceDE w:val="0"/>
              <w:autoSpaceDN w:val="0"/>
              <w:spacing w:line="360" w:lineRule="auto"/>
              <w:jc w:val="left"/>
              <w:outlineLvl w:val="1"/>
              <w:rPr>
                <w:rFonts w:eastAsia="仿宋"/>
                <w:b/>
                <w:kern w:val="0"/>
                <w:sz w:val="28"/>
                <w:szCs w:val="21"/>
                <w:lang w:bidi="ar"/>
              </w:rPr>
            </w:pPr>
          </w:p>
          <w:p>
            <w:pPr>
              <w:rPr>
                <w:b/>
                <w:kern w:val="0"/>
                <w:sz w:val="20"/>
                <w:szCs w:val="21"/>
              </w:rPr>
            </w:pPr>
          </w:p>
          <w:p>
            <w:pPr>
              <w:autoSpaceDE w:val="0"/>
              <w:autoSpaceDN w:val="0"/>
              <w:spacing w:line="360" w:lineRule="auto"/>
              <w:jc w:val="left"/>
              <w:outlineLvl w:val="1"/>
              <w:rPr>
                <w:rFonts w:eastAsia="仿宋"/>
                <w:b/>
                <w:kern w:val="0"/>
                <w:sz w:val="28"/>
                <w:szCs w:val="21"/>
                <w:lang w:bidi="ar"/>
              </w:rPr>
            </w:pPr>
          </w:p>
          <w:p>
            <w:pPr>
              <w:rPr>
                <w:kern w:val="0"/>
                <w:sz w:val="20"/>
              </w:rPr>
            </w:pPr>
          </w:p>
          <w:p>
            <w:pPr>
              <w:adjustRightInd w:val="0"/>
              <w:snapToGrid w:val="0"/>
              <w:jc w:val="center"/>
              <w:rPr>
                <w:b/>
                <w:kern w:val="0"/>
                <w:sz w:val="20"/>
                <w:szCs w:val="21"/>
              </w:rPr>
            </w:pPr>
          </w:p>
          <w:p>
            <w:pPr>
              <w:rPr>
                <w:kern w:val="0"/>
                <w:sz w:val="20"/>
              </w:rPr>
            </w:pPr>
          </w:p>
        </w:tc>
      </w:tr>
    </w:tbl>
    <w:p>
      <w:pPr>
        <w:sectPr>
          <w:pgSz w:w="11906" w:h="16838"/>
          <w:pgMar w:top="1440" w:right="1800" w:bottom="1440" w:left="1800" w:header="851" w:footer="992" w:gutter="0"/>
          <w:cols w:space="425" w:num="1"/>
          <w:docGrid w:type="lines" w:linePitch="312" w:charSpace="0"/>
        </w:sectPr>
      </w:pPr>
    </w:p>
    <w:p>
      <w:pPr>
        <w:pStyle w:val="2"/>
        <w:rPr>
          <w:color w:val="000000" w:themeColor="text1"/>
          <w14:textFill>
            <w14:solidFill>
              <w14:schemeClr w14:val="tx1"/>
            </w14:solidFill>
          </w14:textFill>
        </w:rPr>
      </w:pPr>
      <w:r>
        <w:rPr>
          <w:color w:val="000000" w:themeColor="text1"/>
          <w14:textFill>
            <w14:solidFill>
              <w14:schemeClr w14:val="tx1"/>
            </w14:solidFill>
          </w14:textFill>
        </w:rPr>
        <w:t>建设项目拟采取的防治措施及预期治理效果</w:t>
      </w: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310"/>
        <w:gridCol w:w="1508"/>
        <w:gridCol w:w="2001"/>
        <w:gridCol w:w="31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pct"/>
            <w:vAlign w:val="center"/>
          </w:tcPr>
          <w:p>
            <w:pPr>
              <w:jc w:val="right"/>
              <w:rPr>
                <w:szCs w:val="21"/>
              </w:rPr>
            </w:pPr>
            <w:r>
              <w:rPr>
                <w:szCs w:val="21"/>
              </w:rPr>
              <w:t>内容</w:t>
            </w:r>
          </w:p>
          <w:p>
            <w:pPr>
              <w:rPr>
                <w:szCs w:val="21"/>
              </w:rPr>
            </w:pPr>
            <w:r>
              <w:rPr>
                <w:szCs w:val="21"/>
              </w:rPr>
              <w:t>类型</w:t>
            </w:r>
          </w:p>
        </w:tc>
        <w:tc>
          <w:tcPr>
            <w:tcW w:w="722" w:type="pct"/>
            <w:vAlign w:val="center"/>
          </w:tcPr>
          <w:p>
            <w:pPr>
              <w:jc w:val="center"/>
              <w:rPr>
                <w:szCs w:val="21"/>
              </w:rPr>
            </w:pPr>
            <w:r>
              <w:rPr>
                <w:szCs w:val="21"/>
              </w:rPr>
              <w:t>排放源</w:t>
            </w:r>
          </w:p>
          <w:p>
            <w:pPr>
              <w:jc w:val="center"/>
              <w:rPr>
                <w:szCs w:val="21"/>
              </w:rPr>
            </w:pPr>
            <w:r>
              <w:rPr>
                <w:szCs w:val="21"/>
              </w:rPr>
              <w:t>(编号)</w:t>
            </w:r>
          </w:p>
        </w:tc>
        <w:tc>
          <w:tcPr>
            <w:tcW w:w="831" w:type="pct"/>
            <w:vAlign w:val="center"/>
          </w:tcPr>
          <w:p>
            <w:pPr>
              <w:jc w:val="center"/>
              <w:rPr>
                <w:szCs w:val="21"/>
              </w:rPr>
            </w:pPr>
            <w:r>
              <w:rPr>
                <w:szCs w:val="21"/>
              </w:rPr>
              <w:t>污染物</w:t>
            </w:r>
          </w:p>
          <w:p>
            <w:pPr>
              <w:jc w:val="center"/>
              <w:rPr>
                <w:szCs w:val="21"/>
              </w:rPr>
            </w:pPr>
            <w:r>
              <w:rPr>
                <w:szCs w:val="21"/>
              </w:rPr>
              <w:t>名称</w:t>
            </w:r>
          </w:p>
        </w:tc>
        <w:tc>
          <w:tcPr>
            <w:tcW w:w="1103" w:type="pct"/>
            <w:vAlign w:val="center"/>
          </w:tcPr>
          <w:p>
            <w:pPr>
              <w:jc w:val="center"/>
              <w:rPr>
                <w:szCs w:val="21"/>
              </w:rPr>
            </w:pPr>
            <w:r>
              <w:rPr>
                <w:szCs w:val="21"/>
              </w:rPr>
              <w:t>防治措施</w:t>
            </w:r>
          </w:p>
        </w:tc>
        <w:tc>
          <w:tcPr>
            <w:tcW w:w="1754" w:type="pct"/>
            <w:vAlign w:val="center"/>
          </w:tcPr>
          <w:p>
            <w:pPr>
              <w:jc w:val="center"/>
              <w:rPr>
                <w:szCs w:val="21"/>
              </w:rPr>
            </w:pPr>
            <w:r>
              <w:rPr>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590" w:type="pct"/>
            <w:vMerge w:val="restart"/>
            <w:vAlign w:val="center"/>
          </w:tcPr>
          <w:p>
            <w:pPr>
              <w:jc w:val="center"/>
              <w:rPr>
                <w:szCs w:val="21"/>
              </w:rPr>
            </w:pPr>
            <w:r>
              <w:rPr>
                <w:szCs w:val="21"/>
              </w:rPr>
              <w:t>大气</w:t>
            </w:r>
          </w:p>
          <w:p>
            <w:pPr>
              <w:jc w:val="center"/>
              <w:rPr>
                <w:szCs w:val="21"/>
              </w:rPr>
            </w:pPr>
            <w:r>
              <w:rPr>
                <w:szCs w:val="21"/>
              </w:rPr>
              <w:t>污染物</w:t>
            </w:r>
          </w:p>
        </w:tc>
        <w:tc>
          <w:tcPr>
            <w:tcW w:w="722" w:type="pct"/>
            <w:vMerge w:val="restart"/>
            <w:vAlign w:val="center"/>
          </w:tcPr>
          <w:p>
            <w:pPr>
              <w:jc w:val="center"/>
              <w:rPr>
                <w:szCs w:val="21"/>
              </w:rPr>
            </w:pPr>
            <w:r>
              <w:rPr>
                <w:rFonts w:hint="eastAsia"/>
                <w:szCs w:val="21"/>
              </w:rPr>
              <w:t>P</w:t>
            </w:r>
            <w:r>
              <w:rPr>
                <w:szCs w:val="21"/>
              </w:rPr>
              <w:t>1</w:t>
            </w:r>
          </w:p>
        </w:tc>
        <w:tc>
          <w:tcPr>
            <w:tcW w:w="831" w:type="pct"/>
            <w:vAlign w:val="center"/>
          </w:tcPr>
          <w:p>
            <w:pPr>
              <w:jc w:val="center"/>
              <w:rPr>
                <w:szCs w:val="21"/>
              </w:rPr>
            </w:pPr>
            <w:r>
              <w:rPr>
                <w:rFonts w:hint="eastAsia"/>
                <w:szCs w:val="21"/>
              </w:rPr>
              <w:t>苯乙烯</w:t>
            </w:r>
          </w:p>
        </w:tc>
        <w:tc>
          <w:tcPr>
            <w:tcW w:w="1103" w:type="pct"/>
            <w:vMerge w:val="restart"/>
            <w:vAlign w:val="center"/>
          </w:tcPr>
          <w:p>
            <w:pPr>
              <w:rPr>
                <w:szCs w:val="21"/>
              </w:rPr>
            </w:pPr>
            <w:r>
              <w:rPr>
                <w:rFonts w:hint="eastAsia"/>
              </w:rPr>
              <w:t>二级活性炭吸附+15m排气筒</w:t>
            </w:r>
          </w:p>
        </w:tc>
        <w:tc>
          <w:tcPr>
            <w:tcW w:w="1754" w:type="pct"/>
            <w:vMerge w:val="restart"/>
            <w:vAlign w:val="center"/>
          </w:tcPr>
          <w:p>
            <w:pPr>
              <w:adjustRightInd w:val="0"/>
              <w:snapToGrid w:val="0"/>
              <w:rPr>
                <w:szCs w:val="21"/>
              </w:rPr>
            </w:pPr>
            <w:r>
              <w:rPr>
                <w:rFonts w:hint="eastAsia"/>
                <w:szCs w:val="21"/>
              </w:rPr>
              <w:t>《合成树脂工业污染物排放标准》（GB31572-2015）表5中相关标准限值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590" w:type="pct"/>
            <w:vMerge w:val="continue"/>
            <w:vAlign w:val="center"/>
          </w:tcPr>
          <w:p>
            <w:pPr>
              <w:jc w:val="center"/>
              <w:rPr>
                <w:szCs w:val="21"/>
              </w:rPr>
            </w:pPr>
          </w:p>
        </w:tc>
        <w:tc>
          <w:tcPr>
            <w:tcW w:w="722" w:type="pct"/>
            <w:vMerge w:val="continue"/>
            <w:vAlign w:val="center"/>
          </w:tcPr>
          <w:p>
            <w:pPr>
              <w:jc w:val="center"/>
              <w:rPr>
                <w:szCs w:val="21"/>
              </w:rPr>
            </w:pPr>
          </w:p>
        </w:tc>
        <w:tc>
          <w:tcPr>
            <w:tcW w:w="831" w:type="pct"/>
            <w:vAlign w:val="center"/>
          </w:tcPr>
          <w:p>
            <w:pPr>
              <w:jc w:val="center"/>
              <w:rPr>
                <w:szCs w:val="21"/>
              </w:rPr>
            </w:pPr>
            <w:r>
              <w:rPr>
                <w:rFonts w:hint="eastAsia"/>
                <w:szCs w:val="21"/>
              </w:rPr>
              <w:t>非甲烷总烃</w:t>
            </w:r>
          </w:p>
        </w:tc>
        <w:tc>
          <w:tcPr>
            <w:tcW w:w="1103" w:type="pct"/>
            <w:vMerge w:val="continue"/>
            <w:vAlign w:val="center"/>
          </w:tcPr>
          <w:p/>
        </w:tc>
        <w:tc>
          <w:tcPr>
            <w:tcW w:w="1754" w:type="pct"/>
            <w:vMerge w:val="continue"/>
            <w:vAlign w:val="center"/>
          </w:tcPr>
          <w:p>
            <w:pPr>
              <w:adjustRightInd w:val="0"/>
              <w:snapToGrid w:val="0"/>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590" w:type="pct"/>
            <w:vMerge w:val="continue"/>
            <w:vAlign w:val="center"/>
          </w:tcPr>
          <w:p>
            <w:pPr>
              <w:jc w:val="center"/>
              <w:rPr>
                <w:szCs w:val="21"/>
              </w:rPr>
            </w:pPr>
          </w:p>
        </w:tc>
        <w:tc>
          <w:tcPr>
            <w:tcW w:w="722" w:type="pct"/>
            <w:vAlign w:val="center"/>
          </w:tcPr>
          <w:p>
            <w:pPr>
              <w:jc w:val="center"/>
              <w:rPr>
                <w:szCs w:val="21"/>
              </w:rPr>
            </w:pPr>
            <w:r>
              <w:rPr>
                <w:rFonts w:hint="eastAsia"/>
                <w:szCs w:val="21"/>
              </w:rPr>
              <w:t>P</w:t>
            </w:r>
            <w:r>
              <w:rPr>
                <w:szCs w:val="21"/>
              </w:rPr>
              <w:t>2</w:t>
            </w:r>
          </w:p>
        </w:tc>
        <w:tc>
          <w:tcPr>
            <w:tcW w:w="831" w:type="pct"/>
            <w:vAlign w:val="center"/>
          </w:tcPr>
          <w:p>
            <w:pPr>
              <w:jc w:val="center"/>
              <w:rPr>
                <w:szCs w:val="21"/>
              </w:rPr>
            </w:pPr>
            <w:r>
              <w:rPr>
                <w:rFonts w:hint="eastAsia"/>
                <w:szCs w:val="21"/>
              </w:rPr>
              <w:t>颗粒物</w:t>
            </w:r>
          </w:p>
        </w:tc>
        <w:tc>
          <w:tcPr>
            <w:tcW w:w="1103" w:type="pct"/>
            <w:vAlign w:val="center"/>
          </w:tcPr>
          <w:p>
            <w:r>
              <w:rPr>
                <w:rFonts w:hint="eastAsia"/>
                <w:color w:val="000000"/>
                <w:szCs w:val="21"/>
              </w:rPr>
              <w:t>布袋除尘器+15m排气筒</w:t>
            </w:r>
          </w:p>
        </w:tc>
        <w:tc>
          <w:tcPr>
            <w:tcW w:w="1754" w:type="pct"/>
            <w:vMerge w:val="continue"/>
            <w:vAlign w:val="center"/>
          </w:tcPr>
          <w:p>
            <w:pPr>
              <w:adjustRightInd w:val="0"/>
              <w:snapToGrid w:val="0"/>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590" w:type="pct"/>
            <w:vMerge w:val="continue"/>
            <w:vAlign w:val="center"/>
          </w:tcPr>
          <w:p>
            <w:pPr>
              <w:jc w:val="center"/>
              <w:rPr>
                <w:szCs w:val="21"/>
              </w:rPr>
            </w:pPr>
          </w:p>
        </w:tc>
        <w:tc>
          <w:tcPr>
            <w:tcW w:w="722" w:type="pct"/>
            <w:vMerge w:val="restart"/>
            <w:vAlign w:val="center"/>
          </w:tcPr>
          <w:p>
            <w:pPr>
              <w:jc w:val="center"/>
              <w:rPr>
                <w:szCs w:val="21"/>
              </w:rPr>
            </w:pPr>
            <w:r>
              <w:rPr>
                <w:rFonts w:hint="eastAsia"/>
                <w:szCs w:val="21"/>
              </w:rPr>
              <w:t>P</w:t>
            </w:r>
            <w:r>
              <w:rPr>
                <w:szCs w:val="21"/>
              </w:rPr>
              <w:t>3</w:t>
            </w:r>
          </w:p>
        </w:tc>
        <w:tc>
          <w:tcPr>
            <w:tcW w:w="831" w:type="pct"/>
            <w:vAlign w:val="center"/>
          </w:tcPr>
          <w:p>
            <w:pPr>
              <w:jc w:val="center"/>
              <w:rPr>
                <w:szCs w:val="21"/>
              </w:rPr>
            </w:pPr>
            <w:r>
              <w:rPr>
                <w:rFonts w:hint="eastAsia"/>
                <w:szCs w:val="21"/>
              </w:rPr>
              <w:t>颗粒物</w:t>
            </w:r>
          </w:p>
        </w:tc>
        <w:tc>
          <w:tcPr>
            <w:tcW w:w="1103" w:type="pct"/>
            <w:vMerge w:val="restart"/>
            <w:vAlign w:val="center"/>
          </w:tcPr>
          <w:p>
            <w:r>
              <w:rPr>
                <w:rFonts w:hint="eastAsia"/>
              </w:rPr>
              <w:t>低氮燃烧器+15m排气筒</w:t>
            </w:r>
          </w:p>
        </w:tc>
        <w:tc>
          <w:tcPr>
            <w:tcW w:w="1754" w:type="pct"/>
            <w:vMerge w:val="restart"/>
            <w:vAlign w:val="center"/>
          </w:tcPr>
          <w:p>
            <w:pPr>
              <w:adjustRightInd w:val="0"/>
              <w:snapToGrid w:val="0"/>
              <w:rPr>
                <w:szCs w:val="21"/>
              </w:rPr>
            </w:pPr>
            <w:r>
              <w:rPr>
                <w:szCs w:val="21"/>
              </w:rPr>
              <w:t>《锅炉大气污染物排放标准》（</w:t>
            </w:r>
            <w:r>
              <w:rPr>
                <w:rFonts w:hint="eastAsia"/>
                <w:szCs w:val="21"/>
              </w:rPr>
              <w:t>D</w:t>
            </w:r>
            <w:r>
              <w:rPr>
                <w:szCs w:val="21"/>
              </w:rPr>
              <w:t>B</w:t>
            </w:r>
            <w:r>
              <w:rPr>
                <w:rFonts w:hint="eastAsia"/>
                <w:szCs w:val="21"/>
              </w:rPr>
              <w:t>61/1226-2018</w:t>
            </w:r>
            <w:r>
              <w:rPr>
                <w:szCs w:val="21"/>
              </w:rPr>
              <w:t>）中表3燃气锅炉标准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590" w:type="pct"/>
            <w:vMerge w:val="continue"/>
            <w:vAlign w:val="center"/>
          </w:tcPr>
          <w:p>
            <w:pPr>
              <w:jc w:val="center"/>
              <w:rPr>
                <w:szCs w:val="21"/>
              </w:rPr>
            </w:pPr>
          </w:p>
        </w:tc>
        <w:tc>
          <w:tcPr>
            <w:tcW w:w="722" w:type="pct"/>
            <w:vMerge w:val="continue"/>
            <w:vAlign w:val="center"/>
          </w:tcPr>
          <w:p>
            <w:pPr>
              <w:jc w:val="center"/>
              <w:rPr>
                <w:szCs w:val="21"/>
              </w:rPr>
            </w:pPr>
          </w:p>
        </w:tc>
        <w:tc>
          <w:tcPr>
            <w:tcW w:w="831" w:type="pct"/>
            <w:vAlign w:val="center"/>
          </w:tcPr>
          <w:p>
            <w:pPr>
              <w:jc w:val="center"/>
              <w:rPr>
                <w:szCs w:val="21"/>
              </w:rPr>
            </w:pPr>
            <w:r>
              <w:rPr>
                <w:rFonts w:hint="eastAsia"/>
                <w:szCs w:val="21"/>
              </w:rPr>
              <w:t>S</w:t>
            </w:r>
            <w:r>
              <w:rPr>
                <w:szCs w:val="21"/>
              </w:rPr>
              <w:t>O</w:t>
            </w:r>
            <w:r>
              <w:rPr>
                <w:szCs w:val="21"/>
                <w:vertAlign w:val="subscript"/>
              </w:rPr>
              <w:t>2</w:t>
            </w:r>
          </w:p>
        </w:tc>
        <w:tc>
          <w:tcPr>
            <w:tcW w:w="1103" w:type="pct"/>
            <w:vMerge w:val="continue"/>
            <w:vAlign w:val="center"/>
          </w:tcPr>
          <w:p/>
        </w:tc>
        <w:tc>
          <w:tcPr>
            <w:tcW w:w="1754" w:type="pct"/>
            <w:vMerge w:val="continue"/>
            <w:vAlign w:val="center"/>
          </w:tcPr>
          <w:p>
            <w:pPr>
              <w:adjustRightInd w:val="0"/>
              <w:snapToGrid w:val="0"/>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 w:hRule="atLeast"/>
          <w:jc w:val="center"/>
        </w:trPr>
        <w:tc>
          <w:tcPr>
            <w:tcW w:w="590" w:type="pct"/>
            <w:vMerge w:val="continue"/>
            <w:vAlign w:val="center"/>
          </w:tcPr>
          <w:p>
            <w:pPr>
              <w:jc w:val="center"/>
              <w:rPr>
                <w:szCs w:val="21"/>
              </w:rPr>
            </w:pPr>
          </w:p>
        </w:tc>
        <w:tc>
          <w:tcPr>
            <w:tcW w:w="722" w:type="pct"/>
            <w:vMerge w:val="continue"/>
            <w:vAlign w:val="center"/>
          </w:tcPr>
          <w:p>
            <w:pPr>
              <w:jc w:val="center"/>
              <w:rPr>
                <w:szCs w:val="21"/>
              </w:rPr>
            </w:pPr>
          </w:p>
        </w:tc>
        <w:tc>
          <w:tcPr>
            <w:tcW w:w="831" w:type="pct"/>
            <w:vAlign w:val="center"/>
          </w:tcPr>
          <w:p>
            <w:pPr>
              <w:jc w:val="center"/>
              <w:rPr>
                <w:szCs w:val="21"/>
              </w:rPr>
            </w:pPr>
            <w:r>
              <w:rPr>
                <w:rFonts w:hint="eastAsia"/>
                <w:szCs w:val="21"/>
              </w:rPr>
              <w:t>N</w:t>
            </w:r>
            <w:r>
              <w:rPr>
                <w:szCs w:val="21"/>
              </w:rPr>
              <w:t>O</w:t>
            </w:r>
            <w:r>
              <w:rPr>
                <w:szCs w:val="21"/>
                <w:vertAlign w:val="subscript"/>
              </w:rPr>
              <w:t>X</w:t>
            </w:r>
          </w:p>
        </w:tc>
        <w:tc>
          <w:tcPr>
            <w:tcW w:w="1103" w:type="pct"/>
            <w:vMerge w:val="continue"/>
            <w:vAlign w:val="center"/>
          </w:tcPr>
          <w:p/>
        </w:tc>
        <w:tc>
          <w:tcPr>
            <w:tcW w:w="1754" w:type="pct"/>
            <w:vMerge w:val="continue"/>
            <w:vAlign w:val="center"/>
          </w:tcPr>
          <w:p>
            <w:pPr>
              <w:adjustRightInd w:val="0"/>
              <w:snapToGrid w:val="0"/>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590" w:type="pct"/>
            <w:vMerge w:val="continue"/>
            <w:vAlign w:val="center"/>
          </w:tcPr>
          <w:p>
            <w:pPr>
              <w:jc w:val="center"/>
              <w:rPr>
                <w:szCs w:val="21"/>
              </w:rPr>
            </w:pPr>
          </w:p>
        </w:tc>
        <w:tc>
          <w:tcPr>
            <w:tcW w:w="722" w:type="pct"/>
            <w:vMerge w:val="restart"/>
            <w:vAlign w:val="center"/>
          </w:tcPr>
          <w:p>
            <w:pPr>
              <w:jc w:val="center"/>
              <w:rPr>
                <w:szCs w:val="21"/>
              </w:rPr>
            </w:pPr>
            <w:r>
              <w:rPr>
                <w:rFonts w:hint="eastAsia"/>
                <w:szCs w:val="21"/>
              </w:rPr>
              <w:t>无组织</w:t>
            </w:r>
          </w:p>
        </w:tc>
        <w:tc>
          <w:tcPr>
            <w:tcW w:w="831" w:type="pct"/>
            <w:vAlign w:val="center"/>
          </w:tcPr>
          <w:p>
            <w:pPr>
              <w:jc w:val="center"/>
              <w:rPr>
                <w:szCs w:val="21"/>
              </w:rPr>
            </w:pPr>
            <w:r>
              <w:rPr>
                <w:rFonts w:hint="eastAsia"/>
                <w:szCs w:val="21"/>
              </w:rPr>
              <w:t>苯乙烯</w:t>
            </w:r>
          </w:p>
        </w:tc>
        <w:tc>
          <w:tcPr>
            <w:tcW w:w="1103" w:type="pct"/>
            <w:vMerge w:val="restart"/>
            <w:vAlign w:val="center"/>
          </w:tcPr>
          <w:p>
            <w:pPr>
              <w:rPr>
                <w:color w:val="000000"/>
                <w:szCs w:val="21"/>
              </w:rPr>
            </w:pPr>
            <w:r>
              <w:rPr>
                <w:rFonts w:hint="eastAsia"/>
                <w:color w:val="000000"/>
                <w:szCs w:val="21"/>
              </w:rPr>
              <w:t>密闭厂房，加强通风</w:t>
            </w:r>
          </w:p>
        </w:tc>
        <w:tc>
          <w:tcPr>
            <w:tcW w:w="1754" w:type="pct"/>
            <w:vMerge w:val="restart"/>
            <w:vAlign w:val="center"/>
          </w:tcPr>
          <w:p>
            <w:pPr>
              <w:adjustRightInd w:val="0"/>
              <w:snapToGrid w:val="0"/>
              <w:rPr>
                <w:szCs w:val="21"/>
              </w:rPr>
            </w:pPr>
            <w:r>
              <w:rPr>
                <w:rFonts w:hint="eastAsia"/>
                <w:szCs w:val="21"/>
              </w:rPr>
              <w:t>《合成树脂工业污染物排放标准》（GB31572-2015）表</w:t>
            </w:r>
            <w:r>
              <w:rPr>
                <w:szCs w:val="21"/>
              </w:rPr>
              <w:t>9</w:t>
            </w:r>
            <w:r>
              <w:rPr>
                <w:rFonts w:hint="eastAsia"/>
                <w:szCs w:val="21"/>
              </w:rPr>
              <w:t>中相关标准限值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590" w:type="pct"/>
            <w:vMerge w:val="continue"/>
            <w:vAlign w:val="center"/>
          </w:tcPr>
          <w:p>
            <w:pPr>
              <w:jc w:val="center"/>
              <w:rPr>
                <w:szCs w:val="21"/>
              </w:rPr>
            </w:pPr>
          </w:p>
        </w:tc>
        <w:tc>
          <w:tcPr>
            <w:tcW w:w="722" w:type="pct"/>
            <w:vMerge w:val="continue"/>
            <w:vAlign w:val="center"/>
          </w:tcPr>
          <w:p>
            <w:pPr>
              <w:jc w:val="center"/>
              <w:rPr>
                <w:szCs w:val="21"/>
              </w:rPr>
            </w:pPr>
          </w:p>
        </w:tc>
        <w:tc>
          <w:tcPr>
            <w:tcW w:w="831" w:type="pct"/>
            <w:vAlign w:val="center"/>
          </w:tcPr>
          <w:p>
            <w:pPr>
              <w:jc w:val="center"/>
              <w:rPr>
                <w:szCs w:val="21"/>
              </w:rPr>
            </w:pPr>
            <w:r>
              <w:rPr>
                <w:rFonts w:hint="eastAsia"/>
                <w:szCs w:val="21"/>
              </w:rPr>
              <w:t>非甲烷总烃</w:t>
            </w:r>
          </w:p>
        </w:tc>
        <w:tc>
          <w:tcPr>
            <w:tcW w:w="1103" w:type="pct"/>
            <w:vMerge w:val="continue"/>
            <w:vAlign w:val="center"/>
          </w:tcPr>
          <w:p>
            <w:pPr>
              <w:rPr>
                <w:color w:val="000000"/>
                <w:szCs w:val="21"/>
              </w:rPr>
            </w:pPr>
          </w:p>
        </w:tc>
        <w:tc>
          <w:tcPr>
            <w:tcW w:w="1754" w:type="pct"/>
            <w:vMerge w:val="continue"/>
            <w:vAlign w:val="center"/>
          </w:tcPr>
          <w:p>
            <w:pPr>
              <w:adjustRightInd w:val="0"/>
              <w:snapToGrid w:val="0"/>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590" w:type="pct"/>
            <w:vMerge w:val="continue"/>
            <w:vAlign w:val="center"/>
          </w:tcPr>
          <w:p>
            <w:pPr>
              <w:jc w:val="center"/>
              <w:rPr>
                <w:szCs w:val="21"/>
              </w:rPr>
            </w:pPr>
          </w:p>
        </w:tc>
        <w:tc>
          <w:tcPr>
            <w:tcW w:w="722" w:type="pct"/>
            <w:vMerge w:val="continue"/>
            <w:vAlign w:val="center"/>
          </w:tcPr>
          <w:p>
            <w:pPr>
              <w:jc w:val="center"/>
              <w:rPr>
                <w:szCs w:val="21"/>
              </w:rPr>
            </w:pPr>
          </w:p>
        </w:tc>
        <w:tc>
          <w:tcPr>
            <w:tcW w:w="831" w:type="pct"/>
            <w:vAlign w:val="center"/>
          </w:tcPr>
          <w:p>
            <w:pPr>
              <w:jc w:val="center"/>
              <w:rPr>
                <w:szCs w:val="21"/>
              </w:rPr>
            </w:pPr>
            <w:r>
              <w:rPr>
                <w:rFonts w:hint="eastAsia"/>
                <w:szCs w:val="21"/>
              </w:rPr>
              <w:t>颗粒物</w:t>
            </w:r>
          </w:p>
        </w:tc>
        <w:tc>
          <w:tcPr>
            <w:tcW w:w="1103" w:type="pct"/>
            <w:vMerge w:val="continue"/>
            <w:vAlign w:val="center"/>
          </w:tcPr>
          <w:p>
            <w:pPr>
              <w:rPr>
                <w:color w:val="000000"/>
                <w:szCs w:val="21"/>
              </w:rPr>
            </w:pPr>
          </w:p>
        </w:tc>
        <w:tc>
          <w:tcPr>
            <w:tcW w:w="1754" w:type="pct"/>
            <w:vMerge w:val="continue"/>
            <w:vAlign w:val="center"/>
          </w:tcPr>
          <w:p>
            <w:pPr>
              <w:adjustRightInd w:val="0"/>
              <w:snapToGrid w:val="0"/>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0" w:type="pct"/>
            <w:vMerge w:val="continue"/>
            <w:vAlign w:val="center"/>
          </w:tcPr>
          <w:p>
            <w:pPr>
              <w:jc w:val="center"/>
              <w:rPr>
                <w:szCs w:val="21"/>
              </w:rPr>
            </w:pPr>
          </w:p>
        </w:tc>
        <w:tc>
          <w:tcPr>
            <w:tcW w:w="1553" w:type="pct"/>
            <w:gridSpan w:val="2"/>
            <w:vAlign w:val="center"/>
          </w:tcPr>
          <w:p>
            <w:pPr>
              <w:jc w:val="center"/>
              <w:rPr>
                <w:szCs w:val="21"/>
              </w:rPr>
            </w:pPr>
            <w:r>
              <w:rPr>
                <w:rFonts w:hint="eastAsia"/>
                <w:szCs w:val="21"/>
              </w:rPr>
              <w:t>油烟</w:t>
            </w:r>
          </w:p>
        </w:tc>
        <w:tc>
          <w:tcPr>
            <w:tcW w:w="1103" w:type="pct"/>
            <w:vAlign w:val="center"/>
          </w:tcPr>
          <w:p>
            <w:pPr>
              <w:jc w:val="center"/>
              <w:rPr>
                <w:szCs w:val="21"/>
              </w:rPr>
            </w:pPr>
            <w:r>
              <w:rPr>
                <w:rFonts w:hint="eastAsia"/>
                <w:szCs w:val="21"/>
              </w:rPr>
              <w:t>油烟净化系统</w:t>
            </w:r>
          </w:p>
        </w:tc>
        <w:tc>
          <w:tcPr>
            <w:tcW w:w="1754" w:type="pct"/>
            <w:vAlign w:val="center"/>
          </w:tcPr>
          <w:p>
            <w:pPr>
              <w:adjustRightInd w:val="0"/>
              <w:snapToGrid w:val="0"/>
              <w:rPr>
                <w:szCs w:val="21"/>
              </w:rPr>
            </w:pPr>
            <w:r>
              <w:rPr>
                <w:rFonts w:hint="eastAsia"/>
                <w:szCs w:val="21"/>
              </w:rPr>
              <w:t>《饮食业油烟排放标准（试行）》（GB18483-2001）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0" w:type="pct"/>
            <w:vAlign w:val="center"/>
          </w:tcPr>
          <w:p>
            <w:pPr>
              <w:jc w:val="center"/>
              <w:rPr>
                <w:szCs w:val="21"/>
              </w:rPr>
            </w:pPr>
            <w:r>
              <w:rPr>
                <w:szCs w:val="21"/>
              </w:rPr>
              <w:t>水污</w:t>
            </w:r>
          </w:p>
          <w:p>
            <w:pPr>
              <w:jc w:val="center"/>
              <w:rPr>
                <w:szCs w:val="21"/>
              </w:rPr>
            </w:pPr>
            <w:r>
              <w:rPr>
                <w:szCs w:val="21"/>
              </w:rPr>
              <w:t>染物</w:t>
            </w:r>
          </w:p>
        </w:tc>
        <w:tc>
          <w:tcPr>
            <w:tcW w:w="722" w:type="pct"/>
            <w:vAlign w:val="center"/>
          </w:tcPr>
          <w:p>
            <w:pPr>
              <w:jc w:val="center"/>
              <w:rPr>
                <w:szCs w:val="21"/>
              </w:rPr>
            </w:pPr>
            <w:r>
              <w:rPr>
                <w:rFonts w:hint="eastAsia"/>
                <w:szCs w:val="21"/>
              </w:rPr>
              <w:t>生活污水和 锅炉废</w:t>
            </w:r>
            <w:r>
              <w:rPr>
                <w:szCs w:val="21"/>
              </w:rPr>
              <w:t>水</w:t>
            </w:r>
          </w:p>
        </w:tc>
        <w:tc>
          <w:tcPr>
            <w:tcW w:w="831" w:type="pct"/>
            <w:vAlign w:val="center"/>
          </w:tcPr>
          <w:p>
            <w:pPr>
              <w:jc w:val="center"/>
              <w:rPr>
                <w:szCs w:val="21"/>
              </w:rPr>
            </w:pPr>
            <w:r>
              <w:rPr>
                <w:szCs w:val="21"/>
              </w:rPr>
              <w:t>COD</w:t>
            </w:r>
          </w:p>
          <w:p>
            <w:pPr>
              <w:jc w:val="center"/>
              <w:rPr>
                <w:szCs w:val="21"/>
                <w:vertAlign w:val="subscript"/>
              </w:rPr>
            </w:pPr>
            <w:r>
              <w:rPr>
                <w:szCs w:val="21"/>
              </w:rPr>
              <w:t>BOD</w:t>
            </w:r>
            <w:r>
              <w:rPr>
                <w:szCs w:val="21"/>
                <w:vertAlign w:val="subscript"/>
              </w:rPr>
              <w:t>5</w:t>
            </w:r>
          </w:p>
          <w:p>
            <w:pPr>
              <w:jc w:val="center"/>
              <w:rPr>
                <w:szCs w:val="21"/>
              </w:rPr>
            </w:pPr>
            <w:r>
              <w:rPr>
                <w:rFonts w:hint="eastAsia"/>
                <w:szCs w:val="21"/>
              </w:rPr>
              <w:t>氨氮</w:t>
            </w:r>
          </w:p>
          <w:p>
            <w:pPr>
              <w:jc w:val="center"/>
              <w:rPr>
                <w:szCs w:val="21"/>
              </w:rPr>
            </w:pPr>
            <w:r>
              <w:rPr>
                <w:szCs w:val="21"/>
              </w:rPr>
              <w:t>SS</w:t>
            </w:r>
          </w:p>
        </w:tc>
        <w:tc>
          <w:tcPr>
            <w:tcW w:w="1103" w:type="pct"/>
            <w:vAlign w:val="center"/>
          </w:tcPr>
          <w:p>
            <w:pPr>
              <w:rPr>
                <w:szCs w:val="21"/>
              </w:rPr>
            </w:pPr>
            <w:r>
              <w:rPr>
                <w:rFonts w:hint="eastAsia"/>
                <w:szCs w:val="21"/>
              </w:rPr>
              <w:t>锅炉废水排入化粪池；餐饮废水经隔油池处理后与生活污水一起进入化粪池，</w:t>
            </w:r>
            <w:r>
              <w:rPr>
                <w:szCs w:val="21"/>
              </w:rPr>
              <w:t xml:space="preserve"> </w:t>
            </w:r>
          </w:p>
        </w:tc>
        <w:tc>
          <w:tcPr>
            <w:tcW w:w="1754" w:type="pct"/>
            <w:vAlign w:val="center"/>
          </w:tcPr>
          <w:p>
            <w:pPr>
              <w:rPr>
                <w:szCs w:val="21"/>
              </w:rPr>
            </w:pPr>
            <w:r>
              <w:rPr>
                <w:rFonts w:hint="eastAsia"/>
                <w:color w:val="000000" w:themeColor="text1"/>
                <w:szCs w:val="21"/>
                <w14:textFill>
                  <w14:solidFill>
                    <w14:schemeClr w14:val="tx1"/>
                  </w14:solidFill>
                </w14:textFill>
              </w:rPr>
              <w:t>排入化粪池，废水不外排，对化粪池定期清掏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590" w:type="pct"/>
            <w:vMerge w:val="restart"/>
            <w:vAlign w:val="center"/>
          </w:tcPr>
          <w:p>
            <w:pPr>
              <w:jc w:val="center"/>
              <w:rPr>
                <w:szCs w:val="21"/>
              </w:rPr>
            </w:pPr>
            <w:r>
              <w:rPr>
                <w:szCs w:val="21"/>
              </w:rPr>
              <w:t>固体</w:t>
            </w:r>
          </w:p>
          <w:p>
            <w:pPr>
              <w:jc w:val="center"/>
              <w:rPr>
                <w:szCs w:val="21"/>
              </w:rPr>
            </w:pPr>
            <w:r>
              <w:rPr>
                <w:szCs w:val="21"/>
              </w:rPr>
              <w:t>废物</w:t>
            </w:r>
          </w:p>
        </w:tc>
        <w:tc>
          <w:tcPr>
            <w:tcW w:w="1553" w:type="pct"/>
            <w:gridSpan w:val="2"/>
            <w:vAlign w:val="center"/>
          </w:tcPr>
          <w:p>
            <w:pPr>
              <w:jc w:val="center"/>
              <w:rPr>
                <w:szCs w:val="21"/>
              </w:rPr>
            </w:pPr>
            <w:r>
              <w:rPr>
                <w:rFonts w:hint="eastAsia"/>
                <w:szCs w:val="21"/>
              </w:rPr>
              <w:t>生活垃圾</w:t>
            </w:r>
          </w:p>
        </w:tc>
        <w:tc>
          <w:tcPr>
            <w:tcW w:w="1103" w:type="pct"/>
            <w:vAlign w:val="center"/>
          </w:tcPr>
          <w:p>
            <w:pPr>
              <w:rPr>
                <w:szCs w:val="21"/>
              </w:rPr>
            </w:pPr>
            <w:r>
              <w:rPr>
                <w:rFonts w:hint="eastAsia"/>
                <w:szCs w:val="21"/>
              </w:rPr>
              <w:t>环卫部门清运</w:t>
            </w:r>
          </w:p>
        </w:tc>
        <w:tc>
          <w:tcPr>
            <w:tcW w:w="1754" w:type="pct"/>
            <w:vMerge w:val="restart"/>
            <w:vAlign w:val="center"/>
          </w:tcPr>
          <w:p>
            <w:pPr>
              <w:rPr>
                <w:szCs w:val="21"/>
              </w:rPr>
            </w:pPr>
            <w:r>
              <w:rPr>
                <w:rFonts w:hint="eastAsia"/>
                <w:szCs w:val="21"/>
              </w:rPr>
              <w:t>一般工业固体废物排放执行《一般工业固体废物贮存、处置场污染物控制标准》（GB18599-2001）及其2013年修改单中的有关规定；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590" w:type="pct"/>
            <w:vMerge w:val="continue"/>
            <w:vAlign w:val="center"/>
          </w:tcPr>
          <w:p>
            <w:pPr>
              <w:jc w:val="center"/>
              <w:rPr>
                <w:szCs w:val="21"/>
              </w:rPr>
            </w:pPr>
          </w:p>
        </w:tc>
        <w:tc>
          <w:tcPr>
            <w:tcW w:w="1553" w:type="pct"/>
            <w:gridSpan w:val="2"/>
            <w:vAlign w:val="center"/>
          </w:tcPr>
          <w:p>
            <w:pPr>
              <w:jc w:val="center"/>
              <w:rPr>
                <w:szCs w:val="21"/>
              </w:rPr>
            </w:pPr>
            <w:r>
              <w:rPr>
                <w:rFonts w:hint="eastAsia"/>
                <w:szCs w:val="21"/>
              </w:rPr>
              <w:t>边角料</w:t>
            </w:r>
          </w:p>
        </w:tc>
        <w:tc>
          <w:tcPr>
            <w:tcW w:w="1103" w:type="pct"/>
            <w:vAlign w:val="center"/>
          </w:tcPr>
          <w:p>
            <w:pPr>
              <w:rPr>
                <w:szCs w:val="21"/>
              </w:rPr>
            </w:pPr>
            <w:r>
              <w:rPr>
                <w:rFonts w:hint="eastAsia"/>
                <w:szCs w:val="21"/>
              </w:rPr>
              <w:t>收集后熔融，外售</w:t>
            </w:r>
          </w:p>
        </w:tc>
        <w:tc>
          <w:tcPr>
            <w:tcW w:w="1754" w:type="pct"/>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590" w:type="pct"/>
            <w:vMerge w:val="continue"/>
            <w:vAlign w:val="center"/>
          </w:tcPr>
          <w:p>
            <w:pPr>
              <w:jc w:val="center"/>
              <w:rPr>
                <w:szCs w:val="21"/>
              </w:rPr>
            </w:pPr>
          </w:p>
        </w:tc>
        <w:tc>
          <w:tcPr>
            <w:tcW w:w="1553" w:type="pct"/>
            <w:gridSpan w:val="2"/>
            <w:vAlign w:val="center"/>
          </w:tcPr>
          <w:p>
            <w:pPr>
              <w:jc w:val="center"/>
              <w:rPr>
                <w:szCs w:val="21"/>
              </w:rPr>
            </w:pPr>
            <w:r>
              <w:rPr>
                <w:rFonts w:hint="eastAsia"/>
                <w:szCs w:val="21"/>
              </w:rPr>
              <w:t>粉尘</w:t>
            </w:r>
          </w:p>
        </w:tc>
        <w:tc>
          <w:tcPr>
            <w:tcW w:w="1103" w:type="pct"/>
            <w:vAlign w:val="center"/>
          </w:tcPr>
          <w:p>
            <w:pPr>
              <w:rPr>
                <w:szCs w:val="21"/>
              </w:rPr>
            </w:pPr>
            <w:r>
              <w:rPr>
                <w:rFonts w:hint="eastAsia"/>
                <w:szCs w:val="21"/>
              </w:rPr>
              <w:t>收集后外售</w:t>
            </w:r>
          </w:p>
        </w:tc>
        <w:tc>
          <w:tcPr>
            <w:tcW w:w="1754" w:type="pct"/>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590" w:type="pct"/>
            <w:vMerge w:val="continue"/>
            <w:textDirection w:val="tbRlV"/>
            <w:vAlign w:val="center"/>
          </w:tcPr>
          <w:p>
            <w:pPr>
              <w:jc w:val="center"/>
              <w:rPr>
                <w:szCs w:val="21"/>
              </w:rPr>
            </w:pPr>
          </w:p>
        </w:tc>
        <w:tc>
          <w:tcPr>
            <w:tcW w:w="1553" w:type="pct"/>
            <w:gridSpan w:val="2"/>
            <w:vAlign w:val="center"/>
          </w:tcPr>
          <w:p>
            <w:pPr>
              <w:jc w:val="center"/>
              <w:rPr>
                <w:szCs w:val="21"/>
              </w:rPr>
            </w:pPr>
            <w:r>
              <w:rPr>
                <w:rFonts w:hint="eastAsia"/>
                <w:szCs w:val="21"/>
              </w:rPr>
              <w:t>废包材</w:t>
            </w:r>
          </w:p>
        </w:tc>
        <w:tc>
          <w:tcPr>
            <w:tcW w:w="1103" w:type="pct"/>
            <w:vAlign w:val="center"/>
          </w:tcPr>
          <w:p>
            <w:pPr>
              <w:rPr>
                <w:szCs w:val="21"/>
              </w:rPr>
            </w:pPr>
            <w:r>
              <w:rPr>
                <w:rFonts w:hint="eastAsia"/>
                <w:szCs w:val="21"/>
              </w:rPr>
              <w:t>定点收集，环卫清运</w:t>
            </w:r>
          </w:p>
        </w:tc>
        <w:tc>
          <w:tcPr>
            <w:tcW w:w="1754" w:type="pct"/>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590" w:type="pct"/>
            <w:vMerge w:val="continue"/>
            <w:textDirection w:val="tbRlV"/>
            <w:vAlign w:val="center"/>
          </w:tcPr>
          <w:p>
            <w:pPr>
              <w:jc w:val="center"/>
              <w:rPr>
                <w:szCs w:val="21"/>
              </w:rPr>
            </w:pPr>
          </w:p>
        </w:tc>
        <w:tc>
          <w:tcPr>
            <w:tcW w:w="1553" w:type="pct"/>
            <w:gridSpan w:val="2"/>
            <w:vAlign w:val="center"/>
          </w:tcPr>
          <w:p>
            <w:pPr>
              <w:jc w:val="center"/>
              <w:rPr>
                <w:szCs w:val="21"/>
              </w:rPr>
            </w:pPr>
            <w:r>
              <w:rPr>
                <w:rFonts w:hint="eastAsia"/>
                <w:szCs w:val="21"/>
              </w:rPr>
              <w:t>废滤芯</w:t>
            </w:r>
          </w:p>
        </w:tc>
        <w:tc>
          <w:tcPr>
            <w:tcW w:w="1103" w:type="pct"/>
            <w:vMerge w:val="restart"/>
            <w:vAlign w:val="center"/>
          </w:tcPr>
          <w:p>
            <w:pPr>
              <w:rPr>
                <w:szCs w:val="21"/>
              </w:rPr>
            </w:pPr>
            <w:r>
              <w:rPr>
                <w:rFonts w:hint="eastAsia"/>
                <w:szCs w:val="21"/>
              </w:rPr>
              <w:t>交厂家回收</w:t>
            </w:r>
          </w:p>
        </w:tc>
        <w:tc>
          <w:tcPr>
            <w:tcW w:w="1754" w:type="pct"/>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590" w:type="pct"/>
            <w:vMerge w:val="continue"/>
            <w:textDirection w:val="tbRlV"/>
            <w:vAlign w:val="center"/>
          </w:tcPr>
          <w:p>
            <w:pPr>
              <w:jc w:val="center"/>
              <w:rPr>
                <w:szCs w:val="21"/>
              </w:rPr>
            </w:pPr>
          </w:p>
        </w:tc>
        <w:tc>
          <w:tcPr>
            <w:tcW w:w="1553" w:type="pct"/>
            <w:gridSpan w:val="2"/>
            <w:vAlign w:val="center"/>
          </w:tcPr>
          <w:p>
            <w:pPr>
              <w:jc w:val="center"/>
              <w:rPr>
                <w:szCs w:val="21"/>
              </w:rPr>
            </w:pPr>
            <w:r>
              <w:rPr>
                <w:rFonts w:hint="eastAsia"/>
                <w:szCs w:val="21"/>
              </w:rPr>
              <w:t>废反渗透膜</w:t>
            </w:r>
          </w:p>
        </w:tc>
        <w:tc>
          <w:tcPr>
            <w:tcW w:w="1103" w:type="pct"/>
            <w:vMerge w:val="continue"/>
            <w:vAlign w:val="center"/>
          </w:tcPr>
          <w:p>
            <w:pPr>
              <w:rPr>
                <w:szCs w:val="21"/>
              </w:rPr>
            </w:pPr>
          </w:p>
        </w:tc>
        <w:tc>
          <w:tcPr>
            <w:tcW w:w="1754" w:type="pct"/>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590" w:type="pct"/>
            <w:vMerge w:val="continue"/>
            <w:textDirection w:val="tbRlV"/>
            <w:vAlign w:val="center"/>
          </w:tcPr>
          <w:p>
            <w:pPr>
              <w:jc w:val="center"/>
              <w:rPr>
                <w:szCs w:val="21"/>
              </w:rPr>
            </w:pPr>
          </w:p>
        </w:tc>
        <w:tc>
          <w:tcPr>
            <w:tcW w:w="1553" w:type="pct"/>
            <w:gridSpan w:val="2"/>
          </w:tcPr>
          <w:p>
            <w:pPr>
              <w:jc w:val="center"/>
              <w:rPr>
                <w:szCs w:val="21"/>
              </w:rPr>
            </w:pPr>
            <w:r>
              <w:rPr>
                <w:rFonts w:hint="eastAsia"/>
              </w:rPr>
              <w:t>废活性炭</w:t>
            </w:r>
          </w:p>
        </w:tc>
        <w:tc>
          <w:tcPr>
            <w:tcW w:w="1103" w:type="pct"/>
            <w:vMerge w:val="restart"/>
            <w:vAlign w:val="center"/>
          </w:tcPr>
          <w:p>
            <w:pPr>
              <w:rPr>
                <w:szCs w:val="21"/>
              </w:rPr>
            </w:pPr>
            <w:r>
              <w:rPr>
                <w:rFonts w:hint="eastAsia"/>
                <w:szCs w:val="21"/>
              </w:rPr>
              <w:t>危废暂存间暂存后，交有资质单位处理</w:t>
            </w:r>
          </w:p>
        </w:tc>
        <w:tc>
          <w:tcPr>
            <w:tcW w:w="1754" w:type="pct"/>
            <w:vMerge w:val="restart"/>
            <w:vAlign w:val="center"/>
          </w:tcPr>
          <w:p>
            <w:pPr>
              <w:rPr>
                <w:szCs w:val="21"/>
              </w:rPr>
            </w:pPr>
            <w:r>
              <w:rPr>
                <w:rFonts w:hint="eastAsia"/>
                <w:szCs w:val="21"/>
              </w:rPr>
              <w:t>危险固体废物执行《危险废物贮存污染控制标准》（GB18597-2001），收集处置率100％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590" w:type="pct"/>
            <w:vMerge w:val="continue"/>
            <w:textDirection w:val="tbRlV"/>
            <w:vAlign w:val="center"/>
          </w:tcPr>
          <w:p>
            <w:pPr>
              <w:jc w:val="center"/>
              <w:rPr>
                <w:szCs w:val="21"/>
              </w:rPr>
            </w:pPr>
          </w:p>
        </w:tc>
        <w:tc>
          <w:tcPr>
            <w:tcW w:w="1553" w:type="pct"/>
            <w:gridSpan w:val="2"/>
          </w:tcPr>
          <w:p>
            <w:pPr>
              <w:jc w:val="center"/>
              <w:rPr>
                <w:szCs w:val="21"/>
              </w:rPr>
            </w:pPr>
            <w:r>
              <w:rPr>
                <w:rFonts w:hint="eastAsia"/>
              </w:rPr>
              <w:t>废油抹布</w:t>
            </w:r>
          </w:p>
        </w:tc>
        <w:tc>
          <w:tcPr>
            <w:tcW w:w="1103" w:type="pct"/>
            <w:vMerge w:val="continue"/>
            <w:vAlign w:val="center"/>
          </w:tcPr>
          <w:p>
            <w:pPr>
              <w:rPr>
                <w:szCs w:val="21"/>
              </w:rPr>
            </w:pPr>
          </w:p>
        </w:tc>
        <w:tc>
          <w:tcPr>
            <w:tcW w:w="1754" w:type="pct"/>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590" w:type="pct"/>
            <w:vMerge w:val="continue"/>
            <w:textDirection w:val="tbRlV"/>
            <w:vAlign w:val="center"/>
          </w:tcPr>
          <w:p>
            <w:pPr>
              <w:jc w:val="center"/>
              <w:rPr>
                <w:szCs w:val="21"/>
              </w:rPr>
            </w:pPr>
          </w:p>
        </w:tc>
        <w:tc>
          <w:tcPr>
            <w:tcW w:w="1553" w:type="pct"/>
            <w:gridSpan w:val="2"/>
          </w:tcPr>
          <w:p>
            <w:pPr>
              <w:jc w:val="center"/>
              <w:rPr>
                <w:szCs w:val="21"/>
              </w:rPr>
            </w:pPr>
            <w:r>
              <w:rPr>
                <w:rFonts w:hint="eastAsia"/>
                <w:szCs w:val="21"/>
              </w:rPr>
              <w:t>废机油</w:t>
            </w:r>
          </w:p>
        </w:tc>
        <w:tc>
          <w:tcPr>
            <w:tcW w:w="1103" w:type="pct"/>
            <w:vMerge w:val="continue"/>
            <w:vAlign w:val="center"/>
          </w:tcPr>
          <w:p>
            <w:pPr>
              <w:rPr>
                <w:szCs w:val="21"/>
              </w:rPr>
            </w:pPr>
          </w:p>
        </w:tc>
        <w:tc>
          <w:tcPr>
            <w:tcW w:w="1754" w:type="pct"/>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0" w:type="pct"/>
            <w:vAlign w:val="center"/>
          </w:tcPr>
          <w:p>
            <w:pPr>
              <w:jc w:val="center"/>
              <w:rPr>
                <w:szCs w:val="21"/>
              </w:rPr>
            </w:pPr>
            <w:r>
              <w:rPr>
                <w:szCs w:val="21"/>
              </w:rPr>
              <w:t>噪声</w:t>
            </w:r>
          </w:p>
        </w:tc>
        <w:tc>
          <w:tcPr>
            <w:tcW w:w="4410" w:type="pct"/>
            <w:gridSpan w:val="4"/>
            <w:vAlign w:val="center"/>
          </w:tcPr>
          <w:p>
            <w:pPr>
              <w:tabs>
                <w:tab w:val="left" w:pos="3255"/>
              </w:tabs>
              <w:rPr>
                <w:szCs w:val="21"/>
              </w:rPr>
            </w:pPr>
            <w:r>
              <w:rPr>
                <w:rFonts w:hint="eastAsia"/>
                <w:szCs w:val="21"/>
              </w:rPr>
              <w:t>经采用合理布置、基础减振、设备维护、柔性连接、建筑隔声、距离衰减、周边绿化等措施后，厂界噪声符合GB</w:t>
            </w:r>
            <w:r>
              <w:rPr>
                <w:szCs w:val="21"/>
              </w:rPr>
              <w:t>1</w:t>
            </w:r>
            <w:r>
              <w:rPr>
                <w:rFonts w:hint="eastAsia"/>
                <w:szCs w:val="21"/>
              </w:rPr>
              <w:t>23</w:t>
            </w:r>
            <w:r>
              <w:rPr>
                <w:szCs w:val="21"/>
              </w:rPr>
              <w:t>48</w:t>
            </w:r>
            <w:r>
              <w:rPr>
                <w:rFonts w:hint="eastAsia"/>
                <w:szCs w:val="21"/>
              </w:rPr>
              <w:t>-2008《工业企业厂界环境噪声排放标准》</w:t>
            </w:r>
            <w:r>
              <w:rPr>
                <w:color w:val="000000"/>
                <w:szCs w:val="21"/>
              </w:rPr>
              <w:t>2</w:t>
            </w:r>
            <w:r>
              <w:rPr>
                <w:rFonts w:hint="eastAsia"/>
                <w:color w:val="000000"/>
                <w:szCs w:val="21"/>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5000" w:type="pct"/>
            <w:gridSpan w:val="5"/>
          </w:tcPr>
          <w:p>
            <w:pPr>
              <w:rPr>
                <w:rFonts w:ascii="黑体" w:hAnsi="黑体" w:eastAsia="黑体"/>
                <w:sz w:val="28"/>
                <w:szCs w:val="28"/>
              </w:rPr>
            </w:pPr>
            <w:r>
              <w:rPr>
                <w:rFonts w:ascii="黑体" w:hAnsi="黑体" w:eastAsia="黑体"/>
                <w:sz w:val="28"/>
                <w:szCs w:val="28"/>
              </w:rPr>
              <w:t>生态保护措施及预期效果</w:t>
            </w:r>
          </w:p>
          <w:p>
            <w:pPr>
              <w:ind w:firstLine="420" w:firstLineChars="200"/>
              <w:rPr>
                <w:color w:val="000000" w:themeColor="text1"/>
                <w:szCs w:val="21"/>
                <w14:textFill>
                  <w14:solidFill>
                    <w14:schemeClr w14:val="tx1"/>
                  </w14:solidFill>
                </w14:textFill>
              </w:rPr>
            </w:pPr>
            <w:r>
              <w:rPr>
                <w:szCs w:val="21"/>
              </w:rPr>
              <w:t>项目区域内没有国家保护动植物，项目建设通过加强植树种草，绿化厂区周围环境等措施，该项目的建设不会对周围生态环境产生明显的破坏和影响。</w:t>
            </w:r>
          </w:p>
        </w:tc>
      </w:tr>
    </w:tbl>
    <w:p/>
    <w:p/>
    <w:p>
      <w:pPr>
        <w:sectPr>
          <w:pgSz w:w="11906" w:h="16838"/>
          <w:pgMar w:top="1440" w:right="1800" w:bottom="1440" w:left="1800" w:header="851" w:footer="992" w:gutter="0"/>
          <w:cols w:space="425" w:num="1"/>
          <w:docGrid w:type="lines" w:linePitch="312" w:charSpace="0"/>
        </w:sectPr>
      </w:pPr>
    </w:p>
    <w:p>
      <w:pPr>
        <w:pStyle w:val="2"/>
        <w:rPr>
          <w:color w:val="000000" w:themeColor="text1"/>
          <w14:textFill>
            <w14:solidFill>
              <w14:schemeClr w14:val="tx1"/>
            </w14:solidFill>
          </w14:textFill>
        </w:rPr>
      </w:pPr>
      <w:r>
        <w:rPr>
          <w:color w:val="000000" w:themeColor="text1"/>
          <w14:textFill>
            <w14:solidFill>
              <w14:schemeClr w14:val="tx1"/>
            </w14:solidFill>
          </w14:textFill>
        </w:rPr>
        <w:t>结论与建议</w:t>
      </w: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21" w:hRule="atLeast"/>
          <w:jc w:val="center"/>
        </w:trPr>
        <w:tc>
          <w:tcPr>
            <w:tcW w:w="5000" w:type="pct"/>
          </w:tcPr>
          <w:p>
            <w:pPr>
              <w:spacing w:line="360" w:lineRule="auto"/>
              <w:rPr>
                <w:b/>
                <w:sz w:val="28"/>
                <w:szCs w:val="28"/>
              </w:rPr>
            </w:pPr>
            <w:r>
              <w:rPr>
                <w:b/>
                <w:sz w:val="28"/>
                <w:szCs w:val="28"/>
              </w:rPr>
              <w:t>一、结论</w:t>
            </w:r>
          </w:p>
          <w:p>
            <w:pPr>
              <w:pStyle w:val="36"/>
              <w:numPr>
                <w:ilvl w:val="1"/>
                <w:numId w:val="3"/>
              </w:numPr>
              <w:spacing w:line="360" w:lineRule="auto"/>
              <w:ind w:left="0" w:firstLine="0" w:firstLineChars="0"/>
              <w:rPr>
                <w:b/>
                <w:bCs/>
                <w:sz w:val="24"/>
                <w:lang w:val="sq-AL"/>
              </w:rPr>
            </w:pPr>
            <w:r>
              <w:rPr>
                <w:b/>
                <w:bCs/>
                <w:sz w:val="24"/>
                <w:lang w:val="sq-AL"/>
              </w:rPr>
              <w:t>项目概况</w:t>
            </w:r>
          </w:p>
          <w:p>
            <w:pPr>
              <w:adjustRightInd w:val="0"/>
              <w:snapToGrid w:val="0"/>
              <w:spacing w:line="360" w:lineRule="auto"/>
              <w:ind w:firstLine="475" w:firstLineChars="198"/>
              <w:rPr>
                <w:sz w:val="24"/>
              </w:rPr>
            </w:pPr>
            <w:r>
              <w:rPr>
                <w:rFonts w:hint="eastAsia"/>
                <w:sz w:val="24"/>
              </w:rPr>
              <w:t>陕西广兴华创材料科技有限公司成立于2020年7月16日</w:t>
            </w:r>
            <w:r>
              <w:rPr>
                <w:rFonts w:hint="eastAsia"/>
                <w:color w:val="000000"/>
                <w:sz w:val="24"/>
              </w:rPr>
              <w:t>，</w:t>
            </w:r>
            <w:r>
              <w:rPr>
                <w:rFonts w:hint="eastAsia"/>
                <w:sz w:val="24"/>
              </w:rPr>
              <w:t>位于西咸新区秦汉新城双照街办咸平路大王村十字北500米。本项目建设内容包括：租赁咸阳伟杰商贸有限公司车一座3500m</w:t>
            </w:r>
            <w:r>
              <w:rPr>
                <w:rFonts w:hint="eastAsia"/>
                <w:sz w:val="24"/>
                <w:vertAlign w:val="superscript"/>
              </w:rPr>
              <w:t>2</w:t>
            </w:r>
            <w:r>
              <w:rPr>
                <w:rFonts w:hint="eastAsia"/>
                <w:sz w:val="24"/>
              </w:rPr>
              <w:t>，办公楼半座1565m</w:t>
            </w:r>
            <w:r>
              <w:rPr>
                <w:rFonts w:hint="eastAsia"/>
                <w:sz w:val="24"/>
                <w:vertAlign w:val="superscript"/>
              </w:rPr>
              <w:t>2</w:t>
            </w:r>
            <w:r>
              <w:rPr>
                <w:rFonts w:hint="eastAsia"/>
                <w:sz w:val="24"/>
              </w:rPr>
              <w:t>，空地4000m</w:t>
            </w:r>
            <w:r>
              <w:rPr>
                <w:rFonts w:hint="eastAsia"/>
                <w:sz w:val="24"/>
                <w:vertAlign w:val="superscript"/>
              </w:rPr>
              <w:t>2</w:t>
            </w:r>
            <w:r>
              <w:rPr>
                <w:rFonts w:hint="eastAsia"/>
                <w:sz w:val="24"/>
              </w:rPr>
              <w:t>。其中，车间内设原料库房30m</w:t>
            </w:r>
            <w:r>
              <w:rPr>
                <w:rFonts w:hint="eastAsia"/>
                <w:sz w:val="24"/>
                <w:vertAlign w:val="superscript"/>
              </w:rPr>
              <w:t>2</w:t>
            </w:r>
            <w:r>
              <w:rPr>
                <w:rFonts w:hint="eastAsia"/>
                <w:sz w:val="24"/>
              </w:rPr>
              <w:t>，锅炉房180m</w:t>
            </w:r>
            <w:r>
              <w:rPr>
                <w:rFonts w:hint="eastAsia"/>
                <w:sz w:val="24"/>
                <w:vertAlign w:val="superscript"/>
              </w:rPr>
              <w:t>2</w:t>
            </w:r>
            <w:r>
              <w:rPr>
                <w:rFonts w:hint="eastAsia"/>
                <w:sz w:val="24"/>
              </w:rPr>
              <w:t>，生产区域2645m</w:t>
            </w:r>
            <w:r>
              <w:rPr>
                <w:rFonts w:hint="eastAsia"/>
                <w:sz w:val="24"/>
                <w:vertAlign w:val="superscript"/>
              </w:rPr>
              <w:t>2</w:t>
            </w:r>
            <w:r>
              <w:rPr>
                <w:rFonts w:hint="eastAsia"/>
                <w:sz w:val="24"/>
              </w:rPr>
              <w:t>，熟化区180m</w:t>
            </w:r>
            <w:r>
              <w:rPr>
                <w:rFonts w:hint="eastAsia"/>
                <w:sz w:val="24"/>
                <w:vertAlign w:val="superscript"/>
              </w:rPr>
              <w:t>2</w:t>
            </w:r>
            <w:r>
              <w:rPr>
                <w:rFonts w:hint="eastAsia"/>
                <w:sz w:val="24"/>
              </w:rPr>
              <w:t>，陈放室465m</w:t>
            </w:r>
            <w:r>
              <w:rPr>
                <w:rFonts w:hint="eastAsia"/>
                <w:sz w:val="24"/>
                <w:vertAlign w:val="superscript"/>
              </w:rPr>
              <w:t>2</w:t>
            </w:r>
            <w:r>
              <w:rPr>
                <w:rFonts w:hint="eastAsia"/>
                <w:sz w:val="24"/>
              </w:rPr>
              <w:t>，建设2条E</w:t>
            </w:r>
            <w:r>
              <w:rPr>
                <w:sz w:val="24"/>
              </w:rPr>
              <w:t>PS</w:t>
            </w:r>
            <w:r>
              <w:rPr>
                <w:rFonts w:hint="eastAsia"/>
                <w:sz w:val="24"/>
              </w:rPr>
              <w:t>板生产线、1条X</w:t>
            </w:r>
            <w:r>
              <w:rPr>
                <w:sz w:val="24"/>
              </w:rPr>
              <w:t>PS</w:t>
            </w:r>
            <w:r>
              <w:rPr>
                <w:rFonts w:hint="eastAsia"/>
                <w:sz w:val="24"/>
              </w:rPr>
              <w:t>板生产线。年产1</w:t>
            </w:r>
            <w:r>
              <w:rPr>
                <w:sz w:val="24"/>
              </w:rPr>
              <w:t>0</w:t>
            </w:r>
            <w:r>
              <w:rPr>
                <w:rFonts w:hint="eastAsia"/>
                <w:sz w:val="24"/>
              </w:rPr>
              <w:t>万m</w:t>
            </w:r>
            <w:r>
              <w:rPr>
                <w:sz w:val="24"/>
                <w:vertAlign w:val="superscript"/>
              </w:rPr>
              <w:t>3</w:t>
            </w:r>
            <w:r>
              <w:rPr>
                <w:rFonts w:hint="eastAsia"/>
                <w:sz w:val="24"/>
              </w:rPr>
              <w:t>E</w:t>
            </w:r>
            <w:r>
              <w:rPr>
                <w:sz w:val="24"/>
              </w:rPr>
              <w:t>PS</w:t>
            </w:r>
            <w:r>
              <w:rPr>
                <w:rFonts w:hint="eastAsia"/>
                <w:sz w:val="24"/>
              </w:rPr>
              <w:t>板、1</w:t>
            </w:r>
            <w:r>
              <w:rPr>
                <w:sz w:val="24"/>
              </w:rPr>
              <w:t>0</w:t>
            </w:r>
            <w:r>
              <w:rPr>
                <w:rFonts w:hint="eastAsia"/>
                <w:sz w:val="24"/>
              </w:rPr>
              <w:t>万m</w:t>
            </w:r>
            <w:r>
              <w:rPr>
                <w:sz w:val="24"/>
                <w:vertAlign w:val="superscript"/>
              </w:rPr>
              <w:t>3</w:t>
            </w:r>
            <w:r>
              <w:rPr>
                <w:sz w:val="24"/>
              </w:rPr>
              <w:t>XPS</w:t>
            </w:r>
            <w:r>
              <w:rPr>
                <w:rFonts w:hint="eastAsia"/>
                <w:sz w:val="24"/>
              </w:rPr>
              <w:t>板。</w:t>
            </w:r>
          </w:p>
          <w:p>
            <w:pPr>
              <w:pStyle w:val="36"/>
              <w:numPr>
                <w:ilvl w:val="1"/>
                <w:numId w:val="3"/>
              </w:numPr>
              <w:spacing w:line="360" w:lineRule="auto"/>
              <w:ind w:left="0" w:firstLine="0" w:firstLineChars="0"/>
              <w:rPr>
                <w:b/>
                <w:bCs/>
                <w:sz w:val="24"/>
                <w:lang w:val="sq-AL"/>
              </w:rPr>
            </w:pPr>
            <w:r>
              <w:rPr>
                <w:rFonts w:hint="eastAsia"/>
                <w:b/>
                <w:bCs/>
                <w:sz w:val="24"/>
                <w:lang w:val="sq-AL"/>
              </w:rPr>
              <w:t>产业性政策符合性</w:t>
            </w:r>
          </w:p>
          <w:p>
            <w:pPr>
              <w:adjustRightInd w:val="0"/>
              <w:snapToGrid w:val="0"/>
              <w:spacing w:line="360" w:lineRule="auto"/>
              <w:ind w:firstLine="480" w:firstLineChars="200"/>
              <w:rPr>
                <w:sz w:val="24"/>
              </w:rPr>
            </w:pPr>
            <w:r>
              <w:rPr>
                <w:sz w:val="24"/>
              </w:rPr>
              <w:t>根据《产业结构调整指导目录</w:t>
            </w:r>
            <w:r>
              <w:rPr>
                <w:rFonts w:hint="eastAsia"/>
                <w:sz w:val="24"/>
              </w:rPr>
              <w:t>2019年本</w:t>
            </w:r>
            <w:r>
              <w:rPr>
                <w:sz w:val="24"/>
              </w:rPr>
              <w:t>》，本项目不属于限制类和淘汰类，因此项目为允许类；同时项目也不属于《陕西省限制投资类产业指导目录》（陕发改产业［2007］97号文）中的限制类项目，因此，项目符合国家及地方产业政策要求。</w:t>
            </w:r>
          </w:p>
          <w:p>
            <w:pPr>
              <w:adjustRightInd w:val="0"/>
              <w:snapToGrid w:val="0"/>
              <w:spacing w:line="360" w:lineRule="auto"/>
              <w:ind w:firstLine="480" w:firstLineChars="200"/>
              <w:rPr>
                <w:sz w:val="24"/>
              </w:rPr>
            </w:pPr>
            <w:r>
              <w:rPr>
                <w:rFonts w:hint="eastAsia"/>
                <w:sz w:val="24"/>
              </w:rPr>
              <w:t>2020年</w:t>
            </w:r>
            <w:r>
              <w:rPr>
                <w:sz w:val="24"/>
              </w:rPr>
              <w:t>9</w:t>
            </w:r>
            <w:r>
              <w:rPr>
                <w:rFonts w:hint="eastAsia"/>
                <w:sz w:val="24"/>
              </w:rPr>
              <w:t>月1</w:t>
            </w:r>
            <w:r>
              <w:rPr>
                <w:sz w:val="24"/>
              </w:rPr>
              <w:t>8</w:t>
            </w:r>
            <w:r>
              <w:rPr>
                <w:rFonts w:hint="eastAsia"/>
                <w:sz w:val="24"/>
              </w:rPr>
              <w:t>日，陕西广兴华创材料科技有限公司取得了陕西省西咸新区秦汉新城行政审批与政务服务局关于《年产20万立方聚苯板建设项目》备案确认书（</w:t>
            </w:r>
            <w:r>
              <w:rPr>
                <w:sz w:val="24"/>
              </w:rPr>
              <w:t>2020-611204-29-03-059594</w:t>
            </w:r>
            <w:r>
              <w:rPr>
                <w:rFonts w:hint="eastAsia"/>
                <w:sz w:val="24"/>
              </w:rPr>
              <w:t>），符合国家产业政策。</w:t>
            </w:r>
          </w:p>
          <w:p>
            <w:pPr>
              <w:pStyle w:val="36"/>
              <w:numPr>
                <w:ilvl w:val="1"/>
                <w:numId w:val="3"/>
              </w:numPr>
              <w:spacing w:line="360" w:lineRule="auto"/>
              <w:ind w:left="0" w:firstLine="0" w:firstLineChars="0"/>
              <w:rPr>
                <w:b/>
                <w:bCs/>
                <w:sz w:val="24"/>
                <w:lang w:val="sq-AL"/>
              </w:rPr>
            </w:pPr>
            <w:r>
              <w:rPr>
                <w:b/>
                <w:bCs/>
                <w:sz w:val="24"/>
                <w:lang w:val="sq-AL"/>
              </w:rPr>
              <w:t>项目选址可行性分析</w:t>
            </w:r>
          </w:p>
          <w:p>
            <w:pPr>
              <w:widowControl/>
              <w:adjustRightInd w:val="0"/>
              <w:snapToGrid w:val="0"/>
              <w:spacing w:line="360" w:lineRule="auto"/>
              <w:ind w:firstLine="480" w:firstLineChars="200"/>
              <w:rPr>
                <w:sz w:val="24"/>
              </w:rPr>
            </w:pPr>
            <w:r>
              <w:rPr>
                <w:bCs/>
                <w:sz w:val="24"/>
              </w:rPr>
              <w:t>本次新建</w:t>
            </w:r>
            <w:r>
              <w:rPr>
                <w:rFonts w:hint="eastAsia"/>
                <w:sz w:val="24"/>
              </w:rPr>
              <w:t>年产20万立方聚苯板建设项目</w:t>
            </w:r>
            <w:r>
              <w:rPr>
                <w:bCs/>
                <w:sz w:val="24"/>
              </w:rPr>
              <w:t>位于</w:t>
            </w:r>
            <w:r>
              <w:rPr>
                <w:rFonts w:hint="eastAsia"/>
                <w:kern w:val="0"/>
                <w:sz w:val="24"/>
              </w:rPr>
              <w:t>陕西省西咸新区秦汉新城双照街办咸平路大王村十字北500米伟杰公司院内</w:t>
            </w:r>
            <w:r>
              <w:rPr>
                <w:bCs/>
                <w:sz w:val="24"/>
              </w:rPr>
              <w:t>。本项目</w:t>
            </w:r>
            <w:r>
              <w:rPr>
                <w:rFonts w:hint="eastAsia"/>
                <w:bCs/>
                <w:sz w:val="24"/>
              </w:rPr>
              <w:t>所在厂区东侧紧邻秦都大王加油站，其次为咸平路，隔路为建设厂房，北侧为咸阳华星泵业有限公司，西侧为建设空地，距农田约78米，南侧为闲置空地，距离本项目最近的敏感点为南230m左右的大王村。项目建设地</w:t>
            </w:r>
            <w:r>
              <w:rPr>
                <w:bCs/>
                <w:sz w:val="24"/>
              </w:rPr>
              <w:t>不在居民集中区</w:t>
            </w:r>
            <w:r>
              <w:rPr>
                <w:rFonts w:hint="eastAsia"/>
                <w:bCs/>
                <w:sz w:val="24"/>
              </w:rPr>
              <w:t>，未涉及《全国主体功能区划》与《陕西省主体功能区划》中的禁止开发区域、自然保护区、森林公园、风景名胜区、地质公园、文化自然遗产、水产种植自然保护区、重要湿地（含湿地公园）、重要水源地等</w:t>
            </w:r>
            <w:r>
              <w:rPr>
                <w:bCs/>
                <w:sz w:val="24"/>
              </w:rPr>
              <w:t>。</w:t>
            </w:r>
            <w:r>
              <w:rPr>
                <w:rFonts w:hint="eastAsia"/>
                <w:bCs/>
                <w:sz w:val="24"/>
              </w:rPr>
              <w:t>项目运营期产生的污染物主要为颗粒物、有机废气、锅炉废气以及设备噪声。本项目在采取有效的污染防治措施后，各类污染物均可做到达标排放，各环境要素基本能够满足相应的功能区划要求，对周边环境影响较小。</w:t>
            </w:r>
          </w:p>
          <w:p>
            <w:pPr>
              <w:pStyle w:val="36"/>
              <w:numPr>
                <w:ilvl w:val="1"/>
                <w:numId w:val="3"/>
              </w:numPr>
              <w:spacing w:line="360" w:lineRule="auto"/>
              <w:ind w:left="0" w:firstLine="0" w:firstLineChars="0"/>
              <w:rPr>
                <w:b/>
                <w:bCs/>
                <w:sz w:val="24"/>
                <w:lang w:val="sq-AL"/>
              </w:rPr>
            </w:pPr>
            <w:r>
              <w:rPr>
                <w:rFonts w:hint="eastAsia"/>
                <w:b/>
                <w:bCs/>
                <w:sz w:val="24"/>
                <w:lang w:val="sq-AL"/>
              </w:rPr>
              <w:t>环境质量现状</w:t>
            </w:r>
          </w:p>
          <w:p>
            <w:pPr>
              <w:spacing w:line="360" w:lineRule="auto"/>
              <w:ind w:firstLine="480" w:firstLineChars="200"/>
              <w:rPr>
                <w:color w:val="000000" w:themeColor="text1"/>
                <w:sz w:val="24"/>
                <w:szCs w:val="22"/>
                <w14:textFill>
                  <w14:solidFill>
                    <w14:schemeClr w14:val="tx1"/>
                  </w14:solidFill>
                </w14:textFill>
              </w:rPr>
            </w:pPr>
            <w:r>
              <w:rPr>
                <w:rFonts w:hint="eastAsia" w:ascii="宋体" w:hAnsi="宋体" w:cs="宋体"/>
                <w:bCs/>
                <w:sz w:val="24"/>
              </w:rPr>
              <w:t>本次环评区域大气环境主要引自</w:t>
            </w:r>
            <w:r>
              <w:rPr>
                <w:rFonts w:hint="eastAsia"/>
                <w:color w:val="000000"/>
                <w:sz w:val="24"/>
              </w:rPr>
              <w:t>陕西省环境保护厅办公室发布的《环保快报（20</w:t>
            </w:r>
            <w:r>
              <w:rPr>
                <w:color w:val="000000"/>
                <w:sz w:val="24"/>
              </w:rPr>
              <w:t>20</w:t>
            </w:r>
            <w:r>
              <w:rPr>
                <w:rFonts w:hint="eastAsia"/>
                <w:color w:val="000000"/>
                <w:sz w:val="24"/>
              </w:rPr>
              <w:t>-</w:t>
            </w:r>
            <w:r>
              <w:rPr>
                <w:color w:val="000000"/>
                <w:sz w:val="24"/>
              </w:rPr>
              <w:t>4</w:t>
            </w:r>
            <w:r>
              <w:rPr>
                <w:rFonts w:hint="eastAsia"/>
                <w:color w:val="000000"/>
                <w:sz w:val="24"/>
              </w:rPr>
              <w:t>）》</w:t>
            </w:r>
            <w:r>
              <w:rPr>
                <w:rFonts w:hint="eastAsia" w:ascii="宋体" w:hAnsi="宋体" w:cs="宋体"/>
                <w:bCs/>
                <w:sz w:val="24"/>
              </w:rPr>
              <w:t>。引用</w:t>
            </w:r>
            <w:r>
              <w:rPr>
                <w:rFonts w:hint="eastAsia"/>
                <w:color w:val="000000" w:themeColor="text1"/>
                <w:sz w:val="24"/>
                <w:szCs w:val="22"/>
                <w14:textFill>
                  <w14:solidFill>
                    <w14:schemeClr w14:val="tx1"/>
                  </w14:solidFill>
                </w14:textFill>
              </w:rPr>
              <w:t>西安普惠环境检测技术有限公司</w:t>
            </w:r>
            <w:r>
              <w:rPr>
                <w:kern w:val="0"/>
                <w:sz w:val="24"/>
              </w:rPr>
              <w:t>监测报告“</w:t>
            </w:r>
            <w:r>
              <w:rPr>
                <w:rFonts w:hint="eastAsia"/>
                <w:kern w:val="0"/>
                <w:sz w:val="24"/>
              </w:rPr>
              <w:t>PHJC-202007-ZH35</w:t>
            </w:r>
            <w:r>
              <w:rPr>
                <w:kern w:val="0"/>
                <w:sz w:val="24"/>
              </w:rPr>
              <w:t>”</w:t>
            </w:r>
            <w:r>
              <w:rPr>
                <w:rFonts w:hint="eastAsia"/>
                <w:kern w:val="0"/>
                <w:sz w:val="24"/>
              </w:rPr>
              <w:t>。</w:t>
            </w:r>
          </w:p>
          <w:p>
            <w:pPr>
              <w:pStyle w:val="36"/>
              <w:numPr>
                <w:ilvl w:val="0"/>
                <w:numId w:val="4"/>
              </w:numPr>
              <w:spacing w:line="360" w:lineRule="auto"/>
              <w:ind w:left="0" w:firstLine="480"/>
              <w:rPr>
                <w:rFonts w:hAnsi="宋体"/>
                <w:sz w:val="24"/>
              </w:rPr>
            </w:pPr>
            <w:r>
              <w:rPr>
                <w:rFonts w:hint="eastAsia" w:hAnsi="宋体"/>
                <w:sz w:val="24"/>
              </w:rPr>
              <w:t>环境空气质量现状</w:t>
            </w:r>
          </w:p>
          <w:p>
            <w:pPr>
              <w:spacing w:line="360" w:lineRule="auto"/>
              <w:ind w:firstLine="480" w:firstLineChars="200"/>
              <w:rPr>
                <w:color w:val="000000" w:themeColor="text1"/>
                <w:sz w:val="24"/>
                <w:szCs w:val="21"/>
                <w14:textFill>
                  <w14:solidFill>
                    <w14:schemeClr w14:val="tx1"/>
                  </w14:solidFill>
                </w14:textFill>
              </w:rPr>
            </w:pPr>
            <w:r>
              <w:rPr>
                <w:rFonts w:hint="eastAsia"/>
                <w:color w:val="000000"/>
                <w:sz w:val="24"/>
              </w:rPr>
              <w:t>本次评价选取201</w:t>
            </w:r>
            <w:r>
              <w:rPr>
                <w:color w:val="000000"/>
                <w:sz w:val="24"/>
              </w:rPr>
              <w:t>9</w:t>
            </w:r>
            <w:r>
              <w:rPr>
                <w:rFonts w:hint="eastAsia"/>
                <w:color w:val="000000"/>
                <w:sz w:val="24"/>
              </w:rPr>
              <w:t>年作为评价基准年，选用</w:t>
            </w:r>
            <w:r>
              <w:rPr>
                <w:bCs/>
                <w:color w:val="000000" w:themeColor="text1"/>
                <w:sz w:val="24"/>
                <w:szCs w:val="32"/>
                <w14:textFill>
                  <w14:solidFill>
                    <w14:schemeClr w14:val="tx1"/>
                  </w14:solidFill>
                </w14:textFill>
              </w:rPr>
              <w:t>陕西省环境保护厅办公室发布的《环保快报》（2020-4）中的数据（2019年1月1日～12月31日）</w:t>
            </w:r>
            <w:r>
              <w:rPr>
                <w:rFonts w:hint="eastAsia"/>
                <w:color w:val="000000"/>
                <w:sz w:val="24"/>
              </w:rPr>
              <w:t>进行区域达标判定。</w:t>
            </w:r>
          </w:p>
          <w:p>
            <w:pPr>
              <w:autoSpaceDE w:val="0"/>
              <w:autoSpaceDN w:val="0"/>
              <w:adjustRightInd w:val="0"/>
              <w:snapToGrid w:val="0"/>
              <w:spacing w:line="360" w:lineRule="auto"/>
              <w:ind w:firstLine="480" w:firstLineChars="200"/>
              <w:rPr>
                <w:color w:val="000000"/>
                <w:kern w:val="0"/>
                <w:sz w:val="24"/>
              </w:rPr>
            </w:pPr>
            <w:r>
              <w:rPr>
                <w:rFonts w:hint="eastAsia"/>
                <w:color w:val="000000" w:themeColor="text1"/>
                <w:sz w:val="24"/>
                <w14:textFill>
                  <w14:solidFill>
                    <w14:schemeClr w14:val="tx1"/>
                  </w14:solidFill>
                </w14:textFill>
              </w:rPr>
              <w:t>秦汉新城2</w:t>
            </w:r>
            <w:r>
              <w:rPr>
                <w:color w:val="000000" w:themeColor="text1"/>
                <w:sz w:val="24"/>
                <w14:textFill>
                  <w14:solidFill>
                    <w14:schemeClr w14:val="tx1"/>
                  </w14:solidFill>
                </w14:textFill>
              </w:rPr>
              <w:t>019</w:t>
            </w:r>
            <w:r>
              <w:rPr>
                <w:rFonts w:hint="eastAsia"/>
                <w:color w:val="000000" w:themeColor="text1"/>
                <w:sz w:val="24"/>
                <w14:textFill>
                  <w14:solidFill>
                    <w14:schemeClr w14:val="tx1"/>
                  </w14:solidFill>
                </w14:textFill>
              </w:rPr>
              <w:t>年</w:t>
            </w:r>
            <w:r>
              <w:rPr>
                <w:kern w:val="0"/>
                <w:sz w:val="24"/>
              </w:rPr>
              <w:t>SO</w:t>
            </w:r>
            <w:r>
              <w:rPr>
                <w:kern w:val="0"/>
                <w:sz w:val="24"/>
                <w:vertAlign w:val="subscript"/>
              </w:rPr>
              <w:t>2</w:t>
            </w:r>
            <w:r>
              <w:rPr>
                <w:kern w:val="0"/>
                <w:sz w:val="24"/>
              </w:rPr>
              <w:t>、CO、O</w:t>
            </w:r>
            <w:r>
              <w:rPr>
                <w:kern w:val="0"/>
                <w:sz w:val="24"/>
                <w:vertAlign w:val="subscript"/>
              </w:rPr>
              <w:t>3</w:t>
            </w:r>
            <w:r>
              <w:rPr>
                <w:kern w:val="0"/>
                <w:sz w:val="24"/>
              </w:rPr>
              <w:t>均满足《环境空气质量标准》</w:t>
            </w:r>
            <w:r>
              <w:rPr>
                <w:rFonts w:hint="eastAsia"/>
                <w:kern w:val="0"/>
                <w:sz w:val="24"/>
              </w:rPr>
              <w:t>(</w:t>
            </w:r>
            <w:r>
              <w:rPr>
                <w:kern w:val="0"/>
                <w:sz w:val="24"/>
              </w:rPr>
              <w:t>GB 3095-2012</w:t>
            </w:r>
            <w:r>
              <w:rPr>
                <w:rFonts w:hint="eastAsia"/>
                <w:kern w:val="0"/>
                <w:sz w:val="24"/>
              </w:rPr>
              <w:t>)</w:t>
            </w:r>
            <w:r>
              <w:rPr>
                <w:kern w:val="0"/>
                <w:sz w:val="24"/>
              </w:rPr>
              <w:t>二类区标准要求，PM</w:t>
            </w:r>
            <w:r>
              <w:rPr>
                <w:kern w:val="0"/>
                <w:sz w:val="24"/>
                <w:vertAlign w:val="subscript"/>
              </w:rPr>
              <w:t>10</w:t>
            </w:r>
            <w:r>
              <w:rPr>
                <w:kern w:val="0"/>
                <w:sz w:val="24"/>
              </w:rPr>
              <w:t>、PM</w:t>
            </w:r>
            <w:r>
              <w:rPr>
                <w:kern w:val="0"/>
                <w:sz w:val="24"/>
                <w:vertAlign w:val="subscript"/>
              </w:rPr>
              <w:t>2.5</w:t>
            </w:r>
            <w:r>
              <w:rPr>
                <w:kern w:val="0"/>
                <w:sz w:val="24"/>
              </w:rPr>
              <w:t>、NO</w:t>
            </w:r>
            <w:r>
              <w:rPr>
                <w:kern w:val="0"/>
                <w:sz w:val="24"/>
                <w:vertAlign w:val="subscript"/>
              </w:rPr>
              <w:t>2</w:t>
            </w:r>
            <w:r>
              <w:rPr>
                <w:kern w:val="0"/>
                <w:sz w:val="24"/>
              </w:rPr>
              <w:t>均超过《环境空气质量标准》</w:t>
            </w:r>
            <w:r>
              <w:rPr>
                <w:rFonts w:hint="eastAsia"/>
                <w:kern w:val="0"/>
                <w:sz w:val="24"/>
              </w:rPr>
              <w:t>(</w:t>
            </w:r>
            <w:r>
              <w:rPr>
                <w:kern w:val="0"/>
                <w:sz w:val="24"/>
              </w:rPr>
              <w:t>GB 3095-2012</w:t>
            </w:r>
            <w:r>
              <w:rPr>
                <w:rFonts w:hint="eastAsia"/>
                <w:kern w:val="0"/>
                <w:sz w:val="24"/>
              </w:rPr>
              <w:t>)</w:t>
            </w:r>
            <w:r>
              <w:rPr>
                <w:kern w:val="0"/>
                <w:sz w:val="24"/>
              </w:rPr>
              <w:t>二类区标准要求</w:t>
            </w:r>
            <w:r>
              <w:rPr>
                <w:rFonts w:hint="eastAsia"/>
                <w:kern w:val="0"/>
                <w:sz w:val="24"/>
              </w:rPr>
              <w:t>，因此项目所在区域属于不达标区</w:t>
            </w:r>
            <w:r>
              <w:rPr>
                <w:kern w:val="0"/>
                <w:sz w:val="24"/>
              </w:rPr>
              <w:t>。</w:t>
            </w:r>
            <w:r>
              <w:rPr>
                <w:bCs/>
                <w:color w:val="000000"/>
                <w:kern w:val="0"/>
                <w:sz w:val="24"/>
                <w:lang w:bidi="en-US"/>
              </w:rPr>
              <w:t>项目所在地</w:t>
            </w:r>
            <w:r>
              <w:rPr>
                <w:color w:val="000000"/>
                <w:kern w:val="21"/>
                <w:sz w:val="24"/>
              </w:rPr>
              <w:t>非甲烷总烃项目地最大浓度值为0.77</w:t>
            </w:r>
            <w:r>
              <w:rPr>
                <w:color w:val="000000"/>
                <w:kern w:val="0"/>
                <w:sz w:val="24"/>
              </w:rPr>
              <w:t>mg/m</w:t>
            </w:r>
            <w:r>
              <w:rPr>
                <w:color w:val="000000"/>
                <w:kern w:val="0"/>
                <w:sz w:val="24"/>
                <w:vertAlign w:val="superscript"/>
              </w:rPr>
              <w:t>3</w:t>
            </w:r>
            <w:r>
              <w:rPr>
                <w:color w:val="000000"/>
                <w:kern w:val="0"/>
                <w:sz w:val="24"/>
              </w:rPr>
              <w:t>，</w:t>
            </w:r>
            <w:r>
              <w:rPr>
                <w:color w:val="000000"/>
                <w:kern w:val="21"/>
                <w:sz w:val="24"/>
              </w:rPr>
              <w:t>满足《大气污染物综合排放标准详解》第四章标准要求（1次值2.0mg/m</w:t>
            </w:r>
            <w:r>
              <w:rPr>
                <w:color w:val="000000"/>
                <w:kern w:val="21"/>
                <w:sz w:val="24"/>
                <w:vertAlign w:val="superscript"/>
              </w:rPr>
              <w:t>3</w:t>
            </w:r>
            <w:r>
              <w:rPr>
                <w:color w:val="000000"/>
                <w:kern w:val="21"/>
                <w:sz w:val="24"/>
              </w:rPr>
              <w:t>），</w:t>
            </w:r>
            <w:r>
              <w:rPr>
                <w:rFonts w:hint="eastAsia"/>
                <w:color w:val="000000"/>
                <w:kern w:val="21"/>
                <w:sz w:val="24"/>
              </w:rPr>
              <w:t>苯乙烯满足《环境影响评价技术导则 大气环境》（HJ 2.2-2018）附录D.1中浓度限值（1</w:t>
            </w:r>
            <w:r>
              <w:rPr>
                <w:color w:val="000000"/>
                <w:kern w:val="21"/>
                <w:sz w:val="24"/>
              </w:rPr>
              <w:t>0</w:t>
            </w:r>
            <w:r>
              <w:rPr>
                <w:snapToGrid w:val="0"/>
                <w:szCs w:val="21"/>
              </w:rPr>
              <w:t>μg /m</w:t>
            </w:r>
            <w:r>
              <w:rPr>
                <w:snapToGrid w:val="0"/>
                <w:szCs w:val="21"/>
                <w:vertAlign w:val="superscript"/>
              </w:rPr>
              <w:t>3</w:t>
            </w:r>
            <w:r>
              <w:rPr>
                <w:rFonts w:hint="eastAsia"/>
                <w:color w:val="000000"/>
                <w:kern w:val="21"/>
                <w:sz w:val="24"/>
              </w:rPr>
              <w:t>）；</w:t>
            </w:r>
            <w:r>
              <w:rPr>
                <w:rFonts w:hint="eastAsia"/>
                <w:sz w:val="24"/>
              </w:rPr>
              <w:t>总悬浮颗粒物监测值不满足《环境空气质量标准》(GB 3095-2012)中二级标准。</w:t>
            </w:r>
          </w:p>
          <w:p>
            <w:pPr>
              <w:pStyle w:val="36"/>
              <w:numPr>
                <w:ilvl w:val="0"/>
                <w:numId w:val="4"/>
              </w:numPr>
              <w:spacing w:line="360" w:lineRule="auto"/>
              <w:ind w:left="0" w:firstLine="480"/>
              <w:rPr>
                <w:rFonts w:hAnsi="宋体"/>
                <w:sz w:val="24"/>
              </w:rPr>
            </w:pPr>
            <w:r>
              <w:rPr>
                <w:rFonts w:hint="eastAsia" w:hAnsi="宋体"/>
                <w:sz w:val="24"/>
              </w:rPr>
              <w:t>声环境质量现状</w:t>
            </w:r>
          </w:p>
          <w:p>
            <w:pPr>
              <w:spacing w:line="360" w:lineRule="auto"/>
              <w:ind w:firstLine="480" w:firstLineChars="200"/>
              <w:rPr>
                <w:rFonts w:hAnsi="宋体"/>
                <w:sz w:val="24"/>
              </w:rPr>
            </w:pPr>
            <w:bookmarkStart w:id="16" w:name="_Hlk12949176"/>
            <w:r>
              <w:rPr>
                <w:rFonts w:hAnsi="宋体"/>
                <w:sz w:val="24"/>
              </w:rPr>
              <w:t>本项目声环境质量</w:t>
            </w:r>
            <w:r>
              <w:rPr>
                <w:rFonts w:hint="eastAsia" w:hAnsi="宋体"/>
                <w:sz w:val="24"/>
              </w:rPr>
              <w:t>现状监测点为</w:t>
            </w:r>
            <w:r>
              <w:rPr>
                <w:rFonts w:hint="eastAsia"/>
                <w:sz w:val="24"/>
              </w:rPr>
              <w:t>项目场址东（N</w:t>
            </w:r>
            <w:r>
              <w:rPr>
                <w:rFonts w:hint="eastAsia"/>
                <w:sz w:val="24"/>
                <w:vertAlign w:val="subscript"/>
              </w:rPr>
              <w:t>1</w:t>
            </w:r>
            <w:r>
              <w:rPr>
                <w:rFonts w:hint="eastAsia"/>
                <w:sz w:val="24"/>
              </w:rPr>
              <w:t>）、西（N</w:t>
            </w:r>
            <w:r>
              <w:rPr>
                <w:rFonts w:hint="eastAsia"/>
                <w:sz w:val="24"/>
                <w:vertAlign w:val="subscript"/>
              </w:rPr>
              <w:t>2</w:t>
            </w:r>
            <w:r>
              <w:rPr>
                <w:rFonts w:hint="eastAsia"/>
                <w:sz w:val="24"/>
              </w:rPr>
              <w:t>）、南（N</w:t>
            </w:r>
            <w:r>
              <w:rPr>
                <w:sz w:val="24"/>
                <w:vertAlign w:val="subscript"/>
              </w:rPr>
              <w:t>3</w:t>
            </w:r>
            <w:r>
              <w:rPr>
                <w:rFonts w:hint="eastAsia"/>
                <w:sz w:val="24"/>
              </w:rPr>
              <w:t>）、北（N</w:t>
            </w:r>
            <w:r>
              <w:rPr>
                <w:sz w:val="24"/>
                <w:vertAlign w:val="subscript"/>
              </w:rPr>
              <w:t>4</w:t>
            </w:r>
            <w:r>
              <w:rPr>
                <w:rFonts w:hint="eastAsia"/>
                <w:sz w:val="24"/>
              </w:rPr>
              <w:t>）四个厂界</w:t>
            </w:r>
            <w:r>
              <w:rPr>
                <w:rFonts w:hint="eastAsia" w:hAnsi="宋体"/>
                <w:sz w:val="24"/>
              </w:rPr>
              <w:t>。</w:t>
            </w:r>
            <w:r>
              <w:rPr>
                <w:rFonts w:hAnsi="宋体"/>
                <w:sz w:val="24"/>
              </w:rPr>
              <w:t>从监测结果可以看出，项目厂界昼夜噪声值满足</w:t>
            </w:r>
            <w:r>
              <w:rPr>
                <w:rFonts w:hint="eastAsia" w:hAnsi="宋体"/>
                <w:sz w:val="24"/>
              </w:rPr>
              <w:t>《声环境质量标准》（GB3096-2008）</w:t>
            </w:r>
            <w:r>
              <w:rPr>
                <w:sz w:val="24"/>
              </w:rPr>
              <w:t>2</w:t>
            </w:r>
            <w:r>
              <w:rPr>
                <w:rFonts w:hint="eastAsia" w:hAnsi="宋体"/>
                <w:sz w:val="24"/>
              </w:rPr>
              <w:t>类</w:t>
            </w:r>
            <w:r>
              <w:rPr>
                <w:rFonts w:hAnsi="宋体"/>
                <w:sz w:val="24"/>
              </w:rPr>
              <w:t>要求</w:t>
            </w:r>
            <w:r>
              <w:rPr>
                <w:rFonts w:hint="eastAsia" w:hAnsi="宋体"/>
                <w:sz w:val="24"/>
              </w:rPr>
              <w:t>。</w:t>
            </w:r>
          </w:p>
          <w:bookmarkEnd w:id="16"/>
          <w:p>
            <w:pPr>
              <w:pStyle w:val="36"/>
              <w:numPr>
                <w:ilvl w:val="1"/>
                <w:numId w:val="3"/>
              </w:numPr>
              <w:spacing w:line="360" w:lineRule="auto"/>
              <w:ind w:left="0" w:firstLine="0" w:firstLineChars="0"/>
              <w:rPr>
                <w:b/>
                <w:bCs/>
                <w:sz w:val="24"/>
                <w:lang w:val="sq-AL"/>
              </w:rPr>
            </w:pPr>
            <w:bookmarkStart w:id="17" w:name="_Hlk522647956"/>
            <w:r>
              <w:rPr>
                <w:rFonts w:hint="eastAsia"/>
                <w:b/>
                <w:bCs/>
                <w:sz w:val="24"/>
                <w:lang w:val="sq-AL"/>
              </w:rPr>
              <w:t>项目主要为运行期环境影响</w:t>
            </w:r>
            <w:bookmarkEnd w:id="17"/>
          </w:p>
          <w:p>
            <w:pPr>
              <w:pStyle w:val="36"/>
              <w:numPr>
                <w:ilvl w:val="4"/>
                <w:numId w:val="5"/>
              </w:numPr>
              <w:spacing w:line="360" w:lineRule="auto"/>
              <w:ind w:left="0" w:firstLine="480"/>
              <w:rPr>
                <w:sz w:val="24"/>
                <w:lang w:val="sq-AL"/>
              </w:rPr>
            </w:pPr>
            <w:r>
              <w:rPr>
                <w:rFonts w:hint="eastAsia"/>
                <w:sz w:val="24"/>
                <w:lang w:val="sq-AL"/>
              </w:rPr>
              <w:t>水环境影响</w:t>
            </w:r>
          </w:p>
          <w:p>
            <w:pPr>
              <w:adjustRightInd w:val="0"/>
              <w:snapToGrid w:val="0"/>
              <w:spacing w:line="360" w:lineRule="auto"/>
              <w:ind w:firstLine="480" w:firstLineChars="200"/>
              <w:outlineLvl w:val="1"/>
              <w:rPr>
                <w:sz w:val="24"/>
                <w:shd w:val="clear" w:color="auto" w:fill="FFFFFF"/>
              </w:rPr>
            </w:pPr>
            <w:r>
              <w:rPr>
                <w:rFonts w:hint="eastAsia"/>
                <w:bCs/>
                <w:sz w:val="24"/>
              </w:rPr>
              <w:t>项目废水为生产废水和生活废水，</w:t>
            </w:r>
            <w:r>
              <w:rPr>
                <w:rFonts w:hint="eastAsia" w:ascii="宋体" w:hAnsi="宋体"/>
                <w:color w:val="000000" w:themeColor="text1"/>
                <w:sz w:val="24"/>
                <w14:textFill>
                  <w14:solidFill>
                    <w14:schemeClr w14:val="tx1"/>
                  </w14:solidFill>
                </w14:textFill>
              </w:rPr>
              <w:t>生产废水主要为</w:t>
            </w:r>
            <w:r>
              <w:rPr>
                <w:rFonts w:hint="eastAsia"/>
                <w:bCs/>
                <w:sz w:val="24"/>
              </w:rPr>
              <w:t>锅炉排水，</w:t>
            </w:r>
            <w:r>
              <w:rPr>
                <w:rFonts w:hint="eastAsia" w:hAnsi="宋体"/>
                <w:sz w:val="24"/>
              </w:rPr>
              <w:t>锅炉排水包括锅炉运行时定期排水及软水制备设备排水，</w:t>
            </w:r>
            <w:r>
              <w:rPr>
                <w:sz w:val="24"/>
                <w:shd w:val="clear" w:color="auto" w:fill="FFFFFF"/>
              </w:rPr>
              <w:t>项目</w:t>
            </w:r>
            <w:r>
              <w:rPr>
                <w:rFonts w:hint="eastAsia"/>
                <w:sz w:val="24"/>
                <w:shd w:val="clear" w:color="auto" w:fill="FFFFFF"/>
              </w:rPr>
              <w:t>废水总量为</w:t>
            </w:r>
            <w:r>
              <w:rPr>
                <w:sz w:val="24"/>
                <w:shd w:val="clear" w:color="auto" w:fill="FFFFFF"/>
              </w:rPr>
              <w:t>2.2m</w:t>
            </w:r>
            <w:r>
              <w:rPr>
                <w:sz w:val="24"/>
                <w:shd w:val="clear" w:color="auto" w:fill="FFFFFF"/>
                <w:vertAlign w:val="superscript"/>
              </w:rPr>
              <w:t>3</w:t>
            </w:r>
            <w:r>
              <w:rPr>
                <w:sz w:val="24"/>
                <w:shd w:val="clear" w:color="auto" w:fill="FFFFFF"/>
              </w:rPr>
              <w:t>/d</w:t>
            </w:r>
            <w:r>
              <w:rPr>
                <w:rFonts w:hint="eastAsia"/>
                <w:sz w:val="24"/>
                <w:shd w:val="clear" w:color="auto" w:fill="FFFFFF"/>
              </w:rPr>
              <w:t>（</w:t>
            </w:r>
            <w:r>
              <w:rPr>
                <w:sz w:val="24"/>
                <w:shd w:val="clear" w:color="auto" w:fill="FFFFFF"/>
              </w:rPr>
              <w:t>660m</w:t>
            </w:r>
            <w:r>
              <w:rPr>
                <w:sz w:val="24"/>
                <w:shd w:val="clear" w:color="auto" w:fill="FFFFFF"/>
                <w:vertAlign w:val="superscript"/>
              </w:rPr>
              <w:t>3</w:t>
            </w:r>
            <w:r>
              <w:rPr>
                <w:sz w:val="24"/>
                <w:shd w:val="clear" w:color="auto" w:fill="FFFFFF"/>
              </w:rPr>
              <w:t>/a</w:t>
            </w:r>
            <w:r>
              <w:rPr>
                <w:rFonts w:hint="eastAsia"/>
                <w:sz w:val="24"/>
                <w:shd w:val="clear" w:color="auto" w:fill="FFFFFF"/>
              </w:rPr>
              <w:t>）</w:t>
            </w:r>
            <w:r>
              <w:rPr>
                <w:sz w:val="24"/>
              </w:rPr>
              <w:t>。</w:t>
            </w:r>
            <w:r>
              <w:rPr>
                <w:rFonts w:hint="eastAsia" w:hAnsi="宋体"/>
                <w:sz w:val="24"/>
              </w:rPr>
              <w:t>锅炉排水</w:t>
            </w:r>
            <w:r>
              <w:rPr>
                <w:rFonts w:hint="eastAsia"/>
                <w:color w:val="000000" w:themeColor="text1"/>
                <w:sz w:val="24"/>
                <w14:textFill>
                  <w14:solidFill>
                    <w14:schemeClr w14:val="tx1"/>
                  </w14:solidFill>
                </w14:textFill>
              </w:rPr>
              <w:t>排入厂区</w:t>
            </w:r>
            <w:r>
              <w:rPr>
                <w:color w:val="000000" w:themeColor="text1"/>
                <w:sz w:val="24"/>
                <w14:textFill>
                  <w14:solidFill>
                    <w14:schemeClr w14:val="tx1"/>
                  </w14:solidFill>
                </w14:textFill>
              </w:rPr>
              <w:t>化粪池</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0m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w:t>
            </w:r>
            <w:r>
              <w:rPr>
                <w:rFonts w:hint="eastAsia"/>
                <w:sz w:val="24"/>
              </w:rPr>
              <w:t>；食堂废水经</w:t>
            </w:r>
            <w:r>
              <w:rPr>
                <w:rFonts w:hint="eastAsia"/>
                <w:color w:val="000000" w:themeColor="text1"/>
                <w:sz w:val="24"/>
                <w14:textFill>
                  <w14:solidFill>
                    <w14:schemeClr w14:val="tx1"/>
                  </w14:solidFill>
                </w14:textFill>
              </w:rPr>
              <w:t>隔油池后与生活污水排入化粪池，项目废水均不排污，对化粪池进行定期清掏。</w:t>
            </w:r>
          </w:p>
          <w:p>
            <w:pPr>
              <w:pStyle w:val="36"/>
              <w:numPr>
                <w:ilvl w:val="4"/>
                <w:numId w:val="5"/>
              </w:numPr>
              <w:spacing w:line="360" w:lineRule="auto"/>
              <w:ind w:left="0" w:firstLine="480"/>
              <w:rPr>
                <w:sz w:val="24"/>
                <w:lang w:val="sq-AL"/>
              </w:rPr>
            </w:pPr>
            <w:r>
              <w:rPr>
                <w:rFonts w:hint="eastAsia"/>
                <w:sz w:val="24"/>
                <w:lang w:val="sq-AL"/>
              </w:rPr>
              <w:t>大气环境影响</w:t>
            </w:r>
          </w:p>
          <w:p>
            <w:pPr>
              <w:spacing w:line="460" w:lineRule="exact"/>
              <w:ind w:firstLine="480" w:firstLineChars="200"/>
              <w:rPr>
                <w:rFonts w:hAnsi="宋体"/>
                <w:color w:val="000000" w:themeColor="text1"/>
                <w:sz w:val="24"/>
                <w14:textFill>
                  <w14:solidFill>
                    <w14:schemeClr w14:val="tx1"/>
                  </w14:solidFill>
                </w14:textFill>
              </w:rPr>
            </w:pPr>
            <w:bookmarkStart w:id="18" w:name="_Hlk12949236"/>
            <w:r>
              <w:rPr>
                <w:rFonts w:hint="eastAsia" w:ascii="宋体" w:hAnsi="宋体"/>
                <w:color w:val="000000" w:themeColor="text1"/>
                <w:sz w:val="24"/>
                <w:szCs w:val="20"/>
                <w14:textFill>
                  <w14:solidFill>
                    <w14:schemeClr w14:val="tx1"/>
                  </w14:solidFill>
                </w14:textFill>
              </w:rPr>
              <w:t>本项目</w:t>
            </w:r>
            <w:r>
              <w:rPr>
                <w:rFonts w:ascii="宋体" w:hAnsi="宋体"/>
                <w:color w:val="000000" w:themeColor="text1"/>
                <w:sz w:val="24"/>
                <w:szCs w:val="20"/>
                <w14:textFill>
                  <w14:solidFill>
                    <w14:schemeClr w14:val="tx1"/>
                  </w14:solidFill>
                </w14:textFill>
              </w:rPr>
              <w:t>废气污染源</w:t>
            </w:r>
            <w:r>
              <w:rPr>
                <w:rFonts w:hint="eastAsia" w:ascii="宋体" w:hAnsi="宋体"/>
                <w:color w:val="000000" w:themeColor="text1"/>
                <w:sz w:val="24"/>
                <w:szCs w:val="20"/>
                <w14:textFill>
                  <w14:solidFill>
                    <w14:schemeClr w14:val="tx1"/>
                  </w14:solidFill>
                </w14:textFill>
              </w:rPr>
              <w:t>主要</w:t>
            </w:r>
            <w:r>
              <w:rPr>
                <w:rFonts w:ascii="宋体" w:hAnsi="宋体"/>
                <w:color w:val="000000" w:themeColor="text1"/>
                <w:sz w:val="24"/>
                <w:szCs w:val="20"/>
                <w14:textFill>
                  <w14:solidFill>
                    <w14:schemeClr w14:val="tx1"/>
                  </w14:solidFill>
                </w14:textFill>
              </w:rPr>
              <w:t>包括</w:t>
            </w:r>
            <w:r>
              <w:rPr>
                <w:rFonts w:hint="eastAsia" w:hAnsi="宋体"/>
                <w:color w:val="000000" w:themeColor="text1"/>
                <w:sz w:val="24"/>
                <w14:textFill>
                  <w14:solidFill>
                    <w14:schemeClr w14:val="tx1"/>
                  </w14:solidFill>
                </w14:textFill>
              </w:rPr>
              <w:t>有机废气、</w:t>
            </w:r>
            <w:r>
              <w:rPr>
                <w:rFonts w:hint="eastAsia" w:hAnsi="宋体"/>
                <w:color w:val="000000" w:themeColor="text1"/>
                <w:sz w:val="24"/>
                <w:szCs w:val="20"/>
                <w14:textFill>
                  <w14:solidFill>
                    <w14:schemeClr w14:val="tx1"/>
                  </w14:solidFill>
                </w14:textFill>
              </w:rPr>
              <w:t>粉尘</w:t>
            </w:r>
            <w:r>
              <w:rPr>
                <w:rFonts w:hint="eastAsia" w:hAnsi="宋体"/>
                <w:color w:val="000000" w:themeColor="text1"/>
                <w:sz w:val="24"/>
                <w14:textFill>
                  <w14:solidFill>
                    <w14:schemeClr w14:val="tx1"/>
                  </w14:solidFill>
                </w14:textFill>
              </w:rPr>
              <w:t>、锅炉废气和食堂油烟。</w:t>
            </w:r>
          </w:p>
          <w:p>
            <w:pPr>
              <w:spacing w:line="360" w:lineRule="auto"/>
              <w:ind w:firstLine="480" w:firstLineChars="200"/>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项目</w:t>
            </w:r>
            <w:r>
              <w:rPr>
                <w:color w:val="000000" w:themeColor="text1"/>
                <w:sz w:val="24"/>
                <w:szCs w:val="20"/>
                <w14:textFill>
                  <w14:solidFill>
                    <w14:schemeClr w14:val="tx1"/>
                  </w14:solidFill>
                </w14:textFill>
              </w:rPr>
              <w:t>EPS板生产线发泡、挤出成型和切割过程，XPS板生产线发泡挤出过程，EPS板和XPS板生产线边角料的熔融过程</w:t>
            </w:r>
            <w:r>
              <w:rPr>
                <w:rFonts w:hint="eastAsia"/>
                <w:color w:val="000000" w:themeColor="text1"/>
                <w:sz w:val="24"/>
                <w:szCs w:val="20"/>
                <w14:textFill>
                  <w14:solidFill>
                    <w14:schemeClr w14:val="tx1"/>
                  </w14:solidFill>
                </w14:textFill>
              </w:rPr>
              <w:t>产生的有机废气均由集气装置收集，经二级活性炭箱处理后，经1根1</w:t>
            </w:r>
            <w:r>
              <w:rPr>
                <w:color w:val="000000" w:themeColor="text1"/>
                <w:sz w:val="24"/>
                <w:szCs w:val="20"/>
                <w14:textFill>
                  <w14:solidFill>
                    <w14:schemeClr w14:val="tx1"/>
                  </w14:solidFill>
                </w14:textFill>
              </w:rPr>
              <w:t>5m</w:t>
            </w:r>
            <w:r>
              <w:rPr>
                <w:rFonts w:hint="eastAsia"/>
                <w:color w:val="000000" w:themeColor="text1"/>
                <w:sz w:val="24"/>
                <w:szCs w:val="20"/>
                <w14:textFill>
                  <w14:solidFill>
                    <w14:schemeClr w14:val="tx1"/>
                  </w14:solidFill>
                </w14:textFill>
              </w:rPr>
              <w:t>高的排气筒P</w:t>
            </w:r>
            <w:r>
              <w:rPr>
                <w:color w:val="000000" w:themeColor="text1"/>
                <w:sz w:val="24"/>
                <w:szCs w:val="20"/>
                <w14:textFill>
                  <w14:solidFill>
                    <w14:schemeClr w14:val="tx1"/>
                  </w14:solidFill>
                </w14:textFill>
              </w:rPr>
              <w:t>1</w:t>
            </w:r>
            <w:r>
              <w:rPr>
                <w:rFonts w:hint="eastAsia"/>
                <w:color w:val="000000" w:themeColor="text1"/>
                <w:sz w:val="24"/>
                <w:szCs w:val="20"/>
                <w14:textFill>
                  <w14:solidFill>
                    <w14:schemeClr w14:val="tx1"/>
                  </w14:solidFill>
                </w14:textFill>
              </w:rPr>
              <w:t>排放；本项目粉尘包括</w:t>
            </w:r>
            <w:r>
              <w:rPr>
                <w:color w:val="000000" w:themeColor="text1"/>
                <w:sz w:val="24"/>
                <w:szCs w:val="20"/>
                <w14:textFill>
                  <w14:solidFill>
                    <w14:schemeClr w14:val="tx1"/>
                  </w14:solidFill>
                </w14:textFill>
              </w:rPr>
              <w:t>XPS板生产线</w:t>
            </w:r>
            <w:r>
              <w:rPr>
                <w:rFonts w:hint="eastAsia"/>
                <w:color w:val="000000" w:themeColor="text1"/>
                <w:sz w:val="24"/>
                <w:szCs w:val="20"/>
                <w14:textFill>
                  <w14:solidFill>
                    <w14:schemeClr w14:val="tx1"/>
                  </w14:solidFill>
                </w14:textFill>
              </w:rPr>
              <w:t>修整、开凿、切割工序，</w:t>
            </w:r>
            <w:r>
              <w:rPr>
                <w:color w:val="000000" w:themeColor="text1"/>
                <w:sz w:val="24"/>
                <w:szCs w:val="20"/>
                <w14:textFill>
                  <w14:solidFill>
                    <w14:schemeClr w14:val="tx1"/>
                  </w14:solidFill>
                </w14:textFill>
              </w:rPr>
              <w:t>EPS板</w:t>
            </w:r>
            <w:r>
              <w:rPr>
                <w:rFonts w:hint="eastAsia"/>
                <w:color w:val="000000" w:themeColor="text1"/>
                <w:sz w:val="24"/>
                <w:szCs w:val="20"/>
                <w14:textFill>
                  <w14:solidFill>
                    <w14:schemeClr w14:val="tx1"/>
                  </w14:solidFill>
                </w14:textFill>
              </w:rPr>
              <w:t>和</w:t>
            </w:r>
            <w:r>
              <w:rPr>
                <w:color w:val="000000" w:themeColor="text1"/>
                <w:sz w:val="24"/>
                <w:szCs w:val="20"/>
                <w14:textFill>
                  <w14:solidFill>
                    <w14:schemeClr w14:val="tx1"/>
                  </w14:solidFill>
                </w14:textFill>
              </w:rPr>
              <w:t>XPS板生产线</w:t>
            </w:r>
            <w:r>
              <w:rPr>
                <w:rFonts w:hint="eastAsia"/>
                <w:color w:val="000000" w:themeColor="text1"/>
                <w:sz w:val="24"/>
                <w:szCs w:val="20"/>
                <w14:textFill>
                  <w14:solidFill>
                    <w14:schemeClr w14:val="tx1"/>
                  </w14:solidFill>
                </w14:textFill>
              </w:rPr>
              <w:t>边角料破碎时产生的粉尘，均由集气装置收集，经布袋除尘器处理后，经1根1</w:t>
            </w:r>
            <w:r>
              <w:rPr>
                <w:color w:val="000000" w:themeColor="text1"/>
                <w:sz w:val="24"/>
                <w:szCs w:val="20"/>
                <w14:textFill>
                  <w14:solidFill>
                    <w14:schemeClr w14:val="tx1"/>
                  </w14:solidFill>
                </w14:textFill>
              </w:rPr>
              <w:t>5m</w:t>
            </w:r>
            <w:r>
              <w:rPr>
                <w:rFonts w:hint="eastAsia"/>
                <w:color w:val="000000" w:themeColor="text1"/>
                <w:sz w:val="24"/>
                <w:szCs w:val="20"/>
                <w14:textFill>
                  <w14:solidFill>
                    <w14:schemeClr w14:val="tx1"/>
                  </w14:solidFill>
                </w14:textFill>
              </w:rPr>
              <w:t>高的排气筒P</w:t>
            </w:r>
            <w:r>
              <w:rPr>
                <w:color w:val="000000" w:themeColor="text1"/>
                <w:sz w:val="24"/>
                <w:szCs w:val="20"/>
                <w14:textFill>
                  <w14:solidFill>
                    <w14:schemeClr w14:val="tx1"/>
                  </w14:solidFill>
                </w14:textFill>
              </w:rPr>
              <w:t>2</w:t>
            </w:r>
            <w:r>
              <w:rPr>
                <w:rFonts w:hint="eastAsia"/>
                <w:color w:val="000000" w:themeColor="text1"/>
                <w:sz w:val="24"/>
                <w:szCs w:val="20"/>
                <w14:textFill>
                  <w14:solidFill>
                    <w14:schemeClr w14:val="tx1"/>
                  </w14:solidFill>
                </w14:textFill>
              </w:rPr>
              <w:t>排放。本项目有组织排放的苯乙烯、非甲烷总烃和颗粒物</w:t>
            </w:r>
            <w:r>
              <w:rPr>
                <w:rFonts w:hint="eastAsia"/>
                <w:sz w:val="24"/>
              </w:rPr>
              <w:t>满足《合成树脂工业污染物排放标准》（GB31572-2015）表5要求，无组织排放的</w:t>
            </w:r>
            <w:r>
              <w:rPr>
                <w:rFonts w:hint="eastAsia"/>
                <w:color w:val="000000" w:themeColor="text1"/>
                <w:sz w:val="24"/>
                <w:szCs w:val="20"/>
                <w14:textFill>
                  <w14:solidFill>
                    <w14:schemeClr w14:val="tx1"/>
                  </w14:solidFill>
                </w14:textFill>
              </w:rPr>
              <w:t>非甲烷总烃和颗粒物</w:t>
            </w:r>
            <w:r>
              <w:rPr>
                <w:rFonts w:hint="eastAsia"/>
                <w:sz w:val="24"/>
              </w:rPr>
              <w:t>合成树脂工业污染物排放标准》（GB31572-2015）表9要求。</w:t>
            </w:r>
          </w:p>
          <w:p>
            <w:pPr>
              <w:spacing w:line="360" w:lineRule="auto"/>
              <w:ind w:firstLine="480" w:firstLineChars="200"/>
              <w:rPr>
                <w:color w:val="000000"/>
                <w:sz w:val="24"/>
                <w:szCs w:val="20"/>
              </w:rPr>
            </w:pPr>
            <w:r>
              <w:rPr>
                <w:rFonts w:hint="eastAsia"/>
                <w:color w:val="000000"/>
                <w:sz w:val="24"/>
              </w:rPr>
              <w:t>本项目生产用热由厂区</w:t>
            </w:r>
            <w:r>
              <w:rPr>
                <w:color w:val="000000"/>
                <w:sz w:val="24"/>
              </w:rPr>
              <w:t>2</w:t>
            </w:r>
            <w:r>
              <w:rPr>
                <w:rFonts w:hint="eastAsia"/>
                <w:color w:val="000000"/>
                <w:sz w:val="24"/>
              </w:rPr>
              <w:t>台2t/h天然气锅炉供给，</w:t>
            </w:r>
            <w:r>
              <w:rPr>
                <w:color w:val="000000"/>
                <w:sz w:val="24"/>
                <w:szCs w:val="20"/>
              </w:rPr>
              <w:t>年使用天然气270000m</w:t>
            </w:r>
            <w:r>
              <w:rPr>
                <w:color w:val="000000"/>
                <w:sz w:val="24"/>
                <w:szCs w:val="20"/>
                <w:vertAlign w:val="superscript"/>
              </w:rPr>
              <w:t>3</w:t>
            </w:r>
            <w:r>
              <w:rPr>
                <w:color w:val="000000"/>
                <w:sz w:val="24"/>
                <w:szCs w:val="20"/>
              </w:rPr>
              <w:t>，天然气锅炉安装低氮燃烧器，产生的锅炉烟气经1根15m高排气筒</w:t>
            </w:r>
            <w:r>
              <w:rPr>
                <w:rFonts w:hint="eastAsia"/>
                <w:color w:val="000000"/>
                <w:sz w:val="24"/>
                <w:szCs w:val="20"/>
              </w:rPr>
              <w:t>P</w:t>
            </w:r>
            <w:r>
              <w:rPr>
                <w:color w:val="000000"/>
                <w:sz w:val="24"/>
                <w:szCs w:val="20"/>
              </w:rPr>
              <w:t>3排放</w:t>
            </w:r>
            <w:r>
              <w:rPr>
                <w:rFonts w:hint="eastAsia"/>
                <w:color w:val="000000"/>
                <w:sz w:val="24"/>
                <w:szCs w:val="20"/>
              </w:rPr>
              <w:t>，满足《锅炉大气污染物排放标准</w:t>
            </w:r>
            <w:r>
              <w:rPr>
                <w:color w:val="000000"/>
                <w:sz w:val="24"/>
                <w:szCs w:val="20"/>
              </w:rPr>
              <w:t>DB61/1226-2018》中表3燃气锅炉大气污染物排放浓度限值</w:t>
            </w:r>
          </w:p>
          <w:p>
            <w:pPr>
              <w:spacing w:line="360" w:lineRule="auto"/>
              <w:ind w:firstLine="480" w:firstLineChars="200"/>
              <w:rPr>
                <w:sz w:val="24"/>
              </w:rPr>
            </w:pPr>
            <w:r>
              <w:rPr>
                <w:rFonts w:hint="eastAsia"/>
                <w:sz w:val="24"/>
              </w:rPr>
              <w:t>食堂油烟经油烟净化系统后，可满足《饮食业油烟排放标准（试行）》（GB18483-2001）。因此，项目废气对周围大气环境的影响较小。</w:t>
            </w:r>
          </w:p>
          <w:bookmarkEnd w:id="18"/>
          <w:p>
            <w:pPr>
              <w:pStyle w:val="36"/>
              <w:numPr>
                <w:ilvl w:val="4"/>
                <w:numId w:val="5"/>
              </w:numPr>
              <w:spacing w:line="360" w:lineRule="auto"/>
              <w:ind w:left="0" w:firstLine="480"/>
              <w:rPr>
                <w:sz w:val="24"/>
                <w:lang w:val="sq-AL"/>
              </w:rPr>
            </w:pPr>
            <w:r>
              <w:rPr>
                <w:rFonts w:hint="eastAsia"/>
                <w:sz w:val="24"/>
                <w:lang w:val="sq-AL"/>
              </w:rPr>
              <w:t>噪声影响</w:t>
            </w:r>
          </w:p>
          <w:p>
            <w:pPr>
              <w:spacing w:line="360" w:lineRule="auto"/>
              <w:ind w:firstLine="480" w:firstLineChars="200"/>
              <w:rPr>
                <w:sz w:val="24"/>
              </w:rPr>
            </w:pPr>
            <w:bookmarkStart w:id="19" w:name="_Hlk12949277"/>
            <w:r>
              <w:rPr>
                <w:rFonts w:hint="eastAsia"/>
                <w:sz w:val="24"/>
              </w:rPr>
              <w:t>本项目噪声</w:t>
            </w:r>
            <w:r>
              <w:rPr>
                <w:sz w:val="24"/>
              </w:rPr>
              <w:t>源主要</w:t>
            </w:r>
            <w:r>
              <w:rPr>
                <w:rFonts w:hint="eastAsia"/>
                <w:sz w:val="24"/>
              </w:rPr>
              <w:t>来自于</w:t>
            </w:r>
            <w:r>
              <w:rPr>
                <w:rFonts w:hint="eastAsia"/>
                <w:color w:val="000000" w:themeColor="text1"/>
                <w:sz w:val="24"/>
                <w14:textFill>
                  <w14:solidFill>
                    <w14:schemeClr w14:val="tx1"/>
                  </w14:solidFill>
                </w14:textFill>
              </w:rPr>
              <w:t>生产过程中的</w:t>
            </w:r>
            <w:r>
              <w:rPr>
                <w:rFonts w:hint="eastAsia"/>
                <w:sz w:val="24"/>
              </w:rPr>
              <w:t>生产设备、风机等</w:t>
            </w:r>
            <w:r>
              <w:rPr>
                <w:sz w:val="24"/>
              </w:rPr>
              <w:t>设备</w:t>
            </w:r>
            <w:r>
              <w:rPr>
                <w:rFonts w:hint="eastAsia"/>
                <w:sz w:val="24"/>
              </w:rPr>
              <w:t>噪声，在采取合理布置、基础减振、设备维护、柔性连接、建筑隔声等措施后，厂界噪声可满足《工业企业厂界环境噪声排放标准》（GB12348-2008）</w:t>
            </w:r>
            <w:r>
              <w:rPr>
                <w:sz w:val="24"/>
              </w:rPr>
              <w:t>2</w:t>
            </w:r>
            <w:r>
              <w:rPr>
                <w:rFonts w:hint="eastAsia"/>
                <w:sz w:val="24"/>
              </w:rPr>
              <w:t>类标准。</w:t>
            </w:r>
          </w:p>
          <w:bookmarkEnd w:id="19"/>
          <w:p>
            <w:pPr>
              <w:pStyle w:val="36"/>
              <w:numPr>
                <w:ilvl w:val="4"/>
                <w:numId w:val="5"/>
              </w:numPr>
              <w:spacing w:line="360" w:lineRule="auto"/>
              <w:ind w:left="0" w:firstLine="480"/>
              <w:rPr>
                <w:sz w:val="24"/>
                <w:lang w:val="sq-AL"/>
              </w:rPr>
            </w:pPr>
            <w:r>
              <w:rPr>
                <w:rFonts w:hint="eastAsia"/>
                <w:sz w:val="24"/>
                <w:lang w:val="sq-AL"/>
              </w:rPr>
              <w:t>固体废弃物影响</w:t>
            </w:r>
          </w:p>
          <w:p>
            <w:pPr>
              <w:spacing w:line="360" w:lineRule="auto"/>
              <w:ind w:firstLine="480" w:firstLineChars="200"/>
              <w:rPr>
                <w:color w:val="000000" w:themeColor="text1"/>
                <w:sz w:val="24"/>
                <w:szCs w:val="20"/>
                <w14:textFill>
                  <w14:solidFill>
                    <w14:schemeClr w14:val="tx1"/>
                  </w14:solidFill>
                </w14:textFill>
              </w:rPr>
            </w:pPr>
            <w:bookmarkStart w:id="20" w:name="_Hlk12949290"/>
            <w:r>
              <w:rPr>
                <w:color w:val="000000" w:themeColor="text1"/>
                <w:sz w:val="24"/>
                <w:szCs w:val="20"/>
                <w14:textFill>
                  <w14:solidFill>
                    <w14:schemeClr w14:val="tx1"/>
                  </w14:solidFill>
                </w14:textFill>
              </w:rPr>
              <w:t>固体废物主要为</w:t>
            </w:r>
            <w:r>
              <w:rPr>
                <w:rFonts w:hint="eastAsia"/>
                <w:color w:val="000000" w:themeColor="text1"/>
                <w:sz w:val="24"/>
                <w:szCs w:val="20"/>
                <w14:textFill>
                  <w14:solidFill>
                    <w14:schemeClr w14:val="tx1"/>
                  </w14:solidFill>
                </w14:textFill>
              </w:rPr>
              <w:t>生活垃圾、一般工业固废和危险固废。</w:t>
            </w:r>
          </w:p>
          <w:p>
            <w:pPr>
              <w:spacing w:line="360" w:lineRule="auto"/>
              <w:ind w:firstLine="480" w:firstLineChars="200"/>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生活垃圾产生量约</w:t>
            </w:r>
            <w:r>
              <w:rPr>
                <w:color w:val="000000" w:themeColor="text1"/>
                <w:sz w:val="24"/>
                <w:szCs w:val="20"/>
                <w14:textFill>
                  <w14:solidFill>
                    <w14:schemeClr w14:val="tx1"/>
                  </w14:solidFill>
                </w14:textFill>
              </w:rPr>
              <w:t>3</w:t>
            </w:r>
            <w:r>
              <w:rPr>
                <w:rFonts w:hint="eastAsia"/>
                <w:color w:val="000000" w:themeColor="text1"/>
                <w:sz w:val="24"/>
                <w:szCs w:val="20"/>
                <w14:textFill>
                  <w14:solidFill>
                    <w14:schemeClr w14:val="tx1"/>
                  </w14:solidFill>
                </w14:textFill>
              </w:rPr>
              <w:t>t/a。</w:t>
            </w:r>
            <w:r>
              <w:rPr>
                <w:color w:val="000000" w:themeColor="text1"/>
                <w:sz w:val="24"/>
                <w:szCs w:val="20"/>
                <w14:textFill>
                  <w14:solidFill>
                    <w14:schemeClr w14:val="tx1"/>
                  </w14:solidFill>
                </w14:textFill>
              </w:rPr>
              <w:t>生活垃圾</w:t>
            </w:r>
            <w:r>
              <w:rPr>
                <w:rFonts w:hint="eastAsia"/>
                <w:color w:val="000000" w:themeColor="text1"/>
                <w:sz w:val="24"/>
                <w:szCs w:val="20"/>
                <w14:textFill>
                  <w14:solidFill>
                    <w14:schemeClr w14:val="tx1"/>
                  </w14:solidFill>
                </w14:textFill>
              </w:rPr>
              <w:t>送环卫部门指定的生活垃圾场妥善处置；</w:t>
            </w:r>
            <w:r>
              <w:rPr>
                <w:rFonts w:hint="eastAsia"/>
                <w:sz w:val="24"/>
              </w:rPr>
              <w:t>边角料本项目产生的边角料产生量约</w:t>
            </w:r>
            <w:r>
              <w:rPr>
                <w:sz w:val="24"/>
              </w:rPr>
              <w:t>28</w:t>
            </w:r>
            <w:r>
              <w:rPr>
                <w:rFonts w:hint="eastAsia"/>
                <w:sz w:val="24"/>
              </w:rPr>
              <w:t>t/a，经收集后进行熔融加工，将熔融料外售；除尘器收集的粉尘约</w:t>
            </w:r>
            <w:r>
              <w:rPr>
                <w:sz w:val="24"/>
              </w:rPr>
              <w:t>5.668</w:t>
            </w:r>
            <w:r>
              <w:rPr>
                <w:rFonts w:hint="eastAsia"/>
                <w:sz w:val="24"/>
              </w:rPr>
              <w:t>t/a，收集后外售处理；废包材约0.3t/a，集中收集后交环卫部门清运；锅炉制水的废滤芯25kg/a、废反渗透膜3kg/a收集后交厂家回收；危险废物：</w:t>
            </w:r>
          </w:p>
          <w:p>
            <w:pPr>
              <w:tabs>
                <w:tab w:val="left" w:pos="2610"/>
              </w:tabs>
              <w:adjustRightInd w:val="0"/>
              <w:snapToGrid w:val="0"/>
              <w:spacing w:line="360" w:lineRule="auto"/>
              <w:rPr>
                <w:sz w:val="24"/>
              </w:rPr>
            </w:pPr>
            <w:r>
              <w:rPr>
                <w:rFonts w:hint="eastAsia"/>
                <w:sz w:val="24"/>
                <w:lang w:val="zh-CN"/>
              </w:rPr>
              <w:t>废活性炭的产生量为</w:t>
            </w:r>
            <w:r>
              <w:rPr>
                <w:sz w:val="24"/>
              </w:rPr>
              <w:t>18.8</w:t>
            </w:r>
            <w:r>
              <w:rPr>
                <w:sz w:val="24"/>
                <w:lang w:val="zh-CN"/>
              </w:rPr>
              <w:t>t/a</w:t>
            </w:r>
            <w:r>
              <w:rPr>
                <w:rFonts w:hint="eastAsia"/>
                <w:sz w:val="24"/>
                <w:lang w:val="zh-CN"/>
              </w:rPr>
              <w:t>，</w:t>
            </w:r>
            <w:r>
              <w:rPr>
                <w:rFonts w:hint="eastAsia"/>
                <w:sz w:val="24"/>
              </w:rPr>
              <w:t>废机油的产生量为0.05t/a</w:t>
            </w:r>
            <w:r>
              <w:rPr>
                <w:rFonts w:hint="eastAsia"/>
                <w:sz w:val="24"/>
                <w:lang w:bidi="ar"/>
              </w:rPr>
              <w:t>，废油抹布</w:t>
            </w:r>
            <w:r>
              <w:rPr>
                <w:rFonts w:hint="eastAsia"/>
                <w:sz w:val="24"/>
              </w:rPr>
              <w:t>产生量为0.035t/a</w:t>
            </w:r>
            <w:r>
              <w:rPr>
                <w:rFonts w:hint="eastAsia"/>
                <w:sz w:val="24"/>
                <w:lang w:bidi="ar"/>
              </w:rPr>
              <w:t>，均暂存于危废暂存间定期交有资质单位处理。</w:t>
            </w:r>
          </w:p>
          <w:p>
            <w:pPr>
              <w:spacing w:line="360" w:lineRule="auto"/>
              <w:ind w:firstLine="480" w:firstLineChars="200"/>
              <w:rPr>
                <w:color w:val="000000" w:themeColor="text1"/>
                <w:sz w:val="24"/>
                <w:szCs w:val="20"/>
                <w14:textFill>
                  <w14:solidFill>
                    <w14:schemeClr w14:val="tx1"/>
                  </w14:solidFill>
                </w14:textFill>
              </w:rPr>
            </w:pPr>
            <w:r>
              <w:rPr>
                <w:rFonts w:hint="eastAsia"/>
                <w:sz w:val="24"/>
              </w:rPr>
              <w:t>本项目营运期间产生的固废种类明确，均可以得到及时的合理的处置，对周边环境产生影响小。</w:t>
            </w:r>
          </w:p>
          <w:bookmarkEnd w:id="20"/>
          <w:p>
            <w:pPr>
              <w:spacing w:line="360" w:lineRule="auto"/>
              <w:rPr>
                <w:rFonts w:eastAsia="黑体"/>
                <w:sz w:val="28"/>
                <w:szCs w:val="28"/>
              </w:rPr>
            </w:pPr>
            <w:r>
              <w:rPr>
                <w:rFonts w:eastAsia="黑体"/>
                <w:sz w:val="28"/>
                <w:szCs w:val="28"/>
              </w:rPr>
              <w:t>二</w:t>
            </w:r>
            <w:r>
              <w:rPr>
                <w:rFonts w:hint="eastAsia" w:eastAsia="黑体"/>
                <w:sz w:val="28"/>
                <w:szCs w:val="28"/>
              </w:rPr>
              <w:t>、</w:t>
            </w:r>
            <w:r>
              <w:rPr>
                <w:rFonts w:eastAsia="黑体"/>
                <w:sz w:val="28"/>
                <w:szCs w:val="28"/>
              </w:rPr>
              <w:t>总结论</w:t>
            </w:r>
          </w:p>
          <w:p>
            <w:pPr>
              <w:spacing w:line="360" w:lineRule="auto"/>
              <w:ind w:firstLine="480" w:firstLineChars="200"/>
              <w:rPr>
                <w:sz w:val="24"/>
              </w:rPr>
            </w:pPr>
            <w:r>
              <w:rPr>
                <w:rFonts w:hint="eastAsia"/>
                <w:sz w:val="24"/>
              </w:rPr>
              <w:t>综上所述，本项目的建设符合国家产业政策，生产工艺符合相关要求，选址较为合理，在认真落实本环评提出的污染治理措施后，各种污染物均可以做到达标排放。因此，认真落实本环评提出的污染防治对策，切实执行“三同时”制度的前提下，从环境保护角度出发，该项目的建设是可行的。</w:t>
            </w:r>
          </w:p>
          <w:p>
            <w:pPr>
              <w:spacing w:line="360" w:lineRule="auto"/>
              <w:rPr>
                <w:rFonts w:eastAsia="黑体"/>
                <w:sz w:val="28"/>
                <w:szCs w:val="28"/>
              </w:rPr>
            </w:pPr>
            <w:r>
              <w:rPr>
                <w:rFonts w:eastAsia="黑体"/>
                <w:sz w:val="28"/>
                <w:szCs w:val="28"/>
              </w:rPr>
              <w:t>三</w:t>
            </w:r>
            <w:r>
              <w:rPr>
                <w:rFonts w:hint="eastAsia" w:eastAsia="黑体"/>
                <w:sz w:val="28"/>
                <w:szCs w:val="28"/>
              </w:rPr>
              <w:t>、</w:t>
            </w:r>
            <w:r>
              <w:rPr>
                <w:rFonts w:eastAsia="黑体"/>
                <w:sz w:val="28"/>
                <w:szCs w:val="28"/>
              </w:rPr>
              <w:t>建议和要求</w:t>
            </w:r>
          </w:p>
          <w:p>
            <w:pPr>
              <w:pStyle w:val="36"/>
              <w:numPr>
                <w:ilvl w:val="0"/>
                <w:numId w:val="6"/>
              </w:numPr>
              <w:spacing w:line="360" w:lineRule="auto"/>
              <w:ind w:left="0" w:firstLine="480"/>
              <w:rPr>
                <w:sz w:val="24"/>
              </w:rPr>
            </w:pPr>
            <w:r>
              <w:rPr>
                <w:rFonts w:hint="eastAsia"/>
                <w:sz w:val="24"/>
              </w:rPr>
              <w:t>项目应严格落实本环评建议的各项环保措施；</w:t>
            </w:r>
          </w:p>
          <w:p>
            <w:pPr>
              <w:pStyle w:val="36"/>
              <w:numPr>
                <w:ilvl w:val="0"/>
                <w:numId w:val="6"/>
              </w:numPr>
              <w:spacing w:line="360" w:lineRule="auto"/>
              <w:ind w:left="0" w:firstLine="480"/>
              <w:rPr>
                <w:sz w:val="24"/>
              </w:rPr>
            </w:pPr>
            <w:r>
              <w:rPr>
                <w:rFonts w:hint="eastAsia"/>
                <w:sz w:val="24"/>
              </w:rPr>
              <w:t>对项目废气处理设备定期检查维护，保证废气达标排放；</w:t>
            </w:r>
          </w:p>
          <w:p>
            <w:pPr>
              <w:pStyle w:val="36"/>
              <w:numPr>
                <w:ilvl w:val="0"/>
                <w:numId w:val="6"/>
              </w:numPr>
              <w:spacing w:line="360" w:lineRule="auto"/>
              <w:ind w:left="0" w:firstLine="480"/>
              <w:rPr>
                <w:sz w:val="24"/>
              </w:rPr>
            </w:pPr>
            <w:r>
              <w:rPr>
                <w:rFonts w:hint="eastAsia"/>
                <w:sz w:val="24"/>
              </w:rPr>
              <w:t>落实噪声防治措施，</w:t>
            </w:r>
            <w:r>
              <w:rPr>
                <w:sz w:val="24"/>
              </w:rPr>
              <w:t>保证厂界噪声达标</w:t>
            </w:r>
            <w:r>
              <w:rPr>
                <w:rFonts w:hint="eastAsia"/>
                <w:sz w:val="24"/>
              </w:rPr>
              <w:t>；</w:t>
            </w:r>
          </w:p>
          <w:p>
            <w:pPr>
              <w:pStyle w:val="36"/>
              <w:numPr>
                <w:ilvl w:val="0"/>
                <w:numId w:val="6"/>
              </w:numPr>
              <w:spacing w:line="360" w:lineRule="auto"/>
              <w:ind w:left="0" w:firstLine="480"/>
              <w:rPr>
                <w:sz w:val="24"/>
              </w:rPr>
            </w:pPr>
            <w:r>
              <w:rPr>
                <w:rFonts w:hint="eastAsia"/>
                <w:sz w:val="24"/>
              </w:rPr>
              <w:t>经常向当地环保行政主管部门汇报企业生产与排污及污染防治设施的运转情况，自觉接受环保部门的监督检查。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5" w:hRule="atLeast"/>
          <w:jc w:val="center"/>
        </w:trPr>
        <w:tc>
          <w:tcPr>
            <w:tcW w:w="5000" w:type="pct"/>
          </w:tcPr>
          <w:p>
            <w:pPr>
              <w:tabs>
                <w:tab w:val="left" w:pos="276"/>
              </w:tabs>
              <w:rPr>
                <w:b/>
                <w:bCs/>
                <w:sz w:val="28"/>
              </w:rPr>
            </w:pPr>
            <w:r>
              <w:rPr>
                <w:b/>
                <w:bCs/>
                <w:sz w:val="28"/>
              </w:rPr>
              <w:t>预审意见：</w:t>
            </w:r>
          </w:p>
          <w:p>
            <w:pPr>
              <w:rPr>
                <w:sz w:val="28"/>
              </w:rPr>
            </w:pPr>
          </w:p>
          <w:p>
            <w:pPr>
              <w:rPr>
                <w:sz w:val="28"/>
              </w:rPr>
            </w:pPr>
          </w:p>
          <w:p>
            <w:pPr>
              <w:rPr>
                <w:sz w:val="28"/>
              </w:rPr>
            </w:pPr>
          </w:p>
          <w:p>
            <w:pPr>
              <w:rPr>
                <w:sz w:val="28"/>
              </w:rPr>
            </w:pPr>
          </w:p>
          <w:p>
            <w:pPr>
              <w:rPr>
                <w:sz w:val="28"/>
              </w:rPr>
            </w:pPr>
          </w:p>
          <w:p>
            <w:pPr>
              <w:rPr>
                <w:sz w:val="28"/>
              </w:rPr>
            </w:pPr>
          </w:p>
          <w:p>
            <w:pPr>
              <w:wordWrap w:val="0"/>
              <w:jc w:val="right"/>
              <w:rPr>
                <w:sz w:val="28"/>
              </w:rPr>
            </w:pPr>
            <w:r>
              <w:rPr>
                <w:sz w:val="28"/>
              </w:rPr>
              <w:t>公章</w:t>
            </w:r>
            <w:r>
              <w:rPr>
                <w:rFonts w:hint="eastAsia"/>
                <w:sz w:val="28"/>
              </w:rPr>
              <w:t xml:space="preserve">   </w:t>
            </w:r>
            <w:r>
              <w:rPr>
                <w:sz w:val="28"/>
              </w:rPr>
              <w:t xml:space="preserve">                        </w:t>
            </w:r>
          </w:p>
          <w:p>
            <w:pPr>
              <w:jc w:val="right"/>
              <w:rPr>
                <w:sz w:val="28"/>
              </w:rPr>
            </w:pPr>
          </w:p>
          <w:p>
            <w:pPr>
              <w:wordWrap w:val="0"/>
              <w:jc w:val="right"/>
              <w:rPr>
                <w:sz w:val="28"/>
              </w:rPr>
            </w:pPr>
            <w:r>
              <w:rPr>
                <w:sz w:val="28"/>
              </w:rPr>
              <w:t>经办人：</w:t>
            </w:r>
            <w:r>
              <w:rPr>
                <w:rFonts w:hint="eastAsia"/>
                <w:sz w:val="28"/>
              </w:rPr>
              <w:t xml:space="preserve">     </w:t>
            </w:r>
            <w:r>
              <w:rPr>
                <w:sz w:val="28"/>
              </w:rPr>
              <w:t xml:space="preserve">    年</w:t>
            </w:r>
            <w:r>
              <w:rPr>
                <w:rFonts w:hint="eastAsia"/>
                <w:sz w:val="28"/>
              </w:rPr>
              <w:t xml:space="preserve">    </w:t>
            </w:r>
            <w:r>
              <w:rPr>
                <w:sz w:val="28"/>
              </w:rPr>
              <w:t>月</w:t>
            </w:r>
            <w:r>
              <w:rPr>
                <w:rFonts w:hint="eastAsia"/>
                <w:sz w:val="28"/>
              </w:rPr>
              <w:t xml:space="preserve">    </w:t>
            </w:r>
            <w:r>
              <w:rPr>
                <w:sz w:val="28"/>
              </w:rPr>
              <w:t>日</w:t>
            </w:r>
          </w:p>
          <w:p>
            <w:pPr>
              <w:rPr>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5" w:hRule="atLeast"/>
          <w:jc w:val="center"/>
        </w:trPr>
        <w:tc>
          <w:tcPr>
            <w:tcW w:w="5000" w:type="pct"/>
          </w:tcPr>
          <w:p>
            <w:pPr>
              <w:rPr>
                <w:b/>
                <w:bCs/>
                <w:sz w:val="28"/>
              </w:rPr>
            </w:pPr>
            <w:r>
              <w:rPr>
                <w:b/>
                <w:bCs/>
                <w:sz w:val="28"/>
              </w:rPr>
              <w:t>下一级环境保护行政主管部门审查意见：</w:t>
            </w:r>
          </w:p>
          <w:p>
            <w:pPr>
              <w:rPr>
                <w:sz w:val="28"/>
              </w:rPr>
            </w:pPr>
          </w:p>
          <w:p>
            <w:pPr>
              <w:rPr>
                <w:sz w:val="28"/>
              </w:rPr>
            </w:pPr>
          </w:p>
          <w:p>
            <w:pPr>
              <w:rPr>
                <w:sz w:val="28"/>
              </w:rPr>
            </w:pPr>
          </w:p>
          <w:p>
            <w:pPr>
              <w:rPr>
                <w:sz w:val="28"/>
              </w:rPr>
            </w:pPr>
          </w:p>
          <w:p>
            <w:pPr>
              <w:rPr>
                <w:sz w:val="28"/>
              </w:rPr>
            </w:pPr>
          </w:p>
          <w:p>
            <w:pPr>
              <w:rPr>
                <w:sz w:val="28"/>
              </w:rPr>
            </w:pPr>
          </w:p>
          <w:p>
            <w:pPr>
              <w:wordWrap w:val="0"/>
              <w:jc w:val="right"/>
              <w:rPr>
                <w:sz w:val="28"/>
              </w:rPr>
            </w:pPr>
            <w:r>
              <w:rPr>
                <w:sz w:val="28"/>
              </w:rPr>
              <w:t>公章</w:t>
            </w:r>
            <w:r>
              <w:rPr>
                <w:rFonts w:hint="eastAsia"/>
                <w:sz w:val="28"/>
              </w:rPr>
              <w:t xml:space="preserve">   </w:t>
            </w:r>
            <w:r>
              <w:rPr>
                <w:sz w:val="28"/>
              </w:rPr>
              <w:t xml:space="preserve">                        </w:t>
            </w:r>
          </w:p>
          <w:p>
            <w:pPr>
              <w:jc w:val="right"/>
              <w:rPr>
                <w:sz w:val="28"/>
              </w:rPr>
            </w:pPr>
          </w:p>
          <w:p>
            <w:pPr>
              <w:wordWrap w:val="0"/>
              <w:jc w:val="right"/>
              <w:rPr>
                <w:sz w:val="28"/>
              </w:rPr>
            </w:pPr>
            <w:r>
              <w:rPr>
                <w:sz w:val="28"/>
              </w:rPr>
              <w:t>经办人：</w:t>
            </w:r>
            <w:r>
              <w:rPr>
                <w:rFonts w:hint="eastAsia"/>
                <w:sz w:val="28"/>
              </w:rPr>
              <w:t xml:space="preserve">     </w:t>
            </w:r>
            <w:r>
              <w:rPr>
                <w:sz w:val="28"/>
              </w:rPr>
              <w:t xml:space="preserve">    年</w:t>
            </w:r>
            <w:r>
              <w:rPr>
                <w:rFonts w:hint="eastAsia"/>
                <w:sz w:val="28"/>
              </w:rPr>
              <w:t xml:space="preserve">    </w:t>
            </w:r>
            <w:r>
              <w:rPr>
                <w:sz w:val="28"/>
              </w:rPr>
              <w:t>月</w:t>
            </w:r>
            <w:r>
              <w:rPr>
                <w:rFonts w:hint="eastAsia"/>
                <w:sz w:val="28"/>
              </w:rPr>
              <w:t xml:space="preserve">    </w:t>
            </w:r>
            <w:r>
              <w:rPr>
                <w:sz w:val="28"/>
              </w:rPr>
              <w:t>日</w:t>
            </w:r>
          </w:p>
          <w:p>
            <w:pPr>
              <w:wordWrap w:val="0"/>
              <w:jc w:val="right"/>
              <w:rPr>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50" w:hRule="atLeast"/>
          <w:jc w:val="center"/>
        </w:trPr>
        <w:tc>
          <w:tcPr>
            <w:tcW w:w="5000" w:type="pct"/>
            <w:vAlign w:val="center"/>
          </w:tcPr>
          <w:p>
            <w:pPr>
              <w:rPr>
                <w:b/>
                <w:bCs/>
                <w:sz w:val="28"/>
              </w:rPr>
            </w:pPr>
            <w:r>
              <w:rPr>
                <w:b/>
                <w:bCs/>
                <w:sz w:val="28"/>
              </w:rPr>
              <w:t>审批意见：</w:t>
            </w: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wordWrap w:val="0"/>
              <w:jc w:val="right"/>
              <w:rPr>
                <w:sz w:val="28"/>
              </w:rPr>
            </w:pPr>
            <w:r>
              <w:rPr>
                <w:sz w:val="28"/>
              </w:rPr>
              <w:t>公章</w:t>
            </w:r>
            <w:r>
              <w:rPr>
                <w:rFonts w:hint="eastAsia"/>
                <w:sz w:val="28"/>
              </w:rPr>
              <w:t xml:space="preserve">   </w:t>
            </w:r>
            <w:r>
              <w:rPr>
                <w:sz w:val="28"/>
              </w:rPr>
              <w:t xml:space="preserve">                        </w:t>
            </w:r>
          </w:p>
          <w:p>
            <w:pPr>
              <w:jc w:val="right"/>
              <w:rPr>
                <w:sz w:val="28"/>
              </w:rPr>
            </w:pPr>
          </w:p>
          <w:p>
            <w:pPr>
              <w:wordWrap w:val="0"/>
              <w:jc w:val="right"/>
              <w:rPr>
                <w:sz w:val="28"/>
              </w:rPr>
            </w:pPr>
            <w:r>
              <w:rPr>
                <w:sz w:val="28"/>
              </w:rPr>
              <w:t>经办人：</w:t>
            </w:r>
            <w:r>
              <w:rPr>
                <w:rFonts w:hint="eastAsia"/>
                <w:sz w:val="28"/>
              </w:rPr>
              <w:t xml:space="preserve">     </w:t>
            </w:r>
            <w:r>
              <w:rPr>
                <w:sz w:val="28"/>
              </w:rPr>
              <w:t xml:space="preserve">    年</w:t>
            </w:r>
            <w:r>
              <w:rPr>
                <w:rFonts w:hint="eastAsia"/>
                <w:sz w:val="28"/>
              </w:rPr>
              <w:t xml:space="preserve">    </w:t>
            </w:r>
            <w:r>
              <w:rPr>
                <w:sz w:val="28"/>
              </w:rPr>
              <w:t>月</w:t>
            </w:r>
            <w:r>
              <w:rPr>
                <w:rFonts w:hint="eastAsia"/>
                <w:sz w:val="28"/>
              </w:rPr>
              <w:t xml:space="preserve">    </w:t>
            </w:r>
            <w:r>
              <w:rPr>
                <w:sz w:val="28"/>
              </w:rPr>
              <w:t>日</w:t>
            </w:r>
          </w:p>
          <w:p>
            <w:pPr>
              <w:jc w:val="center"/>
              <w:rPr>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15" w:hRule="atLeast"/>
          <w:jc w:val="center"/>
        </w:trPr>
        <w:tc>
          <w:tcPr>
            <w:tcW w:w="5000" w:type="pct"/>
          </w:tcPr>
          <w:p>
            <w:pPr>
              <w:jc w:val="center"/>
              <w:rPr>
                <w:sz w:val="30"/>
              </w:rPr>
            </w:pPr>
            <w:r>
              <w:rPr>
                <w:sz w:val="30"/>
              </w:rPr>
              <w:t>注释</w:t>
            </w:r>
          </w:p>
          <w:p>
            <w:pPr>
              <w:ind w:firstLine="600" w:firstLineChars="200"/>
              <w:rPr>
                <w:sz w:val="30"/>
              </w:rPr>
            </w:pPr>
            <w:r>
              <w:rPr>
                <w:sz w:val="30"/>
              </w:rPr>
              <w:t>一、本报告表应附以下附件、附图：</w:t>
            </w:r>
          </w:p>
          <w:p>
            <w:pPr>
              <w:ind w:firstLine="600" w:firstLineChars="200"/>
              <w:rPr>
                <w:sz w:val="30"/>
              </w:rPr>
            </w:pPr>
            <w:r>
              <w:rPr>
                <w:sz w:val="30"/>
              </w:rPr>
              <w:t>附件1  立项批准文件</w:t>
            </w:r>
          </w:p>
          <w:p>
            <w:pPr>
              <w:ind w:firstLine="600" w:firstLineChars="200"/>
              <w:rPr>
                <w:sz w:val="30"/>
              </w:rPr>
            </w:pPr>
            <w:r>
              <w:rPr>
                <w:sz w:val="30"/>
              </w:rPr>
              <w:t>附件2  其他与环评有关的行政管理文件</w:t>
            </w:r>
          </w:p>
          <w:p>
            <w:pPr>
              <w:ind w:left="1690" w:leftChars="285" w:hanging="1092" w:hangingChars="364"/>
              <w:rPr>
                <w:sz w:val="30"/>
              </w:rPr>
            </w:pPr>
            <w:r>
              <w:rPr>
                <w:sz w:val="30"/>
              </w:rPr>
              <w:t>附图1  项目地埋位置图（应反映行政区划、水系、标明纳污口位置和地形地貌等）</w:t>
            </w:r>
          </w:p>
          <w:p>
            <w:pPr>
              <w:ind w:firstLine="600" w:firstLineChars="200"/>
              <w:rPr>
                <w:sz w:val="30"/>
              </w:rPr>
            </w:pPr>
            <w:r>
              <w:rPr>
                <w:sz w:val="30"/>
              </w:rPr>
              <w:t>附图2  项目平面布置图</w:t>
            </w:r>
          </w:p>
          <w:p>
            <w:pPr>
              <w:ind w:left="1153" w:leftChars="286" w:hanging="552" w:hangingChars="184"/>
              <w:rPr>
                <w:sz w:val="30"/>
              </w:rPr>
            </w:pPr>
            <w:r>
              <w:rPr>
                <w:sz w:val="30"/>
              </w:rPr>
              <w:t>二、如果本报告表不能说明项目产生的污染及对环境造成的影响，应进行专项评价。根据建设项目的特点和当地环境特征，应选下列1—2项进行专项评价。</w:t>
            </w:r>
          </w:p>
          <w:p>
            <w:pPr>
              <w:ind w:firstLine="600" w:firstLineChars="200"/>
              <w:rPr>
                <w:sz w:val="30"/>
              </w:rPr>
            </w:pPr>
            <w:r>
              <w:rPr>
                <w:sz w:val="30"/>
              </w:rPr>
              <w:t>1、大气环境影响专项评价</w:t>
            </w:r>
          </w:p>
          <w:p>
            <w:pPr>
              <w:ind w:firstLine="600" w:firstLineChars="200"/>
              <w:rPr>
                <w:sz w:val="30"/>
              </w:rPr>
            </w:pPr>
            <w:r>
              <w:rPr>
                <w:sz w:val="30"/>
              </w:rPr>
              <w:t>2、水环境影响专项评价（包括地表水和地下水）</w:t>
            </w:r>
          </w:p>
          <w:p>
            <w:pPr>
              <w:ind w:firstLine="600" w:firstLineChars="200"/>
              <w:rPr>
                <w:sz w:val="30"/>
              </w:rPr>
            </w:pPr>
            <w:r>
              <w:rPr>
                <w:sz w:val="30"/>
              </w:rPr>
              <w:t>3、生态影响专项评价</w:t>
            </w:r>
          </w:p>
          <w:p>
            <w:pPr>
              <w:ind w:firstLine="600" w:firstLineChars="200"/>
              <w:rPr>
                <w:sz w:val="30"/>
              </w:rPr>
            </w:pPr>
            <w:r>
              <w:rPr>
                <w:sz w:val="30"/>
              </w:rPr>
              <w:t>4、声影响专项评价</w:t>
            </w:r>
          </w:p>
          <w:p>
            <w:pPr>
              <w:ind w:firstLine="600" w:firstLineChars="200"/>
              <w:rPr>
                <w:sz w:val="30"/>
              </w:rPr>
            </w:pPr>
            <w:r>
              <w:rPr>
                <w:sz w:val="30"/>
              </w:rPr>
              <w:t>5、土壤影响专项评价</w:t>
            </w:r>
          </w:p>
          <w:p>
            <w:pPr>
              <w:ind w:firstLine="600" w:firstLineChars="200"/>
              <w:rPr>
                <w:sz w:val="30"/>
              </w:rPr>
            </w:pPr>
            <w:r>
              <w:rPr>
                <w:sz w:val="30"/>
              </w:rPr>
              <w:t>6、固体废弃物影响专项评价</w:t>
            </w:r>
          </w:p>
          <w:p>
            <w:pPr>
              <w:ind w:firstLine="600" w:firstLineChars="200"/>
              <w:jc w:val="left"/>
            </w:pPr>
            <w:r>
              <w:rPr>
                <w:sz w:val="30"/>
              </w:rPr>
              <w:t>以上专项评价未包括的可另列专项，专项评价按照《环境影响评价技术导则》中的要求进行。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31006"/>
      <w:docPartObj>
        <w:docPartGallery w:val="autotext"/>
      </w:docPartObj>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828B"/>
    <w:multiLevelType w:val="singleLevel"/>
    <w:tmpl w:val="1745828B"/>
    <w:lvl w:ilvl="0" w:tentative="0">
      <w:start w:val="4"/>
      <w:numFmt w:val="decimal"/>
      <w:suff w:val="nothing"/>
      <w:lvlText w:val="（%1）"/>
      <w:lvlJc w:val="left"/>
    </w:lvl>
  </w:abstractNum>
  <w:abstractNum w:abstractNumId="1">
    <w:nsid w:val="22AA1647"/>
    <w:multiLevelType w:val="multilevel"/>
    <w:tmpl w:val="22AA1647"/>
    <w:lvl w:ilvl="0" w:tentative="0">
      <w:start w:val="1"/>
      <w:numFmt w:val="japaneseCounting"/>
      <w:lvlText w:val="%1、"/>
      <w:lvlJc w:val="left"/>
      <w:pPr>
        <w:ind w:left="480" w:hanging="480"/>
      </w:pPr>
      <w:rPr>
        <w:rFonts w:hint="default"/>
      </w:rPr>
    </w:lvl>
    <w:lvl w:ilvl="1" w:tentative="0">
      <w:start w:val="1"/>
      <w:numFmt w:val="decimal"/>
      <w:lvlText w:val="%2."/>
      <w:lvlJc w:val="left"/>
      <w:pPr>
        <w:ind w:left="780" w:hanging="360"/>
      </w:pPr>
      <w:rPr>
        <w:rFonts w:hint="default"/>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3B249A"/>
    <w:multiLevelType w:val="multilevel"/>
    <w:tmpl w:val="423B249A"/>
    <w:lvl w:ilvl="0" w:tentative="0">
      <w:start w:val="1"/>
      <w:numFmt w:val="decimal"/>
      <w:lvlText w:val="（%1）"/>
      <w:lvlJc w:val="left"/>
      <w:pPr>
        <w:ind w:left="1740" w:hanging="420"/>
      </w:pPr>
      <w:rPr>
        <w:rFonts w:hint="default" w:ascii="Times New Roman" w:hAnsi="Times New Roman" w:eastAsia="宋体"/>
      </w:rPr>
    </w:lvl>
    <w:lvl w:ilvl="1" w:tentative="0">
      <w:start w:val="1"/>
      <w:numFmt w:val="lowerLetter"/>
      <w:lvlText w:val="%2)"/>
      <w:lvlJc w:val="left"/>
      <w:pPr>
        <w:ind w:left="2160" w:hanging="420"/>
      </w:pPr>
    </w:lvl>
    <w:lvl w:ilvl="2" w:tentative="0">
      <w:start w:val="1"/>
      <w:numFmt w:val="lowerRoman"/>
      <w:lvlText w:val="%3."/>
      <w:lvlJc w:val="right"/>
      <w:pPr>
        <w:ind w:left="2580" w:hanging="420"/>
      </w:pPr>
    </w:lvl>
    <w:lvl w:ilvl="3" w:tentative="0">
      <w:start w:val="1"/>
      <w:numFmt w:val="decimal"/>
      <w:lvlText w:val="%4."/>
      <w:lvlJc w:val="left"/>
      <w:pPr>
        <w:ind w:left="3000" w:hanging="420"/>
      </w:pPr>
    </w:lvl>
    <w:lvl w:ilvl="4" w:tentative="0">
      <w:start w:val="1"/>
      <w:numFmt w:val="lowerLetter"/>
      <w:lvlText w:val="%5)"/>
      <w:lvlJc w:val="left"/>
      <w:pPr>
        <w:ind w:left="3420" w:hanging="420"/>
      </w:pPr>
    </w:lvl>
    <w:lvl w:ilvl="5" w:tentative="0">
      <w:start w:val="1"/>
      <w:numFmt w:val="lowerRoman"/>
      <w:lvlText w:val="%6."/>
      <w:lvlJc w:val="right"/>
      <w:pPr>
        <w:ind w:left="3840" w:hanging="420"/>
      </w:pPr>
    </w:lvl>
    <w:lvl w:ilvl="6" w:tentative="0">
      <w:start w:val="1"/>
      <w:numFmt w:val="decimal"/>
      <w:lvlText w:val="%7."/>
      <w:lvlJc w:val="left"/>
      <w:pPr>
        <w:ind w:left="4260" w:hanging="420"/>
      </w:pPr>
    </w:lvl>
    <w:lvl w:ilvl="7" w:tentative="0">
      <w:start w:val="1"/>
      <w:numFmt w:val="lowerLetter"/>
      <w:lvlText w:val="%8)"/>
      <w:lvlJc w:val="left"/>
      <w:pPr>
        <w:ind w:left="4680" w:hanging="420"/>
      </w:pPr>
    </w:lvl>
    <w:lvl w:ilvl="8" w:tentative="0">
      <w:start w:val="1"/>
      <w:numFmt w:val="lowerRoman"/>
      <w:lvlText w:val="%9."/>
      <w:lvlJc w:val="right"/>
      <w:pPr>
        <w:ind w:left="5100" w:hanging="420"/>
      </w:pPr>
    </w:lvl>
  </w:abstractNum>
  <w:abstractNum w:abstractNumId="3">
    <w:nsid w:val="4948264A"/>
    <w:multiLevelType w:val="multilevel"/>
    <w:tmpl w:val="4948264A"/>
    <w:lvl w:ilvl="0" w:tentative="0">
      <w:start w:val="1"/>
      <w:numFmt w:val="decimal"/>
      <w:lvlText w:val="%1)"/>
      <w:lvlJc w:val="left"/>
      <w:pPr>
        <w:ind w:left="1320" w:hanging="420"/>
      </w:pPr>
    </w:lvl>
    <w:lvl w:ilvl="1" w:tentative="0">
      <w:start w:val="1"/>
      <w:numFmt w:val="decimal"/>
      <w:lvlText w:val="%2．"/>
      <w:lvlJc w:val="left"/>
      <w:pPr>
        <w:ind w:left="1692" w:hanging="372"/>
      </w:pPr>
      <w:rPr>
        <w:rFonts w:hint="default"/>
      </w:r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
    <w:nsid w:val="4B7F144F"/>
    <w:multiLevelType w:val="multilevel"/>
    <w:tmpl w:val="4B7F144F"/>
    <w:lvl w:ilvl="0" w:tentative="0">
      <w:start w:val="1"/>
      <w:numFmt w:val="decimal"/>
      <w:lvlText w:val="%1."/>
      <w:lvlJc w:val="left"/>
      <w:pPr>
        <w:ind w:left="113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76D7B2E"/>
    <w:multiLevelType w:val="multilevel"/>
    <w:tmpl w:val="676D7B2E"/>
    <w:lvl w:ilvl="0" w:tentative="0">
      <w:start w:val="1"/>
      <w:numFmt w:val="decimal"/>
      <w:lvlText w:val="%1."/>
      <w:lvlJc w:val="left"/>
      <w:pPr>
        <w:ind w:left="360" w:hanging="360"/>
      </w:pPr>
      <w:rPr>
        <w:rFonts w:hint="default"/>
      </w:rPr>
    </w:lvl>
    <w:lvl w:ilvl="1" w:tentative="0">
      <w:start w:val="1"/>
      <w:numFmt w:val="decimal"/>
      <w:lvlText w:val="（%2）"/>
      <w:lvlJc w:val="left"/>
      <w:pPr>
        <w:ind w:left="1140" w:hanging="720"/>
      </w:pPr>
      <w:rPr>
        <w:rFonts w:hint="default" w:ascii="Times New Roman" w:hAnsi="Times New Roman" w:eastAsia="宋体"/>
      </w:rPr>
    </w:lvl>
    <w:lvl w:ilvl="2" w:tentative="0">
      <w:start w:val="1"/>
      <w:numFmt w:val="japaneseCounting"/>
      <w:lvlText w:val="%3、"/>
      <w:lvlJc w:val="left"/>
      <w:pPr>
        <w:ind w:left="1320" w:hanging="480"/>
      </w:pPr>
      <w:rPr>
        <w:rFonts w:hint="default"/>
      </w:rPr>
    </w:lvl>
    <w:lvl w:ilvl="3" w:tentative="0">
      <w:start w:val="1"/>
      <w:numFmt w:val="decimalEnclosedCircle"/>
      <w:lvlText w:val="%4"/>
      <w:lvlJc w:val="left"/>
      <w:pPr>
        <w:ind w:left="1620" w:hanging="360"/>
      </w:pPr>
      <w:rPr>
        <w:rFonts w:hint="default"/>
        <w:sz w:val="23"/>
      </w:rPr>
    </w:lvl>
    <w:lvl w:ilvl="4" w:tentative="0">
      <w:start w:val="1"/>
      <w:numFmt w:val="decimal"/>
      <w:lvlText w:val="（%5）"/>
      <w:lvlJc w:val="left"/>
      <w:pPr>
        <w:ind w:left="2400" w:hanging="720"/>
      </w:pPr>
      <w:rPr>
        <w:rFonts w:hint="default"/>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A59"/>
    <w:rsid w:val="00002A84"/>
    <w:rsid w:val="00013F75"/>
    <w:rsid w:val="00016A96"/>
    <w:rsid w:val="0002050D"/>
    <w:rsid w:val="00024F20"/>
    <w:rsid w:val="00026D5F"/>
    <w:rsid w:val="00054738"/>
    <w:rsid w:val="00070DB8"/>
    <w:rsid w:val="00071DFD"/>
    <w:rsid w:val="000768A1"/>
    <w:rsid w:val="00087264"/>
    <w:rsid w:val="0009714E"/>
    <w:rsid w:val="000A7B8B"/>
    <w:rsid w:val="000B3F59"/>
    <w:rsid w:val="000C1752"/>
    <w:rsid w:val="000C3FC3"/>
    <w:rsid w:val="000D4B47"/>
    <w:rsid w:val="000E16CF"/>
    <w:rsid w:val="000E4024"/>
    <w:rsid w:val="000F08F5"/>
    <w:rsid w:val="000F0F66"/>
    <w:rsid w:val="000F3D7E"/>
    <w:rsid w:val="000F5F0C"/>
    <w:rsid w:val="00102C27"/>
    <w:rsid w:val="00105B19"/>
    <w:rsid w:val="00111BA7"/>
    <w:rsid w:val="00113A30"/>
    <w:rsid w:val="00116A95"/>
    <w:rsid w:val="00116DFA"/>
    <w:rsid w:val="00120014"/>
    <w:rsid w:val="0013475A"/>
    <w:rsid w:val="001404BF"/>
    <w:rsid w:val="00145422"/>
    <w:rsid w:val="00150B75"/>
    <w:rsid w:val="00176CAF"/>
    <w:rsid w:val="00182C02"/>
    <w:rsid w:val="00192BBB"/>
    <w:rsid w:val="001A0495"/>
    <w:rsid w:val="001A3A59"/>
    <w:rsid w:val="001A603E"/>
    <w:rsid w:val="001A7DAB"/>
    <w:rsid w:val="001B0FC5"/>
    <w:rsid w:val="001B74C8"/>
    <w:rsid w:val="001C07CD"/>
    <w:rsid w:val="001D0652"/>
    <w:rsid w:val="001D0CEA"/>
    <w:rsid w:val="001D5F15"/>
    <w:rsid w:val="001E1850"/>
    <w:rsid w:val="001E6C97"/>
    <w:rsid w:val="001F3E91"/>
    <w:rsid w:val="001F52AB"/>
    <w:rsid w:val="001F760D"/>
    <w:rsid w:val="00200C0C"/>
    <w:rsid w:val="002047F0"/>
    <w:rsid w:val="00205607"/>
    <w:rsid w:val="00205DBB"/>
    <w:rsid w:val="00207129"/>
    <w:rsid w:val="002071EE"/>
    <w:rsid w:val="002256E5"/>
    <w:rsid w:val="00237903"/>
    <w:rsid w:val="00251209"/>
    <w:rsid w:val="00252C8D"/>
    <w:rsid w:val="00254363"/>
    <w:rsid w:val="00267A59"/>
    <w:rsid w:val="00281B30"/>
    <w:rsid w:val="00297A0B"/>
    <w:rsid w:val="002C01A3"/>
    <w:rsid w:val="002C2B63"/>
    <w:rsid w:val="002C3DDC"/>
    <w:rsid w:val="002E2B6C"/>
    <w:rsid w:val="0031113C"/>
    <w:rsid w:val="003177F2"/>
    <w:rsid w:val="0032225E"/>
    <w:rsid w:val="00324CAB"/>
    <w:rsid w:val="00327BE3"/>
    <w:rsid w:val="00331B04"/>
    <w:rsid w:val="00334AC7"/>
    <w:rsid w:val="00344C2C"/>
    <w:rsid w:val="00346D9F"/>
    <w:rsid w:val="00356EFD"/>
    <w:rsid w:val="003652B1"/>
    <w:rsid w:val="00366523"/>
    <w:rsid w:val="003723F7"/>
    <w:rsid w:val="00381BB5"/>
    <w:rsid w:val="00395436"/>
    <w:rsid w:val="003A4500"/>
    <w:rsid w:val="003A7735"/>
    <w:rsid w:val="003A7AEB"/>
    <w:rsid w:val="003B26B0"/>
    <w:rsid w:val="003B38B3"/>
    <w:rsid w:val="003B3A81"/>
    <w:rsid w:val="003C241C"/>
    <w:rsid w:val="003D053F"/>
    <w:rsid w:val="003E53FC"/>
    <w:rsid w:val="003F5C92"/>
    <w:rsid w:val="00402FEF"/>
    <w:rsid w:val="00406B05"/>
    <w:rsid w:val="00414705"/>
    <w:rsid w:val="00416E6D"/>
    <w:rsid w:val="004233DC"/>
    <w:rsid w:val="00424458"/>
    <w:rsid w:val="00426B0C"/>
    <w:rsid w:val="00427369"/>
    <w:rsid w:val="00427A35"/>
    <w:rsid w:val="00430CA0"/>
    <w:rsid w:val="004324C0"/>
    <w:rsid w:val="00435D1A"/>
    <w:rsid w:val="00444E77"/>
    <w:rsid w:val="004476DC"/>
    <w:rsid w:val="004515BF"/>
    <w:rsid w:val="004550C8"/>
    <w:rsid w:val="00456CDD"/>
    <w:rsid w:val="00457208"/>
    <w:rsid w:val="00462EE8"/>
    <w:rsid w:val="00481719"/>
    <w:rsid w:val="00483807"/>
    <w:rsid w:val="004850C3"/>
    <w:rsid w:val="00487564"/>
    <w:rsid w:val="00487F70"/>
    <w:rsid w:val="00495D4B"/>
    <w:rsid w:val="00497598"/>
    <w:rsid w:val="004A09BA"/>
    <w:rsid w:val="004A19C2"/>
    <w:rsid w:val="004A2C56"/>
    <w:rsid w:val="004B287A"/>
    <w:rsid w:val="004B304E"/>
    <w:rsid w:val="004B408D"/>
    <w:rsid w:val="004C1226"/>
    <w:rsid w:val="004C2489"/>
    <w:rsid w:val="004D45A9"/>
    <w:rsid w:val="004E5CB3"/>
    <w:rsid w:val="004E6025"/>
    <w:rsid w:val="00520CE3"/>
    <w:rsid w:val="0054184A"/>
    <w:rsid w:val="00551E95"/>
    <w:rsid w:val="00554795"/>
    <w:rsid w:val="0055514F"/>
    <w:rsid w:val="00555C13"/>
    <w:rsid w:val="005566A4"/>
    <w:rsid w:val="005568C9"/>
    <w:rsid w:val="00573E81"/>
    <w:rsid w:val="00582541"/>
    <w:rsid w:val="00582C88"/>
    <w:rsid w:val="00591F29"/>
    <w:rsid w:val="005A45EE"/>
    <w:rsid w:val="005C4C40"/>
    <w:rsid w:val="005C7DDB"/>
    <w:rsid w:val="005D3010"/>
    <w:rsid w:val="005D64DC"/>
    <w:rsid w:val="005F155F"/>
    <w:rsid w:val="005F2A07"/>
    <w:rsid w:val="005F30EA"/>
    <w:rsid w:val="005F5819"/>
    <w:rsid w:val="0061180B"/>
    <w:rsid w:val="00612F3F"/>
    <w:rsid w:val="0061561C"/>
    <w:rsid w:val="00616DE7"/>
    <w:rsid w:val="00631DA6"/>
    <w:rsid w:val="006324EC"/>
    <w:rsid w:val="00632B86"/>
    <w:rsid w:val="00633378"/>
    <w:rsid w:val="006344CD"/>
    <w:rsid w:val="00637E98"/>
    <w:rsid w:val="00645EE3"/>
    <w:rsid w:val="00654A0D"/>
    <w:rsid w:val="0066057B"/>
    <w:rsid w:val="00665E1C"/>
    <w:rsid w:val="00682AA5"/>
    <w:rsid w:val="0069215B"/>
    <w:rsid w:val="006A03D2"/>
    <w:rsid w:val="006A348B"/>
    <w:rsid w:val="006A3F11"/>
    <w:rsid w:val="006B0B1B"/>
    <w:rsid w:val="006B1F8B"/>
    <w:rsid w:val="006B780F"/>
    <w:rsid w:val="006C3208"/>
    <w:rsid w:val="006C3885"/>
    <w:rsid w:val="006C3AEF"/>
    <w:rsid w:val="006D7C7E"/>
    <w:rsid w:val="006F4114"/>
    <w:rsid w:val="00702BD6"/>
    <w:rsid w:val="00704D39"/>
    <w:rsid w:val="00713176"/>
    <w:rsid w:val="007150F8"/>
    <w:rsid w:val="00716151"/>
    <w:rsid w:val="0072044D"/>
    <w:rsid w:val="00724757"/>
    <w:rsid w:val="007249F6"/>
    <w:rsid w:val="0075362C"/>
    <w:rsid w:val="00755183"/>
    <w:rsid w:val="007647A4"/>
    <w:rsid w:val="00782BA7"/>
    <w:rsid w:val="007A3B4D"/>
    <w:rsid w:val="007B3717"/>
    <w:rsid w:val="007B7622"/>
    <w:rsid w:val="007C15CD"/>
    <w:rsid w:val="007C4683"/>
    <w:rsid w:val="007C5AAD"/>
    <w:rsid w:val="007D0ED6"/>
    <w:rsid w:val="007D768A"/>
    <w:rsid w:val="007E7025"/>
    <w:rsid w:val="007F1CA1"/>
    <w:rsid w:val="007F4163"/>
    <w:rsid w:val="007F5A6B"/>
    <w:rsid w:val="007F6608"/>
    <w:rsid w:val="00802FC1"/>
    <w:rsid w:val="00803C6C"/>
    <w:rsid w:val="0080514B"/>
    <w:rsid w:val="00805A0D"/>
    <w:rsid w:val="0081106F"/>
    <w:rsid w:val="0081388F"/>
    <w:rsid w:val="00817B2B"/>
    <w:rsid w:val="00861274"/>
    <w:rsid w:val="0086293F"/>
    <w:rsid w:val="008730A1"/>
    <w:rsid w:val="00873894"/>
    <w:rsid w:val="00874A2A"/>
    <w:rsid w:val="008773DE"/>
    <w:rsid w:val="00877B07"/>
    <w:rsid w:val="00891944"/>
    <w:rsid w:val="008A2BAA"/>
    <w:rsid w:val="008D0E40"/>
    <w:rsid w:val="008D4F33"/>
    <w:rsid w:val="008D6BE1"/>
    <w:rsid w:val="008E0909"/>
    <w:rsid w:val="008E38BA"/>
    <w:rsid w:val="008E6964"/>
    <w:rsid w:val="008F000A"/>
    <w:rsid w:val="008F19CA"/>
    <w:rsid w:val="008F55EF"/>
    <w:rsid w:val="008F7384"/>
    <w:rsid w:val="009129BC"/>
    <w:rsid w:val="009137F4"/>
    <w:rsid w:val="00915B71"/>
    <w:rsid w:val="00945A0C"/>
    <w:rsid w:val="00946786"/>
    <w:rsid w:val="009478DF"/>
    <w:rsid w:val="00950135"/>
    <w:rsid w:val="00956F59"/>
    <w:rsid w:val="009733B4"/>
    <w:rsid w:val="00980CB9"/>
    <w:rsid w:val="0098716A"/>
    <w:rsid w:val="0099459A"/>
    <w:rsid w:val="009A1487"/>
    <w:rsid w:val="009A339C"/>
    <w:rsid w:val="009A7819"/>
    <w:rsid w:val="009B2931"/>
    <w:rsid w:val="009B69F0"/>
    <w:rsid w:val="009C2216"/>
    <w:rsid w:val="009C23D4"/>
    <w:rsid w:val="009C2C75"/>
    <w:rsid w:val="009C5E84"/>
    <w:rsid w:val="009D10BB"/>
    <w:rsid w:val="009E3794"/>
    <w:rsid w:val="009F63A6"/>
    <w:rsid w:val="00A005B7"/>
    <w:rsid w:val="00A00716"/>
    <w:rsid w:val="00A04116"/>
    <w:rsid w:val="00A1022E"/>
    <w:rsid w:val="00A10EC6"/>
    <w:rsid w:val="00A14CE4"/>
    <w:rsid w:val="00A172E3"/>
    <w:rsid w:val="00A20F13"/>
    <w:rsid w:val="00A24104"/>
    <w:rsid w:val="00A257C4"/>
    <w:rsid w:val="00A26448"/>
    <w:rsid w:val="00A333B9"/>
    <w:rsid w:val="00A53D7F"/>
    <w:rsid w:val="00A7079A"/>
    <w:rsid w:val="00A757E6"/>
    <w:rsid w:val="00A80090"/>
    <w:rsid w:val="00A80AC8"/>
    <w:rsid w:val="00A87371"/>
    <w:rsid w:val="00A87616"/>
    <w:rsid w:val="00AB1002"/>
    <w:rsid w:val="00AC54E5"/>
    <w:rsid w:val="00AE3FAE"/>
    <w:rsid w:val="00AF66ED"/>
    <w:rsid w:val="00B17AA5"/>
    <w:rsid w:val="00B312E3"/>
    <w:rsid w:val="00B422BD"/>
    <w:rsid w:val="00B431E5"/>
    <w:rsid w:val="00B4680D"/>
    <w:rsid w:val="00B46CE0"/>
    <w:rsid w:val="00B50791"/>
    <w:rsid w:val="00B62577"/>
    <w:rsid w:val="00B63ABF"/>
    <w:rsid w:val="00B64EC1"/>
    <w:rsid w:val="00B6728E"/>
    <w:rsid w:val="00B84B9A"/>
    <w:rsid w:val="00B92783"/>
    <w:rsid w:val="00BA4AD2"/>
    <w:rsid w:val="00BC2674"/>
    <w:rsid w:val="00BC642E"/>
    <w:rsid w:val="00BD73CC"/>
    <w:rsid w:val="00BE21E4"/>
    <w:rsid w:val="00BE5606"/>
    <w:rsid w:val="00BF5697"/>
    <w:rsid w:val="00BF5AF4"/>
    <w:rsid w:val="00C162FD"/>
    <w:rsid w:val="00C20717"/>
    <w:rsid w:val="00C2260D"/>
    <w:rsid w:val="00C24A87"/>
    <w:rsid w:val="00C2797F"/>
    <w:rsid w:val="00C32BD8"/>
    <w:rsid w:val="00C34D10"/>
    <w:rsid w:val="00C3511D"/>
    <w:rsid w:val="00C40D62"/>
    <w:rsid w:val="00C529CE"/>
    <w:rsid w:val="00C67322"/>
    <w:rsid w:val="00C80B53"/>
    <w:rsid w:val="00C8199B"/>
    <w:rsid w:val="00C933C0"/>
    <w:rsid w:val="00C95B4D"/>
    <w:rsid w:val="00CB2472"/>
    <w:rsid w:val="00CB4C83"/>
    <w:rsid w:val="00CB76AC"/>
    <w:rsid w:val="00CC7116"/>
    <w:rsid w:val="00CC72AE"/>
    <w:rsid w:val="00D05505"/>
    <w:rsid w:val="00D13299"/>
    <w:rsid w:val="00D16A87"/>
    <w:rsid w:val="00D33AD7"/>
    <w:rsid w:val="00D36C5A"/>
    <w:rsid w:val="00D57E5C"/>
    <w:rsid w:val="00D63129"/>
    <w:rsid w:val="00D73C16"/>
    <w:rsid w:val="00D75687"/>
    <w:rsid w:val="00D934B9"/>
    <w:rsid w:val="00DA2713"/>
    <w:rsid w:val="00DA3C9B"/>
    <w:rsid w:val="00DB4C93"/>
    <w:rsid w:val="00DB7D3F"/>
    <w:rsid w:val="00DC17C0"/>
    <w:rsid w:val="00DC2250"/>
    <w:rsid w:val="00DC4208"/>
    <w:rsid w:val="00DD131D"/>
    <w:rsid w:val="00DD3545"/>
    <w:rsid w:val="00DE09AC"/>
    <w:rsid w:val="00DF0C40"/>
    <w:rsid w:val="00E06407"/>
    <w:rsid w:val="00E3035C"/>
    <w:rsid w:val="00E4570E"/>
    <w:rsid w:val="00E46D0D"/>
    <w:rsid w:val="00E521B2"/>
    <w:rsid w:val="00E52E41"/>
    <w:rsid w:val="00E80521"/>
    <w:rsid w:val="00E81B2A"/>
    <w:rsid w:val="00E94C1D"/>
    <w:rsid w:val="00E95451"/>
    <w:rsid w:val="00EA02C5"/>
    <w:rsid w:val="00EC2E7E"/>
    <w:rsid w:val="00EC50F3"/>
    <w:rsid w:val="00ED346E"/>
    <w:rsid w:val="00ED42D9"/>
    <w:rsid w:val="00EF0085"/>
    <w:rsid w:val="00EF1CEF"/>
    <w:rsid w:val="00EF4A2C"/>
    <w:rsid w:val="00EF67D6"/>
    <w:rsid w:val="00F07C28"/>
    <w:rsid w:val="00F11A35"/>
    <w:rsid w:val="00F21729"/>
    <w:rsid w:val="00F2245C"/>
    <w:rsid w:val="00F23D69"/>
    <w:rsid w:val="00F3343B"/>
    <w:rsid w:val="00F4062C"/>
    <w:rsid w:val="00F408BC"/>
    <w:rsid w:val="00F4570C"/>
    <w:rsid w:val="00F542A9"/>
    <w:rsid w:val="00F62FE9"/>
    <w:rsid w:val="00F6479C"/>
    <w:rsid w:val="00F74366"/>
    <w:rsid w:val="00F7683D"/>
    <w:rsid w:val="00F84F25"/>
    <w:rsid w:val="00F87D52"/>
    <w:rsid w:val="00FA0251"/>
    <w:rsid w:val="00FA1C18"/>
    <w:rsid w:val="00FB0B7A"/>
    <w:rsid w:val="00FB1AAF"/>
    <w:rsid w:val="00FB6FA4"/>
    <w:rsid w:val="00FB7EED"/>
    <w:rsid w:val="00FE127D"/>
    <w:rsid w:val="00FE517F"/>
    <w:rsid w:val="00FE700A"/>
    <w:rsid w:val="00FF2048"/>
    <w:rsid w:val="00FF3BFD"/>
    <w:rsid w:val="00FF41D3"/>
    <w:rsid w:val="00FF6D82"/>
    <w:rsid w:val="00FF6DF2"/>
    <w:rsid w:val="0DB3134F"/>
    <w:rsid w:val="19907780"/>
    <w:rsid w:val="2AF54F72"/>
    <w:rsid w:val="4A9C6ECE"/>
    <w:rsid w:val="4EF975D0"/>
    <w:rsid w:val="67543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line="580" w:lineRule="exact"/>
      <w:outlineLvl w:val="0"/>
    </w:pPr>
    <w:rPr>
      <w:rFonts w:eastAsia="黑体"/>
      <w:bCs/>
      <w:kern w:val="44"/>
      <w:sz w:val="32"/>
      <w:szCs w:val="44"/>
    </w:rPr>
  </w:style>
  <w:style w:type="paragraph" w:styleId="3">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45"/>
    <w:qFormat/>
    <w:uiPriority w:val="0"/>
    <w:pPr>
      <w:keepNext/>
      <w:keepLines/>
      <w:autoSpaceDE w:val="0"/>
      <w:autoSpaceDN w:val="0"/>
      <w:spacing w:before="20" w:after="20" w:line="360" w:lineRule="auto"/>
      <w:jc w:val="left"/>
      <w:outlineLvl w:val="2"/>
    </w:pPr>
    <w:rPr>
      <w:rFonts w:eastAsia="仿宋"/>
      <w:b/>
      <w:kern w:val="0"/>
      <w:sz w:val="28"/>
      <w:szCs w:val="20"/>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annotation text"/>
    <w:basedOn w:val="1"/>
    <w:link w:val="41"/>
    <w:qFormat/>
    <w:uiPriority w:val="0"/>
    <w:pPr>
      <w:jc w:val="left"/>
    </w:pPr>
    <w:rPr>
      <w:rFonts w:ascii="Calibri" w:hAnsi="Calibri"/>
      <w:szCs w:val="21"/>
    </w:rPr>
  </w:style>
  <w:style w:type="paragraph" w:styleId="7">
    <w:name w:val="Body Text"/>
    <w:basedOn w:val="1"/>
    <w:link w:val="32"/>
    <w:qFormat/>
    <w:uiPriority w:val="0"/>
    <w:pPr>
      <w:spacing w:after="120"/>
    </w:pPr>
  </w:style>
  <w:style w:type="paragraph" w:styleId="8">
    <w:name w:val="Body Text Indent"/>
    <w:basedOn w:val="1"/>
    <w:link w:val="37"/>
    <w:unhideWhenUsed/>
    <w:qFormat/>
    <w:uiPriority w:val="0"/>
    <w:pPr>
      <w:spacing w:after="120"/>
      <w:ind w:left="420" w:leftChars="200"/>
    </w:pPr>
  </w:style>
  <w:style w:type="paragraph" w:styleId="9">
    <w:name w:val="Block Text"/>
    <w:basedOn w:val="1"/>
    <w:qFormat/>
    <w:uiPriority w:val="0"/>
    <w:pPr>
      <w:ind w:left="113" w:right="113"/>
    </w:pPr>
    <w:rPr>
      <w:sz w:val="28"/>
    </w:rPr>
  </w:style>
  <w:style w:type="paragraph" w:styleId="10">
    <w:name w:val="Plain Text"/>
    <w:basedOn w:val="1"/>
    <w:link w:val="33"/>
    <w:qFormat/>
    <w:uiPriority w:val="0"/>
    <w:rPr>
      <w:rFonts w:ascii="宋体" w:hAnsi="Courier New"/>
      <w:sz w:val="20"/>
      <w:szCs w:val="20"/>
    </w:rPr>
  </w:style>
  <w:style w:type="paragraph" w:styleId="11">
    <w:name w:val="Date"/>
    <w:basedOn w:val="1"/>
    <w:next w:val="1"/>
    <w:link w:val="29"/>
    <w:qFormat/>
    <w:uiPriority w:val="0"/>
    <w:rPr>
      <w:sz w:val="28"/>
      <w:szCs w:val="20"/>
    </w:rPr>
  </w:style>
  <w:style w:type="paragraph" w:styleId="12">
    <w:name w:val="Balloon Text"/>
    <w:basedOn w:val="1"/>
    <w:link w:val="40"/>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6"/>
    <w:next w:val="6"/>
    <w:link w:val="76"/>
    <w:semiHidden/>
    <w:unhideWhenUsed/>
    <w:uiPriority w:val="99"/>
    <w:rPr>
      <w:rFonts w:ascii="Times New Roman" w:hAnsi="Times New Roman"/>
      <w:b/>
      <w:bCs/>
      <w:szCs w:val="24"/>
    </w:rPr>
  </w:style>
  <w:style w:type="paragraph" w:styleId="18">
    <w:name w:val="Body Text First Indent"/>
    <w:basedOn w:val="7"/>
    <w:link w:val="49"/>
    <w:qFormat/>
    <w:uiPriority w:val="0"/>
    <w:pPr>
      <w:ind w:firstLine="420" w:firstLineChars="100"/>
    </w:pPr>
  </w:style>
  <w:style w:type="paragraph" w:styleId="19">
    <w:name w:val="Body Text First Indent 2"/>
    <w:basedOn w:val="8"/>
    <w:next w:val="1"/>
    <w:link w:val="38"/>
    <w:qFormat/>
    <w:uiPriority w:val="0"/>
    <w:pPr>
      <w:ind w:firstLine="420" w:firstLineChars="200"/>
    </w:pPr>
  </w:style>
  <w:style w:type="table" w:styleId="21">
    <w:name w:val="Table Grid"/>
    <w:basedOn w:val="20"/>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Hyperlink"/>
    <w:qFormat/>
    <w:uiPriority w:val="0"/>
    <w:rPr>
      <w:color w:val="000033"/>
      <w:u w:val="none"/>
    </w:rPr>
  </w:style>
  <w:style w:type="character" w:styleId="25">
    <w:name w:val="annotation reference"/>
    <w:basedOn w:val="22"/>
    <w:semiHidden/>
    <w:unhideWhenUsed/>
    <w:uiPriority w:val="99"/>
    <w:rPr>
      <w:sz w:val="21"/>
      <w:szCs w:val="21"/>
    </w:rPr>
  </w:style>
  <w:style w:type="character" w:customStyle="1" w:styleId="26">
    <w:name w:val="页眉 字符"/>
    <w:basedOn w:val="22"/>
    <w:link w:val="14"/>
    <w:qFormat/>
    <w:uiPriority w:val="99"/>
    <w:rPr>
      <w:sz w:val="18"/>
      <w:szCs w:val="18"/>
    </w:rPr>
  </w:style>
  <w:style w:type="character" w:customStyle="1" w:styleId="27">
    <w:name w:val="页脚 字符"/>
    <w:basedOn w:val="22"/>
    <w:link w:val="13"/>
    <w:qFormat/>
    <w:uiPriority w:val="99"/>
    <w:rPr>
      <w:sz w:val="18"/>
      <w:szCs w:val="18"/>
    </w:rPr>
  </w:style>
  <w:style w:type="character" w:customStyle="1" w:styleId="28">
    <w:name w:val="日期 字符"/>
    <w:basedOn w:val="22"/>
    <w:semiHidden/>
    <w:uiPriority w:val="99"/>
    <w:rPr>
      <w:rFonts w:ascii="Times New Roman" w:hAnsi="Times New Roman" w:eastAsia="宋体" w:cs="Times New Roman"/>
      <w:szCs w:val="24"/>
    </w:rPr>
  </w:style>
  <w:style w:type="character" w:customStyle="1" w:styleId="29">
    <w:name w:val="日期 字符1"/>
    <w:link w:val="11"/>
    <w:qFormat/>
    <w:uiPriority w:val="0"/>
    <w:rPr>
      <w:rFonts w:ascii="Times New Roman" w:hAnsi="Times New Roman" w:eastAsia="宋体" w:cs="Times New Roman"/>
      <w:sz w:val="28"/>
      <w:szCs w:val="20"/>
    </w:rPr>
  </w:style>
  <w:style w:type="character" w:customStyle="1" w:styleId="30">
    <w:name w:val="标题 1 字符"/>
    <w:basedOn w:val="22"/>
    <w:link w:val="2"/>
    <w:qFormat/>
    <w:uiPriority w:val="9"/>
    <w:rPr>
      <w:rFonts w:ascii="Times New Roman" w:hAnsi="Times New Roman" w:eastAsia="黑体" w:cs="Times New Roman"/>
      <w:bCs/>
      <w:kern w:val="44"/>
      <w:sz w:val="32"/>
      <w:szCs w:val="44"/>
    </w:rPr>
  </w:style>
  <w:style w:type="character" w:customStyle="1" w:styleId="31">
    <w:name w:val="标题 2 字符"/>
    <w:basedOn w:val="22"/>
    <w:link w:val="3"/>
    <w:semiHidden/>
    <w:qFormat/>
    <w:uiPriority w:val="9"/>
    <w:rPr>
      <w:rFonts w:asciiTheme="majorHAnsi" w:hAnsiTheme="majorHAnsi" w:eastAsiaTheme="majorEastAsia" w:cstheme="majorBidi"/>
      <w:b/>
      <w:bCs/>
      <w:sz w:val="32"/>
      <w:szCs w:val="32"/>
    </w:rPr>
  </w:style>
  <w:style w:type="character" w:customStyle="1" w:styleId="32">
    <w:name w:val="正文文本 字符"/>
    <w:basedOn w:val="22"/>
    <w:link w:val="7"/>
    <w:qFormat/>
    <w:uiPriority w:val="0"/>
    <w:rPr>
      <w:rFonts w:ascii="Times New Roman" w:hAnsi="Times New Roman" w:eastAsia="宋体" w:cs="Times New Roman"/>
      <w:szCs w:val="24"/>
    </w:rPr>
  </w:style>
  <w:style w:type="character" w:customStyle="1" w:styleId="33">
    <w:name w:val="纯文本 字符"/>
    <w:basedOn w:val="22"/>
    <w:link w:val="10"/>
    <w:qFormat/>
    <w:uiPriority w:val="0"/>
    <w:rPr>
      <w:rFonts w:ascii="宋体" w:hAnsi="Courier New" w:eastAsia="宋体" w:cs="Times New Roman"/>
      <w:sz w:val="20"/>
      <w:szCs w:val="20"/>
    </w:rPr>
  </w:style>
  <w:style w:type="paragraph" w:customStyle="1" w:styleId="34">
    <w:name w:val="报告表正文"/>
    <w:basedOn w:val="1"/>
    <w:qFormat/>
    <w:uiPriority w:val="0"/>
    <w:pPr>
      <w:spacing w:line="360" w:lineRule="auto"/>
      <w:ind w:firstLine="200" w:firstLineChars="200"/>
    </w:pPr>
    <w:rPr>
      <w:rFonts w:ascii="宋体" w:hAnsi="宋体" w:eastAsia="楷体_GB2312" w:cs="宋体"/>
      <w:sz w:val="24"/>
    </w:rPr>
  </w:style>
  <w:style w:type="paragraph" w:customStyle="1" w:styleId="35">
    <w:name w:val="正文3"/>
    <w:qFormat/>
    <w:uiPriority w:val="0"/>
    <w:pPr>
      <w:jc w:val="both"/>
    </w:pPr>
    <w:rPr>
      <w:rFonts w:ascii="Times New Roman" w:hAnsi="Times New Roman" w:eastAsia="宋体" w:cs="Times New Roman"/>
      <w:kern w:val="2"/>
      <w:sz w:val="21"/>
      <w:szCs w:val="21"/>
      <w:lang w:val="en-US" w:eastAsia="zh-CN" w:bidi="ar-SA"/>
    </w:rPr>
  </w:style>
  <w:style w:type="paragraph" w:styleId="36">
    <w:name w:val="List Paragraph"/>
    <w:basedOn w:val="1"/>
    <w:qFormat/>
    <w:uiPriority w:val="34"/>
    <w:pPr>
      <w:ind w:firstLine="420" w:firstLineChars="200"/>
    </w:pPr>
  </w:style>
  <w:style w:type="character" w:customStyle="1" w:styleId="37">
    <w:name w:val="正文文本缩进 字符"/>
    <w:basedOn w:val="22"/>
    <w:link w:val="8"/>
    <w:semiHidden/>
    <w:uiPriority w:val="99"/>
    <w:rPr>
      <w:rFonts w:ascii="Times New Roman" w:hAnsi="Times New Roman" w:eastAsia="宋体" w:cs="Times New Roman"/>
      <w:szCs w:val="24"/>
    </w:rPr>
  </w:style>
  <w:style w:type="character" w:customStyle="1" w:styleId="38">
    <w:name w:val="正文文本首行缩进 2 字符"/>
    <w:basedOn w:val="37"/>
    <w:link w:val="19"/>
    <w:uiPriority w:val="0"/>
    <w:rPr>
      <w:rFonts w:ascii="Times New Roman" w:hAnsi="Times New Roman" w:eastAsia="宋体" w:cs="Times New Roman"/>
      <w:szCs w:val="24"/>
    </w:rPr>
  </w:style>
  <w:style w:type="paragraph" w:customStyle="1" w:styleId="39">
    <w:name w:val="p0"/>
    <w:basedOn w:val="1"/>
    <w:qFormat/>
    <w:uiPriority w:val="0"/>
    <w:pPr>
      <w:widowControl/>
    </w:pPr>
    <w:rPr>
      <w:kern w:val="0"/>
      <w:szCs w:val="21"/>
    </w:rPr>
  </w:style>
  <w:style w:type="character" w:customStyle="1" w:styleId="40">
    <w:name w:val="批注框文本 字符"/>
    <w:basedOn w:val="22"/>
    <w:link w:val="12"/>
    <w:semiHidden/>
    <w:uiPriority w:val="99"/>
    <w:rPr>
      <w:rFonts w:ascii="Times New Roman" w:hAnsi="Times New Roman" w:eastAsia="宋体" w:cs="Times New Roman"/>
      <w:sz w:val="18"/>
      <w:szCs w:val="18"/>
    </w:rPr>
  </w:style>
  <w:style w:type="character" w:customStyle="1" w:styleId="41">
    <w:name w:val="批注文字 字符"/>
    <w:basedOn w:val="22"/>
    <w:link w:val="6"/>
    <w:qFormat/>
    <w:uiPriority w:val="0"/>
    <w:rPr>
      <w:rFonts w:ascii="Calibri" w:hAnsi="Calibri" w:eastAsia="宋体" w:cs="Times New Roman"/>
      <w:szCs w:val="21"/>
    </w:rPr>
  </w:style>
  <w:style w:type="character" w:customStyle="1" w:styleId="42">
    <w:name w:val="标题1"/>
    <w:basedOn w:val="22"/>
    <w:uiPriority w:val="0"/>
  </w:style>
  <w:style w:type="paragraph" w:customStyle="1" w:styleId="43">
    <w:name w:val="表文字"/>
    <w:basedOn w:val="1"/>
    <w:link w:val="44"/>
    <w:qFormat/>
    <w:uiPriority w:val="0"/>
    <w:pPr>
      <w:topLinePunct/>
      <w:adjustRightInd w:val="0"/>
      <w:spacing w:line="240" w:lineRule="exact"/>
      <w:textAlignment w:val="baseline"/>
    </w:pPr>
    <w:rPr>
      <w:szCs w:val="21"/>
    </w:rPr>
  </w:style>
  <w:style w:type="character" w:customStyle="1" w:styleId="44">
    <w:name w:val="表文字 Char1"/>
    <w:basedOn w:val="22"/>
    <w:link w:val="43"/>
    <w:uiPriority w:val="0"/>
    <w:rPr>
      <w:rFonts w:ascii="Times New Roman" w:hAnsi="Times New Roman" w:eastAsia="宋体" w:cs="Times New Roman"/>
      <w:szCs w:val="21"/>
    </w:rPr>
  </w:style>
  <w:style w:type="character" w:customStyle="1" w:styleId="45">
    <w:name w:val="标题 3 字符"/>
    <w:basedOn w:val="22"/>
    <w:link w:val="4"/>
    <w:uiPriority w:val="0"/>
    <w:rPr>
      <w:rFonts w:ascii="Times New Roman" w:hAnsi="Times New Roman" w:eastAsia="仿宋" w:cs="Times New Roman"/>
      <w:b/>
      <w:kern w:val="0"/>
      <w:sz w:val="28"/>
      <w:szCs w:val="20"/>
    </w:rPr>
  </w:style>
  <w:style w:type="paragraph" w:customStyle="1" w:styleId="46">
    <w:name w:val="样式5"/>
    <w:basedOn w:val="47"/>
    <w:qFormat/>
    <w:uiPriority w:val="0"/>
    <w:pPr>
      <w:spacing w:line="380" w:lineRule="exact"/>
      <w:ind w:firstLine="566" w:firstLineChars="202"/>
    </w:pPr>
    <w:rPr>
      <w:rFonts w:eastAsia="华文行楷"/>
      <w:sz w:val="28"/>
    </w:rPr>
  </w:style>
  <w:style w:type="paragraph" w:customStyle="1" w:styleId="47">
    <w:name w:val="样式3"/>
    <w:basedOn w:val="1"/>
    <w:qFormat/>
    <w:uiPriority w:val="0"/>
    <w:pPr>
      <w:snapToGrid w:val="0"/>
      <w:ind w:firstLine="539"/>
      <w:jc w:val="center"/>
    </w:pPr>
    <w:rPr>
      <w:rFonts w:ascii="黑体" w:hAnsi="宋体" w:eastAsia="黑体"/>
      <w:color w:val="000000"/>
    </w:rPr>
  </w:style>
  <w:style w:type="character" w:customStyle="1" w:styleId="48">
    <w:name w:val="HTML 预设格式 字符"/>
    <w:basedOn w:val="22"/>
    <w:link w:val="15"/>
    <w:uiPriority w:val="0"/>
    <w:rPr>
      <w:rFonts w:ascii="宋体" w:hAnsi="宋体" w:eastAsia="宋体" w:cs="Times New Roman"/>
      <w:kern w:val="0"/>
      <w:sz w:val="24"/>
      <w:szCs w:val="24"/>
    </w:rPr>
  </w:style>
  <w:style w:type="character" w:customStyle="1" w:styleId="49">
    <w:name w:val="正文文本首行缩进 字符"/>
    <w:basedOn w:val="32"/>
    <w:link w:val="18"/>
    <w:uiPriority w:val="0"/>
    <w:rPr>
      <w:rFonts w:ascii="Times New Roman" w:hAnsi="Times New Roman" w:eastAsia="宋体" w:cs="Times New Roman"/>
      <w:szCs w:val="24"/>
    </w:rPr>
  </w:style>
  <w:style w:type="table" w:customStyle="1" w:styleId="50">
    <w:name w:val="网格型1"/>
    <w:basedOn w:val="2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Char Char Char Char Char2 Char Char Char Char"/>
    <w:basedOn w:val="1"/>
    <w:semiHidden/>
    <w:qFormat/>
    <w:uiPriority w:val="0"/>
    <w:pPr>
      <w:adjustRightInd w:val="0"/>
      <w:snapToGrid w:val="0"/>
      <w:spacing w:line="360" w:lineRule="auto"/>
      <w:ind w:firstLine="200" w:firstLineChars="200"/>
    </w:pPr>
    <w:rPr>
      <w:rFonts w:ascii="宋体" w:hAnsi="宋体" w:cs="宋体"/>
      <w:sz w:val="24"/>
      <w:szCs w:val="26"/>
    </w:rPr>
  </w:style>
  <w:style w:type="paragraph" w:customStyle="1" w:styleId="52">
    <w:name w:val="样式 正文 +"/>
    <w:basedOn w:val="1"/>
    <w:qFormat/>
    <w:uiPriority w:val="0"/>
    <w:pPr>
      <w:adjustRightInd w:val="0"/>
      <w:spacing w:line="360" w:lineRule="auto"/>
      <w:ind w:firstLine="200" w:firstLineChars="200"/>
      <w:jc w:val="left"/>
      <w:textAlignment w:val="baseline"/>
    </w:pPr>
    <w:rPr>
      <w:rFonts w:ascii="宋体" w:cs="宋体"/>
      <w:kern w:val="0"/>
      <w:sz w:val="24"/>
      <w:szCs w:val="20"/>
    </w:rPr>
  </w:style>
  <w:style w:type="character" w:customStyle="1" w:styleId="53">
    <w:name w:val="da1"/>
    <w:semiHidden/>
    <w:qFormat/>
    <w:uiPriority w:val="0"/>
    <w:rPr>
      <w:sz w:val="17"/>
      <w:szCs w:val="17"/>
    </w:rPr>
  </w:style>
  <w:style w:type="paragraph" w:customStyle="1" w:styleId="54">
    <w:name w:val="Table Paragraph"/>
    <w:basedOn w:val="1"/>
    <w:qFormat/>
    <w:uiPriority w:val="1"/>
    <w:pPr>
      <w:jc w:val="left"/>
    </w:pPr>
    <w:rPr>
      <w:rFonts w:ascii="Calibri" w:hAnsi="Calibri"/>
      <w:kern w:val="0"/>
      <w:sz w:val="22"/>
      <w:szCs w:val="22"/>
      <w:lang w:eastAsia="en-US"/>
    </w:rPr>
  </w:style>
  <w:style w:type="paragraph" w:customStyle="1" w:styleId="55">
    <w:name w:val="正文（海诚）"/>
    <w:basedOn w:val="1"/>
    <w:qFormat/>
    <w:uiPriority w:val="0"/>
    <w:pPr>
      <w:widowControl/>
      <w:spacing w:line="520" w:lineRule="exact"/>
      <w:ind w:firstLine="560" w:firstLineChars="200"/>
      <w:jc w:val="left"/>
    </w:pPr>
    <w:rPr>
      <w:rFonts w:eastAsia="仿宋_GB2312"/>
      <w:sz w:val="28"/>
      <w:szCs w:val="20"/>
    </w:rPr>
  </w:style>
  <w:style w:type="paragraph" w:customStyle="1" w:styleId="56">
    <w:name w:val="正文(首行缩进)"/>
    <w:basedOn w:val="1"/>
    <w:qFormat/>
    <w:uiPriority w:val="0"/>
    <w:pPr>
      <w:tabs>
        <w:tab w:val="left" w:pos="4584"/>
      </w:tabs>
      <w:adjustRightInd w:val="0"/>
      <w:snapToGrid w:val="0"/>
      <w:spacing w:line="360" w:lineRule="auto"/>
      <w:ind w:firstLine="200" w:firstLineChars="200"/>
    </w:pPr>
    <w:rPr>
      <w:bCs/>
      <w:snapToGrid w:val="0"/>
      <w:kern w:val="0"/>
      <w:sz w:val="24"/>
    </w:rPr>
  </w:style>
  <w:style w:type="paragraph" w:customStyle="1" w:styleId="57">
    <w:name w:val="图表题"/>
    <w:basedOn w:val="1"/>
    <w:next w:val="1"/>
    <w:qFormat/>
    <w:uiPriority w:val="0"/>
    <w:pPr>
      <w:adjustRightInd w:val="0"/>
      <w:snapToGrid w:val="0"/>
      <w:spacing w:line="360" w:lineRule="auto"/>
      <w:jc w:val="center"/>
    </w:pPr>
    <w:rPr>
      <w:rFonts w:eastAsia="黑体"/>
      <w:sz w:val="24"/>
      <w:szCs w:val="20"/>
    </w:rPr>
  </w:style>
  <w:style w:type="paragraph" w:customStyle="1" w:styleId="58">
    <w:name w:val="4正文"/>
    <w:basedOn w:val="1"/>
    <w:qFormat/>
    <w:uiPriority w:val="0"/>
    <w:pPr>
      <w:ind w:firstLine="480"/>
    </w:pPr>
    <w:rPr>
      <w:rFonts w:cs="宋体"/>
    </w:rPr>
  </w:style>
  <w:style w:type="paragraph" w:customStyle="1" w:styleId="59">
    <w:name w:val="样式 样式 样式 首行缩进:  1 字符 + 首行缩进:  2 字符2 + 首行缩进:  2 字符"/>
    <w:basedOn w:val="1"/>
    <w:qFormat/>
    <w:uiPriority w:val="0"/>
    <w:pPr>
      <w:spacing w:line="360" w:lineRule="auto"/>
      <w:ind w:firstLine="480" w:firstLineChars="200"/>
    </w:pPr>
    <w:rPr>
      <w:rFonts w:ascii="宋体" w:hAnsi="宋体" w:cs="宋体"/>
      <w:sz w:val="24"/>
    </w:rPr>
  </w:style>
  <w:style w:type="paragraph" w:customStyle="1" w:styleId="60">
    <w:name w:val="应填表格"/>
    <w:basedOn w:val="1"/>
    <w:qFormat/>
    <w:uiPriority w:val="0"/>
    <w:pPr>
      <w:adjustRightInd w:val="0"/>
      <w:jc w:val="left"/>
      <w:textAlignment w:val="baseline"/>
    </w:pPr>
    <w:rPr>
      <w:kern w:val="0"/>
      <w:sz w:val="24"/>
      <w:szCs w:val="20"/>
    </w:rPr>
  </w:style>
  <w:style w:type="paragraph" w:customStyle="1" w:styleId="6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正文内容"/>
    <w:qFormat/>
    <w:uiPriority w:val="0"/>
    <w:pPr>
      <w:widowControl w:val="0"/>
      <w:snapToGrid w:val="0"/>
      <w:spacing w:before="60" w:after="60" w:line="48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63">
    <w:name w:val="正文01"/>
    <w:basedOn w:val="1"/>
    <w:qFormat/>
    <w:uiPriority w:val="0"/>
    <w:pPr>
      <w:spacing w:before="60" w:line="460" w:lineRule="exact"/>
      <w:ind w:firstLine="200" w:firstLineChars="200"/>
    </w:pPr>
    <w:rPr>
      <w:sz w:val="24"/>
    </w:rPr>
  </w:style>
  <w:style w:type="paragraph" w:customStyle="1" w:styleId="64">
    <w:name w:val="正文1"/>
    <w:basedOn w:val="1"/>
    <w:qFormat/>
    <w:uiPriority w:val="0"/>
    <w:pPr>
      <w:spacing w:line="360" w:lineRule="auto"/>
    </w:pPr>
    <w:rPr>
      <w:rFonts w:ascii="仿宋_GB2312" w:eastAsia="仿宋_GB2312"/>
      <w:sz w:val="24"/>
    </w:rPr>
  </w:style>
  <w:style w:type="paragraph" w:customStyle="1" w:styleId="65">
    <w:name w:val="ZZW"/>
    <w:basedOn w:val="1"/>
    <w:qFormat/>
    <w:uiPriority w:val="0"/>
    <w:pPr>
      <w:spacing w:line="360" w:lineRule="auto"/>
      <w:ind w:firstLine="200" w:firstLineChars="200"/>
    </w:pPr>
    <w:rPr>
      <w:rFonts w:cs="宋体"/>
      <w:sz w:val="24"/>
    </w:rPr>
  </w:style>
  <w:style w:type="paragraph" w:customStyle="1" w:styleId="66">
    <w:name w:val="3级标题"/>
    <w:basedOn w:val="1"/>
    <w:qFormat/>
    <w:uiPriority w:val="0"/>
    <w:pPr>
      <w:spacing w:before="300" w:line="460" w:lineRule="exact"/>
      <w:outlineLvl w:val="2"/>
    </w:pPr>
    <w:rPr>
      <w:b/>
      <w:sz w:val="24"/>
    </w:rPr>
  </w:style>
  <w:style w:type="paragraph" w:customStyle="1" w:styleId="67">
    <w:name w:val="0正文"/>
    <w:basedOn w:val="1"/>
    <w:qFormat/>
    <w:uiPriority w:val="0"/>
    <w:pPr>
      <w:spacing w:line="360" w:lineRule="auto"/>
      <w:ind w:firstLine="200" w:firstLineChars="200"/>
    </w:pPr>
    <w:rPr>
      <w:sz w:val="24"/>
    </w:rPr>
  </w:style>
  <w:style w:type="paragraph" w:customStyle="1" w:styleId="68">
    <w:name w:val="00正文"/>
    <w:basedOn w:val="1"/>
    <w:qFormat/>
    <w:uiPriority w:val="0"/>
    <w:pPr>
      <w:spacing w:line="360" w:lineRule="auto"/>
      <w:ind w:firstLine="200" w:firstLineChars="200"/>
    </w:pPr>
    <w:rPr>
      <w:color w:val="0000FF"/>
      <w:sz w:val="24"/>
    </w:rPr>
  </w:style>
  <w:style w:type="paragraph" w:customStyle="1" w:styleId="69">
    <w:name w:val="样式 宋体 小四 右侧:  -0.09 厘米 行距: 多倍行距 1.45 字行"/>
    <w:basedOn w:val="1"/>
    <w:qFormat/>
    <w:uiPriority w:val="0"/>
    <w:pPr>
      <w:adjustRightInd w:val="0"/>
      <w:snapToGrid w:val="0"/>
      <w:spacing w:line="360" w:lineRule="auto"/>
      <w:ind w:firstLine="200" w:firstLineChars="200"/>
    </w:pPr>
    <w:rPr>
      <w:rFonts w:ascii="宋体" w:hAnsi="宋体" w:cs="宋体"/>
      <w:sz w:val="24"/>
    </w:rPr>
  </w:style>
  <w:style w:type="paragraph" w:customStyle="1" w:styleId="70">
    <w:name w:val="六表内容"/>
    <w:basedOn w:val="1"/>
    <w:qFormat/>
    <w:uiPriority w:val="0"/>
    <w:pPr>
      <w:widowControl/>
      <w:spacing w:line="340" w:lineRule="exact"/>
      <w:ind w:firstLine="200" w:firstLineChars="200"/>
      <w:jc w:val="center"/>
    </w:pPr>
    <w:rPr>
      <w:kern w:val="0"/>
      <w:sz w:val="20"/>
      <w:szCs w:val="21"/>
    </w:rPr>
  </w:style>
  <w:style w:type="paragraph" w:customStyle="1" w:styleId="71">
    <w:name w:val="表格文字"/>
    <w:basedOn w:val="7"/>
    <w:link w:val="73"/>
    <w:qFormat/>
    <w:uiPriority w:val="0"/>
    <w:pPr>
      <w:spacing w:after="0" w:line="460" w:lineRule="exact"/>
      <w:jc w:val="center"/>
    </w:pPr>
    <w:rPr>
      <w:rFonts w:eastAsia="楷体_GB2312"/>
      <w:sz w:val="24"/>
      <w:szCs w:val="22"/>
    </w:rPr>
  </w:style>
  <w:style w:type="paragraph" w:customStyle="1" w:styleId="72">
    <w:name w:val="钢--正文"/>
    <w:basedOn w:val="1"/>
    <w:qFormat/>
    <w:uiPriority w:val="0"/>
    <w:pPr>
      <w:spacing w:line="520" w:lineRule="exact"/>
      <w:ind w:firstLine="480" w:firstLineChars="200"/>
    </w:pPr>
    <w:rPr>
      <w:rFonts w:ascii="宋体" w:hAnsi="宋体"/>
      <w:sz w:val="24"/>
    </w:rPr>
  </w:style>
  <w:style w:type="character" w:customStyle="1" w:styleId="73">
    <w:name w:val="表格文字 Char"/>
    <w:link w:val="71"/>
    <w:uiPriority w:val="0"/>
    <w:rPr>
      <w:rFonts w:ascii="Times New Roman" w:hAnsi="Times New Roman" w:eastAsia="楷体_GB2312" w:cs="Times New Roman"/>
      <w:sz w:val="24"/>
    </w:rPr>
  </w:style>
  <w:style w:type="paragraph" w:customStyle="1" w:styleId="74">
    <w:name w:val="xl26"/>
    <w:basedOn w:val="1"/>
    <w:qFormat/>
    <w:uiPriority w:val="0"/>
    <w:pPr>
      <w:widowControl/>
      <w:spacing w:before="100" w:after="100"/>
      <w:jc w:val="center"/>
    </w:pPr>
    <w:rPr>
      <w:kern w:val="0"/>
      <w:szCs w:val="20"/>
    </w:rPr>
  </w:style>
  <w:style w:type="paragraph" w:customStyle="1" w:styleId="75">
    <w:name w:val="法规"/>
    <w:basedOn w:val="1"/>
    <w:uiPriority w:val="0"/>
    <w:pPr>
      <w:tabs>
        <w:tab w:val="left" w:pos="400"/>
      </w:tabs>
      <w:spacing w:line="440" w:lineRule="exact"/>
      <w:ind w:firstLine="400"/>
    </w:pPr>
    <w:rPr>
      <w:sz w:val="25"/>
      <w:szCs w:val="20"/>
    </w:rPr>
  </w:style>
  <w:style w:type="character" w:customStyle="1" w:styleId="76">
    <w:name w:val="批注主题 字符"/>
    <w:basedOn w:val="41"/>
    <w:link w:val="17"/>
    <w:semiHidden/>
    <w:uiPriority w:val="99"/>
    <w:rPr>
      <w:rFonts w:ascii="Times New Roman" w:hAnsi="Times New Roman" w:eastAsia="宋体" w:cs="Times New Roman"/>
      <w:b/>
      <w:bCs/>
      <w:kern w:val="2"/>
      <w:sz w:val="21"/>
      <w:szCs w:val="24"/>
    </w:rPr>
  </w:style>
  <w:style w:type="paragraph" w:customStyle="1" w:styleId="77">
    <w:name w:val="Char Char Char Char Char Char1 Char"/>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oleObject" Target="embeddings/oleObject2.bin"/><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emf"/><Relationship Id="rId15" Type="http://schemas.openxmlformats.org/officeDocument/2006/relationships/image" Target="media/image6.emf"/><Relationship Id="rId14" Type="http://schemas.openxmlformats.org/officeDocument/2006/relationships/image" Target="media/image5.emf"/><Relationship Id="rId13" Type="http://schemas.openxmlformats.org/officeDocument/2006/relationships/oleObject" Target="embeddings/oleObject4.bin"/><Relationship Id="rId12" Type="http://schemas.openxmlformats.org/officeDocument/2006/relationships/image" Target="media/image4.e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ACDFFC-177C-43C9-8B3D-321144F8C52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7090</Words>
  <Characters>40417</Characters>
  <Lines>336</Lines>
  <Paragraphs>94</Paragraphs>
  <TotalTime>1234</TotalTime>
  <ScaleCrop>false</ScaleCrop>
  <LinksUpToDate>false</LinksUpToDate>
  <CharactersWithSpaces>47413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2020-10-13T00:25:00Z</dcterms:created>
  <dc:creator>王 小旋</dc:creator>
  <cp:lastModifiedBy> ぶ以前以后ゅ</cp:lastModifiedBy>
  <dcterms:modified xsi:type="dcterms:W3CDTF">2020-11-24T07:12:24Z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