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auto"/>
        <w:jc w:val="center"/>
        <w:outlineLvl w:val="0"/>
        <w:rPr>
          <w:b/>
          <w:sz w:val="30"/>
          <w:szCs w:val="30"/>
        </w:rPr>
      </w:pPr>
      <w:bookmarkStart w:id="0" w:name="_Toc514340565"/>
      <w:bookmarkStart w:id="1" w:name="_Toc477877312"/>
      <w:bookmarkStart w:id="2" w:name="_Toc477877237"/>
      <w:bookmarkStart w:id="3" w:name="_Toc1432"/>
      <w:bookmarkStart w:id="4" w:name="_Toc493776618"/>
      <w:bookmarkStart w:id="5" w:name="_Toc514340314"/>
      <w:r>
        <w:rPr>
          <w:b/>
          <w:sz w:val="30"/>
          <w:szCs w:val="30"/>
        </w:rPr>
        <w:t>《建设项目环境影响报告表》编制说明</w:t>
      </w:r>
      <w:bookmarkEnd w:id="0"/>
      <w:bookmarkEnd w:id="1"/>
      <w:bookmarkEnd w:id="2"/>
      <w:bookmarkEnd w:id="3"/>
      <w:bookmarkEnd w:id="4"/>
      <w:bookmarkEnd w:id="5"/>
    </w:p>
    <w:p>
      <w:pPr>
        <w:adjustRightInd w:val="0"/>
        <w:snapToGrid w:val="0"/>
        <w:spacing w:line="480" w:lineRule="auto"/>
        <w:ind w:firstLine="539"/>
        <w:rPr>
          <w:sz w:val="28"/>
          <w:szCs w:val="28"/>
        </w:rPr>
      </w:pPr>
      <w:r>
        <w:rPr>
          <w:sz w:val="28"/>
          <w:szCs w:val="28"/>
        </w:rPr>
        <w:t>《建设项目环境影响报告表》由具有从事环境影响评价工作资质的单位编制。</w:t>
      </w:r>
    </w:p>
    <w:p>
      <w:pPr>
        <w:adjustRightInd w:val="0"/>
        <w:snapToGrid w:val="0"/>
        <w:spacing w:line="480" w:lineRule="auto"/>
        <w:ind w:firstLine="540"/>
        <w:rPr>
          <w:sz w:val="28"/>
          <w:szCs w:val="28"/>
        </w:rPr>
      </w:pPr>
      <w:r>
        <w:rPr>
          <w:sz w:val="28"/>
          <w:szCs w:val="28"/>
        </w:rPr>
        <w:t>1、项目名称—指项目立项批复时的名称，应不超过30个字（两个英文字段作一个汉字）。</w:t>
      </w:r>
    </w:p>
    <w:p>
      <w:pPr>
        <w:adjustRightInd w:val="0"/>
        <w:snapToGrid w:val="0"/>
        <w:spacing w:line="480" w:lineRule="auto"/>
        <w:ind w:firstLine="540"/>
        <w:rPr>
          <w:sz w:val="28"/>
          <w:szCs w:val="28"/>
        </w:rPr>
      </w:pPr>
      <w:r>
        <w:rPr>
          <w:sz w:val="28"/>
          <w:szCs w:val="28"/>
        </w:rPr>
        <w:t>2、建设地点—指项目所在地详细地址，公路、铁路应填写起止地点。</w:t>
      </w:r>
    </w:p>
    <w:p>
      <w:pPr>
        <w:adjustRightInd w:val="0"/>
        <w:snapToGrid w:val="0"/>
        <w:spacing w:line="480" w:lineRule="auto"/>
        <w:ind w:firstLine="540"/>
        <w:rPr>
          <w:sz w:val="28"/>
          <w:szCs w:val="28"/>
        </w:rPr>
      </w:pPr>
      <w:r>
        <w:rPr>
          <w:sz w:val="28"/>
          <w:szCs w:val="28"/>
        </w:rPr>
        <w:t>3、行业类别—按国标填写。</w:t>
      </w:r>
    </w:p>
    <w:p>
      <w:pPr>
        <w:adjustRightInd w:val="0"/>
        <w:snapToGrid w:val="0"/>
        <w:spacing w:line="480" w:lineRule="auto"/>
        <w:ind w:firstLine="540"/>
        <w:rPr>
          <w:sz w:val="28"/>
          <w:szCs w:val="28"/>
        </w:rPr>
      </w:pPr>
      <w:r>
        <w:rPr>
          <w:sz w:val="28"/>
          <w:szCs w:val="28"/>
        </w:rPr>
        <w:t>4、总投资—指项目投资总额。</w:t>
      </w:r>
    </w:p>
    <w:p>
      <w:pPr>
        <w:adjustRightInd w:val="0"/>
        <w:snapToGrid w:val="0"/>
        <w:spacing w:line="480" w:lineRule="auto"/>
        <w:ind w:firstLine="540"/>
        <w:rPr>
          <w:sz w:val="28"/>
          <w:szCs w:val="28"/>
        </w:rPr>
      </w:pPr>
      <w:r>
        <w:rPr>
          <w:sz w:val="28"/>
          <w:szCs w:val="28"/>
        </w:rPr>
        <w:t>5、主要环境保护目标—指项目区周围一定范围内集中居民住宅区、学校医院、保护文物、风景名胜区、水源地和生态敏感点等，应尽可能给出保护目标、性质、规模和距场界距离等。</w:t>
      </w:r>
    </w:p>
    <w:p>
      <w:pPr>
        <w:adjustRightInd w:val="0"/>
        <w:snapToGrid w:val="0"/>
        <w:spacing w:line="480" w:lineRule="auto"/>
        <w:ind w:firstLine="540"/>
        <w:rPr>
          <w:sz w:val="28"/>
          <w:szCs w:val="28"/>
        </w:rPr>
      </w:pPr>
      <w:r>
        <w:rPr>
          <w:sz w:val="28"/>
          <w:szCs w:val="28"/>
        </w:rPr>
        <w:t>6、结论与建议—给出本项目清洁生产、达标排放和总量控制的分析结论，确定污染防治措施的有效性，说明本项目对环境造成的影响，给出建设项目环境可行性的明确结论。同时提出减少环境影响的其它建议。</w:t>
      </w:r>
    </w:p>
    <w:p>
      <w:pPr>
        <w:adjustRightInd w:val="0"/>
        <w:snapToGrid w:val="0"/>
        <w:spacing w:line="480" w:lineRule="auto"/>
        <w:ind w:firstLine="540"/>
        <w:rPr>
          <w:sz w:val="28"/>
          <w:szCs w:val="28"/>
        </w:rPr>
      </w:pPr>
      <w:r>
        <w:rPr>
          <w:sz w:val="28"/>
          <w:szCs w:val="28"/>
        </w:rPr>
        <w:t>7、预审意见—由行建设单位管部门填写答复意见，无主管部门项目，可不填。</w:t>
      </w:r>
    </w:p>
    <w:p>
      <w:pPr>
        <w:adjustRightInd w:val="0"/>
        <w:snapToGrid w:val="0"/>
        <w:spacing w:line="480" w:lineRule="auto"/>
        <w:ind w:firstLine="540"/>
        <w:rPr>
          <w:sz w:val="28"/>
          <w:szCs w:val="28"/>
        </w:rPr>
      </w:pPr>
      <w:r>
        <w:rPr>
          <w:sz w:val="28"/>
          <w:szCs w:val="28"/>
        </w:rPr>
        <w:t>8、审批意见—由负责审批该项目的环境保护行政主管部门批复。</w:t>
      </w:r>
    </w:p>
    <w:p>
      <w:pPr>
        <w:adjustRightInd w:val="0"/>
        <w:snapToGrid w:val="0"/>
        <w:spacing w:line="480" w:lineRule="auto"/>
        <w:rPr>
          <w:sz w:val="28"/>
          <w:szCs w:val="28"/>
        </w:rPr>
      </w:pPr>
    </w:p>
    <w:p>
      <w:pPr>
        <w:rPr>
          <w:rFonts w:eastAsia="黑体"/>
          <w:sz w:val="32"/>
          <w:szCs w:val="32"/>
        </w:rPr>
      </w:pPr>
    </w:p>
    <w:p>
      <w:pPr>
        <w:rPr>
          <w:rFonts w:eastAsia="黑体"/>
          <w:sz w:val="32"/>
          <w:szCs w:val="32"/>
        </w:rPr>
      </w:pPr>
    </w:p>
    <w:p>
      <w:pPr>
        <w:rPr>
          <w:rFonts w:eastAsia="黑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440" w:header="851" w:footer="1134" w:gutter="0"/>
          <w:pgNumType w:start="0"/>
          <w:cols w:space="720" w:num="1"/>
          <w:titlePg/>
          <w:docGrid w:linePitch="312" w:charSpace="0"/>
        </w:sectPr>
      </w:pPr>
    </w:p>
    <w:p>
      <w:pPr>
        <w:snapToGrid w:val="0"/>
        <w:outlineLvl w:val="0"/>
        <w:rPr>
          <w:b/>
          <w:sz w:val="28"/>
          <w:szCs w:val="28"/>
        </w:rPr>
      </w:pPr>
      <w:bookmarkStart w:id="6" w:name="_Toc514340566"/>
      <w:bookmarkStart w:id="7" w:name="_Toc514340315"/>
      <w:r>
        <w:rPr>
          <w:b/>
          <w:sz w:val="28"/>
          <w:szCs w:val="28"/>
        </w:rPr>
        <w:t>建设项目基本情况</w:t>
      </w:r>
      <w:bookmarkEnd w:id="6"/>
      <w:bookmarkEnd w:id="7"/>
    </w:p>
    <w:tbl>
      <w:tblPr>
        <w:tblStyle w:val="39"/>
        <w:tblW w:w="905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614"/>
        <w:gridCol w:w="880"/>
        <w:gridCol w:w="816"/>
        <w:gridCol w:w="1539"/>
        <w:gridCol w:w="114"/>
        <w:gridCol w:w="1466"/>
        <w:gridCol w:w="13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242" w:type="dxa"/>
            <w:vAlign w:val="center"/>
          </w:tcPr>
          <w:p>
            <w:pPr>
              <w:jc w:val="center"/>
              <w:rPr>
                <w:sz w:val="24"/>
                <w:szCs w:val="22"/>
              </w:rPr>
            </w:pPr>
            <w:r>
              <w:rPr>
                <w:sz w:val="24"/>
                <w:szCs w:val="22"/>
              </w:rPr>
              <w:t>项目名称</w:t>
            </w:r>
          </w:p>
        </w:tc>
        <w:tc>
          <w:tcPr>
            <w:tcW w:w="7815" w:type="dxa"/>
            <w:gridSpan w:val="7"/>
            <w:vAlign w:val="center"/>
          </w:tcPr>
          <w:p>
            <w:pPr>
              <w:jc w:val="center"/>
              <w:rPr>
                <w:sz w:val="24"/>
              </w:rPr>
            </w:pPr>
            <w:r>
              <w:rPr>
                <w:rFonts w:hint="eastAsia"/>
                <w:sz w:val="24"/>
              </w:rPr>
              <w:t>陕西渭河发电有限公司储煤场封闭工程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242" w:type="dxa"/>
            <w:vAlign w:val="center"/>
          </w:tcPr>
          <w:p>
            <w:pPr>
              <w:jc w:val="center"/>
              <w:rPr>
                <w:sz w:val="24"/>
                <w:szCs w:val="22"/>
              </w:rPr>
            </w:pPr>
            <w:r>
              <w:rPr>
                <w:sz w:val="24"/>
                <w:szCs w:val="22"/>
              </w:rPr>
              <w:t>建设单位</w:t>
            </w:r>
          </w:p>
        </w:tc>
        <w:tc>
          <w:tcPr>
            <w:tcW w:w="7815" w:type="dxa"/>
            <w:gridSpan w:val="7"/>
            <w:vAlign w:val="center"/>
          </w:tcPr>
          <w:p>
            <w:pPr>
              <w:jc w:val="center"/>
              <w:rPr>
                <w:sz w:val="24"/>
              </w:rPr>
            </w:pPr>
            <w:r>
              <w:rPr>
                <w:rFonts w:hint="eastAsia"/>
                <w:sz w:val="24"/>
              </w:rPr>
              <w:t>陕西渭河发电有限公司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1242" w:type="dxa"/>
            <w:vAlign w:val="center"/>
          </w:tcPr>
          <w:p>
            <w:pPr>
              <w:jc w:val="center"/>
              <w:rPr>
                <w:sz w:val="24"/>
                <w:szCs w:val="22"/>
              </w:rPr>
            </w:pPr>
            <w:r>
              <w:rPr>
                <w:sz w:val="24"/>
                <w:szCs w:val="22"/>
              </w:rPr>
              <w:t>法人代表</w:t>
            </w:r>
          </w:p>
        </w:tc>
        <w:tc>
          <w:tcPr>
            <w:tcW w:w="3310" w:type="dxa"/>
            <w:gridSpan w:val="3"/>
            <w:vAlign w:val="center"/>
          </w:tcPr>
          <w:p>
            <w:pPr>
              <w:jc w:val="center"/>
              <w:rPr>
                <w:sz w:val="24"/>
                <w:szCs w:val="22"/>
              </w:rPr>
            </w:pPr>
          </w:p>
        </w:tc>
        <w:tc>
          <w:tcPr>
            <w:tcW w:w="1653" w:type="dxa"/>
            <w:gridSpan w:val="2"/>
            <w:vAlign w:val="center"/>
          </w:tcPr>
          <w:p>
            <w:pPr>
              <w:jc w:val="center"/>
              <w:rPr>
                <w:sz w:val="24"/>
                <w:szCs w:val="22"/>
              </w:rPr>
            </w:pPr>
            <w:r>
              <w:rPr>
                <w:sz w:val="24"/>
                <w:szCs w:val="22"/>
              </w:rPr>
              <w:t>联系人</w:t>
            </w:r>
          </w:p>
        </w:tc>
        <w:tc>
          <w:tcPr>
            <w:tcW w:w="2852" w:type="dxa"/>
            <w:gridSpan w:val="2"/>
            <w:vAlign w:val="center"/>
          </w:tcPr>
          <w:p>
            <w:pPr>
              <w:jc w:val="center"/>
              <w:rPr>
                <w:sz w:val="24"/>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42" w:type="dxa"/>
            <w:vAlign w:val="center"/>
          </w:tcPr>
          <w:p>
            <w:pPr>
              <w:jc w:val="center"/>
              <w:rPr>
                <w:sz w:val="24"/>
                <w:szCs w:val="22"/>
              </w:rPr>
            </w:pPr>
            <w:r>
              <w:rPr>
                <w:sz w:val="24"/>
                <w:szCs w:val="22"/>
              </w:rPr>
              <w:t>通讯地址</w:t>
            </w:r>
          </w:p>
        </w:tc>
        <w:tc>
          <w:tcPr>
            <w:tcW w:w="7815" w:type="dxa"/>
            <w:gridSpan w:val="7"/>
            <w:vAlign w:val="center"/>
          </w:tcPr>
          <w:p>
            <w:pPr>
              <w:jc w:val="center"/>
              <w:rPr>
                <w:sz w:val="24"/>
                <w:szCs w:val="22"/>
              </w:rPr>
            </w:pPr>
            <w:r>
              <w:rPr>
                <w:rFonts w:hint="eastAsia"/>
                <w:sz w:val="24"/>
              </w:rPr>
              <w:t>陕西省西咸新区秦汉新城正阳镇陕西渭河发电有限公司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242" w:type="dxa"/>
            <w:vAlign w:val="center"/>
          </w:tcPr>
          <w:p>
            <w:pPr>
              <w:jc w:val="center"/>
              <w:rPr>
                <w:sz w:val="24"/>
                <w:szCs w:val="22"/>
              </w:rPr>
            </w:pPr>
            <w:r>
              <w:rPr>
                <w:sz w:val="24"/>
                <w:szCs w:val="22"/>
              </w:rPr>
              <w:t>联系电话</w:t>
            </w:r>
          </w:p>
        </w:tc>
        <w:tc>
          <w:tcPr>
            <w:tcW w:w="2494" w:type="dxa"/>
            <w:gridSpan w:val="2"/>
            <w:vAlign w:val="center"/>
          </w:tcPr>
          <w:p>
            <w:pPr>
              <w:jc w:val="center"/>
              <w:rPr>
                <w:sz w:val="24"/>
                <w:szCs w:val="22"/>
              </w:rPr>
            </w:pPr>
          </w:p>
        </w:tc>
        <w:tc>
          <w:tcPr>
            <w:tcW w:w="816" w:type="dxa"/>
            <w:vAlign w:val="center"/>
          </w:tcPr>
          <w:p>
            <w:pPr>
              <w:jc w:val="center"/>
              <w:rPr>
                <w:sz w:val="24"/>
                <w:szCs w:val="22"/>
              </w:rPr>
            </w:pPr>
            <w:r>
              <w:rPr>
                <w:sz w:val="24"/>
                <w:szCs w:val="22"/>
              </w:rPr>
              <w:t>传真</w:t>
            </w:r>
          </w:p>
        </w:tc>
        <w:tc>
          <w:tcPr>
            <w:tcW w:w="1653" w:type="dxa"/>
            <w:gridSpan w:val="2"/>
            <w:vAlign w:val="center"/>
          </w:tcPr>
          <w:p>
            <w:pPr>
              <w:jc w:val="center"/>
              <w:rPr>
                <w:sz w:val="24"/>
                <w:szCs w:val="22"/>
              </w:rPr>
            </w:pPr>
            <w:bookmarkStart w:id="147" w:name="_GoBack"/>
            <w:bookmarkEnd w:id="147"/>
          </w:p>
        </w:tc>
        <w:tc>
          <w:tcPr>
            <w:tcW w:w="1466" w:type="dxa"/>
            <w:vAlign w:val="center"/>
          </w:tcPr>
          <w:p>
            <w:pPr>
              <w:jc w:val="center"/>
              <w:rPr>
                <w:sz w:val="24"/>
                <w:szCs w:val="22"/>
              </w:rPr>
            </w:pPr>
            <w:r>
              <w:rPr>
                <w:sz w:val="24"/>
                <w:szCs w:val="22"/>
              </w:rPr>
              <w:t>邮政编码</w:t>
            </w:r>
          </w:p>
        </w:tc>
        <w:tc>
          <w:tcPr>
            <w:tcW w:w="1386" w:type="dxa"/>
            <w:vAlign w:val="center"/>
          </w:tcPr>
          <w:p>
            <w:pPr>
              <w:jc w:val="center"/>
              <w:rPr>
                <w:sz w:val="24"/>
                <w:szCs w:val="22"/>
              </w:rPr>
            </w:pPr>
            <w:r>
              <w:rPr>
                <w:sz w:val="24"/>
              </w:rPr>
              <w:t>712085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1242" w:type="dxa"/>
            <w:vAlign w:val="center"/>
          </w:tcPr>
          <w:p>
            <w:pPr>
              <w:jc w:val="center"/>
              <w:rPr>
                <w:sz w:val="24"/>
                <w:szCs w:val="22"/>
              </w:rPr>
            </w:pPr>
            <w:r>
              <w:rPr>
                <w:sz w:val="24"/>
                <w:szCs w:val="22"/>
              </w:rPr>
              <w:t>建设地点</w:t>
            </w:r>
          </w:p>
        </w:tc>
        <w:tc>
          <w:tcPr>
            <w:tcW w:w="7815" w:type="dxa"/>
            <w:gridSpan w:val="7"/>
            <w:vAlign w:val="center"/>
          </w:tcPr>
          <w:p>
            <w:pPr>
              <w:jc w:val="center"/>
              <w:rPr>
                <w:sz w:val="24"/>
                <w:szCs w:val="22"/>
              </w:rPr>
            </w:pPr>
            <w:r>
              <w:rPr>
                <w:rFonts w:hint="eastAsia"/>
                <w:sz w:val="24"/>
              </w:rPr>
              <w:t>陕西省西咸新区秦汉新城正阳镇陕西渭河发电有限公司厂区</w:t>
            </w:r>
            <w:r>
              <w:rPr>
                <w:sz w:val="24"/>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42" w:type="dxa"/>
            <w:vAlign w:val="center"/>
          </w:tcPr>
          <w:p>
            <w:pPr>
              <w:jc w:val="center"/>
              <w:rPr>
                <w:sz w:val="24"/>
                <w:szCs w:val="22"/>
              </w:rPr>
            </w:pPr>
            <w:r>
              <w:rPr>
                <w:sz w:val="24"/>
                <w:szCs w:val="22"/>
              </w:rPr>
              <w:t>立项审批</w:t>
            </w:r>
          </w:p>
          <w:p>
            <w:pPr>
              <w:jc w:val="center"/>
              <w:rPr>
                <w:sz w:val="24"/>
                <w:szCs w:val="22"/>
              </w:rPr>
            </w:pPr>
            <w:r>
              <w:rPr>
                <w:sz w:val="24"/>
                <w:szCs w:val="22"/>
              </w:rPr>
              <w:t>部门</w:t>
            </w:r>
          </w:p>
        </w:tc>
        <w:tc>
          <w:tcPr>
            <w:tcW w:w="3310" w:type="dxa"/>
            <w:gridSpan w:val="3"/>
            <w:vAlign w:val="center"/>
          </w:tcPr>
          <w:p>
            <w:pPr>
              <w:jc w:val="center"/>
              <w:rPr>
                <w:sz w:val="24"/>
              </w:rPr>
            </w:pPr>
            <w:r>
              <w:rPr>
                <w:rFonts w:hint="eastAsia"/>
                <w:sz w:val="24"/>
              </w:rPr>
              <w:t>秦汉新城行政审批与政务</w:t>
            </w:r>
          </w:p>
          <w:p>
            <w:pPr>
              <w:jc w:val="center"/>
              <w:rPr>
                <w:sz w:val="24"/>
                <w:szCs w:val="22"/>
              </w:rPr>
            </w:pPr>
            <w:r>
              <w:rPr>
                <w:rFonts w:hint="eastAsia"/>
                <w:sz w:val="24"/>
              </w:rPr>
              <w:t>服务局</w:t>
            </w:r>
          </w:p>
        </w:tc>
        <w:tc>
          <w:tcPr>
            <w:tcW w:w="1539" w:type="dxa"/>
            <w:vAlign w:val="center"/>
          </w:tcPr>
          <w:p>
            <w:pPr>
              <w:jc w:val="center"/>
              <w:rPr>
                <w:sz w:val="24"/>
                <w:szCs w:val="22"/>
              </w:rPr>
            </w:pPr>
            <w:r>
              <w:rPr>
                <w:sz w:val="24"/>
                <w:szCs w:val="22"/>
              </w:rPr>
              <w:t>批准文号</w:t>
            </w:r>
          </w:p>
        </w:tc>
        <w:tc>
          <w:tcPr>
            <w:tcW w:w="2966" w:type="dxa"/>
            <w:gridSpan w:val="3"/>
            <w:vAlign w:val="center"/>
          </w:tcPr>
          <w:p>
            <w:pPr>
              <w:jc w:val="center"/>
              <w:rPr>
                <w:sz w:val="24"/>
                <w:szCs w:val="22"/>
              </w:rPr>
            </w:pPr>
            <w:r>
              <w:rPr>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42" w:type="dxa"/>
            <w:vAlign w:val="center"/>
          </w:tcPr>
          <w:p>
            <w:pPr>
              <w:jc w:val="center"/>
              <w:rPr>
                <w:sz w:val="24"/>
                <w:szCs w:val="22"/>
              </w:rPr>
            </w:pPr>
            <w:r>
              <w:rPr>
                <w:sz w:val="24"/>
                <w:szCs w:val="22"/>
              </w:rPr>
              <w:t>建设性质</w:t>
            </w:r>
          </w:p>
        </w:tc>
        <w:tc>
          <w:tcPr>
            <w:tcW w:w="3310" w:type="dxa"/>
            <w:gridSpan w:val="3"/>
            <w:vAlign w:val="center"/>
          </w:tcPr>
          <w:p>
            <w:pPr>
              <w:jc w:val="center"/>
              <w:rPr>
                <w:sz w:val="24"/>
                <w:szCs w:val="22"/>
              </w:rPr>
            </w:pPr>
            <w:r>
              <w:rPr>
                <w:sz w:val="24"/>
                <w:szCs w:val="22"/>
              </w:rPr>
              <w:t>新建□改扩建□技改■</w:t>
            </w:r>
          </w:p>
        </w:tc>
        <w:tc>
          <w:tcPr>
            <w:tcW w:w="1539" w:type="dxa"/>
            <w:vAlign w:val="center"/>
          </w:tcPr>
          <w:p>
            <w:pPr>
              <w:jc w:val="center"/>
              <w:rPr>
                <w:sz w:val="24"/>
                <w:szCs w:val="22"/>
              </w:rPr>
            </w:pPr>
            <w:r>
              <w:rPr>
                <w:sz w:val="24"/>
                <w:szCs w:val="22"/>
              </w:rPr>
              <w:t>行业类别</w:t>
            </w:r>
          </w:p>
          <w:p>
            <w:pPr>
              <w:jc w:val="center"/>
              <w:rPr>
                <w:sz w:val="24"/>
                <w:szCs w:val="22"/>
              </w:rPr>
            </w:pPr>
            <w:r>
              <w:rPr>
                <w:sz w:val="24"/>
                <w:szCs w:val="22"/>
              </w:rPr>
              <w:t>及代码</w:t>
            </w:r>
          </w:p>
        </w:tc>
        <w:tc>
          <w:tcPr>
            <w:tcW w:w="2966" w:type="dxa"/>
            <w:gridSpan w:val="3"/>
            <w:vAlign w:val="center"/>
          </w:tcPr>
          <w:p>
            <w:pPr>
              <w:jc w:val="center"/>
              <w:rPr>
                <w:sz w:val="24"/>
              </w:rPr>
            </w:pPr>
            <w:r>
              <w:rPr>
                <w:sz w:val="24"/>
              </w:rPr>
              <w:t>N7222</w:t>
            </w:r>
          </w:p>
          <w:p>
            <w:pPr>
              <w:jc w:val="center"/>
              <w:rPr>
                <w:sz w:val="24"/>
                <w:szCs w:val="22"/>
              </w:rPr>
            </w:pPr>
            <w:r>
              <w:rPr>
                <w:rFonts w:hint="eastAsia"/>
                <w:sz w:val="24"/>
              </w:rPr>
              <w:t>大气污染</w:t>
            </w:r>
            <w:r>
              <w:rPr>
                <w:sz w:val="24"/>
              </w:rPr>
              <w:t>治理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42" w:type="dxa"/>
            <w:vAlign w:val="center"/>
          </w:tcPr>
          <w:p>
            <w:pPr>
              <w:jc w:val="center"/>
              <w:rPr>
                <w:sz w:val="24"/>
                <w:szCs w:val="22"/>
              </w:rPr>
            </w:pPr>
            <w:r>
              <w:rPr>
                <w:sz w:val="24"/>
                <w:szCs w:val="22"/>
              </w:rPr>
              <w:t>占地面积</w:t>
            </w:r>
          </w:p>
          <w:p>
            <w:pPr>
              <w:jc w:val="center"/>
              <w:rPr>
                <w:sz w:val="24"/>
                <w:szCs w:val="22"/>
              </w:rPr>
            </w:pPr>
            <w:r>
              <w:rPr>
                <w:sz w:val="24"/>
                <w:szCs w:val="22"/>
              </w:rPr>
              <w:t>(平方米)</w:t>
            </w:r>
          </w:p>
        </w:tc>
        <w:tc>
          <w:tcPr>
            <w:tcW w:w="3310" w:type="dxa"/>
            <w:gridSpan w:val="3"/>
            <w:vAlign w:val="center"/>
          </w:tcPr>
          <w:p>
            <w:pPr>
              <w:jc w:val="center"/>
              <w:rPr>
                <w:sz w:val="24"/>
                <w:szCs w:val="22"/>
              </w:rPr>
            </w:pPr>
            <w:r>
              <w:rPr>
                <w:sz w:val="24"/>
                <w:szCs w:val="22"/>
              </w:rPr>
              <w:t>37800</w:t>
            </w:r>
          </w:p>
        </w:tc>
        <w:tc>
          <w:tcPr>
            <w:tcW w:w="1539" w:type="dxa"/>
            <w:vAlign w:val="center"/>
          </w:tcPr>
          <w:p>
            <w:pPr>
              <w:jc w:val="center"/>
              <w:rPr>
                <w:sz w:val="24"/>
                <w:szCs w:val="22"/>
              </w:rPr>
            </w:pPr>
            <w:r>
              <w:rPr>
                <w:sz w:val="24"/>
                <w:szCs w:val="22"/>
              </w:rPr>
              <w:t>绿化面积</w:t>
            </w:r>
          </w:p>
          <w:p>
            <w:pPr>
              <w:jc w:val="center"/>
              <w:rPr>
                <w:sz w:val="24"/>
                <w:szCs w:val="22"/>
              </w:rPr>
            </w:pPr>
            <w:r>
              <w:rPr>
                <w:sz w:val="24"/>
                <w:szCs w:val="22"/>
              </w:rPr>
              <w:t>(平方米)</w:t>
            </w:r>
          </w:p>
        </w:tc>
        <w:tc>
          <w:tcPr>
            <w:tcW w:w="2966" w:type="dxa"/>
            <w:gridSpan w:val="3"/>
            <w:vAlign w:val="center"/>
          </w:tcPr>
          <w:p>
            <w:pPr>
              <w:jc w:val="center"/>
              <w:rPr>
                <w:sz w:val="24"/>
                <w:szCs w:val="22"/>
              </w:rPr>
            </w:pPr>
            <w:r>
              <w:rPr>
                <w:sz w:val="24"/>
              </w:rPr>
              <w:t>3400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42" w:type="dxa"/>
            <w:vAlign w:val="center"/>
          </w:tcPr>
          <w:p>
            <w:pPr>
              <w:jc w:val="center"/>
              <w:rPr>
                <w:sz w:val="24"/>
                <w:szCs w:val="22"/>
              </w:rPr>
            </w:pPr>
            <w:r>
              <w:rPr>
                <w:sz w:val="24"/>
                <w:szCs w:val="22"/>
              </w:rPr>
              <w:t>总投资</w:t>
            </w:r>
          </w:p>
          <w:p>
            <w:pPr>
              <w:jc w:val="center"/>
              <w:rPr>
                <w:sz w:val="24"/>
                <w:szCs w:val="22"/>
              </w:rPr>
            </w:pPr>
            <w:r>
              <w:rPr>
                <w:sz w:val="24"/>
                <w:szCs w:val="22"/>
              </w:rPr>
              <w:t>(万元)</w:t>
            </w:r>
          </w:p>
        </w:tc>
        <w:tc>
          <w:tcPr>
            <w:tcW w:w="1614" w:type="dxa"/>
            <w:vAlign w:val="center"/>
          </w:tcPr>
          <w:p>
            <w:pPr>
              <w:jc w:val="center"/>
              <w:rPr>
                <w:sz w:val="24"/>
                <w:szCs w:val="22"/>
              </w:rPr>
            </w:pPr>
            <w:r>
              <w:rPr>
                <w:sz w:val="24"/>
                <w:szCs w:val="22"/>
              </w:rPr>
              <w:t>8600</w:t>
            </w:r>
          </w:p>
        </w:tc>
        <w:tc>
          <w:tcPr>
            <w:tcW w:w="1696" w:type="dxa"/>
            <w:gridSpan w:val="2"/>
            <w:vAlign w:val="center"/>
          </w:tcPr>
          <w:p>
            <w:pPr>
              <w:jc w:val="center"/>
              <w:rPr>
                <w:sz w:val="24"/>
                <w:szCs w:val="22"/>
              </w:rPr>
            </w:pPr>
            <w:r>
              <w:rPr>
                <w:sz w:val="24"/>
                <w:szCs w:val="22"/>
              </w:rPr>
              <w:t>其中：环保投资(万元)</w:t>
            </w:r>
          </w:p>
        </w:tc>
        <w:tc>
          <w:tcPr>
            <w:tcW w:w="1539" w:type="dxa"/>
            <w:vAlign w:val="center"/>
          </w:tcPr>
          <w:p>
            <w:pPr>
              <w:jc w:val="center"/>
              <w:rPr>
                <w:sz w:val="24"/>
                <w:szCs w:val="22"/>
              </w:rPr>
            </w:pPr>
            <w:r>
              <w:rPr>
                <w:sz w:val="24"/>
                <w:szCs w:val="22"/>
              </w:rPr>
              <w:t>8600</w:t>
            </w:r>
          </w:p>
        </w:tc>
        <w:tc>
          <w:tcPr>
            <w:tcW w:w="1580" w:type="dxa"/>
            <w:gridSpan w:val="2"/>
            <w:vAlign w:val="center"/>
          </w:tcPr>
          <w:p>
            <w:pPr>
              <w:jc w:val="center"/>
              <w:rPr>
                <w:sz w:val="24"/>
                <w:szCs w:val="22"/>
              </w:rPr>
            </w:pPr>
            <w:r>
              <w:rPr>
                <w:sz w:val="24"/>
                <w:szCs w:val="22"/>
              </w:rPr>
              <w:t>环保投资占总投资比例</w:t>
            </w:r>
          </w:p>
        </w:tc>
        <w:tc>
          <w:tcPr>
            <w:tcW w:w="1386" w:type="dxa"/>
            <w:vAlign w:val="center"/>
          </w:tcPr>
          <w:p>
            <w:pPr>
              <w:jc w:val="center"/>
              <w:rPr>
                <w:sz w:val="24"/>
                <w:szCs w:val="22"/>
              </w:rPr>
            </w:pPr>
            <w:r>
              <w:rPr>
                <w:sz w:val="24"/>
                <w:szCs w:val="22"/>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42" w:type="dxa"/>
            <w:vAlign w:val="center"/>
          </w:tcPr>
          <w:p>
            <w:pPr>
              <w:jc w:val="center"/>
              <w:rPr>
                <w:sz w:val="24"/>
                <w:szCs w:val="22"/>
              </w:rPr>
            </w:pPr>
            <w:r>
              <w:rPr>
                <w:sz w:val="24"/>
                <w:szCs w:val="22"/>
              </w:rPr>
              <w:t>评价经费</w:t>
            </w:r>
          </w:p>
          <w:p>
            <w:pPr>
              <w:jc w:val="center"/>
              <w:rPr>
                <w:sz w:val="24"/>
                <w:szCs w:val="22"/>
              </w:rPr>
            </w:pPr>
            <w:r>
              <w:rPr>
                <w:sz w:val="24"/>
                <w:szCs w:val="22"/>
              </w:rPr>
              <w:t>(万元)</w:t>
            </w:r>
          </w:p>
        </w:tc>
        <w:tc>
          <w:tcPr>
            <w:tcW w:w="1614" w:type="dxa"/>
            <w:vAlign w:val="center"/>
          </w:tcPr>
          <w:p>
            <w:pPr>
              <w:jc w:val="center"/>
              <w:rPr>
                <w:sz w:val="24"/>
                <w:szCs w:val="22"/>
              </w:rPr>
            </w:pPr>
            <w:r>
              <w:rPr>
                <w:sz w:val="24"/>
              </w:rPr>
              <w:t>/</w:t>
            </w:r>
          </w:p>
        </w:tc>
        <w:tc>
          <w:tcPr>
            <w:tcW w:w="1696" w:type="dxa"/>
            <w:gridSpan w:val="2"/>
            <w:vAlign w:val="center"/>
          </w:tcPr>
          <w:p>
            <w:pPr>
              <w:jc w:val="center"/>
              <w:rPr>
                <w:sz w:val="24"/>
                <w:szCs w:val="22"/>
              </w:rPr>
            </w:pPr>
            <w:r>
              <w:rPr>
                <w:sz w:val="24"/>
                <w:szCs w:val="22"/>
              </w:rPr>
              <w:t>预期投产日期</w:t>
            </w:r>
          </w:p>
        </w:tc>
        <w:tc>
          <w:tcPr>
            <w:tcW w:w="4505" w:type="dxa"/>
            <w:gridSpan w:val="4"/>
            <w:vAlign w:val="center"/>
          </w:tcPr>
          <w:p>
            <w:pPr>
              <w:jc w:val="center"/>
              <w:rPr>
                <w:sz w:val="24"/>
                <w:szCs w:val="22"/>
              </w:rPr>
            </w:pPr>
            <w:r>
              <w:rPr>
                <w:sz w:val="24"/>
              </w:rPr>
              <w:t>2019年10月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69" w:hRule="atLeast"/>
          <w:jc w:val="center"/>
        </w:trPr>
        <w:tc>
          <w:tcPr>
            <w:tcW w:w="9057" w:type="dxa"/>
            <w:gridSpan w:val="8"/>
            <w:vAlign w:val="center"/>
          </w:tcPr>
          <w:p>
            <w:pPr>
              <w:spacing w:line="360" w:lineRule="auto"/>
              <w:textAlignment w:val="baseline"/>
              <w:rPr>
                <w:b/>
                <w:sz w:val="24"/>
              </w:rPr>
            </w:pPr>
            <w:r>
              <w:rPr>
                <w:b/>
                <w:sz w:val="24"/>
              </w:rPr>
              <w:t>工程内容及规模</w:t>
            </w:r>
          </w:p>
          <w:p>
            <w:pPr>
              <w:pStyle w:val="2"/>
              <w:ind w:firstLine="472" w:firstLineChars="196"/>
              <w:rPr>
                <w:rFonts w:ascii="Times New Roman"/>
                <w:sz w:val="24"/>
                <w:szCs w:val="24"/>
              </w:rPr>
            </w:pPr>
            <w:bookmarkStart w:id="8" w:name="_Toc477877238"/>
            <w:bookmarkStart w:id="9" w:name="_Toc477877313"/>
            <w:bookmarkStart w:id="10" w:name="_Toc30323"/>
            <w:bookmarkStart w:id="11" w:name="_Toc493776619"/>
            <w:bookmarkStart w:id="12" w:name="_Toc494203138"/>
            <w:bookmarkStart w:id="13" w:name="_Toc494203281"/>
            <w:bookmarkStart w:id="14" w:name="_Toc494203384"/>
            <w:bookmarkStart w:id="15" w:name="_Toc514340316"/>
            <w:bookmarkStart w:id="16" w:name="_Toc514340567"/>
            <w:r>
              <w:rPr>
                <w:rFonts w:ascii="Times New Roman"/>
                <w:kern w:val="2"/>
                <w:sz w:val="24"/>
                <w:szCs w:val="24"/>
              </w:rPr>
              <w:t>一、项目由来</w:t>
            </w:r>
            <w:bookmarkEnd w:id="8"/>
            <w:bookmarkEnd w:id="9"/>
            <w:bookmarkEnd w:id="10"/>
            <w:bookmarkEnd w:id="11"/>
            <w:bookmarkEnd w:id="12"/>
            <w:bookmarkEnd w:id="13"/>
            <w:bookmarkEnd w:id="14"/>
            <w:bookmarkEnd w:id="15"/>
            <w:bookmarkEnd w:id="16"/>
          </w:p>
          <w:p>
            <w:pPr>
              <w:spacing w:line="360" w:lineRule="auto"/>
              <w:ind w:firstLine="480" w:firstLineChars="200"/>
              <w:rPr>
                <w:snapToGrid w:val="0"/>
                <w:kern w:val="0"/>
                <w:sz w:val="24"/>
                <w:szCs w:val="28"/>
              </w:rPr>
            </w:pPr>
            <w:r>
              <w:rPr>
                <w:rFonts w:hint="eastAsia"/>
                <w:snapToGrid w:val="0"/>
                <w:kern w:val="0"/>
                <w:sz w:val="24"/>
                <w:szCs w:val="28"/>
              </w:rPr>
              <w:t>陕西渭河发电有限公司（以下</w:t>
            </w:r>
            <w:r>
              <w:rPr>
                <w:snapToGrid w:val="0"/>
                <w:kern w:val="0"/>
                <w:sz w:val="24"/>
                <w:szCs w:val="28"/>
              </w:rPr>
              <w:t>简称</w:t>
            </w:r>
            <w:r>
              <w:rPr>
                <w:rFonts w:hint="eastAsia"/>
                <w:snapToGrid w:val="0"/>
                <w:kern w:val="0"/>
                <w:sz w:val="24"/>
                <w:szCs w:val="28"/>
              </w:rPr>
              <w:t>“渭河电厂”）是在原渭河发电厂新基础上，经产权转让改制而设立，</w:t>
            </w:r>
            <w:r>
              <w:rPr>
                <w:snapToGrid w:val="0"/>
                <w:kern w:val="0"/>
                <w:sz w:val="24"/>
                <w:szCs w:val="28"/>
              </w:rPr>
              <w:t>公司</w:t>
            </w:r>
            <w:r>
              <w:rPr>
                <w:rFonts w:hint="eastAsia"/>
                <w:snapToGrid w:val="0"/>
                <w:kern w:val="0"/>
                <w:sz w:val="24"/>
                <w:szCs w:val="28"/>
              </w:rPr>
              <w:t>成立于1997年5月8日，厂址位于西咸新区秦汉新城正阳镇。公司从工程设计、建设安装到投产运行，始终把环保工作放在突出位置，由于建设起步较早，部分原设计中污染治理措施不符合现行环保政策以及国家有关制度及规定的要求。2</w:t>
            </w:r>
            <w:r>
              <w:rPr>
                <w:snapToGrid w:val="0"/>
                <w:kern w:val="0"/>
                <w:sz w:val="24"/>
                <w:szCs w:val="28"/>
              </w:rPr>
              <w:t>015</w:t>
            </w:r>
            <w:r>
              <w:rPr>
                <w:rFonts w:hint="eastAsia"/>
                <w:snapToGrid w:val="0"/>
                <w:kern w:val="0"/>
                <w:sz w:val="24"/>
                <w:szCs w:val="28"/>
              </w:rPr>
              <w:t>年，公司对原</w:t>
            </w:r>
            <w:r>
              <w:rPr>
                <w:snapToGrid w:val="0"/>
                <w:kern w:val="0"/>
                <w:sz w:val="24"/>
                <w:szCs w:val="28"/>
              </w:rPr>
              <w:t>有</w:t>
            </w:r>
            <w:r>
              <w:rPr>
                <w:rFonts w:hint="eastAsia"/>
                <w:snapToGrid w:val="0"/>
                <w:kern w:val="0"/>
                <w:sz w:val="24"/>
                <w:szCs w:val="28"/>
              </w:rPr>
              <w:t>#3、#4、#5、#6机组的环保设施进行升级改造，实施超低排放改造，改造总投资达</w:t>
            </w:r>
            <w:r>
              <w:rPr>
                <w:snapToGrid w:val="0"/>
                <w:kern w:val="0"/>
                <w:sz w:val="24"/>
                <w:szCs w:val="28"/>
              </w:rPr>
              <w:t>3</w:t>
            </w:r>
            <w:r>
              <w:rPr>
                <w:rFonts w:hint="eastAsia"/>
                <w:snapToGrid w:val="0"/>
                <w:kern w:val="0"/>
                <w:sz w:val="24"/>
                <w:szCs w:val="28"/>
              </w:rPr>
              <w:t>亿余元人民币。</w:t>
            </w:r>
          </w:p>
          <w:p>
            <w:pPr>
              <w:spacing w:line="360" w:lineRule="auto"/>
              <w:ind w:firstLine="480" w:firstLineChars="200"/>
              <w:rPr>
                <w:snapToGrid w:val="0"/>
                <w:kern w:val="0"/>
                <w:sz w:val="24"/>
                <w:szCs w:val="28"/>
              </w:rPr>
            </w:pPr>
            <w:r>
              <w:rPr>
                <w:rFonts w:hint="eastAsia"/>
                <w:snapToGrid w:val="0"/>
                <w:kern w:val="0"/>
                <w:sz w:val="24"/>
                <w:szCs w:val="28"/>
              </w:rPr>
              <w:t>渭河电厂现有煤场为</w:t>
            </w:r>
            <w:r>
              <w:rPr>
                <w:snapToGrid w:val="0"/>
                <w:kern w:val="0"/>
                <w:sz w:val="24"/>
                <w:szCs w:val="28"/>
              </w:rPr>
              <w:t>露天形式，</w:t>
            </w:r>
            <w:r>
              <w:rPr>
                <w:rFonts w:hint="eastAsia"/>
                <w:snapToGrid w:val="0"/>
                <w:kern w:val="0"/>
                <w:sz w:val="24"/>
                <w:szCs w:val="28"/>
              </w:rPr>
              <w:t>主要污染物为煤尘，其排放源主要有煤场、运煤胶带输送机通廊等。储煤场现有防尘措施为防风抑尘网，但在大风季节时，防风抑尘网不能起到很好的防尘作用，尤其在煤场内存在堆取料机或推煤机对储煤进行堆取作业时，煤场的扬尘仍然存在。在大风季节时，煤场造成的扬尘给周边居民的生活、学习、工作、生产造成一定的影响。</w:t>
            </w:r>
          </w:p>
          <w:p>
            <w:pPr>
              <w:spacing w:line="360" w:lineRule="auto"/>
              <w:ind w:firstLine="480" w:firstLineChars="200"/>
              <w:rPr>
                <w:snapToGrid w:val="0"/>
                <w:kern w:val="0"/>
                <w:sz w:val="24"/>
                <w:szCs w:val="28"/>
              </w:rPr>
            </w:pPr>
            <w:r>
              <w:rPr>
                <w:rFonts w:hint="eastAsia"/>
                <w:snapToGrid w:val="0"/>
                <w:kern w:val="0"/>
                <w:sz w:val="24"/>
                <w:szCs w:val="28"/>
              </w:rPr>
              <w:t>因煤场扬尘造成的燃煤流失给企业带来了经济损失，露天煤场刮风时造成风损，经测算，当风速为3～5级时所造成的原煤年损失可达2.5</w:t>
            </w:r>
            <w:r>
              <w:rPr>
                <w:snapToGrid w:val="0"/>
                <w:kern w:val="0"/>
                <w:sz w:val="24"/>
                <w:szCs w:val="28"/>
              </w:rPr>
              <w:t>‰</w:t>
            </w:r>
            <w:r>
              <w:rPr>
                <w:rFonts w:hint="eastAsia"/>
                <w:snapToGrid w:val="0"/>
                <w:kern w:val="0"/>
                <w:sz w:val="24"/>
                <w:szCs w:val="28"/>
              </w:rPr>
              <w:t>，当风速为5～8级时所造成的原煤年损失可达3.5～4</w:t>
            </w:r>
            <w:r>
              <w:rPr>
                <w:snapToGrid w:val="0"/>
                <w:kern w:val="0"/>
                <w:sz w:val="24"/>
                <w:szCs w:val="28"/>
              </w:rPr>
              <w:t>‰</w:t>
            </w:r>
            <w:r>
              <w:rPr>
                <w:rFonts w:hint="eastAsia"/>
                <w:snapToGrid w:val="0"/>
                <w:kern w:val="0"/>
                <w:sz w:val="24"/>
                <w:szCs w:val="28"/>
              </w:rPr>
              <w:t>，平均估算储煤场年因风致运动而导致的原煤损耗可达3.2</w:t>
            </w:r>
            <w:r>
              <w:rPr>
                <w:snapToGrid w:val="0"/>
                <w:kern w:val="0"/>
                <w:sz w:val="24"/>
                <w:szCs w:val="28"/>
              </w:rPr>
              <w:t>‰</w:t>
            </w:r>
            <w:r>
              <w:rPr>
                <w:rFonts w:hint="eastAsia"/>
                <w:snapToGrid w:val="0"/>
                <w:kern w:val="0"/>
                <w:sz w:val="24"/>
                <w:szCs w:val="28"/>
              </w:rPr>
              <w:t xml:space="preserve">以上。夏天进入雨季，篷布覆盖不及时造成被雨水冲刷流失极大，水分过大造成入炉煤无法正常上煤，煤仓频繁断煤，影响碎煤机出力，无法保证机组正常运行。 </w:t>
            </w:r>
          </w:p>
          <w:p>
            <w:pPr>
              <w:spacing w:line="360" w:lineRule="auto"/>
              <w:ind w:firstLine="480" w:firstLineChars="200"/>
              <w:rPr>
                <w:snapToGrid w:val="0"/>
                <w:kern w:val="0"/>
                <w:sz w:val="24"/>
                <w:szCs w:val="28"/>
              </w:rPr>
            </w:pPr>
            <w:r>
              <w:rPr>
                <w:rFonts w:hint="eastAsia"/>
                <w:snapToGrid w:val="0"/>
                <w:kern w:val="0"/>
                <w:sz w:val="24"/>
                <w:szCs w:val="28"/>
              </w:rPr>
              <w:t>因此，公司露天煤场扬尘治理，对于解决大风天气煤粉扬尘的污染问题，大幅度降低燃煤扬尘流失和雨水冲刷流失，具有十分重要的现实意义。</w:t>
            </w:r>
          </w:p>
          <w:p>
            <w:pPr>
              <w:spacing w:line="360" w:lineRule="auto"/>
              <w:ind w:firstLine="480" w:firstLineChars="200"/>
              <w:rPr>
                <w:sz w:val="24"/>
              </w:rPr>
            </w:pPr>
            <w:r>
              <w:rPr>
                <w:sz w:val="24"/>
              </w:rPr>
              <w:t>根据《建设项目环境保护管理条例》（国务院令第682号）、《中华人民共和国环境影响评价法》（201</w:t>
            </w:r>
            <w:r>
              <w:rPr>
                <w:rFonts w:hint="eastAsia"/>
                <w:sz w:val="24"/>
              </w:rPr>
              <w:t>8</w:t>
            </w:r>
            <w:r>
              <w:rPr>
                <w:sz w:val="24"/>
              </w:rPr>
              <w:t>年修订）中的有关条款规定，</w:t>
            </w:r>
            <w:r>
              <w:rPr>
                <w:bCs/>
                <w:sz w:val="24"/>
              </w:rPr>
              <w:t>该项目须进行环境影响评价。根据</w:t>
            </w:r>
            <w:r>
              <w:rPr>
                <w:sz w:val="24"/>
              </w:rPr>
              <w:t>《建设项目环境保护分类管理名录》</w:t>
            </w:r>
            <w:r>
              <w:rPr>
                <w:rFonts w:hint="eastAsia"/>
                <w:sz w:val="24"/>
              </w:rPr>
              <w:t>（及修改单）</w:t>
            </w:r>
            <w:r>
              <w:rPr>
                <w:sz w:val="24"/>
              </w:rPr>
              <w:t>（环境保护部令第44号），</w:t>
            </w:r>
            <w:r>
              <w:rPr>
                <w:bCs/>
                <w:sz w:val="24"/>
              </w:rPr>
              <w:t>本项目属于其中</w:t>
            </w:r>
            <w:r>
              <w:rPr>
                <w:rFonts w:hint="eastAsia"/>
                <w:bCs/>
                <w:sz w:val="24"/>
              </w:rPr>
              <w:t>“四十一</w:t>
            </w:r>
            <w:r>
              <w:rPr>
                <w:bCs/>
                <w:sz w:val="24"/>
              </w:rPr>
              <w:t>、</w:t>
            </w:r>
            <w:r>
              <w:rPr>
                <w:rFonts w:hint="eastAsia"/>
                <w:bCs/>
                <w:sz w:val="24"/>
              </w:rPr>
              <w:t>煤炭开采和</w:t>
            </w:r>
            <w:r>
              <w:rPr>
                <w:bCs/>
                <w:sz w:val="24"/>
              </w:rPr>
              <w:t>洗选业-130、</w:t>
            </w:r>
            <w:r>
              <w:rPr>
                <w:rFonts w:hint="eastAsia"/>
                <w:bCs/>
                <w:sz w:val="24"/>
              </w:rPr>
              <w:t>煤炭储存、</w:t>
            </w:r>
            <w:r>
              <w:rPr>
                <w:bCs/>
                <w:sz w:val="24"/>
              </w:rPr>
              <w:t>集运</w:t>
            </w:r>
            <w:r>
              <w:rPr>
                <w:rFonts w:hint="eastAsia"/>
                <w:bCs/>
                <w:sz w:val="24"/>
              </w:rPr>
              <w:t>”</w:t>
            </w:r>
            <w:r>
              <w:rPr>
                <w:sz w:val="24"/>
              </w:rPr>
              <w:t>，应编制环境影响报告表。</w:t>
            </w:r>
          </w:p>
          <w:p>
            <w:pPr>
              <w:tabs>
                <w:tab w:val="left" w:pos="4620"/>
              </w:tabs>
              <w:spacing w:line="360" w:lineRule="auto"/>
              <w:ind w:firstLine="480" w:firstLineChars="200"/>
              <w:rPr>
                <w:sz w:val="24"/>
              </w:rPr>
            </w:pPr>
            <w:r>
              <w:rPr>
                <w:sz w:val="24"/>
              </w:rPr>
              <w:t>为此，</w:t>
            </w:r>
            <w:r>
              <w:rPr>
                <w:rFonts w:hint="eastAsia"/>
                <w:sz w:val="24"/>
              </w:rPr>
              <w:t>陕西渭河发电有限公司</w:t>
            </w:r>
            <w:r>
              <w:rPr>
                <w:sz w:val="24"/>
              </w:rPr>
              <w:t>于2018年9月6日委托我公司承担本项目的环境影响评价工作。接受委托后，我公司立即组织人员踏勘现场，收集、整理有关资料，对项目的建设等情况进行初步分析，并根据项目的性质、规模及项目所在地的区域环境特征，在现场踏勘、资料调研、环境监测、数据核算的基础上，编制完成了</w:t>
            </w:r>
            <w:r>
              <w:rPr>
                <w:rFonts w:hint="eastAsia"/>
                <w:sz w:val="24"/>
              </w:rPr>
              <w:t>《陕西渭河发电有限公司储煤场封闭工程环境</w:t>
            </w:r>
            <w:r>
              <w:rPr>
                <w:sz w:val="24"/>
              </w:rPr>
              <w:t>影响报告表</w:t>
            </w:r>
            <w:r>
              <w:rPr>
                <w:rFonts w:hint="eastAsia"/>
                <w:sz w:val="24"/>
              </w:rPr>
              <w:t>》</w:t>
            </w:r>
            <w:r>
              <w:rPr>
                <w:sz w:val="24"/>
              </w:rPr>
              <w:t>。</w:t>
            </w:r>
          </w:p>
          <w:p>
            <w:pPr>
              <w:pStyle w:val="2"/>
              <w:ind w:firstLine="482" w:firstLineChars="200"/>
              <w:rPr>
                <w:rFonts w:ascii="Times New Roman"/>
                <w:sz w:val="24"/>
                <w:szCs w:val="24"/>
              </w:rPr>
            </w:pPr>
            <w:bookmarkStart w:id="17" w:name="_Toc477877239"/>
            <w:bookmarkStart w:id="18" w:name="_Toc477877314"/>
            <w:bookmarkStart w:id="19" w:name="_Toc15522"/>
            <w:bookmarkStart w:id="20" w:name="_Toc493776620"/>
            <w:bookmarkStart w:id="21" w:name="_Toc494203139"/>
            <w:bookmarkStart w:id="22" w:name="_Toc494203282"/>
            <w:bookmarkStart w:id="23" w:name="_Toc494203385"/>
            <w:bookmarkStart w:id="24" w:name="_Toc514340317"/>
            <w:bookmarkStart w:id="25" w:name="_Toc514340568"/>
            <w:r>
              <w:rPr>
                <w:rFonts w:ascii="Times New Roman"/>
                <w:kern w:val="2"/>
                <w:sz w:val="24"/>
                <w:szCs w:val="24"/>
              </w:rPr>
              <w:t>二、</w:t>
            </w:r>
            <w:bookmarkEnd w:id="17"/>
            <w:bookmarkEnd w:id="18"/>
            <w:bookmarkEnd w:id="19"/>
            <w:bookmarkEnd w:id="20"/>
            <w:bookmarkEnd w:id="21"/>
            <w:bookmarkEnd w:id="22"/>
            <w:bookmarkEnd w:id="23"/>
            <w:r>
              <w:rPr>
                <w:rFonts w:hint="eastAsia" w:ascii="Times New Roman"/>
                <w:kern w:val="2"/>
                <w:sz w:val="24"/>
                <w:szCs w:val="24"/>
              </w:rPr>
              <w:t>分析判定</w:t>
            </w:r>
            <w:r>
              <w:rPr>
                <w:rFonts w:ascii="Times New Roman"/>
                <w:kern w:val="2"/>
                <w:sz w:val="24"/>
                <w:szCs w:val="24"/>
              </w:rPr>
              <w:t>相关情况</w:t>
            </w:r>
            <w:bookmarkEnd w:id="24"/>
            <w:bookmarkEnd w:id="25"/>
          </w:p>
          <w:p>
            <w:pPr>
              <w:spacing w:line="360" w:lineRule="auto"/>
              <w:ind w:firstLine="482" w:firstLineChars="200"/>
              <w:rPr>
                <w:b/>
                <w:sz w:val="24"/>
              </w:rPr>
            </w:pPr>
            <w:r>
              <w:rPr>
                <w:b/>
                <w:sz w:val="24"/>
              </w:rPr>
              <w:t>1、产业政策符合性</w:t>
            </w:r>
          </w:p>
          <w:p>
            <w:pPr>
              <w:spacing w:line="360" w:lineRule="auto"/>
              <w:ind w:firstLine="480" w:firstLineChars="200"/>
              <w:rPr>
                <w:kern w:val="24"/>
                <w:sz w:val="24"/>
              </w:rPr>
            </w:pPr>
            <w:r>
              <w:rPr>
                <w:kern w:val="24"/>
                <w:sz w:val="24"/>
              </w:rPr>
              <w:t>依据《产业结构调整指导目录（2011年本）》（2013年修正），</w:t>
            </w:r>
            <w:r>
              <w:rPr>
                <w:rFonts w:hint="eastAsia"/>
                <w:kern w:val="24"/>
                <w:sz w:val="24"/>
              </w:rPr>
              <w:t>本项目</w:t>
            </w:r>
            <w:r>
              <w:rPr>
                <w:kern w:val="24"/>
                <w:sz w:val="24"/>
              </w:rPr>
              <w:t>属于第一类</w:t>
            </w:r>
            <w:r>
              <w:rPr>
                <w:rFonts w:hint="eastAsia"/>
                <w:kern w:val="24"/>
                <w:sz w:val="24"/>
              </w:rPr>
              <w:t>“鼓励类”中</w:t>
            </w:r>
            <w:r>
              <w:rPr>
                <w:kern w:val="24"/>
                <w:sz w:val="24"/>
              </w:rPr>
              <w:t>的</w:t>
            </w:r>
            <w:r>
              <w:rPr>
                <w:rFonts w:hint="eastAsia"/>
                <w:kern w:val="24"/>
                <w:sz w:val="24"/>
              </w:rPr>
              <w:t>第三十二条“环境保护与</w:t>
            </w:r>
            <w:r>
              <w:rPr>
                <w:kern w:val="24"/>
                <w:sz w:val="24"/>
              </w:rPr>
              <w:t>资源节约利用</w:t>
            </w:r>
            <w:r>
              <w:rPr>
                <w:rFonts w:hint="eastAsia"/>
                <w:kern w:val="24"/>
                <w:sz w:val="24"/>
              </w:rPr>
              <w:t>”中</w:t>
            </w:r>
            <w:r>
              <w:rPr>
                <w:kern w:val="24"/>
                <w:sz w:val="24"/>
              </w:rPr>
              <w:t>第十五款</w:t>
            </w:r>
            <w:r>
              <w:rPr>
                <w:rFonts w:hint="eastAsia"/>
                <w:kern w:val="24"/>
                <w:sz w:val="24"/>
              </w:rPr>
              <w:t>“三废</w:t>
            </w:r>
            <w:r>
              <w:rPr>
                <w:kern w:val="24"/>
                <w:sz w:val="24"/>
              </w:rPr>
              <w:t>综合利用及治理工程</w:t>
            </w:r>
            <w:r>
              <w:rPr>
                <w:rFonts w:hint="eastAsia"/>
                <w:kern w:val="24"/>
                <w:sz w:val="24"/>
              </w:rPr>
              <w:t>”。</w:t>
            </w:r>
            <w:r>
              <w:rPr>
                <w:sz w:val="24"/>
              </w:rPr>
              <w:t>项目已取得</w:t>
            </w:r>
            <w:r>
              <w:rPr>
                <w:rFonts w:hint="eastAsia"/>
                <w:sz w:val="24"/>
              </w:rPr>
              <w:t>陕西省企业投资</w:t>
            </w:r>
            <w:r>
              <w:rPr>
                <w:sz w:val="24"/>
              </w:rPr>
              <w:t>建设项目备案确认书（</w:t>
            </w:r>
            <w:r>
              <w:rPr>
                <w:rFonts w:hint="eastAsia"/>
                <w:sz w:val="24"/>
              </w:rPr>
              <w:t>项目代码2018-61</w:t>
            </w:r>
            <w:r>
              <w:rPr>
                <w:sz w:val="24"/>
              </w:rPr>
              <w:t>1204</w:t>
            </w:r>
            <w:r>
              <w:rPr>
                <w:rFonts w:hint="eastAsia"/>
                <w:sz w:val="24"/>
              </w:rPr>
              <w:t>-</w:t>
            </w:r>
            <w:r>
              <w:rPr>
                <w:sz w:val="24"/>
              </w:rPr>
              <w:t>44</w:t>
            </w:r>
            <w:r>
              <w:rPr>
                <w:rFonts w:hint="eastAsia"/>
                <w:sz w:val="24"/>
              </w:rPr>
              <w:t>-03-0</w:t>
            </w:r>
            <w:r>
              <w:rPr>
                <w:sz w:val="24"/>
              </w:rPr>
              <w:t>42027）</w:t>
            </w:r>
            <w:r>
              <w:rPr>
                <w:rFonts w:hint="eastAsia"/>
                <w:sz w:val="24"/>
              </w:rPr>
              <w:t>。</w:t>
            </w:r>
            <w:r>
              <w:rPr>
                <w:sz w:val="24"/>
              </w:rPr>
              <w:t>因此，项目建设符合国家和陕西省产业政策</w:t>
            </w:r>
            <w:r>
              <w:rPr>
                <w:kern w:val="24"/>
                <w:sz w:val="24"/>
              </w:rPr>
              <w:t>要求</w:t>
            </w:r>
            <w:r>
              <w:rPr>
                <w:sz w:val="24"/>
              </w:rPr>
              <w:t>。</w:t>
            </w:r>
          </w:p>
          <w:p>
            <w:pPr>
              <w:spacing w:line="360" w:lineRule="auto"/>
              <w:ind w:firstLine="482" w:firstLineChars="200"/>
              <w:rPr>
                <w:b/>
                <w:snapToGrid w:val="0"/>
                <w:kern w:val="0"/>
                <w:sz w:val="24"/>
                <w:szCs w:val="28"/>
              </w:rPr>
            </w:pPr>
            <w:r>
              <w:rPr>
                <w:b/>
                <w:sz w:val="24"/>
              </w:rPr>
              <w:t>2</w:t>
            </w:r>
            <w:r>
              <w:rPr>
                <w:b/>
                <w:snapToGrid w:val="0"/>
                <w:kern w:val="0"/>
                <w:sz w:val="24"/>
                <w:szCs w:val="28"/>
              </w:rPr>
              <w:t>、相关规划符合性分析</w:t>
            </w:r>
          </w:p>
          <w:p>
            <w:pPr>
              <w:spacing w:line="360" w:lineRule="auto"/>
              <w:ind w:firstLine="480"/>
              <w:rPr>
                <w:sz w:val="24"/>
              </w:rPr>
            </w:pPr>
            <w:r>
              <w:rPr>
                <w:rFonts w:hint="eastAsia"/>
                <w:sz w:val="24"/>
              </w:rPr>
              <w:t>项目与相关</w:t>
            </w:r>
            <w:r>
              <w:rPr>
                <w:sz w:val="24"/>
              </w:rPr>
              <w:t>规划的符合性分析见表</w:t>
            </w:r>
            <w:r>
              <w:rPr>
                <w:rFonts w:hint="eastAsia"/>
                <w:sz w:val="24"/>
              </w:rPr>
              <w:t>1。</w:t>
            </w:r>
          </w:p>
          <w:p>
            <w:pPr>
              <w:jc w:val="center"/>
              <w:rPr>
                <w:b/>
                <w:szCs w:val="21"/>
              </w:rPr>
            </w:pPr>
            <w:r>
              <w:rPr>
                <w:rFonts w:hint="eastAsia"/>
                <w:b/>
                <w:szCs w:val="21"/>
              </w:rPr>
              <w:t>表1    项目</w:t>
            </w:r>
            <w:r>
              <w:rPr>
                <w:b/>
                <w:szCs w:val="21"/>
              </w:rPr>
              <w:t>与相关规划</w:t>
            </w:r>
            <w:r>
              <w:rPr>
                <w:rFonts w:hint="eastAsia"/>
                <w:b/>
                <w:szCs w:val="21"/>
              </w:rPr>
              <w:t>的</w:t>
            </w:r>
            <w:r>
              <w:rPr>
                <w:b/>
                <w:szCs w:val="21"/>
              </w:rPr>
              <w:t>符合性分析</w:t>
            </w:r>
          </w:p>
          <w:tbl>
            <w:tblPr>
              <w:tblStyle w:val="40"/>
              <w:tblW w:w="88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3827"/>
              <w:gridCol w:w="198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8" w:type="dxa"/>
                  <w:vAlign w:val="center"/>
                </w:tcPr>
                <w:p>
                  <w:pPr>
                    <w:jc w:val="center"/>
                    <w:rPr>
                      <w:szCs w:val="21"/>
                    </w:rPr>
                  </w:pPr>
                  <w:r>
                    <w:rPr>
                      <w:rFonts w:hint="eastAsia"/>
                      <w:szCs w:val="21"/>
                    </w:rPr>
                    <w:t>政策</w:t>
                  </w:r>
                  <w:r>
                    <w:rPr>
                      <w:szCs w:val="21"/>
                    </w:rPr>
                    <w:t>名称</w:t>
                  </w:r>
                </w:p>
              </w:tc>
              <w:tc>
                <w:tcPr>
                  <w:tcW w:w="3827" w:type="dxa"/>
                  <w:vAlign w:val="center"/>
                </w:tcPr>
                <w:p>
                  <w:pPr>
                    <w:jc w:val="center"/>
                    <w:rPr>
                      <w:szCs w:val="21"/>
                    </w:rPr>
                  </w:pPr>
                  <w:r>
                    <w:rPr>
                      <w:rFonts w:hint="eastAsia"/>
                      <w:szCs w:val="21"/>
                    </w:rPr>
                    <w:t>要求</w:t>
                  </w:r>
                </w:p>
              </w:tc>
              <w:tc>
                <w:tcPr>
                  <w:tcW w:w="1984" w:type="dxa"/>
                  <w:vAlign w:val="center"/>
                </w:tcPr>
                <w:p>
                  <w:pPr>
                    <w:jc w:val="center"/>
                    <w:rPr>
                      <w:szCs w:val="21"/>
                    </w:rPr>
                  </w:pPr>
                  <w:r>
                    <w:rPr>
                      <w:rFonts w:hint="eastAsia"/>
                      <w:szCs w:val="21"/>
                    </w:rPr>
                    <w:t>项目情况</w:t>
                  </w:r>
                </w:p>
              </w:tc>
              <w:tc>
                <w:tcPr>
                  <w:tcW w:w="987" w:type="dxa"/>
                  <w:vAlign w:val="center"/>
                </w:tcPr>
                <w:p>
                  <w:pPr>
                    <w:jc w:val="center"/>
                    <w:rPr>
                      <w:szCs w:val="21"/>
                    </w:rPr>
                  </w:pPr>
                  <w:r>
                    <w:rPr>
                      <w:rFonts w:hint="eastAsia"/>
                      <w:szCs w:val="21"/>
                    </w:rPr>
                    <w:t>符合性</w:t>
                  </w:r>
                  <w:r>
                    <w:rPr>
                      <w:szCs w:val="21"/>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8" w:type="dxa"/>
                  <w:vAlign w:val="center"/>
                </w:tcPr>
                <w:p>
                  <w:pPr>
                    <w:jc w:val="center"/>
                    <w:rPr>
                      <w:szCs w:val="21"/>
                    </w:rPr>
                  </w:pPr>
                  <w:r>
                    <w:rPr>
                      <w:rFonts w:hint="eastAsia"/>
                      <w:szCs w:val="21"/>
                    </w:rPr>
                    <w:t>“十三五”生态环境保护规划</w:t>
                  </w:r>
                </w:p>
              </w:tc>
              <w:tc>
                <w:tcPr>
                  <w:tcW w:w="3827" w:type="dxa"/>
                  <w:vAlign w:val="center"/>
                </w:tcPr>
                <w:p>
                  <w:pPr>
                    <w:jc w:val="center"/>
                    <w:rPr>
                      <w:szCs w:val="21"/>
                    </w:rPr>
                  </w:pPr>
                  <w:r>
                    <w:rPr>
                      <w:rFonts w:hint="eastAsia"/>
                      <w:szCs w:val="21"/>
                    </w:rPr>
                    <w:t>加快推进燃煤电厂超低排放和节能改造。强化露天煤场抑尘措施，有条件的实施封闭改造</w:t>
                  </w:r>
                </w:p>
              </w:tc>
              <w:tc>
                <w:tcPr>
                  <w:tcW w:w="1984" w:type="dxa"/>
                  <w:vAlign w:val="center"/>
                </w:tcPr>
                <w:p>
                  <w:pPr>
                    <w:jc w:val="center"/>
                    <w:rPr>
                      <w:szCs w:val="21"/>
                    </w:rPr>
                  </w:pPr>
                  <w:r>
                    <w:rPr>
                      <w:rFonts w:hint="eastAsia"/>
                      <w:szCs w:val="21"/>
                    </w:rPr>
                    <w:t>项目拟</w:t>
                  </w:r>
                  <w:r>
                    <w:rPr>
                      <w:szCs w:val="21"/>
                    </w:rPr>
                    <w:t>对露天煤场实施封闭</w:t>
                  </w:r>
                  <w:r>
                    <w:rPr>
                      <w:rFonts w:hint="eastAsia"/>
                      <w:szCs w:val="21"/>
                    </w:rPr>
                    <w:t>改造</w:t>
                  </w:r>
                </w:p>
              </w:tc>
              <w:tc>
                <w:tcPr>
                  <w:tcW w:w="987" w:type="dxa"/>
                  <w:vAlign w:val="center"/>
                </w:tcPr>
                <w:p>
                  <w:pPr>
                    <w:jc w:val="cente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8" w:type="dxa"/>
                  <w:vAlign w:val="center"/>
                </w:tcPr>
                <w:p>
                  <w:pPr>
                    <w:jc w:val="center"/>
                    <w:rPr>
                      <w:szCs w:val="21"/>
                    </w:rPr>
                  </w:pPr>
                  <w:r>
                    <w:rPr>
                      <w:rFonts w:hint="eastAsia"/>
                      <w:szCs w:val="21"/>
                    </w:rPr>
                    <w:t>大气污染防治行动计划</w:t>
                  </w:r>
                </w:p>
              </w:tc>
              <w:tc>
                <w:tcPr>
                  <w:tcW w:w="3827" w:type="dxa"/>
                  <w:vAlign w:val="center"/>
                </w:tcPr>
                <w:p>
                  <w:pPr>
                    <w:jc w:val="center"/>
                    <w:rPr>
                      <w:szCs w:val="21"/>
                    </w:rPr>
                  </w:pPr>
                  <w:r>
                    <w:rPr>
                      <w:rFonts w:hint="eastAsia"/>
                      <w:szCs w:val="21"/>
                    </w:rPr>
                    <w:t>深化面源</w:t>
                  </w:r>
                  <w:r>
                    <w:rPr>
                      <w:szCs w:val="21"/>
                    </w:rPr>
                    <w:t>污染治理，大型煤堆、料堆要实现封闭储存或建设防风抑尘</w:t>
                  </w:r>
                  <w:r>
                    <w:rPr>
                      <w:rFonts w:hint="eastAsia"/>
                      <w:szCs w:val="21"/>
                    </w:rPr>
                    <w:t>设施</w:t>
                  </w:r>
                </w:p>
              </w:tc>
              <w:tc>
                <w:tcPr>
                  <w:tcW w:w="1984" w:type="dxa"/>
                  <w:vMerge w:val="restart"/>
                  <w:vAlign w:val="center"/>
                </w:tcPr>
                <w:p>
                  <w:pPr>
                    <w:jc w:val="center"/>
                    <w:rPr>
                      <w:szCs w:val="21"/>
                    </w:rPr>
                  </w:pPr>
                  <w:r>
                    <w:rPr>
                      <w:rFonts w:hint="eastAsia"/>
                      <w:szCs w:val="21"/>
                    </w:rPr>
                    <w:t>项目</w:t>
                  </w:r>
                  <w:r>
                    <w:rPr>
                      <w:szCs w:val="21"/>
                    </w:rPr>
                    <w:t>露天煤场</w:t>
                  </w:r>
                  <w:r>
                    <w:rPr>
                      <w:rFonts w:hint="eastAsia"/>
                      <w:szCs w:val="21"/>
                    </w:rPr>
                    <w:t>现建有</w:t>
                  </w:r>
                  <w:r>
                    <w:rPr>
                      <w:szCs w:val="21"/>
                    </w:rPr>
                    <w:t>防风抑尘网，</w:t>
                  </w:r>
                  <w:r>
                    <w:rPr>
                      <w:rFonts w:hint="eastAsia"/>
                      <w:szCs w:val="21"/>
                    </w:rPr>
                    <w:t>拟</w:t>
                  </w:r>
                  <w:r>
                    <w:rPr>
                      <w:szCs w:val="21"/>
                    </w:rPr>
                    <w:t>实施封闭</w:t>
                  </w:r>
                  <w:r>
                    <w:rPr>
                      <w:rFonts w:hint="eastAsia"/>
                      <w:szCs w:val="21"/>
                    </w:rPr>
                    <w:t>改造</w:t>
                  </w:r>
                </w:p>
              </w:tc>
              <w:tc>
                <w:tcPr>
                  <w:tcW w:w="987" w:type="dxa"/>
                  <w:vAlign w:val="center"/>
                </w:tcPr>
                <w:p>
                  <w:pPr>
                    <w:jc w:val="cente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8" w:type="dxa"/>
                  <w:vAlign w:val="center"/>
                </w:tcPr>
                <w:p>
                  <w:pPr>
                    <w:jc w:val="center"/>
                    <w:rPr>
                      <w:szCs w:val="21"/>
                    </w:rPr>
                  </w:pPr>
                  <w:r>
                    <w:rPr>
                      <w:rFonts w:hint="eastAsia"/>
                      <w:szCs w:val="21"/>
                    </w:rPr>
                    <w:t>陕西省铁腕治霾打赢蓝天保卫战三年行动方案（2018～2020年）（修订版）</w:t>
                  </w:r>
                </w:p>
              </w:tc>
              <w:tc>
                <w:tcPr>
                  <w:tcW w:w="3827" w:type="dxa"/>
                  <w:vAlign w:val="center"/>
                </w:tcPr>
                <w:p>
                  <w:pPr>
                    <w:jc w:val="center"/>
                    <w:rPr>
                      <w:szCs w:val="21"/>
                    </w:rPr>
                  </w:pPr>
                  <w:r>
                    <w:rPr>
                      <w:rFonts w:hint="eastAsia"/>
                      <w:szCs w:val="21"/>
                    </w:rPr>
                    <w:t>严格落实煤炭、商品混凝土、粉煤灰等工业企业物料堆场抑尘措施，配套建设收尘和密封物料仓库，建设围墙、喷淋、覆盖和围挡等防风抑尘措施</w:t>
                  </w:r>
                </w:p>
              </w:tc>
              <w:tc>
                <w:tcPr>
                  <w:tcW w:w="1984" w:type="dxa"/>
                  <w:vMerge w:val="continue"/>
                  <w:vAlign w:val="center"/>
                </w:tcPr>
                <w:p>
                  <w:pPr>
                    <w:jc w:val="center"/>
                    <w:rPr>
                      <w:szCs w:val="21"/>
                    </w:rPr>
                  </w:pPr>
                </w:p>
              </w:tc>
              <w:tc>
                <w:tcPr>
                  <w:tcW w:w="987" w:type="dxa"/>
                  <w:vAlign w:val="center"/>
                </w:tcPr>
                <w:p>
                  <w:pPr>
                    <w:jc w:val="center"/>
                    <w:rPr>
                      <w:szCs w:val="21"/>
                    </w:rPr>
                  </w:pPr>
                  <w:r>
                    <w:rPr>
                      <w:rFonts w:hint="eastAsia"/>
                      <w:szCs w:val="21"/>
                    </w:rPr>
                    <w:t>符合</w:t>
                  </w:r>
                </w:p>
              </w:tc>
            </w:tr>
          </w:tbl>
          <w:p>
            <w:pPr>
              <w:jc w:val="center"/>
              <w:rPr>
                <w:b/>
                <w:szCs w:val="21"/>
              </w:rPr>
            </w:pPr>
          </w:p>
          <w:p>
            <w:pPr>
              <w:jc w:val="center"/>
              <w:rPr>
                <w:b/>
                <w:szCs w:val="21"/>
              </w:rPr>
            </w:pPr>
            <w:r>
              <w:rPr>
                <w:rFonts w:hint="eastAsia"/>
                <w:b/>
                <w:szCs w:val="21"/>
              </w:rPr>
              <w:t>续表1    项目</w:t>
            </w:r>
            <w:r>
              <w:rPr>
                <w:b/>
                <w:szCs w:val="21"/>
              </w:rPr>
              <w:t>与相关规划</w:t>
            </w:r>
            <w:r>
              <w:rPr>
                <w:rFonts w:hint="eastAsia"/>
                <w:b/>
                <w:szCs w:val="21"/>
              </w:rPr>
              <w:t>的</w:t>
            </w:r>
            <w:r>
              <w:rPr>
                <w:b/>
                <w:szCs w:val="21"/>
              </w:rPr>
              <w:t>符合性分析</w:t>
            </w:r>
          </w:p>
          <w:tbl>
            <w:tblPr>
              <w:tblStyle w:val="40"/>
              <w:tblW w:w="88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3827"/>
              <w:gridCol w:w="198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8" w:type="dxa"/>
                  <w:vAlign w:val="center"/>
                </w:tcPr>
                <w:p>
                  <w:pPr>
                    <w:jc w:val="center"/>
                    <w:rPr>
                      <w:szCs w:val="21"/>
                    </w:rPr>
                  </w:pPr>
                  <w:r>
                    <w:rPr>
                      <w:rFonts w:hint="eastAsia"/>
                      <w:szCs w:val="21"/>
                    </w:rPr>
                    <w:t>政策</w:t>
                  </w:r>
                  <w:r>
                    <w:rPr>
                      <w:szCs w:val="21"/>
                    </w:rPr>
                    <w:t>名称</w:t>
                  </w:r>
                </w:p>
              </w:tc>
              <w:tc>
                <w:tcPr>
                  <w:tcW w:w="3827" w:type="dxa"/>
                  <w:vAlign w:val="center"/>
                </w:tcPr>
                <w:p>
                  <w:pPr>
                    <w:jc w:val="center"/>
                    <w:rPr>
                      <w:szCs w:val="21"/>
                    </w:rPr>
                  </w:pPr>
                  <w:r>
                    <w:rPr>
                      <w:rFonts w:hint="eastAsia"/>
                      <w:szCs w:val="21"/>
                    </w:rPr>
                    <w:t>要求</w:t>
                  </w:r>
                </w:p>
              </w:tc>
              <w:tc>
                <w:tcPr>
                  <w:tcW w:w="1984" w:type="dxa"/>
                  <w:vAlign w:val="center"/>
                </w:tcPr>
                <w:p>
                  <w:pPr>
                    <w:jc w:val="center"/>
                    <w:rPr>
                      <w:szCs w:val="21"/>
                    </w:rPr>
                  </w:pPr>
                  <w:r>
                    <w:rPr>
                      <w:rFonts w:hint="eastAsia"/>
                      <w:szCs w:val="21"/>
                    </w:rPr>
                    <w:t>项目情况</w:t>
                  </w:r>
                </w:p>
              </w:tc>
              <w:tc>
                <w:tcPr>
                  <w:tcW w:w="987" w:type="dxa"/>
                  <w:vAlign w:val="center"/>
                </w:tcPr>
                <w:p>
                  <w:pPr>
                    <w:jc w:val="center"/>
                    <w:rPr>
                      <w:szCs w:val="21"/>
                    </w:rPr>
                  </w:pPr>
                  <w:r>
                    <w:rPr>
                      <w:rFonts w:hint="eastAsia"/>
                      <w:szCs w:val="21"/>
                    </w:rPr>
                    <w:t>符合性</w:t>
                  </w:r>
                  <w:r>
                    <w:rPr>
                      <w:szCs w:val="21"/>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8" w:type="dxa"/>
                  <w:vAlign w:val="center"/>
                </w:tcPr>
                <w:p>
                  <w:pPr>
                    <w:jc w:val="center"/>
                    <w:rPr>
                      <w:szCs w:val="21"/>
                    </w:rPr>
                  </w:pPr>
                  <w:r>
                    <w:rPr>
                      <w:rFonts w:hint="eastAsia"/>
                      <w:szCs w:val="21"/>
                    </w:rPr>
                    <w:t>西咸新区铁腕治霾打赢蓝天保卫战三年行动实施方案（2018～2020年）</w:t>
                  </w:r>
                </w:p>
              </w:tc>
              <w:tc>
                <w:tcPr>
                  <w:tcW w:w="3827" w:type="dxa"/>
                  <w:vAlign w:val="center"/>
                </w:tcPr>
                <w:p>
                  <w:pPr>
                    <w:jc w:val="center"/>
                    <w:rPr>
                      <w:szCs w:val="21"/>
                    </w:rPr>
                  </w:pPr>
                  <w:r>
                    <w:rPr>
                      <w:rFonts w:hint="eastAsia"/>
                      <w:szCs w:val="21"/>
                    </w:rPr>
                    <w:t>严格落实煤炭、粉煤灰等工业企业物料堆场抑尘措施，配套建设收尘和密封物料仓库，建设围墙、喷淋、覆盖和围挡等防风抑尘措施。</w:t>
                  </w:r>
                </w:p>
              </w:tc>
              <w:tc>
                <w:tcPr>
                  <w:tcW w:w="1984" w:type="dxa"/>
                  <w:vAlign w:val="center"/>
                </w:tcPr>
                <w:p>
                  <w:pPr>
                    <w:jc w:val="center"/>
                    <w:rPr>
                      <w:szCs w:val="21"/>
                    </w:rPr>
                  </w:pPr>
                  <w:r>
                    <w:rPr>
                      <w:rFonts w:hint="eastAsia"/>
                      <w:szCs w:val="21"/>
                    </w:rPr>
                    <w:t>项目</w:t>
                  </w:r>
                  <w:r>
                    <w:rPr>
                      <w:szCs w:val="21"/>
                    </w:rPr>
                    <w:t>露天煤场</w:t>
                  </w:r>
                  <w:r>
                    <w:rPr>
                      <w:rFonts w:hint="eastAsia"/>
                      <w:szCs w:val="21"/>
                    </w:rPr>
                    <w:t>现建有</w:t>
                  </w:r>
                  <w:r>
                    <w:rPr>
                      <w:szCs w:val="21"/>
                    </w:rPr>
                    <w:t>防风抑尘网，</w:t>
                  </w:r>
                  <w:r>
                    <w:rPr>
                      <w:rFonts w:hint="eastAsia"/>
                      <w:szCs w:val="21"/>
                    </w:rPr>
                    <w:t>拟</w:t>
                  </w:r>
                  <w:r>
                    <w:rPr>
                      <w:szCs w:val="21"/>
                    </w:rPr>
                    <w:t>实施封闭</w:t>
                  </w:r>
                  <w:r>
                    <w:rPr>
                      <w:rFonts w:hint="eastAsia"/>
                      <w:szCs w:val="21"/>
                    </w:rPr>
                    <w:t>改造</w:t>
                  </w:r>
                </w:p>
              </w:tc>
              <w:tc>
                <w:tcPr>
                  <w:tcW w:w="987" w:type="dxa"/>
                  <w:vAlign w:val="center"/>
                </w:tcPr>
                <w:p>
                  <w:pPr>
                    <w:jc w:val="center"/>
                    <w:rPr>
                      <w:szCs w:val="21"/>
                    </w:rPr>
                  </w:pPr>
                  <w:r>
                    <w:rPr>
                      <w:rFonts w:hint="eastAsia"/>
                      <w:szCs w:val="21"/>
                    </w:rPr>
                    <w:t>符合</w:t>
                  </w:r>
                </w:p>
              </w:tc>
            </w:tr>
          </w:tbl>
          <w:p>
            <w:pPr>
              <w:spacing w:before="120" w:beforeLines="50" w:line="360" w:lineRule="auto"/>
              <w:ind w:firstLine="482"/>
              <w:rPr>
                <w:sz w:val="24"/>
              </w:rPr>
            </w:pPr>
            <w:r>
              <w:rPr>
                <w:rFonts w:hint="eastAsia"/>
                <w:sz w:val="24"/>
              </w:rPr>
              <w:t>由表1可知，项目</w:t>
            </w:r>
            <w:r>
              <w:rPr>
                <w:sz w:val="24"/>
              </w:rPr>
              <w:t>符合相关规划要求</w:t>
            </w:r>
            <w:r>
              <w:rPr>
                <w:rFonts w:hint="eastAsia"/>
                <w:sz w:val="24"/>
              </w:rPr>
              <w:t>。</w:t>
            </w:r>
          </w:p>
          <w:p>
            <w:pPr>
              <w:spacing w:line="360" w:lineRule="auto"/>
              <w:ind w:left="482"/>
              <w:rPr>
                <w:b/>
                <w:sz w:val="24"/>
              </w:rPr>
            </w:pPr>
            <w:r>
              <w:rPr>
                <w:b/>
                <w:sz w:val="24"/>
              </w:rPr>
              <w:t>3</w:t>
            </w:r>
            <w:r>
              <w:rPr>
                <w:rFonts w:hint="eastAsia"/>
                <w:b/>
                <w:sz w:val="24"/>
              </w:rPr>
              <w:t>、</w:t>
            </w:r>
            <w:r>
              <w:rPr>
                <w:b/>
                <w:sz w:val="24"/>
              </w:rPr>
              <w:t>选址合理性分析</w:t>
            </w:r>
          </w:p>
          <w:p>
            <w:pPr>
              <w:spacing w:line="360" w:lineRule="auto"/>
              <w:ind w:firstLine="482"/>
              <w:rPr>
                <w:sz w:val="24"/>
              </w:rPr>
            </w:pPr>
            <w:r>
              <w:rPr>
                <w:rFonts w:hint="eastAsia"/>
                <w:sz w:val="24"/>
              </w:rPr>
              <w:t>项目储煤场</w:t>
            </w:r>
            <w:r>
              <w:rPr>
                <w:sz w:val="24"/>
              </w:rPr>
              <w:t>封闭工程全部位于</w:t>
            </w:r>
            <w:r>
              <w:rPr>
                <w:rFonts w:hint="eastAsia"/>
                <w:sz w:val="24"/>
              </w:rPr>
              <w:t>现有陕西渭河发电有限公司厂区</w:t>
            </w:r>
            <w:r>
              <w:rPr>
                <w:sz w:val="24"/>
              </w:rPr>
              <w:t>内部，</w:t>
            </w:r>
            <w:r>
              <w:rPr>
                <w:rFonts w:hint="eastAsia"/>
                <w:sz w:val="24"/>
              </w:rPr>
              <w:t>不新增</w:t>
            </w:r>
            <w:r>
              <w:rPr>
                <w:sz w:val="24"/>
              </w:rPr>
              <w:t>占地</w:t>
            </w:r>
            <w:r>
              <w:rPr>
                <w:rFonts w:hint="eastAsia"/>
                <w:sz w:val="24"/>
              </w:rPr>
              <w:t>。</w:t>
            </w:r>
            <w:r>
              <w:rPr>
                <w:sz w:val="24"/>
              </w:rPr>
              <w:t>项目施工期会产生一定的噪声</w:t>
            </w:r>
            <w:r>
              <w:rPr>
                <w:rFonts w:hint="eastAsia"/>
                <w:sz w:val="24"/>
              </w:rPr>
              <w:t>、</w:t>
            </w:r>
            <w:r>
              <w:rPr>
                <w:sz w:val="24"/>
              </w:rPr>
              <w:t>固废等</w:t>
            </w:r>
            <w:r>
              <w:rPr>
                <w:rFonts w:hint="eastAsia"/>
                <w:sz w:val="24"/>
              </w:rPr>
              <w:t>，</w:t>
            </w:r>
            <w:r>
              <w:rPr>
                <w:sz w:val="24"/>
              </w:rPr>
              <w:t>但都局限于厂内</w:t>
            </w:r>
            <w:r>
              <w:rPr>
                <w:rFonts w:hint="eastAsia"/>
                <w:sz w:val="24"/>
              </w:rPr>
              <w:t>；根据本次评价结论，项目建成运行后，可有效减少颗粒物对外环境的影响。</w:t>
            </w:r>
          </w:p>
          <w:p>
            <w:pPr>
              <w:spacing w:line="360" w:lineRule="auto"/>
              <w:ind w:firstLine="480" w:firstLineChars="200"/>
              <w:rPr>
                <w:sz w:val="24"/>
              </w:rPr>
            </w:pPr>
            <w:r>
              <w:rPr>
                <w:sz w:val="24"/>
              </w:rPr>
              <w:t>综上所述，从环境保护角度分析，项目选址可行。</w:t>
            </w:r>
          </w:p>
          <w:p>
            <w:pPr>
              <w:pStyle w:val="2"/>
              <w:ind w:firstLine="482" w:firstLineChars="200"/>
              <w:rPr>
                <w:rFonts w:ascii="Times New Roman"/>
                <w:sz w:val="24"/>
                <w:szCs w:val="24"/>
              </w:rPr>
            </w:pPr>
            <w:bookmarkStart w:id="26" w:name="_Toc477877315"/>
            <w:bookmarkStart w:id="27" w:name="_Toc477877240"/>
            <w:bookmarkStart w:id="28" w:name="_Toc12164"/>
            <w:bookmarkStart w:id="29" w:name="_Toc493776621"/>
            <w:bookmarkStart w:id="30" w:name="_Toc494203140"/>
            <w:bookmarkStart w:id="31" w:name="_Toc494203283"/>
            <w:bookmarkStart w:id="32" w:name="_Toc494203386"/>
            <w:bookmarkStart w:id="33" w:name="_Toc514340318"/>
            <w:bookmarkStart w:id="34" w:name="_Toc514340569"/>
            <w:r>
              <w:rPr>
                <w:rFonts w:ascii="Times New Roman"/>
                <w:kern w:val="2"/>
                <w:sz w:val="24"/>
                <w:szCs w:val="24"/>
              </w:rPr>
              <w:t>三、地理位置及周</w:t>
            </w:r>
            <w:r>
              <w:rPr>
                <w:rFonts w:hint="eastAsia" w:ascii="Times New Roman"/>
                <w:kern w:val="2"/>
                <w:sz w:val="24"/>
                <w:szCs w:val="24"/>
              </w:rPr>
              <w:t>边</w:t>
            </w:r>
            <w:r>
              <w:rPr>
                <w:rFonts w:ascii="Times New Roman"/>
                <w:kern w:val="2"/>
                <w:sz w:val="24"/>
                <w:szCs w:val="24"/>
              </w:rPr>
              <w:t>环境概况</w:t>
            </w:r>
            <w:bookmarkEnd w:id="26"/>
            <w:bookmarkEnd w:id="27"/>
            <w:bookmarkEnd w:id="28"/>
            <w:bookmarkEnd w:id="29"/>
            <w:bookmarkEnd w:id="30"/>
            <w:bookmarkEnd w:id="31"/>
            <w:bookmarkEnd w:id="32"/>
            <w:bookmarkEnd w:id="33"/>
            <w:bookmarkEnd w:id="34"/>
          </w:p>
          <w:p>
            <w:pPr>
              <w:pStyle w:val="18"/>
              <w:spacing w:line="360" w:lineRule="auto"/>
              <w:ind w:firstLine="482" w:firstLineChars="200"/>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地理位置</w:t>
            </w:r>
          </w:p>
          <w:p>
            <w:pPr>
              <w:pStyle w:val="18"/>
              <w:spacing w:line="360" w:lineRule="auto"/>
              <w:ind w:firstLine="480" w:firstLineChars="200"/>
              <w:rPr>
                <w:rFonts w:ascii="Times New Roman" w:hAnsi="Times New Roman"/>
                <w:sz w:val="24"/>
              </w:rPr>
            </w:pPr>
            <w:r>
              <w:rPr>
                <w:rFonts w:ascii="Times New Roman" w:hAnsi="Times New Roman"/>
                <w:sz w:val="24"/>
                <w:szCs w:val="24"/>
              </w:rPr>
              <w:t>项目拟建场址位于</w:t>
            </w:r>
            <w:r>
              <w:rPr>
                <w:rFonts w:hint="eastAsia"/>
                <w:sz w:val="24"/>
              </w:rPr>
              <w:t>西咸新区秦汉新城正阳镇</w:t>
            </w:r>
            <w:r>
              <w:rPr>
                <w:rFonts w:ascii="Times New Roman" w:hAnsi="Times New Roman"/>
                <w:sz w:val="24"/>
                <w:szCs w:val="24"/>
              </w:rPr>
              <w:t>，</w:t>
            </w:r>
            <w:r>
              <w:rPr>
                <w:rFonts w:hint="eastAsia" w:ascii="Times New Roman" w:hAnsi="Times New Roman"/>
                <w:sz w:val="24"/>
                <w:szCs w:val="24"/>
              </w:rPr>
              <w:t>现状为露天</w:t>
            </w:r>
            <w:r>
              <w:rPr>
                <w:rFonts w:ascii="Times New Roman" w:hAnsi="Times New Roman"/>
                <w:sz w:val="24"/>
                <w:szCs w:val="24"/>
              </w:rPr>
              <w:t>储煤场，场址中心</w:t>
            </w:r>
            <w:r>
              <w:rPr>
                <w:rFonts w:ascii="Times New Roman" w:hAnsi="Times New Roman"/>
                <w:sz w:val="24"/>
              </w:rPr>
              <w:t>地理坐标为：N34.424824°，E</w:t>
            </w:r>
            <w:r>
              <w:rPr>
                <w:rFonts w:hint="eastAsia" w:ascii="Times New Roman" w:hAnsi="Times New Roman"/>
                <w:sz w:val="24"/>
              </w:rPr>
              <w:t>108.</w:t>
            </w:r>
            <w:r>
              <w:rPr>
                <w:rFonts w:ascii="Times New Roman" w:hAnsi="Times New Roman"/>
                <w:sz w:val="24"/>
              </w:rPr>
              <w:t>916875°</w:t>
            </w:r>
            <w:r>
              <w:rPr>
                <w:rFonts w:ascii="Times New Roman" w:hAnsi="Times New Roman"/>
                <w:sz w:val="24"/>
                <w:szCs w:val="24"/>
              </w:rPr>
              <w:t>。</w:t>
            </w:r>
            <w:r>
              <w:rPr>
                <w:rFonts w:hint="eastAsia" w:ascii="Times New Roman" w:hAnsi="Times New Roman"/>
                <w:sz w:val="24"/>
                <w:szCs w:val="24"/>
              </w:rPr>
              <w:t>通过厂区</w:t>
            </w:r>
            <w:r>
              <w:rPr>
                <w:rFonts w:ascii="Times New Roman" w:hAnsi="Times New Roman"/>
                <w:sz w:val="24"/>
                <w:szCs w:val="24"/>
              </w:rPr>
              <w:t>现有进场道路与</w:t>
            </w:r>
            <w:r>
              <w:rPr>
                <w:rFonts w:hint="eastAsia" w:ascii="Times New Roman" w:hAnsi="Times New Roman"/>
                <w:sz w:val="24"/>
                <w:szCs w:val="24"/>
              </w:rPr>
              <w:t>省道、</w:t>
            </w:r>
            <w:r>
              <w:rPr>
                <w:rFonts w:ascii="Times New Roman" w:hAnsi="Times New Roman"/>
                <w:sz w:val="24"/>
                <w:szCs w:val="24"/>
              </w:rPr>
              <w:t>县道</w:t>
            </w:r>
            <w:r>
              <w:rPr>
                <w:rFonts w:ascii="Times New Roman" w:hAnsi="Times New Roman"/>
                <w:sz w:val="24"/>
              </w:rPr>
              <w:t>相接，交通较为便利。</w:t>
            </w:r>
          </w:p>
          <w:p>
            <w:pPr>
              <w:pStyle w:val="18"/>
              <w:spacing w:line="360" w:lineRule="auto"/>
              <w:ind w:firstLine="482" w:firstLineChars="200"/>
              <w:rPr>
                <w:rFonts w:ascii="Times New Roman" w:hAnsi="Times New Roman"/>
                <w:b/>
                <w:sz w:val="24"/>
                <w:szCs w:val="24"/>
              </w:rPr>
            </w:pPr>
            <w:r>
              <w:rPr>
                <w:rFonts w:ascii="Times New Roman" w:hAnsi="Times New Roman"/>
                <w:b/>
                <w:sz w:val="24"/>
              </w:rPr>
              <w:t>2</w:t>
            </w:r>
            <w:r>
              <w:rPr>
                <w:rFonts w:hint="eastAsia" w:ascii="Times New Roman" w:hAnsi="Times New Roman"/>
                <w:b/>
                <w:sz w:val="24"/>
              </w:rPr>
              <w:t>、</w:t>
            </w:r>
            <w:r>
              <w:rPr>
                <w:rFonts w:ascii="Times New Roman" w:hAnsi="Times New Roman"/>
                <w:b/>
                <w:sz w:val="24"/>
              </w:rPr>
              <w:t>周边环境概况</w:t>
            </w:r>
          </w:p>
          <w:p>
            <w:pPr>
              <w:pStyle w:val="18"/>
              <w:spacing w:line="360" w:lineRule="auto"/>
              <w:ind w:firstLine="480" w:firstLineChars="200"/>
              <w:rPr>
                <w:rFonts w:ascii="Times New Roman" w:hAnsi="Times New Roman"/>
                <w:sz w:val="24"/>
                <w:szCs w:val="24"/>
              </w:rPr>
            </w:pPr>
            <w:r>
              <w:rPr>
                <w:rFonts w:ascii="Times New Roman" w:hAnsi="Times New Roman"/>
                <w:sz w:val="24"/>
                <w:szCs w:val="24"/>
              </w:rPr>
              <w:t>项目</w:t>
            </w:r>
            <w:r>
              <w:rPr>
                <w:rFonts w:hint="eastAsia" w:ascii="Times New Roman" w:hAnsi="Times New Roman"/>
                <w:sz w:val="24"/>
                <w:szCs w:val="24"/>
              </w:rPr>
              <w:t>占地区域</w:t>
            </w:r>
            <w:r>
              <w:rPr>
                <w:rFonts w:ascii="Times New Roman" w:hAnsi="Times New Roman"/>
                <w:sz w:val="24"/>
                <w:szCs w:val="24"/>
              </w:rPr>
              <w:t>位于</w:t>
            </w:r>
            <w:r>
              <w:rPr>
                <w:rFonts w:hint="eastAsia" w:ascii="Times New Roman" w:hAnsi="Times New Roman"/>
                <w:sz w:val="24"/>
                <w:szCs w:val="24"/>
              </w:rPr>
              <w:t>现有陕西渭河电厂内部，北侧为</w:t>
            </w:r>
            <w:r>
              <w:rPr>
                <w:rFonts w:ascii="Times New Roman" w:hAnsi="Times New Roman"/>
                <w:sz w:val="24"/>
                <w:szCs w:val="24"/>
              </w:rPr>
              <w:t>渭河</w:t>
            </w:r>
            <w:r>
              <w:rPr>
                <w:rFonts w:hint="eastAsia" w:ascii="Times New Roman" w:hAnsi="Times New Roman"/>
                <w:sz w:val="24"/>
                <w:szCs w:val="24"/>
              </w:rPr>
              <w:t>电厂主厂房区，西侧</w:t>
            </w:r>
            <w:r>
              <w:rPr>
                <w:rFonts w:ascii="Times New Roman" w:hAnsi="Times New Roman"/>
                <w:sz w:val="24"/>
                <w:szCs w:val="24"/>
              </w:rPr>
              <w:t>为</w:t>
            </w:r>
            <w:r>
              <w:rPr>
                <w:rFonts w:hint="eastAsia" w:ascii="Times New Roman" w:hAnsi="Times New Roman"/>
                <w:sz w:val="24"/>
                <w:szCs w:val="24"/>
              </w:rPr>
              <w:t>石灰石</w:t>
            </w:r>
            <w:r>
              <w:rPr>
                <w:rFonts w:ascii="Times New Roman" w:hAnsi="Times New Roman"/>
                <w:sz w:val="24"/>
                <w:szCs w:val="24"/>
              </w:rPr>
              <w:t>粉磨站，南侧为运煤专线及绿化带</w:t>
            </w:r>
            <w:r>
              <w:rPr>
                <w:rFonts w:hint="eastAsia" w:ascii="Times New Roman" w:hAnsi="Times New Roman"/>
                <w:sz w:val="24"/>
                <w:szCs w:val="24"/>
              </w:rPr>
              <w:t>，东侧为材料库</w:t>
            </w:r>
            <w:r>
              <w:rPr>
                <w:rFonts w:ascii="Times New Roman" w:hAnsi="Times New Roman"/>
                <w:sz w:val="24"/>
                <w:szCs w:val="24"/>
              </w:rPr>
              <w:t>、油库</w:t>
            </w:r>
            <w:r>
              <w:rPr>
                <w:rFonts w:hint="eastAsia" w:ascii="Times New Roman" w:hAnsi="Times New Roman"/>
                <w:sz w:val="24"/>
                <w:szCs w:val="24"/>
              </w:rPr>
              <w:t>等。储煤场西</w:t>
            </w:r>
            <w:r>
              <w:rPr>
                <w:rFonts w:ascii="Times New Roman" w:hAnsi="Times New Roman"/>
                <w:sz w:val="24"/>
                <w:szCs w:val="24"/>
              </w:rPr>
              <w:t>距</w:t>
            </w:r>
            <w:r>
              <w:rPr>
                <w:rFonts w:hint="eastAsia" w:ascii="Times New Roman" w:hAnsi="Times New Roman"/>
                <w:sz w:val="24"/>
                <w:szCs w:val="24"/>
              </w:rPr>
              <w:t>柏家咀村</w:t>
            </w:r>
            <w:r>
              <w:rPr>
                <w:rFonts w:ascii="Times New Roman" w:hAnsi="Times New Roman"/>
                <w:sz w:val="24"/>
                <w:szCs w:val="24"/>
              </w:rPr>
              <w:t>居民</w:t>
            </w:r>
            <w:r>
              <w:rPr>
                <w:rFonts w:hint="eastAsia" w:ascii="Times New Roman" w:hAnsi="Times New Roman"/>
                <w:sz w:val="24"/>
                <w:szCs w:val="24"/>
              </w:rPr>
              <w:t>3</w:t>
            </w:r>
            <w:r>
              <w:rPr>
                <w:rFonts w:ascii="Times New Roman" w:hAnsi="Times New Roman"/>
                <w:sz w:val="24"/>
                <w:szCs w:val="24"/>
              </w:rPr>
              <w:t>3</w:t>
            </w:r>
            <w:r>
              <w:rPr>
                <w:rFonts w:hint="eastAsia" w:ascii="Times New Roman" w:hAnsi="Times New Roman"/>
                <w:sz w:val="24"/>
                <w:szCs w:val="24"/>
              </w:rPr>
              <w:t>0m，西北</w:t>
            </w:r>
            <w:r>
              <w:rPr>
                <w:rFonts w:ascii="Times New Roman" w:hAnsi="Times New Roman"/>
                <w:sz w:val="24"/>
                <w:szCs w:val="24"/>
              </w:rPr>
              <w:t>距岩张村居民</w:t>
            </w:r>
            <w:r>
              <w:rPr>
                <w:rFonts w:hint="eastAsia" w:ascii="Times New Roman" w:hAnsi="Times New Roman"/>
                <w:sz w:val="24"/>
                <w:szCs w:val="24"/>
              </w:rPr>
              <w:t>6</w:t>
            </w:r>
            <w:r>
              <w:rPr>
                <w:rFonts w:ascii="Times New Roman" w:hAnsi="Times New Roman"/>
                <w:sz w:val="24"/>
                <w:szCs w:val="24"/>
              </w:rPr>
              <w:t>8</w:t>
            </w:r>
            <w:r>
              <w:rPr>
                <w:rFonts w:hint="eastAsia" w:ascii="Times New Roman" w:hAnsi="Times New Roman"/>
                <w:sz w:val="24"/>
                <w:szCs w:val="24"/>
              </w:rPr>
              <w:t>0m，</w:t>
            </w:r>
            <w:r>
              <w:rPr>
                <w:rFonts w:ascii="Times New Roman" w:hAnsi="Times New Roman"/>
                <w:sz w:val="24"/>
                <w:szCs w:val="24"/>
              </w:rPr>
              <w:t>东距渭河</w:t>
            </w:r>
            <w:r>
              <w:rPr>
                <w:rFonts w:hint="eastAsia" w:ascii="Times New Roman" w:hAnsi="Times New Roman"/>
                <w:sz w:val="24"/>
                <w:szCs w:val="24"/>
              </w:rPr>
              <w:t>电厂</w:t>
            </w:r>
            <w:r>
              <w:rPr>
                <w:rFonts w:ascii="Times New Roman" w:hAnsi="Times New Roman"/>
                <w:sz w:val="24"/>
                <w:szCs w:val="24"/>
              </w:rPr>
              <w:t>居民区</w:t>
            </w:r>
            <w:r>
              <w:rPr>
                <w:rFonts w:hint="eastAsia" w:ascii="Times New Roman" w:hAnsi="Times New Roman"/>
                <w:sz w:val="24"/>
                <w:szCs w:val="24"/>
              </w:rPr>
              <w:t>340</w:t>
            </w:r>
            <w:r>
              <w:rPr>
                <w:rFonts w:ascii="Times New Roman" w:hAnsi="Times New Roman"/>
                <w:sz w:val="24"/>
                <w:szCs w:val="24"/>
              </w:rPr>
              <w:t>m</w:t>
            </w:r>
            <w:r>
              <w:rPr>
                <w:rFonts w:hint="eastAsia" w:ascii="Times New Roman" w:hAnsi="Times New Roman"/>
                <w:sz w:val="24"/>
                <w:szCs w:val="24"/>
              </w:rPr>
              <w:t>，东南</w:t>
            </w:r>
            <w:r>
              <w:rPr>
                <w:rFonts w:ascii="Times New Roman" w:hAnsi="Times New Roman"/>
                <w:sz w:val="24"/>
                <w:szCs w:val="24"/>
              </w:rPr>
              <w:t>距</w:t>
            </w:r>
            <w:r>
              <w:rPr>
                <w:rFonts w:hint="eastAsia" w:ascii="Times New Roman" w:hAnsi="Times New Roman"/>
                <w:sz w:val="24"/>
                <w:szCs w:val="24"/>
              </w:rPr>
              <w:t>马神庙村4</w:t>
            </w:r>
            <w:r>
              <w:rPr>
                <w:rFonts w:ascii="Times New Roman" w:hAnsi="Times New Roman"/>
                <w:sz w:val="24"/>
                <w:szCs w:val="24"/>
              </w:rPr>
              <w:t>35</w:t>
            </w:r>
            <w:r>
              <w:rPr>
                <w:rFonts w:hint="eastAsia" w:ascii="Times New Roman" w:hAnsi="Times New Roman"/>
                <w:sz w:val="24"/>
                <w:szCs w:val="24"/>
              </w:rPr>
              <w:t>m，西南</w:t>
            </w:r>
            <w:r>
              <w:rPr>
                <w:rFonts w:ascii="Times New Roman" w:hAnsi="Times New Roman"/>
                <w:sz w:val="24"/>
                <w:szCs w:val="24"/>
              </w:rPr>
              <w:t>距东杨村</w:t>
            </w:r>
            <w:r>
              <w:rPr>
                <w:rFonts w:hint="eastAsia" w:ascii="Times New Roman" w:hAnsi="Times New Roman"/>
                <w:sz w:val="24"/>
                <w:szCs w:val="24"/>
              </w:rPr>
              <w:t>4</w:t>
            </w:r>
            <w:r>
              <w:rPr>
                <w:rFonts w:ascii="Times New Roman" w:hAnsi="Times New Roman"/>
                <w:sz w:val="24"/>
                <w:szCs w:val="24"/>
              </w:rPr>
              <w:t>3</w:t>
            </w:r>
            <w:r>
              <w:rPr>
                <w:rFonts w:hint="eastAsia" w:ascii="Times New Roman" w:hAnsi="Times New Roman"/>
                <w:sz w:val="24"/>
                <w:szCs w:val="24"/>
              </w:rPr>
              <w:t>1m，</w:t>
            </w:r>
            <w:r>
              <w:rPr>
                <w:rFonts w:ascii="Times New Roman" w:hAnsi="Times New Roman"/>
                <w:sz w:val="24"/>
                <w:szCs w:val="24"/>
              </w:rPr>
              <w:t>无拆迁和移民安置问题。</w:t>
            </w:r>
          </w:p>
          <w:p>
            <w:pPr>
              <w:pStyle w:val="18"/>
              <w:spacing w:line="360" w:lineRule="auto"/>
              <w:ind w:firstLine="480" w:firstLineChars="200"/>
              <w:rPr>
                <w:rFonts w:ascii="Times New Roman" w:hAnsi="Times New Roman"/>
                <w:sz w:val="24"/>
                <w:szCs w:val="24"/>
              </w:rPr>
            </w:pPr>
            <w:r>
              <w:rPr>
                <w:rFonts w:ascii="Times New Roman" w:hAnsi="Times New Roman"/>
                <w:sz w:val="24"/>
                <w:szCs w:val="24"/>
              </w:rPr>
              <w:t>项目地理位置图见附图1</w:t>
            </w:r>
            <w:r>
              <w:rPr>
                <w:rFonts w:hint="eastAsia" w:ascii="Times New Roman" w:hAnsi="Times New Roman"/>
                <w:sz w:val="24"/>
                <w:szCs w:val="24"/>
              </w:rPr>
              <w:t>，</w:t>
            </w:r>
            <w:r>
              <w:rPr>
                <w:rFonts w:ascii="Times New Roman" w:hAnsi="Times New Roman"/>
                <w:sz w:val="24"/>
                <w:szCs w:val="24"/>
              </w:rPr>
              <w:t>周边环境关系图见附图2。</w:t>
            </w:r>
          </w:p>
          <w:p>
            <w:pPr>
              <w:pStyle w:val="18"/>
              <w:spacing w:line="360" w:lineRule="auto"/>
              <w:ind w:firstLine="482" w:firstLineChars="200"/>
              <w:rPr>
                <w:rFonts w:ascii="Times New Roman"/>
                <w:b/>
                <w:sz w:val="24"/>
                <w:szCs w:val="24"/>
              </w:rPr>
            </w:pPr>
            <w:r>
              <w:rPr>
                <w:rFonts w:ascii="Times New Roman" w:hAnsi="Times New Roman"/>
                <w:b/>
                <w:sz w:val="24"/>
                <w:szCs w:val="24"/>
              </w:rPr>
              <w:t>四、</w:t>
            </w:r>
            <w:bookmarkStart w:id="35" w:name="_Toc493776622"/>
            <w:bookmarkStart w:id="36" w:name="_Toc494203141"/>
            <w:bookmarkStart w:id="37" w:name="_Toc494203284"/>
            <w:bookmarkStart w:id="38" w:name="_Toc494203387"/>
            <w:r>
              <w:rPr>
                <w:rFonts w:hint="eastAsia" w:ascii="Times New Roman"/>
                <w:b/>
                <w:sz w:val="24"/>
                <w:szCs w:val="24"/>
              </w:rPr>
              <w:t>现有工程</w:t>
            </w:r>
            <w:r>
              <w:rPr>
                <w:rFonts w:ascii="Times New Roman"/>
                <w:b/>
                <w:sz w:val="24"/>
                <w:szCs w:val="24"/>
              </w:rPr>
              <w:t>概况</w:t>
            </w:r>
            <w:bookmarkEnd w:id="35"/>
            <w:bookmarkEnd w:id="36"/>
            <w:bookmarkEnd w:id="37"/>
            <w:bookmarkEnd w:id="38"/>
          </w:p>
          <w:p>
            <w:pPr>
              <w:spacing w:line="360" w:lineRule="auto"/>
              <w:ind w:firstLine="480" w:firstLineChars="200"/>
              <w:rPr>
                <w:sz w:val="24"/>
              </w:rPr>
            </w:pPr>
            <w:r>
              <w:rPr>
                <w:rFonts w:hint="eastAsia"/>
                <w:sz w:val="24"/>
              </w:rPr>
              <w:t>渭河电厂</w:t>
            </w:r>
            <w:r>
              <w:rPr>
                <w:sz w:val="24"/>
              </w:rPr>
              <w:t>现有</w:t>
            </w:r>
            <w:r>
              <w:rPr>
                <w:rFonts w:hint="eastAsia"/>
                <w:sz w:val="24"/>
              </w:rPr>
              <w:t>露天</w:t>
            </w:r>
            <w:r>
              <w:rPr>
                <w:sz w:val="24"/>
              </w:rPr>
              <w:t>储煤场</w:t>
            </w:r>
            <w:r>
              <w:rPr>
                <w:rFonts w:hint="eastAsia"/>
                <w:sz w:val="24"/>
              </w:rPr>
              <w:t>1座</w:t>
            </w:r>
            <w:r>
              <w:rPr>
                <w:sz w:val="24"/>
              </w:rPr>
              <w:t>，</w:t>
            </w:r>
            <w:r>
              <w:rPr>
                <w:rFonts w:hint="eastAsia"/>
                <w:sz w:val="24"/>
              </w:rPr>
              <w:t>储煤场为斗轮机条形煤场，煤场机械采用两台斗轮堆取料机按折返式布置，储煤场长2</w:t>
            </w:r>
            <w:r>
              <w:rPr>
                <w:sz w:val="24"/>
              </w:rPr>
              <w:t>6</w:t>
            </w:r>
            <w:r>
              <w:rPr>
                <w:rFonts w:hint="eastAsia"/>
                <w:sz w:val="24"/>
              </w:rPr>
              <w:t>0m、宽1</w:t>
            </w:r>
            <w:r>
              <w:rPr>
                <w:sz w:val="24"/>
              </w:rPr>
              <w:t>84</w:t>
            </w:r>
            <w:r>
              <w:rPr>
                <w:rFonts w:hint="eastAsia"/>
                <w:sz w:val="24"/>
              </w:rPr>
              <w:t>m，占地面积47840m</w:t>
            </w:r>
            <w:r>
              <w:rPr>
                <w:rFonts w:hint="eastAsia"/>
                <w:sz w:val="24"/>
                <w:vertAlign w:val="superscript"/>
              </w:rPr>
              <w:t>2</w:t>
            </w:r>
            <w:r>
              <w:rPr>
                <w:rFonts w:hint="eastAsia"/>
                <w:sz w:val="24"/>
              </w:rPr>
              <w:t>。堆煤高度13.5m，总储煤量约为30×10</w:t>
            </w:r>
            <w:r>
              <w:rPr>
                <w:rFonts w:hint="eastAsia"/>
                <w:sz w:val="24"/>
                <w:vertAlign w:val="superscript"/>
              </w:rPr>
              <w:t>4</w:t>
            </w:r>
            <w:r>
              <w:rPr>
                <w:rFonts w:hint="eastAsia"/>
                <w:sz w:val="24"/>
              </w:rPr>
              <w:t>t，可满足4×300MW机组BMCR工况下15d的耗煤量。</w:t>
            </w:r>
          </w:p>
          <w:p>
            <w:pPr>
              <w:spacing w:line="360" w:lineRule="auto"/>
              <w:ind w:firstLine="480" w:firstLineChars="200"/>
              <w:rPr>
                <w:sz w:val="24"/>
              </w:rPr>
            </w:pPr>
            <w:r>
              <w:rPr>
                <w:rFonts w:hint="eastAsia"/>
                <w:sz w:val="24"/>
              </w:rPr>
              <w:t>目前</w:t>
            </w:r>
            <w:r>
              <w:rPr>
                <w:sz w:val="24"/>
              </w:rPr>
              <w:t>，</w:t>
            </w:r>
            <w:r>
              <w:rPr>
                <w:rFonts w:hint="eastAsia"/>
                <w:sz w:val="24"/>
              </w:rPr>
              <w:t>煤场四周设有15m高的防风抑尘网，煤场</w:t>
            </w:r>
            <w:r>
              <w:rPr>
                <w:sz w:val="24"/>
              </w:rPr>
              <w:t>内</w:t>
            </w:r>
            <w:r>
              <w:rPr>
                <w:rFonts w:hint="eastAsia"/>
                <w:sz w:val="24"/>
              </w:rPr>
              <w:t>安装有两条输煤皮带、两台斗轮机和两条铁轨，煤场南侧东西方向有#0隧道、#1—#4地下煤斗室和地下输煤皮带。煤场共设置4个出入口，其中南侧的煤场出入口与其西侧的汽车运煤出入口之间为混凝土道路；在煤场周围有环形消防水管网和消防栓。其余出入口设置相应的车间引道，便于运煤车辆、推煤机等的交通。</w:t>
            </w:r>
          </w:p>
          <w:p>
            <w:pPr>
              <w:spacing w:line="360" w:lineRule="auto"/>
              <w:ind w:firstLine="482" w:firstLineChars="200"/>
              <w:rPr>
                <w:b/>
                <w:sz w:val="24"/>
              </w:rPr>
            </w:pPr>
            <w:bookmarkStart w:id="39" w:name="_Toc477877242"/>
            <w:bookmarkStart w:id="40" w:name="_Toc477877317"/>
            <w:bookmarkStart w:id="41" w:name="_Toc10967"/>
            <w:r>
              <w:rPr>
                <w:rFonts w:hint="eastAsia"/>
                <w:b/>
                <w:sz w:val="24"/>
              </w:rPr>
              <w:t>五、</w:t>
            </w:r>
            <w:r>
              <w:rPr>
                <w:b/>
                <w:sz w:val="24"/>
              </w:rPr>
              <w:t>技改项目基本情况</w:t>
            </w:r>
          </w:p>
          <w:p>
            <w:pPr>
              <w:spacing w:line="360" w:lineRule="auto"/>
              <w:ind w:firstLine="482" w:firstLineChars="200"/>
              <w:rPr>
                <w:b/>
                <w:bCs/>
                <w:kern w:val="24"/>
                <w:sz w:val="24"/>
              </w:rPr>
            </w:pPr>
            <w:r>
              <w:rPr>
                <w:rFonts w:hint="eastAsia"/>
                <w:b/>
                <w:bCs/>
                <w:kern w:val="24"/>
                <w:sz w:val="24"/>
              </w:rPr>
              <w:t>1、</w:t>
            </w:r>
            <w:r>
              <w:rPr>
                <w:b/>
                <w:bCs/>
                <w:kern w:val="24"/>
                <w:sz w:val="24"/>
              </w:rPr>
              <w:t>建设内容及规模</w:t>
            </w:r>
          </w:p>
          <w:p>
            <w:pPr>
              <w:spacing w:line="360" w:lineRule="auto"/>
              <w:ind w:firstLine="480" w:firstLineChars="200"/>
              <w:rPr>
                <w:bCs/>
                <w:kern w:val="24"/>
                <w:sz w:val="24"/>
              </w:rPr>
            </w:pPr>
            <w:r>
              <w:rPr>
                <w:rFonts w:hint="eastAsia"/>
                <w:bCs/>
                <w:kern w:val="24"/>
                <w:sz w:val="24"/>
              </w:rPr>
              <w:t>项目</w:t>
            </w:r>
            <w:r>
              <w:rPr>
                <w:bCs/>
                <w:kern w:val="24"/>
                <w:sz w:val="24"/>
              </w:rPr>
              <w:t>位于渭河电厂内部南侧，在现有</w:t>
            </w:r>
            <w:r>
              <w:rPr>
                <w:rFonts w:hint="eastAsia"/>
                <w:bCs/>
                <w:kern w:val="24"/>
                <w:sz w:val="24"/>
              </w:rPr>
              <w:t>露天</w:t>
            </w:r>
            <w:r>
              <w:rPr>
                <w:bCs/>
                <w:kern w:val="24"/>
                <w:sz w:val="24"/>
              </w:rPr>
              <w:t>储煤场</w:t>
            </w:r>
            <w:r>
              <w:rPr>
                <w:rFonts w:hint="eastAsia"/>
                <w:bCs/>
                <w:kern w:val="24"/>
                <w:sz w:val="24"/>
              </w:rPr>
              <w:t>位置</w:t>
            </w:r>
            <w:r>
              <w:rPr>
                <w:bCs/>
                <w:kern w:val="24"/>
                <w:sz w:val="24"/>
              </w:rPr>
              <w:t>建设封闭煤场，</w:t>
            </w:r>
            <w:r>
              <w:rPr>
                <w:rFonts w:hint="eastAsia"/>
                <w:bCs/>
                <w:kern w:val="24"/>
                <w:sz w:val="24"/>
              </w:rPr>
              <w:t>封闭</w:t>
            </w:r>
            <w:r>
              <w:rPr>
                <w:bCs/>
                <w:kern w:val="24"/>
                <w:sz w:val="24"/>
              </w:rPr>
              <w:t>现露天煤场，封闭尺寸为</w:t>
            </w:r>
            <w:r>
              <w:rPr>
                <w:rFonts w:hint="eastAsia"/>
                <w:bCs/>
                <w:kern w:val="24"/>
                <w:sz w:val="24"/>
              </w:rPr>
              <w:t>210m×180m，封闭</w:t>
            </w:r>
            <w:r>
              <w:rPr>
                <w:bCs/>
                <w:kern w:val="24"/>
                <w:sz w:val="24"/>
              </w:rPr>
              <w:t>面积</w:t>
            </w:r>
            <w:r>
              <w:rPr>
                <w:rFonts w:hint="eastAsia"/>
                <w:bCs/>
                <w:kern w:val="24"/>
                <w:sz w:val="24"/>
              </w:rPr>
              <w:t>37800m</w:t>
            </w:r>
            <w:r>
              <w:rPr>
                <w:rFonts w:hint="eastAsia"/>
                <w:bCs/>
                <w:kern w:val="24"/>
                <w:sz w:val="24"/>
                <w:vertAlign w:val="superscript"/>
              </w:rPr>
              <w:t>2</w:t>
            </w:r>
            <w:r>
              <w:rPr>
                <w:rFonts w:hint="eastAsia"/>
                <w:bCs/>
                <w:kern w:val="24"/>
                <w:sz w:val="24"/>
              </w:rPr>
              <w:t>。为了更好的利用场地建设条形封闭煤场，需拆除#6乙皮带、#2斗轮机、89号尾部驱动小室、</w:t>
            </w:r>
            <w:r>
              <w:rPr>
                <w:bCs/>
                <w:kern w:val="24"/>
                <w:sz w:val="24"/>
              </w:rPr>
              <w:t>四周防风抑尘网</w:t>
            </w:r>
            <w:r>
              <w:rPr>
                <w:rFonts w:hint="eastAsia"/>
                <w:bCs/>
                <w:kern w:val="24"/>
                <w:sz w:val="24"/>
              </w:rPr>
              <w:t>和南北两侧挡煤墙，按照现有设备位置和高度采用大跨度钢结构预应力管桁架封闭储煤场。屋面采用彩钢板进行维护，基础采用桩基，支撑钢桁架的混凝土立柱高于地面</w:t>
            </w:r>
            <w:r>
              <w:rPr>
                <w:bCs/>
                <w:kern w:val="24"/>
                <w:sz w:val="24"/>
              </w:rPr>
              <w:t>2</w:t>
            </w:r>
            <w:r>
              <w:rPr>
                <w:rFonts w:hint="eastAsia"/>
                <w:bCs/>
                <w:kern w:val="24"/>
                <w:sz w:val="24"/>
              </w:rPr>
              <w:t>.0m，柱间2.0m以下为钢筋混凝土挡煤墙，煤场南北两侧面挡煤墙</w:t>
            </w:r>
            <w:r>
              <w:rPr>
                <w:bCs/>
                <w:kern w:val="24"/>
                <w:sz w:val="24"/>
              </w:rPr>
              <w:t>上方</w:t>
            </w:r>
            <w:r>
              <w:rPr>
                <w:rFonts w:hint="eastAsia"/>
                <w:bCs/>
                <w:kern w:val="24"/>
                <w:sz w:val="24"/>
              </w:rPr>
              <w:t>安装</w:t>
            </w:r>
            <w:r>
              <w:rPr>
                <w:bCs/>
                <w:kern w:val="24"/>
                <w:sz w:val="24"/>
              </w:rPr>
              <w:t>3m</w:t>
            </w:r>
            <w:r>
              <w:rPr>
                <w:rFonts w:hint="eastAsia"/>
                <w:bCs/>
                <w:kern w:val="24"/>
                <w:sz w:val="24"/>
              </w:rPr>
              <w:t>高双层防风抑尘网替代</w:t>
            </w:r>
            <w:r>
              <w:rPr>
                <w:bCs/>
                <w:kern w:val="24"/>
                <w:sz w:val="24"/>
              </w:rPr>
              <w:t>部分屋面</w:t>
            </w:r>
            <w:r>
              <w:rPr>
                <w:rFonts w:hint="eastAsia"/>
                <w:bCs/>
                <w:kern w:val="24"/>
                <w:sz w:val="24"/>
              </w:rPr>
              <w:t>，满足项目通风要求。</w:t>
            </w:r>
          </w:p>
          <w:p>
            <w:pPr>
              <w:spacing w:line="360" w:lineRule="auto"/>
              <w:ind w:firstLine="480" w:firstLineChars="200"/>
              <w:rPr>
                <w:bCs/>
                <w:kern w:val="24"/>
                <w:sz w:val="24"/>
              </w:rPr>
            </w:pPr>
            <w:r>
              <w:rPr>
                <w:rFonts w:hint="eastAsia"/>
                <w:bCs/>
                <w:kern w:val="24"/>
                <w:sz w:val="24"/>
              </w:rPr>
              <w:t>为满足煤场功能，煤场共设置4个主要出入口，在煤场东侧设有2个出入口（#1斗轮机及皮带通道和推煤机进出通道），在煤场西侧设2个出入口（#1斗轮机及皮带通道和汽车煤进出通道）作为煤场的进出口（同时作为进口和出口）。另根据需要在四周设检修及消防大门及适当数量的人员进出通道。</w:t>
            </w:r>
          </w:p>
          <w:p>
            <w:pPr>
              <w:spacing w:line="360" w:lineRule="auto"/>
              <w:ind w:firstLine="480" w:firstLineChars="200"/>
              <w:rPr>
                <w:bCs/>
                <w:kern w:val="24"/>
                <w:sz w:val="24"/>
              </w:rPr>
            </w:pPr>
            <w:r>
              <w:rPr>
                <w:rFonts w:hint="eastAsia"/>
                <w:bCs/>
                <w:kern w:val="24"/>
                <w:sz w:val="24"/>
              </w:rPr>
              <w:t>项目在</w:t>
            </w:r>
            <w:r>
              <w:rPr>
                <w:bCs/>
                <w:kern w:val="24"/>
                <w:sz w:val="24"/>
              </w:rPr>
              <w:t>现有</w:t>
            </w:r>
            <w:r>
              <w:rPr>
                <w:rFonts w:hint="eastAsia"/>
                <w:bCs/>
                <w:kern w:val="24"/>
                <w:sz w:val="24"/>
              </w:rPr>
              <w:t>露天</w:t>
            </w:r>
            <w:r>
              <w:rPr>
                <w:bCs/>
                <w:kern w:val="24"/>
                <w:sz w:val="24"/>
              </w:rPr>
              <w:t>煤场建设一个</w:t>
            </w:r>
            <w:r>
              <w:rPr>
                <w:rFonts w:hint="eastAsia"/>
                <w:bCs/>
                <w:kern w:val="24"/>
                <w:sz w:val="24"/>
              </w:rPr>
              <w:t>大跨度钢结构预应力管桁架封闭储煤场，保持</w:t>
            </w:r>
            <w:r>
              <w:rPr>
                <w:bCs/>
                <w:kern w:val="24"/>
                <w:sz w:val="24"/>
              </w:rPr>
              <w:t>输煤系统输煤机械现有的运行状态</w:t>
            </w:r>
            <w:r>
              <w:rPr>
                <w:rFonts w:hint="eastAsia"/>
                <w:bCs/>
                <w:kern w:val="24"/>
                <w:sz w:val="24"/>
              </w:rPr>
              <w:t>（斗轮堆取料机+推煤机+皮带机）。预应力桁架结构在大跨度结构设计时，相对于网架结构具有更好的稳定性；结构外观简洁、线形流畅、空间造型多样化；所采用的钢管管壁比较薄，截面有比较大的回转半径，因而拥有较好的抗压和抗扭性能，从而结构整体刚度比较大，其几何特性比较好；钢管与大气接触的表面积比较小，节点处各根杆件又是直接焊接，无积留湿气和大量灰尘的死角或凹处，便于清刷、油漆，维护和防锈；并且管形构件对端部及全长范围内作封闭处理后，在其内部是不易生锈的；从流体动力学角度来讲，圆形管截面的管桁架结构其性能是有优势的，在风力或水流等荷载作用下，圆管结构比其它截面形式的结构其荷载作用效应要低得多。项目</w:t>
            </w:r>
            <w:r>
              <w:rPr>
                <w:bCs/>
                <w:kern w:val="24"/>
                <w:sz w:val="24"/>
              </w:rPr>
              <w:t>所用</w:t>
            </w:r>
            <w:r>
              <w:rPr>
                <w:rFonts w:hint="eastAsia"/>
                <w:bCs/>
                <w:kern w:val="24"/>
                <w:sz w:val="24"/>
              </w:rPr>
              <w:t>预应力管桁架结构</w:t>
            </w:r>
            <w:r>
              <w:rPr>
                <w:bCs/>
                <w:kern w:val="24"/>
                <w:sz w:val="24"/>
              </w:rPr>
              <w:t>见图</w:t>
            </w:r>
            <w:r>
              <w:rPr>
                <w:rFonts w:hint="eastAsia"/>
                <w:bCs/>
                <w:kern w:val="24"/>
                <w:sz w:val="24"/>
              </w:rPr>
              <w:t>1。</w:t>
            </w:r>
          </w:p>
          <w:p>
            <w:pPr>
              <w:spacing w:line="360" w:lineRule="auto"/>
              <w:ind w:firstLine="480" w:firstLineChars="200"/>
              <w:rPr>
                <w:rFonts w:hint="eastAsia"/>
                <w:bCs/>
                <w:color w:val="0070C0"/>
                <w:kern w:val="24"/>
                <w:sz w:val="24"/>
              </w:rPr>
            </w:pPr>
            <w:r>
              <w:rPr>
                <w:rFonts w:hint="eastAsia"/>
                <w:bCs/>
                <w:color w:val="0070C0"/>
                <w:kern w:val="24"/>
                <w:sz w:val="24"/>
              </w:rPr>
              <w:t>根据</w:t>
            </w:r>
            <w:r>
              <w:rPr>
                <w:bCs/>
                <w:color w:val="0070C0"/>
                <w:kern w:val="24"/>
                <w:sz w:val="24"/>
              </w:rPr>
              <w:t>现场调查，</w:t>
            </w:r>
            <w:r>
              <w:rPr>
                <w:rFonts w:hint="eastAsia"/>
                <w:bCs/>
                <w:color w:val="0070C0"/>
                <w:kern w:val="24"/>
                <w:sz w:val="24"/>
              </w:rPr>
              <w:t>项目#6乙皮带、#2斗轮机已拆除</w:t>
            </w:r>
            <w:r>
              <w:rPr>
                <w:bCs/>
                <w:color w:val="0070C0"/>
                <w:kern w:val="24"/>
                <w:sz w:val="24"/>
              </w:rPr>
              <w:t>，其余工程尚未开工</w:t>
            </w:r>
            <w:r>
              <w:rPr>
                <w:rFonts w:hint="eastAsia"/>
                <w:bCs/>
                <w:color w:val="0070C0"/>
                <w:kern w:val="24"/>
                <w:sz w:val="24"/>
              </w:rPr>
              <w:t>建设</w:t>
            </w:r>
            <w:r>
              <w:rPr>
                <w:bCs/>
                <w:color w:val="0070C0"/>
                <w:kern w:val="24"/>
                <w:sz w:val="24"/>
              </w:rPr>
              <w:t>。</w:t>
            </w:r>
          </w:p>
          <w:p>
            <w:pPr>
              <w:spacing w:line="360" w:lineRule="auto"/>
              <w:ind w:firstLine="480" w:firstLineChars="200"/>
              <w:rPr>
                <w:bCs/>
                <w:kern w:val="24"/>
                <w:sz w:val="24"/>
              </w:rPr>
            </w:pPr>
          </w:p>
          <w:p>
            <w:pPr>
              <w:spacing w:line="360" w:lineRule="auto"/>
              <w:ind w:firstLine="480" w:firstLineChars="200"/>
              <w:rPr>
                <w:bCs/>
                <w:kern w:val="24"/>
                <w:sz w:val="24"/>
              </w:rPr>
            </w:pPr>
          </w:p>
          <w:p>
            <w:pPr>
              <w:spacing w:line="360" w:lineRule="auto"/>
              <w:ind w:firstLine="480" w:firstLineChars="200"/>
              <w:rPr>
                <w:bCs/>
                <w:kern w:val="24"/>
                <w:sz w:val="24"/>
              </w:rPr>
            </w:pPr>
          </w:p>
          <w:p>
            <w:pPr>
              <w:spacing w:line="360" w:lineRule="auto"/>
              <w:ind w:firstLine="480" w:firstLineChars="200"/>
              <w:rPr>
                <w:bCs/>
                <w:kern w:val="24"/>
                <w:sz w:val="24"/>
              </w:rPr>
            </w:pPr>
          </w:p>
          <w:p>
            <w:pPr>
              <w:spacing w:line="360" w:lineRule="auto"/>
              <w:ind w:firstLine="480" w:firstLineChars="200"/>
              <w:rPr>
                <w:bCs/>
                <w:kern w:val="24"/>
                <w:sz w:val="24"/>
              </w:rPr>
            </w:pPr>
          </w:p>
          <w:p>
            <w:pPr>
              <w:spacing w:line="360" w:lineRule="auto"/>
              <w:ind w:firstLine="420" w:firstLineChars="200"/>
              <w:rPr>
                <w:kern w:val="0"/>
                <w:sz w:val="24"/>
                <w:szCs w:val="22"/>
              </w:rPr>
            </w:pPr>
            <w:r>
              <w:rPr>
                <w:szCs w:val="21"/>
              </w:rPr>
              <w:drawing>
                <wp:inline distT="0" distB="0" distL="0" distR="0">
                  <wp:extent cx="5181600" cy="2457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181600" cy="2457450"/>
                          </a:xfrm>
                          <a:prstGeom prst="rect">
                            <a:avLst/>
                          </a:prstGeom>
                          <a:noFill/>
                          <a:ln>
                            <a:noFill/>
                          </a:ln>
                        </pic:spPr>
                      </pic:pic>
                    </a:graphicData>
                  </a:graphic>
                </wp:inline>
              </w:drawing>
            </w:r>
          </w:p>
          <w:p>
            <w:pPr>
              <w:spacing w:line="360" w:lineRule="auto"/>
              <w:jc w:val="center"/>
              <w:rPr>
                <w:b/>
                <w:kern w:val="0"/>
                <w:sz w:val="24"/>
                <w:szCs w:val="22"/>
              </w:rPr>
            </w:pPr>
            <w:r>
              <w:rPr>
                <w:rFonts w:hint="eastAsia"/>
                <w:b/>
                <w:kern w:val="0"/>
                <w:sz w:val="24"/>
                <w:szCs w:val="22"/>
              </w:rPr>
              <w:t>图1    项目</w:t>
            </w:r>
            <w:r>
              <w:rPr>
                <w:b/>
                <w:kern w:val="0"/>
                <w:sz w:val="24"/>
                <w:szCs w:val="22"/>
              </w:rPr>
              <w:t>所用</w:t>
            </w:r>
            <w:r>
              <w:rPr>
                <w:rFonts w:hint="eastAsia"/>
                <w:b/>
                <w:kern w:val="0"/>
                <w:sz w:val="24"/>
                <w:szCs w:val="22"/>
              </w:rPr>
              <w:t>预应力</w:t>
            </w:r>
            <w:r>
              <w:rPr>
                <w:b/>
                <w:kern w:val="0"/>
                <w:sz w:val="24"/>
                <w:szCs w:val="22"/>
              </w:rPr>
              <w:t>管</w:t>
            </w:r>
            <w:r>
              <w:rPr>
                <w:rFonts w:hint="eastAsia"/>
                <w:b/>
                <w:bCs/>
                <w:kern w:val="24"/>
                <w:sz w:val="24"/>
              </w:rPr>
              <w:t>桁架结构</w:t>
            </w:r>
          </w:p>
          <w:p>
            <w:pPr>
              <w:spacing w:line="360" w:lineRule="auto"/>
              <w:ind w:firstLine="480" w:firstLineChars="200"/>
              <w:rPr>
                <w:bCs/>
                <w:kern w:val="24"/>
                <w:sz w:val="24"/>
              </w:rPr>
            </w:pPr>
            <w:r>
              <w:rPr>
                <w:rFonts w:hint="eastAsia"/>
                <w:bCs/>
                <w:kern w:val="24"/>
                <w:sz w:val="24"/>
              </w:rPr>
              <w:t>项目</w:t>
            </w:r>
            <w:r>
              <w:rPr>
                <w:bCs/>
                <w:kern w:val="24"/>
                <w:sz w:val="24"/>
              </w:rPr>
              <w:t>主要建设内容见表2</w:t>
            </w:r>
            <w:r>
              <w:rPr>
                <w:rFonts w:hint="eastAsia"/>
                <w:bCs/>
                <w:kern w:val="24"/>
                <w:sz w:val="24"/>
              </w:rPr>
              <w:t>。</w:t>
            </w:r>
          </w:p>
          <w:p>
            <w:pPr>
              <w:jc w:val="center"/>
              <w:rPr>
                <w:b/>
                <w:szCs w:val="21"/>
              </w:rPr>
            </w:pPr>
            <w:r>
              <w:rPr>
                <w:b/>
                <w:szCs w:val="21"/>
              </w:rPr>
              <w:t xml:space="preserve">表2    </w:t>
            </w:r>
            <w:r>
              <w:rPr>
                <w:b/>
                <w:bCs/>
                <w:szCs w:val="21"/>
              </w:rPr>
              <w:t>项目组成表</w:t>
            </w:r>
          </w:p>
          <w:tbl>
            <w:tblPr>
              <w:tblStyle w:val="39"/>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34"/>
              <w:gridCol w:w="524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54" w:type="dxa"/>
                  <w:vAlign w:val="center"/>
                </w:tcPr>
                <w:p>
                  <w:pPr>
                    <w:jc w:val="center"/>
                    <w:rPr>
                      <w:kern w:val="24"/>
                      <w:szCs w:val="21"/>
                    </w:rPr>
                  </w:pPr>
                  <w:r>
                    <w:rPr>
                      <w:rFonts w:hint="eastAsia"/>
                      <w:kern w:val="24"/>
                      <w:szCs w:val="21"/>
                    </w:rPr>
                    <w:t>工程类别</w:t>
                  </w:r>
                </w:p>
              </w:tc>
              <w:tc>
                <w:tcPr>
                  <w:tcW w:w="1134" w:type="dxa"/>
                  <w:vAlign w:val="center"/>
                </w:tcPr>
                <w:p>
                  <w:pPr>
                    <w:jc w:val="center"/>
                    <w:rPr>
                      <w:kern w:val="24"/>
                      <w:szCs w:val="21"/>
                    </w:rPr>
                  </w:pPr>
                  <w:r>
                    <w:rPr>
                      <w:rFonts w:hint="eastAsia"/>
                      <w:kern w:val="24"/>
                      <w:szCs w:val="21"/>
                    </w:rPr>
                    <w:t>单项工程</w:t>
                  </w:r>
                </w:p>
              </w:tc>
              <w:tc>
                <w:tcPr>
                  <w:tcW w:w="5245" w:type="dxa"/>
                  <w:vAlign w:val="center"/>
                </w:tcPr>
                <w:p>
                  <w:pPr>
                    <w:jc w:val="center"/>
                    <w:rPr>
                      <w:kern w:val="24"/>
                      <w:szCs w:val="21"/>
                    </w:rPr>
                  </w:pPr>
                  <w:r>
                    <w:rPr>
                      <w:rFonts w:hint="eastAsia"/>
                      <w:kern w:val="24"/>
                      <w:szCs w:val="21"/>
                    </w:rPr>
                    <w:t>工程内容</w:t>
                  </w:r>
                </w:p>
              </w:tc>
              <w:tc>
                <w:tcPr>
                  <w:tcW w:w="1698" w:type="dxa"/>
                  <w:vAlign w:val="center"/>
                </w:tcPr>
                <w:p>
                  <w:pPr>
                    <w:jc w:val="center"/>
                    <w:rPr>
                      <w:kern w:val="24"/>
                      <w:szCs w:val="21"/>
                    </w:rPr>
                  </w:pPr>
                  <w:r>
                    <w:rPr>
                      <w:rFonts w:hint="eastAsia"/>
                      <w:kern w:val="24"/>
                      <w:szCs w:val="21"/>
                    </w:rPr>
                    <w:t>与</w:t>
                  </w:r>
                  <w:r>
                    <w:rPr>
                      <w:kern w:val="24"/>
                      <w:szCs w:val="21"/>
                    </w:rPr>
                    <w:t>现有工程依托关系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restart"/>
                  <w:vAlign w:val="center"/>
                </w:tcPr>
                <w:p>
                  <w:pPr>
                    <w:jc w:val="center"/>
                    <w:rPr>
                      <w:kern w:val="24"/>
                      <w:szCs w:val="21"/>
                    </w:rPr>
                  </w:pPr>
                  <w:r>
                    <w:rPr>
                      <w:rFonts w:hint="eastAsia"/>
                      <w:kern w:val="24"/>
                      <w:szCs w:val="21"/>
                    </w:rPr>
                    <w:t>主体工程</w:t>
                  </w:r>
                </w:p>
              </w:tc>
              <w:tc>
                <w:tcPr>
                  <w:tcW w:w="1134" w:type="dxa"/>
                  <w:vAlign w:val="center"/>
                </w:tcPr>
                <w:p>
                  <w:pPr>
                    <w:jc w:val="center"/>
                    <w:rPr>
                      <w:kern w:val="24"/>
                      <w:szCs w:val="21"/>
                    </w:rPr>
                  </w:pPr>
                  <w:r>
                    <w:rPr>
                      <w:rFonts w:hint="eastAsia"/>
                      <w:kern w:val="24"/>
                      <w:szCs w:val="21"/>
                    </w:rPr>
                    <w:t>储煤场</w:t>
                  </w:r>
                </w:p>
              </w:tc>
              <w:tc>
                <w:tcPr>
                  <w:tcW w:w="5245" w:type="dxa"/>
                  <w:vAlign w:val="center"/>
                </w:tcPr>
                <w:p>
                  <w:pPr>
                    <w:jc w:val="center"/>
                    <w:rPr>
                      <w:kern w:val="24"/>
                      <w:szCs w:val="21"/>
                    </w:rPr>
                  </w:pPr>
                  <w:r>
                    <w:rPr>
                      <w:rFonts w:hint="eastAsia"/>
                      <w:kern w:val="24"/>
                      <w:szCs w:val="21"/>
                    </w:rPr>
                    <w:t>全封闭</w:t>
                  </w:r>
                  <w:r>
                    <w:rPr>
                      <w:kern w:val="24"/>
                      <w:szCs w:val="21"/>
                    </w:rPr>
                    <w:t>煤场，</w:t>
                  </w:r>
                  <w:r>
                    <w:rPr>
                      <w:rFonts w:hint="eastAsia"/>
                      <w:bCs/>
                      <w:kern w:val="24"/>
                      <w:szCs w:val="21"/>
                    </w:rPr>
                    <w:t>设置4个主要出入口，</w:t>
                  </w:r>
                  <w:r>
                    <w:rPr>
                      <w:rFonts w:hint="eastAsia"/>
                      <w:kern w:val="24"/>
                      <w:szCs w:val="21"/>
                    </w:rPr>
                    <w:t>长210m，</w:t>
                  </w:r>
                  <w:r>
                    <w:rPr>
                      <w:kern w:val="24"/>
                      <w:szCs w:val="21"/>
                    </w:rPr>
                    <w:t>宽</w:t>
                  </w:r>
                  <w:r>
                    <w:rPr>
                      <w:rFonts w:hint="eastAsia"/>
                      <w:kern w:val="24"/>
                      <w:szCs w:val="21"/>
                    </w:rPr>
                    <w:t>180m，封闭</w:t>
                  </w:r>
                  <w:r>
                    <w:rPr>
                      <w:kern w:val="24"/>
                      <w:szCs w:val="21"/>
                    </w:rPr>
                    <w:t>面积</w:t>
                  </w:r>
                  <w:r>
                    <w:rPr>
                      <w:rFonts w:hint="eastAsia"/>
                      <w:kern w:val="24"/>
                      <w:szCs w:val="21"/>
                    </w:rPr>
                    <w:t>37800m</w:t>
                  </w:r>
                  <w:r>
                    <w:rPr>
                      <w:rFonts w:hint="eastAsia"/>
                      <w:kern w:val="24"/>
                      <w:szCs w:val="21"/>
                      <w:vertAlign w:val="superscript"/>
                    </w:rPr>
                    <w:t>2</w:t>
                  </w:r>
                  <w:r>
                    <w:rPr>
                      <w:rFonts w:hint="eastAsia"/>
                      <w:kern w:val="24"/>
                      <w:szCs w:val="21"/>
                    </w:rPr>
                    <w:t>，</w:t>
                  </w:r>
                  <w:r>
                    <w:rPr>
                      <w:kern w:val="24"/>
                      <w:szCs w:val="21"/>
                    </w:rPr>
                    <w:t>最大</w:t>
                  </w:r>
                  <w:r>
                    <w:rPr>
                      <w:rFonts w:hint="eastAsia"/>
                      <w:kern w:val="24"/>
                      <w:szCs w:val="21"/>
                    </w:rPr>
                    <w:t>储煤量22×10</w:t>
                  </w:r>
                  <w:r>
                    <w:rPr>
                      <w:rFonts w:hint="eastAsia"/>
                      <w:kern w:val="24"/>
                      <w:szCs w:val="21"/>
                      <w:vertAlign w:val="superscript"/>
                    </w:rPr>
                    <w:t>4</w:t>
                  </w:r>
                  <w:r>
                    <w:rPr>
                      <w:rFonts w:hint="eastAsia"/>
                      <w:kern w:val="24"/>
                      <w:szCs w:val="21"/>
                    </w:rPr>
                    <w:t>t。将</w:t>
                  </w:r>
                  <w:r>
                    <w:rPr>
                      <w:kern w:val="24"/>
                      <w:szCs w:val="21"/>
                    </w:rPr>
                    <w:t>现有</w:t>
                  </w:r>
                  <w:r>
                    <w:rPr>
                      <w:rFonts w:hint="eastAsia"/>
                      <w:kern w:val="24"/>
                      <w:szCs w:val="21"/>
                    </w:rPr>
                    <w:t>1台悬臂式斗轮堆取料机（#</w:t>
                  </w:r>
                  <w:r>
                    <w:rPr>
                      <w:kern w:val="24"/>
                      <w:szCs w:val="21"/>
                    </w:rPr>
                    <w:t>1</w:t>
                  </w:r>
                  <w:r>
                    <w:rPr>
                      <w:rFonts w:hint="eastAsia"/>
                      <w:kern w:val="24"/>
                      <w:szCs w:val="21"/>
                    </w:rPr>
                    <w:t>）、皮带机</w:t>
                  </w:r>
                  <w:r>
                    <w:rPr>
                      <w:kern w:val="24"/>
                      <w:szCs w:val="21"/>
                    </w:rPr>
                    <w:t>、推煤机、装载机</w:t>
                  </w:r>
                  <w:r>
                    <w:rPr>
                      <w:rFonts w:hint="eastAsia"/>
                      <w:kern w:val="24"/>
                      <w:szCs w:val="21"/>
                    </w:rPr>
                    <w:t>等现有</w:t>
                  </w:r>
                  <w:r>
                    <w:rPr>
                      <w:kern w:val="24"/>
                      <w:szCs w:val="21"/>
                    </w:rPr>
                    <w:t>设备封闭在内</w:t>
                  </w:r>
                </w:p>
              </w:tc>
              <w:tc>
                <w:tcPr>
                  <w:tcW w:w="1698" w:type="dxa"/>
                  <w:vAlign w:val="center"/>
                </w:tcPr>
                <w:p>
                  <w:pPr>
                    <w:jc w:val="center"/>
                    <w:rPr>
                      <w:kern w:val="24"/>
                      <w:szCs w:val="21"/>
                    </w:rPr>
                  </w:pPr>
                  <w:r>
                    <w:rPr>
                      <w:rFonts w:hint="eastAsia"/>
                      <w:kern w:val="24"/>
                      <w:szCs w:val="21"/>
                    </w:rPr>
                    <w:t>占地</w:t>
                  </w:r>
                  <w:r>
                    <w:rPr>
                      <w:kern w:val="24"/>
                      <w:szCs w:val="21"/>
                    </w:rPr>
                    <w:t>全部位于现有露天储煤场内，占地面积减小</w:t>
                  </w:r>
                  <w:r>
                    <w:rPr>
                      <w:rFonts w:hint="eastAsia"/>
                      <w:kern w:val="24"/>
                      <w:szCs w:val="21"/>
                    </w:rPr>
                    <w:t>1</w:t>
                  </w:r>
                  <w:r>
                    <w:rPr>
                      <w:kern w:val="24"/>
                      <w:szCs w:val="21"/>
                    </w:rPr>
                    <w:t>0040</w:t>
                  </w:r>
                  <w:r>
                    <w:rPr>
                      <w:rFonts w:hint="eastAsia"/>
                      <w:kern w:val="24"/>
                      <w:szCs w:val="21"/>
                    </w:rPr>
                    <w:t>m</w:t>
                  </w:r>
                  <w:r>
                    <w:rPr>
                      <w:rFonts w:hint="eastAsia"/>
                      <w:kern w:val="24"/>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煤场</w:t>
                  </w:r>
                  <w:r>
                    <w:rPr>
                      <w:kern w:val="24"/>
                      <w:szCs w:val="21"/>
                    </w:rPr>
                    <w:t>抑尘</w:t>
                  </w:r>
                </w:p>
              </w:tc>
              <w:tc>
                <w:tcPr>
                  <w:tcW w:w="5245" w:type="dxa"/>
                  <w:vAlign w:val="center"/>
                </w:tcPr>
                <w:p>
                  <w:pPr>
                    <w:jc w:val="center"/>
                    <w:rPr>
                      <w:kern w:val="24"/>
                      <w:szCs w:val="21"/>
                    </w:rPr>
                  </w:pPr>
                  <w:r>
                    <w:rPr>
                      <w:rFonts w:hint="eastAsia"/>
                      <w:kern w:val="24"/>
                      <w:szCs w:val="21"/>
                    </w:rPr>
                    <w:t>煤场两侧</w:t>
                  </w:r>
                  <w:r>
                    <w:rPr>
                      <w:kern w:val="24"/>
                      <w:szCs w:val="21"/>
                    </w:rPr>
                    <w:t>一定高度纵向设置</w:t>
                  </w:r>
                  <w:r>
                    <w:rPr>
                      <w:rFonts w:hint="eastAsia"/>
                      <w:kern w:val="24"/>
                      <w:szCs w:val="21"/>
                    </w:rPr>
                    <w:t>雾化喷洒水</w:t>
                  </w:r>
                  <w:r>
                    <w:rPr>
                      <w:kern w:val="24"/>
                      <w:szCs w:val="21"/>
                    </w:rPr>
                    <w:t>防尘系统，</w:t>
                  </w:r>
                  <w:r>
                    <w:rPr>
                      <w:rFonts w:hint="eastAsia"/>
                      <w:kern w:val="24"/>
                      <w:szCs w:val="21"/>
                    </w:rPr>
                    <w:t>每隔5m设置1个雾化</w:t>
                  </w:r>
                  <w:r>
                    <w:rPr>
                      <w:kern w:val="24"/>
                      <w:szCs w:val="21"/>
                    </w:rPr>
                    <w:t>洒水喷头</w:t>
                  </w:r>
                </w:p>
              </w:tc>
              <w:tc>
                <w:tcPr>
                  <w:tcW w:w="1698" w:type="dxa"/>
                  <w:vAlign w:val="center"/>
                </w:tcPr>
                <w:p>
                  <w:pPr>
                    <w:jc w:val="center"/>
                    <w:rPr>
                      <w:kern w:val="24"/>
                      <w:szCs w:val="21"/>
                    </w:rPr>
                  </w:pPr>
                  <w:r>
                    <w:rPr>
                      <w:rFonts w:hint="eastAsia"/>
                      <w:kern w:val="24"/>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restart"/>
                  <w:vAlign w:val="center"/>
                </w:tcPr>
                <w:p>
                  <w:pPr>
                    <w:jc w:val="center"/>
                    <w:rPr>
                      <w:kern w:val="24"/>
                      <w:szCs w:val="21"/>
                    </w:rPr>
                  </w:pPr>
                  <w:r>
                    <w:rPr>
                      <w:rFonts w:hint="eastAsia"/>
                      <w:kern w:val="24"/>
                      <w:szCs w:val="21"/>
                    </w:rPr>
                    <w:t>辅助工程</w:t>
                  </w:r>
                </w:p>
              </w:tc>
              <w:tc>
                <w:tcPr>
                  <w:tcW w:w="1134" w:type="dxa"/>
                  <w:vAlign w:val="center"/>
                </w:tcPr>
                <w:p>
                  <w:pPr>
                    <w:jc w:val="center"/>
                    <w:rPr>
                      <w:kern w:val="24"/>
                      <w:szCs w:val="21"/>
                    </w:rPr>
                  </w:pPr>
                  <w:r>
                    <w:rPr>
                      <w:rFonts w:hint="eastAsia"/>
                      <w:kern w:val="24"/>
                      <w:szCs w:val="21"/>
                    </w:rPr>
                    <w:t>厂区</w:t>
                  </w:r>
                  <w:r>
                    <w:rPr>
                      <w:kern w:val="24"/>
                      <w:szCs w:val="21"/>
                    </w:rPr>
                    <w:t>道路</w:t>
                  </w:r>
                </w:p>
              </w:tc>
              <w:tc>
                <w:tcPr>
                  <w:tcW w:w="5245" w:type="dxa"/>
                  <w:vAlign w:val="center"/>
                </w:tcPr>
                <w:p>
                  <w:pPr>
                    <w:jc w:val="center"/>
                    <w:rPr>
                      <w:kern w:val="24"/>
                      <w:szCs w:val="21"/>
                    </w:rPr>
                  </w:pPr>
                  <w:r>
                    <w:rPr>
                      <w:rFonts w:hint="eastAsia"/>
                      <w:kern w:val="24"/>
                      <w:szCs w:val="21"/>
                    </w:rPr>
                    <w:t>厂内</w:t>
                  </w:r>
                  <w:r>
                    <w:rPr>
                      <w:kern w:val="24"/>
                      <w:szCs w:val="21"/>
                    </w:rPr>
                    <w:t>主要道路均已进行了水泥路面硬化</w:t>
                  </w:r>
                </w:p>
              </w:tc>
              <w:tc>
                <w:tcPr>
                  <w:tcW w:w="1698" w:type="dxa"/>
                  <w:vAlign w:val="center"/>
                </w:tcPr>
                <w:p>
                  <w:pPr>
                    <w:jc w:val="center"/>
                    <w:rPr>
                      <w:kern w:val="24"/>
                      <w:szCs w:val="21"/>
                    </w:rPr>
                  </w:pPr>
                  <w:r>
                    <w:rPr>
                      <w:rFonts w:hint="eastAsia"/>
                      <w:kern w:val="24"/>
                      <w:szCs w:val="21"/>
                    </w:rPr>
                    <w:t>依托</w:t>
                  </w:r>
                  <w:r>
                    <w:rPr>
                      <w:kern w:val="24"/>
                      <w:szCs w:val="21"/>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煤场周边道路</w:t>
                  </w:r>
                </w:p>
              </w:tc>
              <w:tc>
                <w:tcPr>
                  <w:tcW w:w="5245" w:type="dxa"/>
                  <w:vAlign w:val="center"/>
                </w:tcPr>
                <w:p>
                  <w:pPr>
                    <w:jc w:val="center"/>
                    <w:rPr>
                      <w:kern w:val="24"/>
                      <w:szCs w:val="21"/>
                    </w:rPr>
                  </w:pPr>
                  <w:r>
                    <w:rPr>
                      <w:rFonts w:hint="eastAsia"/>
                      <w:kern w:val="24"/>
                      <w:szCs w:val="21"/>
                    </w:rPr>
                    <w:t>煤场周围</w:t>
                  </w:r>
                  <w:r>
                    <w:rPr>
                      <w:kern w:val="24"/>
                      <w:szCs w:val="21"/>
                    </w:rPr>
                    <w:t>道路均已进行硬化</w:t>
                  </w:r>
                </w:p>
              </w:tc>
              <w:tc>
                <w:tcPr>
                  <w:tcW w:w="1698" w:type="dxa"/>
                  <w:vAlign w:val="center"/>
                </w:tcPr>
                <w:p>
                  <w:pPr>
                    <w:jc w:val="center"/>
                    <w:rPr>
                      <w:kern w:val="24"/>
                      <w:szCs w:val="21"/>
                    </w:rPr>
                  </w:pPr>
                  <w:r>
                    <w:rPr>
                      <w:rFonts w:hint="eastAsia"/>
                      <w:kern w:val="24"/>
                      <w:szCs w:val="21"/>
                    </w:rPr>
                    <w:t>依托</w:t>
                  </w:r>
                  <w:r>
                    <w:rPr>
                      <w:kern w:val="24"/>
                      <w:szCs w:val="21"/>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restart"/>
                  <w:vAlign w:val="center"/>
                </w:tcPr>
                <w:p>
                  <w:pPr>
                    <w:jc w:val="center"/>
                    <w:rPr>
                      <w:kern w:val="24"/>
                      <w:szCs w:val="21"/>
                    </w:rPr>
                  </w:pPr>
                  <w:r>
                    <w:rPr>
                      <w:rFonts w:hint="eastAsia"/>
                      <w:kern w:val="24"/>
                      <w:szCs w:val="21"/>
                    </w:rPr>
                    <w:t>公用工程</w:t>
                  </w:r>
                </w:p>
              </w:tc>
              <w:tc>
                <w:tcPr>
                  <w:tcW w:w="1134" w:type="dxa"/>
                  <w:vAlign w:val="center"/>
                </w:tcPr>
                <w:p>
                  <w:pPr>
                    <w:jc w:val="center"/>
                    <w:rPr>
                      <w:kern w:val="24"/>
                      <w:szCs w:val="21"/>
                    </w:rPr>
                  </w:pPr>
                  <w:r>
                    <w:rPr>
                      <w:rFonts w:hint="eastAsia"/>
                      <w:kern w:val="24"/>
                      <w:szCs w:val="21"/>
                    </w:rPr>
                    <w:t>给水</w:t>
                  </w:r>
                </w:p>
              </w:tc>
              <w:tc>
                <w:tcPr>
                  <w:tcW w:w="5245" w:type="dxa"/>
                  <w:vAlign w:val="center"/>
                </w:tcPr>
                <w:p>
                  <w:pPr>
                    <w:jc w:val="center"/>
                    <w:rPr>
                      <w:kern w:val="24"/>
                      <w:szCs w:val="21"/>
                    </w:rPr>
                  </w:pPr>
                  <w:r>
                    <w:rPr>
                      <w:rFonts w:hint="eastAsia"/>
                      <w:kern w:val="24"/>
                      <w:szCs w:val="21"/>
                    </w:rPr>
                    <w:t>依托厂内现有露天</w:t>
                  </w:r>
                  <w:r>
                    <w:rPr>
                      <w:kern w:val="24"/>
                      <w:szCs w:val="21"/>
                    </w:rPr>
                    <w:t>煤场供水管网供给</w:t>
                  </w:r>
                </w:p>
              </w:tc>
              <w:tc>
                <w:tcPr>
                  <w:tcW w:w="1698" w:type="dxa"/>
                  <w:vAlign w:val="center"/>
                </w:tcPr>
                <w:p>
                  <w:pPr>
                    <w:jc w:val="center"/>
                    <w:rPr>
                      <w:kern w:val="24"/>
                      <w:szCs w:val="21"/>
                    </w:rPr>
                  </w:pPr>
                  <w:r>
                    <w:rPr>
                      <w:rFonts w:hint="eastAsia"/>
                      <w:kern w:val="24"/>
                      <w:szCs w:val="21"/>
                    </w:rPr>
                    <w:t>依托</w:t>
                  </w:r>
                  <w:r>
                    <w:rPr>
                      <w:kern w:val="24"/>
                      <w:szCs w:val="21"/>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排水</w:t>
                  </w:r>
                </w:p>
              </w:tc>
              <w:tc>
                <w:tcPr>
                  <w:tcW w:w="5245" w:type="dxa"/>
                  <w:vAlign w:val="center"/>
                </w:tcPr>
                <w:p>
                  <w:pPr>
                    <w:jc w:val="center"/>
                    <w:rPr>
                      <w:kern w:val="24"/>
                      <w:szCs w:val="21"/>
                    </w:rPr>
                  </w:pPr>
                  <w:r>
                    <w:rPr>
                      <w:kern w:val="24"/>
                      <w:szCs w:val="21"/>
                    </w:rPr>
                    <w:t>无生产废水排放</w:t>
                  </w:r>
                </w:p>
              </w:tc>
              <w:tc>
                <w:tcPr>
                  <w:tcW w:w="1698" w:type="dxa"/>
                  <w:vAlign w:val="center"/>
                </w:tcPr>
                <w:p>
                  <w:pPr>
                    <w:jc w:val="center"/>
                    <w:rPr>
                      <w:kern w:val="24"/>
                      <w:szCs w:val="21"/>
                    </w:rPr>
                  </w:pPr>
                  <w:r>
                    <w:rPr>
                      <w:rFonts w:hint="eastAsia"/>
                      <w:kern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供电</w:t>
                  </w:r>
                </w:p>
              </w:tc>
              <w:tc>
                <w:tcPr>
                  <w:tcW w:w="5245" w:type="dxa"/>
                  <w:vAlign w:val="center"/>
                </w:tcPr>
                <w:p>
                  <w:pPr>
                    <w:jc w:val="center"/>
                    <w:rPr>
                      <w:kern w:val="24"/>
                      <w:szCs w:val="21"/>
                    </w:rPr>
                  </w:pPr>
                  <w:r>
                    <w:rPr>
                      <w:rFonts w:hint="eastAsia"/>
                      <w:kern w:val="24"/>
                      <w:szCs w:val="21"/>
                    </w:rPr>
                    <w:t>由厂区现有</w:t>
                  </w:r>
                  <w:r>
                    <w:rPr>
                      <w:kern w:val="24"/>
                      <w:szCs w:val="21"/>
                    </w:rPr>
                    <w:t>电网提供</w:t>
                  </w:r>
                </w:p>
              </w:tc>
              <w:tc>
                <w:tcPr>
                  <w:tcW w:w="1698" w:type="dxa"/>
                  <w:vAlign w:val="center"/>
                </w:tcPr>
                <w:p>
                  <w:pPr>
                    <w:jc w:val="center"/>
                    <w:rPr>
                      <w:kern w:val="24"/>
                      <w:szCs w:val="21"/>
                    </w:rPr>
                  </w:pPr>
                  <w:r>
                    <w:rPr>
                      <w:rFonts w:hint="eastAsia"/>
                      <w:kern w:val="24"/>
                      <w:szCs w:val="21"/>
                    </w:rPr>
                    <w:t>依托</w:t>
                  </w:r>
                  <w:r>
                    <w:rPr>
                      <w:kern w:val="24"/>
                      <w:szCs w:val="21"/>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照明</w:t>
                  </w:r>
                  <w:r>
                    <w:rPr>
                      <w:kern w:val="24"/>
                      <w:szCs w:val="21"/>
                    </w:rPr>
                    <w:t>及</w:t>
                  </w:r>
                  <w:r>
                    <w:rPr>
                      <w:rFonts w:hint="eastAsia"/>
                      <w:kern w:val="24"/>
                      <w:szCs w:val="21"/>
                    </w:rPr>
                    <w:t>采光</w:t>
                  </w:r>
                </w:p>
              </w:tc>
              <w:tc>
                <w:tcPr>
                  <w:tcW w:w="5245" w:type="dxa"/>
                  <w:vAlign w:val="center"/>
                </w:tcPr>
                <w:p>
                  <w:pPr>
                    <w:jc w:val="center"/>
                    <w:rPr>
                      <w:kern w:val="24"/>
                      <w:szCs w:val="21"/>
                    </w:rPr>
                  </w:pPr>
                  <w:r>
                    <w:rPr>
                      <w:rFonts w:hint="eastAsia"/>
                      <w:kern w:val="24"/>
                      <w:szCs w:val="21"/>
                    </w:rPr>
                    <w:t>设置</w:t>
                  </w:r>
                  <w:r>
                    <w:rPr>
                      <w:kern w:val="24"/>
                      <w:szCs w:val="21"/>
                    </w:rPr>
                    <w:t>采光带，</w:t>
                  </w:r>
                  <w:r>
                    <w:rPr>
                      <w:rFonts w:hint="eastAsia"/>
                      <w:kern w:val="24"/>
                      <w:szCs w:val="21"/>
                    </w:rPr>
                    <w:t>白天采用自然光，夜间采用LED人工照明</w:t>
                  </w:r>
                </w:p>
              </w:tc>
              <w:tc>
                <w:tcPr>
                  <w:tcW w:w="1698" w:type="dxa"/>
                  <w:vAlign w:val="center"/>
                </w:tcPr>
                <w:p>
                  <w:pPr>
                    <w:jc w:val="center"/>
                    <w:rPr>
                      <w:kern w:val="24"/>
                      <w:szCs w:val="21"/>
                    </w:rPr>
                  </w:pPr>
                  <w:r>
                    <w:rPr>
                      <w:rFonts w:hint="eastAsia"/>
                      <w:kern w:val="24"/>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通风</w:t>
                  </w:r>
                </w:p>
              </w:tc>
              <w:tc>
                <w:tcPr>
                  <w:tcW w:w="5245" w:type="dxa"/>
                  <w:vAlign w:val="center"/>
                </w:tcPr>
                <w:p>
                  <w:pPr>
                    <w:jc w:val="center"/>
                    <w:rPr>
                      <w:kern w:val="24"/>
                      <w:szCs w:val="21"/>
                    </w:rPr>
                  </w:pPr>
                  <w:r>
                    <w:rPr>
                      <w:rFonts w:hint="eastAsia"/>
                      <w:kern w:val="24"/>
                      <w:szCs w:val="21"/>
                    </w:rPr>
                    <w:t>煤场采用自然进风、自然排风的通风方式，即通过两侧挡煤墙与屋盖之间的防风</w:t>
                  </w:r>
                  <w:r>
                    <w:rPr>
                      <w:kern w:val="24"/>
                      <w:szCs w:val="21"/>
                    </w:rPr>
                    <w:t>抑尘网</w:t>
                  </w:r>
                  <w:r>
                    <w:rPr>
                      <w:rFonts w:hint="eastAsia"/>
                      <w:kern w:val="24"/>
                      <w:szCs w:val="21"/>
                    </w:rPr>
                    <w:t>缝隙自然进风，由设置在屋顶的避风天窗自然排风</w:t>
                  </w:r>
                </w:p>
              </w:tc>
              <w:tc>
                <w:tcPr>
                  <w:tcW w:w="1698" w:type="dxa"/>
                  <w:vAlign w:val="center"/>
                </w:tcPr>
                <w:p>
                  <w:pPr>
                    <w:jc w:val="center"/>
                    <w:rPr>
                      <w:kern w:val="24"/>
                      <w:szCs w:val="21"/>
                    </w:rPr>
                  </w:pPr>
                  <w:r>
                    <w:rPr>
                      <w:rFonts w:hint="eastAsia"/>
                      <w:kern w:val="24"/>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消防</w:t>
                  </w:r>
                </w:p>
              </w:tc>
              <w:tc>
                <w:tcPr>
                  <w:tcW w:w="5245" w:type="dxa"/>
                  <w:vAlign w:val="center"/>
                </w:tcPr>
                <w:p>
                  <w:pPr>
                    <w:jc w:val="center"/>
                    <w:rPr>
                      <w:kern w:val="24"/>
                      <w:szCs w:val="21"/>
                    </w:rPr>
                  </w:pPr>
                  <w:r>
                    <w:rPr>
                      <w:rFonts w:hint="eastAsia"/>
                      <w:kern w:val="24"/>
                      <w:szCs w:val="21"/>
                    </w:rPr>
                    <w:t>工程拟新建消防水泵房1座、消防水池1座，并在煤场内部设置自动消防水炮灭火系统，消防管网在封闭煤场内形成环状，消防水炮采用自动跟踪定位射流灭火系统，安装间距≤40m，保证任何着火点均有2门消防水炮的水射流所覆盖</w:t>
                  </w:r>
                </w:p>
              </w:tc>
              <w:tc>
                <w:tcPr>
                  <w:tcW w:w="1698" w:type="dxa"/>
                  <w:vAlign w:val="center"/>
                </w:tcPr>
                <w:p>
                  <w:pPr>
                    <w:jc w:val="center"/>
                    <w:rPr>
                      <w:kern w:val="24"/>
                      <w:szCs w:val="21"/>
                    </w:rPr>
                  </w:pPr>
                  <w:r>
                    <w:rPr>
                      <w:rFonts w:hint="eastAsia"/>
                      <w:kern w:val="24"/>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restart"/>
                  <w:vAlign w:val="center"/>
                </w:tcPr>
                <w:p>
                  <w:pPr>
                    <w:jc w:val="center"/>
                    <w:rPr>
                      <w:kern w:val="24"/>
                      <w:szCs w:val="21"/>
                    </w:rPr>
                  </w:pPr>
                  <w:r>
                    <w:rPr>
                      <w:rFonts w:hint="eastAsia"/>
                      <w:kern w:val="24"/>
                      <w:szCs w:val="21"/>
                    </w:rPr>
                    <w:t>环保工程</w:t>
                  </w:r>
                </w:p>
              </w:tc>
              <w:tc>
                <w:tcPr>
                  <w:tcW w:w="1134" w:type="dxa"/>
                  <w:vAlign w:val="center"/>
                </w:tcPr>
                <w:p>
                  <w:pPr>
                    <w:jc w:val="center"/>
                    <w:rPr>
                      <w:kern w:val="24"/>
                      <w:szCs w:val="21"/>
                    </w:rPr>
                  </w:pPr>
                  <w:r>
                    <w:rPr>
                      <w:rFonts w:hint="eastAsia"/>
                      <w:kern w:val="24"/>
                      <w:szCs w:val="21"/>
                    </w:rPr>
                    <w:t>废水</w:t>
                  </w:r>
                </w:p>
              </w:tc>
              <w:tc>
                <w:tcPr>
                  <w:tcW w:w="5245" w:type="dxa"/>
                  <w:vAlign w:val="center"/>
                </w:tcPr>
                <w:p>
                  <w:pPr>
                    <w:jc w:val="center"/>
                    <w:rPr>
                      <w:kern w:val="24"/>
                      <w:szCs w:val="21"/>
                    </w:rPr>
                  </w:pPr>
                  <w:r>
                    <w:rPr>
                      <w:rFonts w:hint="eastAsia"/>
                      <w:kern w:val="24"/>
                      <w:szCs w:val="21"/>
                    </w:rPr>
                    <w:t>消防废水设消防废水池收集；煤场封闭抑尘系统喷淋用水量不大，不足以形成径流，无喷淋废水排放</w:t>
                  </w:r>
                </w:p>
              </w:tc>
              <w:tc>
                <w:tcPr>
                  <w:tcW w:w="1698" w:type="dxa"/>
                  <w:vAlign w:val="center"/>
                </w:tcPr>
                <w:p>
                  <w:pPr>
                    <w:jc w:val="center"/>
                    <w:rPr>
                      <w:kern w:val="24"/>
                      <w:szCs w:val="21"/>
                    </w:rPr>
                  </w:pPr>
                  <w:r>
                    <w:rPr>
                      <w:rFonts w:hint="eastAsia"/>
                      <w:kern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废气</w:t>
                  </w:r>
                </w:p>
              </w:tc>
              <w:tc>
                <w:tcPr>
                  <w:tcW w:w="5245" w:type="dxa"/>
                  <w:vAlign w:val="center"/>
                </w:tcPr>
                <w:p>
                  <w:pPr>
                    <w:jc w:val="center"/>
                    <w:rPr>
                      <w:kern w:val="24"/>
                      <w:szCs w:val="21"/>
                    </w:rPr>
                  </w:pPr>
                  <w:r>
                    <w:rPr>
                      <w:rFonts w:hint="eastAsia"/>
                      <w:kern w:val="24"/>
                      <w:szCs w:val="21"/>
                    </w:rPr>
                    <w:t>全封闭</w:t>
                  </w:r>
                  <w:r>
                    <w:rPr>
                      <w:kern w:val="24"/>
                      <w:szCs w:val="21"/>
                    </w:rPr>
                    <w:t>煤场</w:t>
                  </w:r>
                  <w:r>
                    <w:rPr>
                      <w:rFonts w:hint="eastAsia"/>
                      <w:kern w:val="24"/>
                      <w:szCs w:val="21"/>
                    </w:rPr>
                    <w:t>、雾化喷洒水防尘系统、设置</w:t>
                  </w:r>
                  <w:r>
                    <w:rPr>
                      <w:kern w:val="24"/>
                      <w:szCs w:val="21"/>
                    </w:rPr>
                    <w:t>通风设施</w:t>
                  </w:r>
                </w:p>
              </w:tc>
              <w:tc>
                <w:tcPr>
                  <w:tcW w:w="1698" w:type="dxa"/>
                  <w:vAlign w:val="center"/>
                </w:tcPr>
                <w:p>
                  <w:pPr>
                    <w:jc w:val="center"/>
                    <w:rPr>
                      <w:kern w:val="24"/>
                      <w:szCs w:val="21"/>
                    </w:rPr>
                  </w:pPr>
                  <w:r>
                    <w:rPr>
                      <w:rFonts w:hint="eastAsia"/>
                      <w:kern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固废</w:t>
                  </w:r>
                </w:p>
              </w:tc>
              <w:tc>
                <w:tcPr>
                  <w:tcW w:w="5245" w:type="dxa"/>
                  <w:vAlign w:val="center"/>
                </w:tcPr>
                <w:p>
                  <w:pPr>
                    <w:jc w:val="center"/>
                    <w:rPr>
                      <w:kern w:val="24"/>
                      <w:szCs w:val="21"/>
                    </w:rPr>
                  </w:pPr>
                  <w:r>
                    <w:rPr>
                      <w:rFonts w:hint="eastAsia"/>
                      <w:kern w:val="24"/>
                      <w:szCs w:val="21"/>
                    </w:rPr>
                    <w:t>项目</w:t>
                  </w:r>
                  <w:r>
                    <w:rPr>
                      <w:kern w:val="24"/>
                      <w:szCs w:val="21"/>
                    </w:rPr>
                    <w:t>无固体废物排放</w:t>
                  </w:r>
                </w:p>
              </w:tc>
              <w:tc>
                <w:tcPr>
                  <w:tcW w:w="1698" w:type="dxa"/>
                  <w:vAlign w:val="center"/>
                </w:tcPr>
                <w:p>
                  <w:pPr>
                    <w:jc w:val="center"/>
                    <w:rPr>
                      <w:kern w:val="24"/>
                      <w:szCs w:val="21"/>
                    </w:rPr>
                  </w:pPr>
                  <w:r>
                    <w:rPr>
                      <w:rFonts w:hint="eastAsia"/>
                      <w:kern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噪声</w:t>
                  </w:r>
                </w:p>
              </w:tc>
              <w:tc>
                <w:tcPr>
                  <w:tcW w:w="5245" w:type="dxa"/>
                  <w:vAlign w:val="center"/>
                </w:tcPr>
                <w:p>
                  <w:pPr>
                    <w:jc w:val="center"/>
                    <w:rPr>
                      <w:kern w:val="24"/>
                      <w:szCs w:val="21"/>
                    </w:rPr>
                  </w:pPr>
                  <w:r>
                    <w:rPr>
                      <w:rFonts w:hint="eastAsia"/>
                      <w:kern w:val="24"/>
                      <w:szCs w:val="21"/>
                    </w:rPr>
                    <w:t>全封闭</w:t>
                  </w:r>
                  <w:r>
                    <w:rPr>
                      <w:kern w:val="24"/>
                      <w:szCs w:val="21"/>
                    </w:rPr>
                    <w:t>煤棚</w:t>
                  </w:r>
                  <w:r>
                    <w:rPr>
                      <w:rFonts w:hint="eastAsia"/>
                      <w:kern w:val="24"/>
                      <w:szCs w:val="21"/>
                    </w:rPr>
                    <w:t>隔声</w:t>
                  </w:r>
                </w:p>
              </w:tc>
              <w:tc>
                <w:tcPr>
                  <w:tcW w:w="1698" w:type="dxa"/>
                  <w:vAlign w:val="center"/>
                </w:tcPr>
                <w:p>
                  <w:pPr>
                    <w:jc w:val="center"/>
                    <w:rPr>
                      <w:kern w:val="24"/>
                      <w:szCs w:val="21"/>
                    </w:rPr>
                  </w:pPr>
                  <w:r>
                    <w:rPr>
                      <w:rFonts w:hint="eastAsia"/>
                      <w:kern w:val="24"/>
                      <w:szCs w:val="21"/>
                    </w:rPr>
                    <w:t>/</w:t>
                  </w:r>
                </w:p>
              </w:tc>
            </w:tr>
          </w:tbl>
          <w:p>
            <w:pPr>
              <w:spacing w:before="120" w:beforeLines="50" w:line="360" w:lineRule="auto"/>
              <w:ind w:firstLine="482" w:firstLineChars="200"/>
              <w:rPr>
                <w:b/>
                <w:sz w:val="24"/>
              </w:rPr>
            </w:pPr>
            <w:r>
              <w:rPr>
                <w:rFonts w:hint="eastAsia"/>
                <w:b/>
                <w:sz w:val="24"/>
              </w:rPr>
              <w:t>2、</w:t>
            </w:r>
            <w:r>
              <w:rPr>
                <w:b/>
                <w:sz w:val="24"/>
              </w:rPr>
              <w:t>工程方案</w:t>
            </w:r>
          </w:p>
          <w:p>
            <w:pPr>
              <w:spacing w:line="360" w:lineRule="auto"/>
              <w:ind w:firstLine="480" w:firstLineChars="200"/>
              <w:rPr>
                <w:kern w:val="0"/>
                <w:sz w:val="24"/>
                <w:szCs w:val="22"/>
              </w:rPr>
            </w:pPr>
            <w:r>
              <w:rPr>
                <w:sz w:val="24"/>
              </w:rPr>
              <w:fldChar w:fldCharType="begin"/>
            </w:r>
            <w:r>
              <w:rPr>
                <w:sz w:val="24"/>
              </w:rPr>
              <w:instrText xml:space="preserve"> </w:instrText>
            </w:r>
            <w:r>
              <w:rPr>
                <w:rFonts w:hint="eastAsia"/>
                <w:sz w:val="24"/>
              </w:rPr>
              <w:instrText xml:space="preserve">= 1 \* GB2</w:instrText>
            </w:r>
            <w:r>
              <w:rPr>
                <w:sz w:val="24"/>
              </w:rPr>
              <w:instrText xml:space="preserve"> </w:instrText>
            </w:r>
            <w:r>
              <w:rPr>
                <w:sz w:val="24"/>
              </w:rPr>
              <w:fldChar w:fldCharType="separate"/>
            </w:r>
            <w:r>
              <w:rPr>
                <w:rFonts w:hint="eastAsia"/>
                <w:sz w:val="24"/>
              </w:rPr>
              <w:t>⑴</w:t>
            </w:r>
            <w:r>
              <w:rPr>
                <w:sz w:val="24"/>
              </w:rPr>
              <w:fldChar w:fldCharType="end"/>
            </w:r>
            <w:r>
              <w:rPr>
                <w:sz w:val="24"/>
              </w:rPr>
              <w:t xml:space="preserve"> </w:t>
            </w:r>
            <w:r>
              <w:rPr>
                <w:rFonts w:hint="eastAsia"/>
                <w:kern w:val="0"/>
                <w:sz w:val="24"/>
                <w:szCs w:val="22"/>
              </w:rPr>
              <w:t>煤场</w:t>
            </w:r>
            <w:r>
              <w:rPr>
                <w:kern w:val="0"/>
                <w:sz w:val="24"/>
                <w:szCs w:val="22"/>
              </w:rPr>
              <w:t>降尘</w:t>
            </w:r>
          </w:p>
          <w:p>
            <w:pPr>
              <w:spacing w:line="360" w:lineRule="auto"/>
              <w:ind w:firstLine="480" w:firstLineChars="200"/>
              <w:rPr>
                <w:kern w:val="0"/>
                <w:sz w:val="24"/>
                <w:szCs w:val="22"/>
              </w:rPr>
            </w:pPr>
            <w:r>
              <w:rPr>
                <w:rFonts w:hint="eastAsia"/>
                <w:kern w:val="0"/>
                <w:sz w:val="24"/>
                <w:szCs w:val="22"/>
              </w:rPr>
              <w:t>煤场扬尘的主要原因就是煤粉颗粒小，气候多风干燥，根据本次煤场封闭建筑方案，拟采用设置雾化喷洒水防尘系统降尘方案，每隔5m设置1个雾化洒水喷头。</w:t>
            </w:r>
          </w:p>
          <w:p>
            <w:pPr>
              <w:spacing w:line="360" w:lineRule="auto"/>
              <w:ind w:firstLine="480" w:firstLineChars="200"/>
              <w:rPr>
                <w:kern w:val="0"/>
                <w:sz w:val="24"/>
                <w:szCs w:val="22"/>
              </w:rPr>
            </w:pPr>
            <w:r>
              <w:rPr>
                <w:kern w:val="0"/>
                <w:sz w:val="24"/>
                <w:szCs w:val="22"/>
              </w:rPr>
              <w:fldChar w:fldCharType="begin"/>
            </w:r>
            <w:r>
              <w:rPr>
                <w:kern w:val="0"/>
                <w:sz w:val="24"/>
                <w:szCs w:val="22"/>
              </w:rPr>
              <w:instrText xml:space="preserve"> </w:instrText>
            </w:r>
            <w:r>
              <w:rPr>
                <w:rFonts w:hint="eastAsia"/>
                <w:kern w:val="0"/>
                <w:sz w:val="24"/>
                <w:szCs w:val="22"/>
              </w:rPr>
              <w:instrText xml:space="preserve">= 2 \* GB2</w:instrText>
            </w:r>
            <w:r>
              <w:rPr>
                <w:kern w:val="0"/>
                <w:sz w:val="24"/>
                <w:szCs w:val="22"/>
              </w:rPr>
              <w:instrText xml:space="preserve"> </w:instrText>
            </w:r>
            <w:r>
              <w:rPr>
                <w:kern w:val="0"/>
                <w:sz w:val="24"/>
                <w:szCs w:val="22"/>
              </w:rPr>
              <w:fldChar w:fldCharType="separate"/>
            </w:r>
            <w:r>
              <w:rPr>
                <w:rFonts w:hint="eastAsia"/>
                <w:kern w:val="0"/>
                <w:sz w:val="24"/>
                <w:szCs w:val="22"/>
              </w:rPr>
              <w:t>⑵</w:t>
            </w:r>
            <w:r>
              <w:rPr>
                <w:kern w:val="0"/>
                <w:sz w:val="24"/>
                <w:szCs w:val="22"/>
              </w:rPr>
              <w:fldChar w:fldCharType="end"/>
            </w:r>
            <w:r>
              <w:rPr>
                <w:kern w:val="0"/>
                <w:sz w:val="24"/>
                <w:szCs w:val="22"/>
              </w:rPr>
              <w:t xml:space="preserve"> </w:t>
            </w:r>
            <w:r>
              <w:rPr>
                <w:rFonts w:hint="eastAsia"/>
                <w:kern w:val="0"/>
                <w:sz w:val="24"/>
                <w:szCs w:val="22"/>
              </w:rPr>
              <w:t>煤场</w:t>
            </w:r>
            <w:r>
              <w:rPr>
                <w:kern w:val="0"/>
                <w:sz w:val="24"/>
                <w:szCs w:val="22"/>
              </w:rPr>
              <w:t>周边道路</w:t>
            </w:r>
          </w:p>
          <w:p>
            <w:pPr>
              <w:spacing w:line="360" w:lineRule="auto"/>
              <w:ind w:firstLine="480" w:firstLineChars="200"/>
              <w:rPr>
                <w:kern w:val="0"/>
                <w:sz w:val="24"/>
                <w:szCs w:val="22"/>
              </w:rPr>
            </w:pPr>
            <w:r>
              <w:rPr>
                <w:rFonts w:hint="eastAsia"/>
                <w:kern w:val="0"/>
                <w:sz w:val="24"/>
                <w:szCs w:val="22"/>
              </w:rPr>
              <w:t>工程目前的输煤设施中，场外来煤方式主要采用铁路运输，另外也有汽车运煤作为临时应急运煤方式。锅炉输煤方式采用带式输送机上煤，煤场作业机械主要为悬臂斗轮堆取料机，辅以推煤机、装载机等。现有设施多年实际运行状况良好，本期改造工程在保证全厂#3、#4、#5、#6机组正常运行的条件下，拆除</w:t>
            </w:r>
            <w:r>
              <w:rPr>
                <w:rFonts w:hint="eastAsia"/>
                <w:bCs/>
                <w:kern w:val="24"/>
                <w:sz w:val="24"/>
              </w:rPr>
              <w:t>#6乙皮带、#2斗轮机、89号尾部驱动小室和南北两侧挡煤墙，</w:t>
            </w:r>
            <w:r>
              <w:rPr>
                <w:rFonts w:hint="eastAsia"/>
                <w:kern w:val="0"/>
                <w:sz w:val="24"/>
                <w:szCs w:val="22"/>
              </w:rPr>
              <w:t>对原有煤场进行封闭改造，以达到治理扬尘的目的。</w:t>
            </w:r>
          </w:p>
          <w:p>
            <w:pPr>
              <w:spacing w:line="360" w:lineRule="auto"/>
              <w:ind w:firstLine="480" w:firstLineChars="200"/>
              <w:rPr>
                <w:kern w:val="0"/>
                <w:sz w:val="24"/>
                <w:szCs w:val="22"/>
              </w:rPr>
            </w:pPr>
            <w:r>
              <w:rPr>
                <w:rFonts w:hint="eastAsia"/>
                <w:kern w:val="0"/>
                <w:sz w:val="24"/>
                <w:szCs w:val="22"/>
              </w:rPr>
              <w:t>煤场的推煤机和临时汽车运煤均可从煤场的西侧或东侧进入煤场。煤场封闭后，为满足煤场功能，煤场共设置4个出入口，另根据需要在四周设检修及消防大门及适当数量的人员进出通道。</w:t>
            </w:r>
          </w:p>
          <w:p>
            <w:pPr>
              <w:spacing w:line="360" w:lineRule="auto"/>
              <w:ind w:firstLine="482" w:firstLineChars="200"/>
              <w:rPr>
                <w:b/>
                <w:kern w:val="0"/>
                <w:sz w:val="24"/>
                <w:szCs w:val="22"/>
              </w:rPr>
            </w:pPr>
            <w:r>
              <w:rPr>
                <w:b/>
                <w:kern w:val="0"/>
                <w:sz w:val="24"/>
                <w:szCs w:val="22"/>
              </w:rPr>
              <w:t>3</w:t>
            </w:r>
            <w:r>
              <w:rPr>
                <w:rFonts w:hint="eastAsia"/>
                <w:b/>
                <w:kern w:val="0"/>
                <w:sz w:val="24"/>
                <w:szCs w:val="22"/>
              </w:rPr>
              <w:t>、储存规模</w:t>
            </w:r>
          </w:p>
          <w:p>
            <w:pPr>
              <w:spacing w:line="360" w:lineRule="auto"/>
              <w:ind w:firstLine="480" w:firstLineChars="200"/>
              <w:rPr>
                <w:sz w:val="24"/>
              </w:rPr>
            </w:pPr>
            <w:r>
              <w:rPr>
                <w:rFonts w:hint="eastAsia"/>
                <w:kern w:val="24"/>
                <w:sz w:val="24"/>
              </w:rPr>
              <w:t>由于本次封闭改造过程</w:t>
            </w:r>
            <w:r>
              <w:rPr>
                <w:kern w:val="24"/>
                <w:sz w:val="24"/>
              </w:rPr>
              <w:t>需要拆除原防风抑尘网及部分其他设施，并重新建设挡煤墙，</w:t>
            </w:r>
            <w:r>
              <w:rPr>
                <w:rFonts w:hint="eastAsia"/>
                <w:kern w:val="24"/>
                <w:sz w:val="24"/>
              </w:rPr>
              <w:t>封闭</w:t>
            </w:r>
            <w:r>
              <w:rPr>
                <w:kern w:val="24"/>
                <w:sz w:val="24"/>
              </w:rPr>
              <w:t>煤场</w:t>
            </w:r>
            <w:r>
              <w:rPr>
                <w:rFonts w:hint="eastAsia"/>
                <w:kern w:val="24"/>
                <w:sz w:val="24"/>
              </w:rPr>
              <w:t>面积</w:t>
            </w:r>
            <w:r>
              <w:rPr>
                <w:kern w:val="24"/>
                <w:sz w:val="24"/>
              </w:rPr>
              <w:t>相对现状露天煤场</w:t>
            </w:r>
            <w:r>
              <w:rPr>
                <w:rFonts w:hint="eastAsia"/>
                <w:kern w:val="24"/>
                <w:sz w:val="24"/>
              </w:rPr>
              <w:t>占地面积</w:t>
            </w:r>
            <w:r>
              <w:rPr>
                <w:kern w:val="24"/>
                <w:sz w:val="24"/>
              </w:rPr>
              <w:t>减小</w:t>
            </w:r>
            <w:r>
              <w:rPr>
                <w:rFonts w:hint="eastAsia"/>
                <w:kern w:val="24"/>
                <w:sz w:val="24"/>
              </w:rPr>
              <w:t>1</w:t>
            </w:r>
            <w:r>
              <w:rPr>
                <w:kern w:val="24"/>
                <w:sz w:val="24"/>
              </w:rPr>
              <w:t>0040</w:t>
            </w:r>
            <w:r>
              <w:rPr>
                <w:rFonts w:hint="eastAsia"/>
                <w:kern w:val="24"/>
                <w:sz w:val="24"/>
              </w:rPr>
              <w:t>m</w:t>
            </w:r>
            <w:r>
              <w:rPr>
                <w:rFonts w:hint="eastAsia"/>
                <w:kern w:val="24"/>
                <w:sz w:val="24"/>
                <w:vertAlign w:val="superscript"/>
              </w:rPr>
              <w:t>2</w:t>
            </w:r>
            <w:r>
              <w:rPr>
                <w:rFonts w:hint="eastAsia"/>
                <w:kern w:val="24"/>
                <w:sz w:val="24"/>
              </w:rPr>
              <w:t>，故改造完成后储煤量减少为22×10</w:t>
            </w:r>
            <w:r>
              <w:rPr>
                <w:rFonts w:hint="eastAsia"/>
                <w:kern w:val="24"/>
                <w:sz w:val="24"/>
                <w:vertAlign w:val="superscript"/>
              </w:rPr>
              <w:t>4</w:t>
            </w:r>
            <w:r>
              <w:rPr>
                <w:rFonts w:hint="eastAsia"/>
                <w:kern w:val="24"/>
                <w:sz w:val="24"/>
              </w:rPr>
              <w:t>t，</w:t>
            </w:r>
            <w:r>
              <w:rPr>
                <w:kern w:val="24"/>
                <w:sz w:val="24"/>
              </w:rPr>
              <w:t>可满足</w:t>
            </w:r>
            <w:r>
              <w:rPr>
                <w:rFonts w:hint="eastAsia"/>
                <w:sz w:val="24"/>
              </w:rPr>
              <w:t>4×300MW机组BMCR工况下1</w:t>
            </w:r>
            <w:r>
              <w:rPr>
                <w:sz w:val="24"/>
              </w:rPr>
              <w:t>1</w:t>
            </w:r>
            <w:r>
              <w:rPr>
                <w:rFonts w:hint="eastAsia"/>
                <w:sz w:val="24"/>
              </w:rPr>
              <w:t>d的耗煤量。</w:t>
            </w:r>
          </w:p>
          <w:p>
            <w:pPr>
              <w:spacing w:line="360" w:lineRule="auto"/>
              <w:ind w:firstLine="482" w:firstLineChars="200"/>
              <w:rPr>
                <w:b/>
                <w:sz w:val="24"/>
              </w:rPr>
            </w:pPr>
            <w:r>
              <w:rPr>
                <w:b/>
                <w:sz w:val="24"/>
              </w:rPr>
              <w:t>4</w:t>
            </w:r>
            <w:r>
              <w:rPr>
                <w:rFonts w:hint="eastAsia"/>
                <w:b/>
                <w:sz w:val="24"/>
              </w:rPr>
              <w:t>、</w:t>
            </w:r>
            <w:r>
              <w:rPr>
                <w:b/>
                <w:sz w:val="24"/>
              </w:rPr>
              <w:t>平面布置</w:t>
            </w:r>
            <w:r>
              <w:rPr>
                <w:rFonts w:hint="eastAsia"/>
                <w:b/>
                <w:sz w:val="24"/>
              </w:rPr>
              <w:t>及</w:t>
            </w:r>
            <w:r>
              <w:rPr>
                <w:b/>
                <w:sz w:val="24"/>
              </w:rPr>
              <w:t>合理性分析</w:t>
            </w:r>
          </w:p>
          <w:p>
            <w:pPr>
              <w:spacing w:line="360" w:lineRule="auto"/>
              <w:ind w:firstLine="480" w:firstLineChars="200"/>
              <w:rPr>
                <w:kern w:val="24"/>
                <w:sz w:val="24"/>
              </w:rPr>
            </w:pPr>
            <w:r>
              <w:rPr>
                <w:rFonts w:hint="eastAsia"/>
                <w:kern w:val="24"/>
                <w:sz w:val="24"/>
              </w:rPr>
              <w:t>本煤场封闭要保证煤场内输煤系统的正常运行，仅封闭露天煤场，将煤场及其中的斗轮堆取煤机、输煤皮带机等部分运煤设备统一封闭，封闭尺寸长为</w:t>
            </w:r>
            <w:r>
              <w:rPr>
                <w:kern w:val="24"/>
                <w:sz w:val="24"/>
              </w:rPr>
              <w:t>210</w:t>
            </w:r>
            <w:r>
              <w:rPr>
                <w:rFonts w:hint="eastAsia"/>
                <w:kern w:val="24"/>
                <w:sz w:val="24"/>
              </w:rPr>
              <w:t>m</w:t>
            </w:r>
            <w:r>
              <w:rPr>
                <w:rFonts w:hint="eastAsia"/>
                <w:bCs/>
                <w:kern w:val="24"/>
                <w:sz w:val="24"/>
              </w:rPr>
              <w:t>×180m，封闭</w:t>
            </w:r>
            <w:r>
              <w:rPr>
                <w:bCs/>
                <w:kern w:val="24"/>
                <w:sz w:val="24"/>
              </w:rPr>
              <w:t>面积</w:t>
            </w:r>
            <w:r>
              <w:rPr>
                <w:rFonts w:hint="eastAsia"/>
                <w:bCs/>
                <w:kern w:val="24"/>
                <w:sz w:val="24"/>
              </w:rPr>
              <w:t>37800m</w:t>
            </w:r>
            <w:r>
              <w:rPr>
                <w:rFonts w:hint="eastAsia"/>
                <w:bCs/>
                <w:kern w:val="24"/>
                <w:sz w:val="24"/>
                <w:vertAlign w:val="superscript"/>
              </w:rPr>
              <w:t>2</w:t>
            </w:r>
            <w:r>
              <w:rPr>
                <w:rFonts w:hint="eastAsia"/>
                <w:bCs/>
                <w:kern w:val="24"/>
                <w:sz w:val="24"/>
              </w:rPr>
              <w:t>。</w:t>
            </w:r>
            <w:r>
              <w:rPr>
                <w:rFonts w:hint="eastAsia"/>
                <w:kern w:val="24"/>
                <w:sz w:val="24"/>
              </w:rPr>
              <w:t>封闭煤场内主要有斗轮堆取料机、推煤机、装载机、皮带机进行倒运、上料等作业。</w:t>
            </w:r>
          </w:p>
          <w:p>
            <w:pPr>
              <w:spacing w:line="360" w:lineRule="auto"/>
              <w:ind w:firstLine="480" w:firstLineChars="200"/>
              <w:rPr>
                <w:sz w:val="24"/>
              </w:rPr>
            </w:pPr>
            <w:r>
              <w:rPr>
                <w:rFonts w:hint="eastAsia"/>
                <w:sz w:val="24"/>
              </w:rPr>
              <w:t>改造后，封闭</w:t>
            </w:r>
            <w:r>
              <w:rPr>
                <w:sz w:val="24"/>
              </w:rPr>
              <w:t>煤场</w:t>
            </w:r>
            <w:r>
              <w:rPr>
                <w:rFonts w:hint="eastAsia"/>
                <w:sz w:val="24"/>
              </w:rPr>
              <w:t>设</w:t>
            </w:r>
            <w:r>
              <w:rPr>
                <w:sz w:val="24"/>
              </w:rPr>
              <w:t>出入口</w:t>
            </w:r>
            <w:r>
              <w:rPr>
                <w:rFonts w:hint="eastAsia"/>
                <w:sz w:val="24"/>
              </w:rPr>
              <w:t>4处</w:t>
            </w:r>
            <w:r>
              <w:rPr>
                <w:sz w:val="24"/>
              </w:rPr>
              <w:t>，</w:t>
            </w:r>
            <w:r>
              <w:rPr>
                <w:rFonts w:hint="eastAsia"/>
                <w:sz w:val="24"/>
              </w:rPr>
              <w:t>与</w:t>
            </w:r>
            <w:r>
              <w:rPr>
                <w:sz w:val="24"/>
              </w:rPr>
              <w:t>煤场现有出入口一致，主出入口位于煤场西侧，方便</w:t>
            </w:r>
            <w:r>
              <w:rPr>
                <w:rFonts w:hint="eastAsia"/>
                <w:sz w:val="24"/>
              </w:rPr>
              <w:t>煤炭</w:t>
            </w:r>
            <w:r>
              <w:rPr>
                <w:sz w:val="24"/>
              </w:rPr>
              <w:t>运输</w:t>
            </w:r>
            <w:r>
              <w:rPr>
                <w:rFonts w:hint="eastAsia"/>
                <w:sz w:val="24"/>
              </w:rPr>
              <w:t>。</w:t>
            </w:r>
          </w:p>
          <w:p>
            <w:pPr>
              <w:pStyle w:val="2"/>
              <w:ind w:firstLine="482" w:firstLineChars="200"/>
              <w:rPr>
                <w:rFonts w:ascii="Times New Roman"/>
                <w:kern w:val="2"/>
                <w:sz w:val="24"/>
                <w:szCs w:val="24"/>
              </w:rPr>
            </w:pPr>
            <w:bookmarkStart w:id="42" w:name="_Toc493776623"/>
            <w:bookmarkStart w:id="43" w:name="_Toc494203142"/>
            <w:bookmarkStart w:id="44" w:name="_Toc494203285"/>
            <w:bookmarkStart w:id="45" w:name="_Toc494203388"/>
            <w:bookmarkStart w:id="46" w:name="_Toc514340319"/>
            <w:bookmarkStart w:id="47" w:name="_Toc514340570"/>
            <w:r>
              <w:rPr>
                <w:rFonts w:hint="eastAsia" w:ascii="Times New Roman"/>
                <w:kern w:val="2"/>
                <w:sz w:val="24"/>
                <w:szCs w:val="24"/>
              </w:rPr>
              <w:t>六</w:t>
            </w:r>
            <w:r>
              <w:rPr>
                <w:rFonts w:ascii="Times New Roman"/>
                <w:kern w:val="2"/>
                <w:sz w:val="24"/>
                <w:szCs w:val="24"/>
              </w:rPr>
              <w:t>、公用工程</w:t>
            </w:r>
            <w:bookmarkEnd w:id="39"/>
            <w:bookmarkEnd w:id="40"/>
            <w:bookmarkEnd w:id="41"/>
            <w:bookmarkEnd w:id="42"/>
            <w:bookmarkEnd w:id="43"/>
            <w:bookmarkEnd w:id="44"/>
            <w:bookmarkEnd w:id="45"/>
            <w:bookmarkEnd w:id="46"/>
            <w:bookmarkEnd w:id="47"/>
          </w:p>
          <w:p>
            <w:pPr>
              <w:spacing w:line="360" w:lineRule="auto"/>
              <w:ind w:firstLine="482" w:firstLineChars="200"/>
              <w:jc w:val="left"/>
              <w:rPr>
                <w:b/>
                <w:sz w:val="24"/>
              </w:rPr>
            </w:pPr>
            <w:r>
              <w:rPr>
                <w:b/>
                <w:sz w:val="24"/>
              </w:rPr>
              <w:t>1、给水</w:t>
            </w:r>
          </w:p>
          <w:p>
            <w:pPr>
              <w:pStyle w:val="18"/>
              <w:spacing w:line="360" w:lineRule="auto"/>
              <w:ind w:firstLine="496" w:firstLineChars="200"/>
              <w:rPr>
                <w:rFonts w:ascii="Times New Roman" w:hAnsi="Times New Roman"/>
                <w:spacing w:val="4"/>
                <w:sz w:val="24"/>
              </w:rPr>
            </w:pPr>
            <w:r>
              <w:rPr>
                <w:rFonts w:hint="eastAsia" w:ascii="Times New Roman" w:hAnsi="Times New Roman"/>
                <w:spacing w:val="4"/>
                <w:sz w:val="24"/>
              </w:rPr>
              <w:t>项目给水由渭河电厂</w:t>
            </w:r>
            <w:r>
              <w:rPr>
                <w:rFonts w:ascii="Times New Roman" w:hAnsi="Times New Roman"/>
                <w:spacing w:val="4"/>
                <w:sz w:val="24"/>
              </w:rPr>
              <w:t>现有</w:t>
            </w:r>
            <w:r>
              <w:rPr>
                <w:rFonts w:hint="eastAsia" w:ascii="Times New Roman" w:hAnsi="Times New Roman"/>
                <w:spacing w:val="4"/>
                <w:sz w:val="24"/>
              </w:rPr>
              <w:t>供水系统提供。</w:t>
            </w:r>
          </w:p>
          <w:p>
            <w:pPr>
              <w:spacing w:line="360" w:lineRule="auto"/>
              <w:ind w:firstLine="482" w:firstLineChars="200"/>
              <w:jc w:val="left"/>
              <w:rPr>
                <w:b/>
                <w:sz w:val="24"/>
              </w:rPr>
            </w:pPr>
            <w:bookmarkStart w:id="48" w:name="_Toc477877243"/>
            <w:bookmarkStart w:id="49" w:name="_Toc477877318"/>
            <w:bookmarkStart w:id="50" w:name="_Toc10081"/>
            <w:r>
              <w:rPr>
                <w:b/>
                <w:sz w:val="24"/>
              </w:rPr>
              <w:t>2、排水</w:t>
            </w:r>
            <w:bookmarkEnd w:id="48"/>
            <w:bookmarkEnd w:id="49"/>
            <w:bookmarkEnd w:id="50"/>
          </w:p>
          <w:p>
            <w:pPr>
              <w:spacing w:line="360" w:lineRule="auto"/>
              <w:ind w:firstLine="496"/>
              <w:rPr>
                <w:bCs/>
                <w:kern w:val="0"/>
                <w:sz w:val="24"/>
              </w:rPr>
            </w:pPr>
            <w:r>
              <w:rPr>
                <w:rFonts w:hint="eastAsia"/>
                <w:bCs/>
                <w:kern w:val="0"/>
                <w:sz w:val="24"/>
              </w:rPr>
              <w:t>本次技改</w:t>
            </w:r>
            <w:r>
              <w:rPr>
                <w:bCs/>
                <w:kern w:val="0"/>
                <w:sz w:val="24"/>
              </w:rPr>
              <w:t>项目完成后无新增劳动定员，</w:t>
            </w:r>
            <w:r>
              <w:rPr>
                <w:rFonts w:hint="eastAsia"/>
                <w:bCs/>
                <w:kern w:val="0"/>
                <w:sz w:val="24"/>
              </w:rPr>
              <w:t>现有劳动定员产生的生活污水依托厂区现有的生活污水管网进入生活污水处理站。</w:t>
            </w:r>
          </w:p>
          <w:p>
            <w:pPr>
              <w:spacing w:line="360" w:lineRule="auto"/>
              <w:ind w:firstLine="496"/>
              <w:rPr>
                <w:bCs/>
                <w:kern w:val="0"/>
                <w:sz w:val="24"/>
              </w:rPr>
            </w:pPr>
            <w:r>
              <w:rPr>
                <w:rFonts w:hint="eastAsia"/>
                <w:bCs/>
                <w:kern w:val="0"/>
                <w:sz w:val="24"/>
              </w:rPr>
              <w:t>煤场封闭后</w:t>
            </w:r>
            <w:r>
              <w:rPr>
                <w:bCs/>
                <w:kern w:val="0"/>
                <w:sz w:val="24"/>
              </w:rPr>
              <w:t>，</w:t>
            </w:r>
            <w:r>
              <w:rPr>
                <w:rFonts w:hint="eastAsia"/>
                <w:bCs/>
                <w:kern w:val="0"/>
                <w:sz w:val="24"/>
              </w:rPr>
              <w:t>煤棚</w:t>
            </w:r>
            <w:r>
              <w:rPr>
                <w:bCs/>
                <w:kern w:val="0"/>
                <w:sz w:val="24"/>
              </w:rPr>
              <w:t>两侧设置有</w:t>
            </w:r>
            <w:r>
              <w:rPr>
                <w:rFonts w:hint="eastAsia"/>
                <w:bCs/>
                <w:kern w:val="0"/>
                <w:sz w:val="24"/>
              </w:rPr>
              <w:t>雾化喷淋装置</w:t>
            </w:r>
            <w:r>
              <w:rPr>
                <w:bCs/>
                <w:kern w:val="0"/>
                <w:sz w:val="24"/>
              </w:rPr>
              <w:t>，由于喷淋用水量不大，不足以形成径流，因此，无喷淋废水排放。且</w:t>
            </w:r>
            <w:r>
              <w:rPr>
                <w:rFonts w:hint="eastAsia"/>
                <w:bCs/>
                <w:kern w:val="0"/>
                <w:sz w:val="24"/>
              </w:rPr>
              <w:t>煤场</w:t>
            </w:r>
            <w:r>
              <w:rPr>
                <w:bCs/>
                <w:kern w:val="0"/>
                <w:sz w:val="24"/>
              </w:rPr>
              <w:t>为全封闭结构，不会产生场地淋滤雨水</w:t>
            </w:r>
            <w:r>
              <w:rPr>
                <w:rFonts w:hint="eastAsia"/>
                <w:bCs/>
                <w:kern w:val="0"/>
                <w:sz w:val="24"/>
              </w:rPr>
              <w:t>。</w:t>
            </w:r>
          </w:p>
          <w:p>
            <w:pPr>
              <w:spacing w:line="360" w:lineRule="auto"/>
              <w:ind w:firstLine="482" w:firstLineChars="200"/>
              <w:jc w:val="left"/>
              <w:rPr>
                <w:b/>
                <w:sz w:val="24"/>
              </w:rPr>
            </w:pPr>
            <w:bookmarkStart w:id="51" w:name="_Toc477877319"/>
            <w:bookmarkStart w:id="52" w:name="_Toc477877244"/>
            <w:bookmarkStart w:id="53" w:name="_Toc1224"/>
            <w:r>
              <w:rPr>
                <w:b/>
                <w:sz w:val="24"/>
              </w:rPr>
              <w:t>3、供电</w:t>
            </w:r>
            <w:bookmarkEnd w:id="51"/>
            <w:bookmarkEnd w:id="52"/>
            <w:bookmarkEnd w:id="53"/>
          </w:p>
          <w:p>
            <w:pPr>
              <w:spacing w:line="360" w:lineRule="auto"/>
              <w:ind w:firstLine="480" w:firstLineChars="200"/>
              <w:rPr>
                <w:sz w:val="24"/>
              </w:rPr>
            </w:pPr>
            <w:r>
              <w:rPr>
                <w:rFonts w:hint="eastAsia"/>
                <w:sz w:val="24"/>
              </w:rPr>
              <w:t>储煤场照明</w:t>
            </w:r>
            <w:r>
              <w:rPr>
                <w:sz w:val="24"/>
              </w:rPr>
              <w:t>配电箱由</w:t>
            </w:r>
            <w:r>
              <w:rPr>
                <w:rFonts w:hint="eastAsia"/>
                <w:sz w:val="24"/>
              </w:rPr>
              <w:t>渭河电厂</w:t>
            </w:r>
            <w:r>
              <w:rPr>
                <w:sz w:val="24"/>
              </w:rPr>
              <w:t>现有供电线路提供。</w:t>
            </w:r>
          </w:p>
          <w:p>
            <w:pPr>
              <w:spacing w:line="360" w:lineRule="auto"/>
              <w:ind w:firstLine="482" w:firstLineChars="200"/>
              <w:rPr>
                <w:b/>
                <w:sz w:val="24"/>
              </w:rPr>
            </w:pPr>
            <w:r>
              <w:rPr>
                <w:rFonts w:hint="eastAsia"/>
                <w:b/>
                <w:sz w:val="24"/>
              </w:rPr>
              <w:t>4、</w:t>
            </w:r>
            <w:r>
              <w:rPr>
                <w:b/>
                <w:sz w:val="24"/>
              </w:rPr>
              <w:t>照明及采光</w:t>
            </w:r>
          </w:p>
          <w:p>
            <w:pPr>
              <w:spacing w:line="360" w:lineRule="auto"/>
              <w:ind w:firstLine="480" w:firstLineChars="200"/>
              <w:rPr>
                <w:sz w:val="24"/>
              </w:rPr>
            </w:pPr>
            <w:r>
              <w:rPr>
                <w:rFonts w:hint="eastAsia"/>
                <w:sz w:val="24"/>
              </w:rPr>
              <w:t>煤场封闭后</w:t>
            </w:r>
            <w:r>
              <w:rPr>
                <w:sz w:val="24"/>
              </w:rPr>
              <w:t>，在煤棚下部、顶部及两端适当位置设置采光带，用于</w:t>
            </w:r>
            <w:r>
              <w:rPr>
                <w:rFonts w:hint="eastAsia"/>
                <w:sz w:val="24"/>
              </w:rPr>
              <w:t>夜间</w:t>
            </w:r>
            <w:r>
              <w:rPr>
                <w:sz w:val="24"/>
              </w:rPr>
              <w:t>的采光</w:t>
            </w:r>
            <w:r>
              <w:rPr>
                <w:rFonts w:hint="eastAsia"/>
                <w:sz w:val="24"/>
              </w:rPr>
              <w:t>，</w:t>
            </w:r>
            <w:r>
              <w:rPr>
                <w:sz w:val="24"/>
              </w:rPr>
              <w:t>白天采用自然光</w:t>
            </w:r>
            <w:r>
              <w:rPr>
                <w:rFonts w:hint="eastAsia"/>
                <w:sz w:val="24"/>
              </w:rPr>
              <w:t>。</w:t>
            </w:r>
          </w:p>
          <w:p>
            <w:pPr>
              <w:spacing w:line="360" w:lineRule="auto"/>
              <w:ind w:firstLine="482" w:firstLineChars="200"/>
              <w:rPr>
                <w:b/>
                <w:sz w:val="24"/>
              </w:rPr>
            </w:pPr>
            <w:r>
              <w:rPr>
                <w:rFonts w:hint="eastAsia"/>
                <w:b/>
                <w:sz w:val="24"/>
              </w:rPr>
              <w:t>5、</w:t>
            </w:r>
            <w:r>
              <w:rPr>
                <w:b/>
                <w:sz w:val="24"/>
              </w:rPr>
              <w:t>通风与防尘</w:t>
            </w:r>
          </w:p>
          <w:p>
            <w:pPr>
              <w:spacing w:line="360" w:lineRule="auto"/>
              <w:ind w:firstLine="480" w:firstLineChars="200"/>
              <w:rPr>
                <w:sz w:val="24"/>
              </w:rPr>
            </w:pPr>
            <w:r>
              <w:rPr>
                <w:rFonts w:hint="eastAsia"/>
                <w:sz w:val="24"/>
              </w:rPr>
              <w:t>煤场采用自然进风、自然排风的通风方式，即通过南北两侧双层防风抑尘网自然进风，由设置在屋顶的避风天窗自然排风。</w:t>
            </w:r>
          </w:p>
          <w:p>
            <w:pPr>
              <w:spacing w:line="360" w:lineRule="auto"/>
              <w:ind w:firstLine="482" w:firstLineChars="200"/>
              <w:rPr>
                <w:b/>
                <w:sz w:val="24"/>
              </w:rPr>
            </w:pPr>
            <w:r>
              <w:rPr>
                <w:b/>
                <w:sz w:val="24"/>
              </w:rPr>
              <w:t>6</w:t>
            </w:r>
            <w:r>
              <w:rPr>
                <w:rFonts w:hint="eastAsia"/>
                <w:b/>
                <w:sz w:val="24"/>
              </w:rPr>
              <w:t>、</w:t>
            </w:r>
            <w:r>
              <w:rPr>
                <w:b/>
                <w:sz w:val="24"/>
              </w:rPr>
              <w:t>消防</w:t>
            </w:r>
          </w:p>
          <w:p>
            <w:pPr>
              <w:spacing w:line="360" w:lineRule="auto"/>
              <w:ind w:firstLine="480" w:firstLineChars="200"/>
              <w:rPr>
                <w:sz w:val="24"/>
              </w:rPr>
            </w:pPr>
            <w:r>
              <w:rPr>
                <w:rFonts w:hint="eastAsia"/>
                <w:sz w:val="24"/>
              </w:rPr>
              <w:t>拟新建消防泵房1座、消防水池1座，并在煤场内部设置自动消防水炮灭火系统，消防管网在封闭煤场内形成环状，消防水炮采用自动跟踪定位射流灭火系统，安装间距≤40m，保证任何着火点均有2门消防水炮的水射流所覆盖。</w:t>
            </w:r>
          </w:p>
          <w:p>
            <w:pPr>
              <w:spacing w:line="360" w:lineRule="auto"/>
              <w:ind w:firstLine="482" w:firstLineChars="200"/>
              <w:rPr>
                <w:b/>
                <w:sz w:val="24"/>
              </w:rPr>
            </w:pPr>
            <w:r>
              <w:rPr>
                <w:rFonts w:hint="eastAsia"/>
                <w:b/>
                <w:sz w:val="24"/>
              </w:rPr>
              <w:t>六</w:t>
            </w:r>
            <w:r>
              <w:rPr>
                <w:b/>
                <w:sz w:val="24"/>
              </w:rPr>
              <w:t>、</w:t>
            </w:r>
            <w:r>
              <w:rPr>
                <w:rFonts w:hint="eastAsia"/>
                <w:b/>
                <w:sz w:val="24"/>
              </w:rPr>
              <w:t>劳动</w:t>
            </w:r>
            <w:r>
              <w:rPr>
                <w:b/>
                <w:sz w:val="24"/>
              </w:rPr>
              <w:t>定员与工作制度</w:t>
            </w:r>
          </w:p>
          <w:p>
            <w:pPr>
              <w:spacing w:line="360" w:lineRule="auto"/>
              <w:ind w:firstLine="480" w:firstLineChars="200"/>
              <w:rPr>
                <w:sz w:val="24"/>
              </w:rPr>
            </w:pPr>
            <w:r>
              <w:rPr>
                <w:sz w:val="24"/>
              </w:rPr>
              <w:t>项目</w:t>
            </w:r>
            <w:r>
              <w:rPr>
                <w:rFonts w:hint="eastAsia"/>
                <w:sz w:val="24"/>
              </w:rPr>
              <w:t>技改</w:t>
            </w:r>
            <w:r>
              <w:rPr>
                <w:sz w:val="24"/>
              </w:rPr>
              <w:t>后无</w:t>
            </w:r>
            <w:r>
              <w:rPr>
                <w:rFonts w:hint="eastAsia"/>
                <w:sz w:val="24"/>
              </w:rPr>
              <w:t>新增劳动定员。</w:t>
            </w:r>
          </w:p>
          <w:p>
            <w:pPr>
              <w:spacing w:line="360" w:lineRule="auto"/>
              <w:ind w:firstLine="482" w:firstLineChars="200"/>
              <w:rPr>
                <w:b/>
                <w:bCs/>
                <w:sz w:val="24"/>
              </w:rPr>
            </w:pPr>
            <w:r>
              <w:rPr>
                <w:rFonts w:hint="eastAsia"/>
                <w:b/>
                <w:sz w:val="24"/>
              </w:rPr>
              <w:t>七</w:t>
            </w:r>
            <w:r>
              <w:rPr>
                <w:b/>
                <w:sz w:val="24"/>
              </w:rPr>
              <w:t>、</w:t>
            </w:r>
            <w:r>
              <w:rPr>
                <w:b/>
                <w:bCs/>
                <w:sz w:val="24"/>
              </w:rPr>
              <w:t>主要经济技术指标</w:t>
            </w:r>
          </w:p>
          <w:p>
            <w:pPr>
              <w:spacing w:line="360" w:lineRule="auto"/>
              <w:ind w:firstLine="480" w:firstLineChars="200"/>
              <w:rPr>
                <w:sz w:val="24"/>
              </w:rPr>
            </w:pPr>
            <w:r>
              <w:rPr>
                <w:sz w:val="24"/>
              </w:rPr>
              <w:t>项目总投资8600万元，全部由建设单位自筹，</w:t>
            </w:r>
            <w:r>
              <w:rPr>
                <w:rFonts w:hint="eastAsia"/>
                <w:sz w:val="24"/>
              </w:rPr>
              <w:t>其中环保投资</w:t>
            </w:r>
            <w:r>
              <w:rPr>
                <w:sz w:val="24"/>
              </w:rPr>
              <w:t>8600</w:t>
            </w:r>
            <w:r>
              <w:rPr>
                <w:rFonts w:hint="eastAsia"/>
                <w:sz w:val="24"/>
              </w:rPr>
              <w:t>万元</w:t>
            </w:r>
            <w:r>
              <w:rPr>
                <w:sz w:val="24"/>
              </w:rPr>
              <w:t>，占总投资的100%。</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9057" w:type="dxa"/>
            <w:gridSpan w:val="8"/>
            <w:vAlign w:val="center"/>
          </w:tcPr>
          <w:p>
            <w:pPr>
              <w:spacing w:line="360" w:lineRule="auto"/>
              <w:rPr>
                <w:b/>
                <w:bCs/>
                <w:sz w:val="24"/>
              </w:rPr>
            </w:pPr>
            <w:r>
              <w:rPr>
                <w:b/>
                <w:bCs/>
                <w:sz w:val="24"/>
              </w:rPr>
              <w:t>本项目有关的原有污染情况及主要问题：</w:t>
            </w:r>
          </w:p>
          <w:p>
            <w:pPr>
              <w:spacing w:line="360" w:lineRule="auto"/>
              <w:ind w:firstLine="480" w:firstLineChars="200"/>
              <w:jc w:val="left"/>
              <w:rPr>
                <w:sz w:val="24"/>
                <w:szCs w:val="22"/>
              </w:rPr>
            </w:pPr>
            <w:r>
              <w:rPr>
                <w:rFonts w:hint="eastAsia"/>
                <w:sz w:val="24"/>
                <w:szCs w:val="22"/>
              </w:rPr>
              <w:t>渭河</w:t>
            </w:r>
            <w:r>
              <w:rPr>
                <w:sz w:val="24"/>
                <w:szCs w:val="22"/>
              </w:rPr>
              <w:t>电厂现有</w:t>
            </w:r>
            <w:r>
              <w:rPr>
                <w:rFonts w:hint="eastAsia"/>
                <w:sz w:val="24"/>
                <w:szCs w:val="22"/>
              </w:rPr>
              <w:t>工程</w:t>
            </w:r>
            <w:r>
              <w:rPr>
                <w:sz w:val="24"/>
                <w:szCs w:val="22"/>
              </w:rPr>
              <w:t>情况如下：</w:t>
            </w:r>
          </w:p>
          <w:p>
            <w:pPr>
              <w:spacing w:line="360" w:lineRule="auto"/>
              <w:ind w:firstLine="482" w:firstLineChars="200"/>
              <w:jc w:val="left"/>
              <w:rPr>
                <w:b/>
                <w:sz w:val="24"/>
                <w:szCs w:val="22"/>
              </w:rPr>
            </w:pPr>
            <w:r>
              <w:rPr>
                <w:rFonts w:hint="eastAsia"/>
                <w:b/>
                <w:sz w:val="24"/>
                <w:szCs w:val="22"/>
              </w:rPr>
              <w:t>一、</w:t>
            </w:r>
            <w:r>
              <w:rPr>
                <w:b/>
                <w:sz w:val="24"/>
                <w:szCs w:val="22"/>
              </w:rPr>
              <w:t>现有工程</w:t>
            </w:r>
          </w:p>
          <w:p>
            <w:pPr>
              <w:spacing w:line="360" w:lineRule="auto"/>
              <w:ind w:firstLine="482" w:firstLineChars="200"/>
              <w:jc w:val="left"/>
              <w:rPr>
                <w:b/>
                <w:sz w:val="24"/>
                <w:szCs w:val="22"/>
              </w:rPr>
            </w:pPr>
            <w:r>
              <w:rPr>
                <w:b/>
                <w:sz w:val="24"/>
                <w:szCs w:val="22"/>
              </w:rPr>
              <w:t>1</w:t>
            </w:r>
            <w:r>
              <w:rPr>
                <w:rFonts w:hint="eastAsia"/>
                <w:b/>
                <w:sz w:val="24"/>
                <w:szCs w:val="22"/>
              </w:rPr>
              <w:t>、现有</w:t>
            </w:r>
            <w:r>
              <w:rPr>
                <w:b/>
                <w:sz w:val="24"/>
                <w:szCs w:val="22"/>
              </w:rPr>
              <w:t>工程</w:t>
            </w:r>
            <w:r>
              <w:rPr>
                <w:rFonts w:hint="eastAsia"/>
                <w:b/>
                <w:sz w:val="24"/>
                <w:szCs w:val="22"/>
              </w:rPr>
              <w:t>组成</w:t>
            </w:r>
          </w:p>
          <w:p>
            <w:pPr>
              <w:spacing w:line="360" w:lineRule="auto"/>
              <w:ind w:firstLine="480" w:firstLineChars="200"/>
              <w:rPr>
                <w:sz w:val="24"/>
              </w:rPr>
            </w:pPr>
            <w:r>
              <w:rPr>
                <w:rFonts w:hint="eastAsia"/>
                <w:sz w:val="24"/>
              </w:rPr>
              <w:t>渭河电厂现有</w:t>
            </w:r>
            <w:r>
              <w:rPr>
                <w:sz w:val="24"/>
              </w:rPr>
              <w:t>发电机组共有</w:t>
            </w:r>
            <w:r>
              <w:rPr>
                <w:rFonts w:hint="eastAsia"/>
                <w:sz w:val="24"/>
              </w:rPr>
              <w:t>二</w:t>
            </w:r>
            <w:r>
              <w:rPr>
                <w:sz w:val="24"/>
              </w:rPr>
              <w:t>期，即</w:t>
            </w:r>
            <w:r>
              <w:rPr>
                <w:rFonts w:hint="eastAsia"/>
                <w:sz w:val="24"/>
              </w:rPr>
              <w:t>：</w:t>
            </w:r>
            <w:r>
              <w:rPr>
                <w:sz w:val="24"/>
              </w:rPr>
              <w:t>二期工程#3</w:t>
            </w:r>
            <w:r>
              <w:rPr>
                <w:rFonts w:hint="eastAsia"/>
                <w:sz w:val="24"/>
              </w:rPr>
              <w:t>和</w:t>
            </w:r>
            <w:r>
              <w:rPr>
                <w:sz w:val="24"/>
              </w:rPr>
              <w:t>#4</w:t>
            </w:r>
            <w:r>
              <w:rPr>
                <w:rFonts w:hint="eastAsia"/>
                <w:sz w:val="24"/>
              </w:rPr>
              <w:t>机组</w:t>
            </w:r>
            <w:r>
              <w:rPr>
                <w:sz w:val="24"/>
              </w:rPr>
              <w:t>（</w:t>
            </w:r>
            <w:r>
              <w:rPr>
                <w:rFonts w:hint="eastAsia"/>
                <w:sz w:val="24"/>
              </w:rPr>
              <w:t>2×300MW</w:t>
            </w:r>
            <w:r>
              <w:rPr>
                <w:sz w:val="24"/>
              </w:rPr>
              <w:t>）</w:t>
            </w:r>
            <w:r>
              <w:rPr>
                <w:rFonts w:hint="eastAsia"/>
                <w:sz w:val="24"/>
              </w:rPr>
              <w:t>、三</w:t>
            </w:r>
            <w:r>
              <w:rPr>
                <w:sz w:val="24"/>
              </w:rPr>
              <w:t>期工程#5</w:t>
            </w:r>
            <w:r>
              <w:rPr>
                <w:rFonts w:hint="eastAsia"/>
                <w:sz w:val="24"/>
              </w:rPr>
              <w:t>和</w:t>
            </w:r>
            <w:r>
              <w:rPr>
                <w:sz w:val="24"/>
              </w:rPr>
              <w:t>#6</w:t>
            </w:r>
            <w:r>
              <w:rPr>
                <w:rFonts w:hint="eastAsia"/>
                <w:sz w:val="24"/>
              </w:rPr>
              <w:t>机组</w:t>
            </w:r>
            <w:r>
              <w:rPr>
                <w:sz w:val="24"/>
              </w:rPr>
              <w:t>（</w:t>
            </w:r>
            <w:r>
              <w:rPr>
                <w:rFonts w:hint="eastAsia"/>
                <w:sz w:val="24"/>
              </w:rPr>
              <w:t>2×300MW</w:t>
            </w:r>
            <w:r>
              <w:rPr>
                <w:sz w:val="24"/>
              </w:rPr>
              <w:t>）</w:t>
            </w:r>
            <w:r>
              <w:rPr>
                <w:rFonts w:hint="eastAsia"/>
                <w:sz w:val="24"/>
              </w:rPr>
              <w:t>。</w:t>
            </w:r>
          </w:p>
          <w:p>
            <w:pPr>
              <w:spacing w:line="360" w:lineRule="auto"/>
              <w:ind w:firstLine="480" w:firstLineChars="200"/>
              <w:rPr>
                <w:sz w:val="24"/>
              </w:rPr>
            </w:pPr>
            <w:r>
              <w:rPr>
                <w:rFonts w:hint="eastAsia"/>
                <w:sz w:val="24"/>
              </w:rPr>
              <w:t>渭河电厂一期</w:t>
            </w:r>
            <w:r>
              <w:rPr>
                <w:sz w:val="24"/>
              </w:rPr>
              <w:t>工程#</w:t>
            </w:r>
            <w:r>
              <w:rPr>
                <w:rFonts w:hint="eastAsia"/>
                <w:sz w:val="24"/>
              </w:rPr>
              <w:t>1和</w:t>
            </w:r>
            <w:r>
              <w:rPr>
                <w:sz w:val="24"/>
              </w:rPr>
              <w:t>#2</w:t>
            </w:r>
            <w:r>
              <w:rPr>
                <w:rFonts w:hint="eastAsia"/>
                <w:sz w:val="24"/>
              </w:rPr>
              <w:t>机组</w:t>
            </w:r>
            <w:r>
              <w:rPr>
                <w:sz w:val="24"/>
              </w:rPr>
              <w:t>（</w:t>
            </w:r>
            <w:r>
              <w:rPr>
                <w:rFonts w:hint="eastAsia"/>
                <w:sz w:val="24"/>
              </w:rPr>
              <w:t>2×50MW</w:t>
            </w:r>
            <w:r>
              <w:rPr>
                <w:sz w:val="24"/>
              </w:rPr>
              <w:t>）</w:t>
            </w:r>
            <w:r>
              <w:rPr>
                <w:rFonts w:hint="eastAsia"/>
                <w:sz w:val="24"/>
              </w:rPr>
              <w:t>始建于</w:t>
            </w:r>
            <w:r>
              <w:rPr>
                <w:sz w:val="24"/>
              </w:rPr>
              <w:t>上世纪</w:t>
            </w:r>
            <w:r>
              <w:rPr>
                <w:rFonts w:hint="eastAsia"/>
                <w:sz w:val="24"/>
              </w:rPr>
              <w:t>60年代</w:t>
            </w:r>
            <w:r>
              <w:rPr>
                <w:sz w:val="24"/>
              </w:rPr>
              <w:t>末，</w:t>
            </w:r>
            <w:r>
              <w:rPr>
                <w:rFonts w:hint="eastAsia"/>
                <w:sz w:val="24"/>
              </w:rPr>
              <w:t>安装2台50MW燃煤</w:t>
            </w:r>
            <w:r>
              <w:rPr>
                <w:sz w:val="24"/>
              </w:rPr>
              <w:t>机组，</w:t>
            </w:r>
            <w:r>
              <w:rPr>
                <w:rFonts w:hint="eastAsia"/>
                <w:sz w:val="24"/>
              </w:rPr>
              <w:t>一期工程在</w:t>
            </w:r>
            <w:r>
              <w:rPr>
                <w:sz w:val="24"/>
              </w:rPr>
              <w:t>渭河电厂</w:t>
            </w:r>
            <w:r>
              <w:rPr>
                <w:rFonts w:hint="eastAsia"/>
                <w:sz w:val="24"/>
              </w:rPr>
              <w:t>产权转让改制时已转让</w:t>
            </w:r>
            <w:r>
              <w:rPr>
                <w:sz w:val="24"/>
              </w:rPr>
              <w:t>给</w:t>
            </w:r>
            <w:r>
              <w:rPr>
                <w:rFonts w:hint="eastAsia"/>
                <w:sz w:val="24"/>
              </w:rPr>
              <w:t>大唐渭河发电公司，不再归属</w:t>
            </w:r>
            <w:r>
              <w:rPr>
                <w:sz w:val="24"/>
              </w:rPr>
              <w:t>渭河电厂管理。</w:t>
            </w:r>
          </w:p>
          <w:p>
            <w:pPr>
              <w:spacing w:line="360" w:lineRule="auto"/>
              <w:ind w:firstLine="480" w:firstLineChars="200"/>
              <w:rPr>
                <w:sz w:val="24"/>
              </w:rPr>
            </w:pPr>
            <w:r>
              <w:rPr>
                <w:rFonts w:hint="eastAsia"/>
                <w:sz w:val="24"/>
              </w:rPr>
              <w:t>渭河电厂目前</w:t>
            </w:r>
            <w:r>
              <w:rPr>
                <w:sz w:val="24"/>
              </w:rPr>
              <w:t>二期、三期工程（</w:t>
            </w:r>
            <w:r>
              <w:rPr>
                <w:rFonts w:hint="eastAsia"/>
                <w:sz w:val="24"/>
              </w:rPr>
              <w:t>4×300MW</w:t>
            </w:r>
            <w:r>
              <w:rPr>
                <w:sz w:val="24"/>
              </w:rPr>
              <w:t>）</w:t>
            </w:r>
            <w:r>
              <w:rPr>
                <w:rFonts w:hint="eastAsia"/>
                <w:sz w:val="24"/>
              </w:rPr>
              <w:t>正常运行，现有</w:t>
            </w:r>
            <w:r>
              <w:rPr>
                <w:sz w:val="24"/>
              </w:rPr>
              <w:t>工程项目组成见表3</w:t>
            </w:r>
            <w:r>
              <w:rPr>
                <w:rFonts w:hint="eastAsia"/>
                <w:sz w:val="24"/>
              </w:rPr>
              <w:t>。</w:t>
            </w:r>
          </w:p>
          <w:p>
            <w:pPr>
              <w:jc w:val="center"/>
              <w:rPr>
                <w:b/>
                <w:szCs w:val="21"/>
              </w:rPr>
            </w:pPr>
            <w:r>
              <w:rPr>
                <w:b/>
                <w:szCs w:val="21"/>
              </w:rPr>
              <w:t xml:space="preserve">表3    </w:t>
            </w:r>
            <w:r>
              <w:rPr>
                <w:rFonts w:hint="eastAsia"/>
                <w:b/>
                <w:szCs w:val="21"/>
              </w:rPr>
              <w:t>现有工程组成</w:t>
            </w:r>
            <w:r>
              <w:rPr>
                <w:b/>
                <w:szCs w:val="21"/>
              </w:rPr>
              <w:t>情况一览表</w:t>
            </w:r>
          </w:p>
          <w:tbl>
            <w:tblPr>
              <w:tblStyle w:val="39"/>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444"/>
              <w:gridCol w:w="6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62" w:type="dxa"/>
                  <w:shd w:val="clear" w:color="auto" w:fill="auto"/>
                </w:tcPr>
                <w:p>
                  <w:pPr>
                    <w:jc w:val="center"/>
                    <w:rPr>
                      <w:b/>
                      <w:szCs w:val="21"/>
                    </w:rPr>
                  </w:pPr>
                  <w:r>
                    <w:rPr>
                      <w:szCs w:val="21"/>
                    </w:rPr>
                    <w:t>项目组成</w:t>
                  </w:r>
                </w:p>
              </w:tc>
              <w:tc>
                <w:tcPr>
                  <w:tcW w:w="1444" w:type="dxa"/>
                  <w:shd w:val="clear" w:color="auto" w:fill="auto"/>
                  <w:vAlign w:val="center"/>
                </w:tcPr>
                <w:p>
                  <w:pPr>
                    <w:jc w:val="center"/>
                    <w:rPr>
                      <w:szCs w:val="21"/>
                    </w:rPr>
                  </w:pPr>
                  <w:r>
                    <w:rPr>
                      <w:szCs w:val="21"/>
                    </w:rPr>
                    <w:t>工程内容</w:t>
                  </w:r>
                </w:p>
              </w:tc>
              <w:tc>
                <w:tcPr>
                  <w:tcW w:w="6625" w:type="dxa"/>
                  <w:shd w:val="clear" w:color="auto" w:fill="auto"/>
                  <w:vAlign w:val="center"/>
                </w:tcPr>
                <w:p>
                  <w:pPr>
                    <w:jc w:val="center"/>
                    <w:rPr>
                      <w:szCs w:val="21"/>
                    </w:rPr>
                  </w:pPr>
                  <w:r>
                    <w:rPr>
                      <w:szCs w:val="21"/>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shd w:val="clear" w:color="auto" w:fill="auto"/>
                  <w:vAlign w:val="center"/>
                </w:tcPr>
                <w:p>
                  <w:pPr>
                    <w:jc w:val="center"/>
                    <w:rPr>
                      <w:szCs w:val="21"/>
                    </w:rPr>
                  </w:pPr>
                  <w:r>
                    <w:rPr>
                      <w:szCs w:val="21"/>
                    </w:rPr>
                    <w:t>主体工程</w:t>
                  </w:r>
                </w:p>
              </w:tc>
              <w:tc>
                <w:tcPr>
                  <w:tcW w:w="1444" w:type="dxa"/>
                  <w:shd w:val="clear" w:color="auto" w:fill="auto"/>
                  <w:vAlign w:val="center"/>
                </w:tcPr>
                <w:p>
                  <w:pPr>
                    <w:jc w:val="center"/>
                    <w:rPr>
                      <w:szCs w:val="21"/>
                    </w:rPr>
                  </w:pPr>
                  <w:r>
                    <w:rPr>
                      <w:rFonts w:hint="eastAsia"/>
                      <w:szCs w:val="21"/>
                    </w:rPr>
                    <w:t>发电机组</w:t>
                  </w:r>
                </w:p>
              </w:tc>
              <w:tc>
                <w:tcPr>
                  <w:tcW w:w="6625" w:type="dxa"/>
                  <w:shd w:val="clear" w:color="auto" w:fill="auto"/>
                  <w:vAlign w:val="center"/>
                </w:tcPr>
                <w:p>
                  <w:pPr>
                    <w:jc w:val="center"/>
                    <w:rPr>
                      <w:szCs w:val="21"/>
                    </w:rPr>
                  </w:pPr>
                  <w:r>
                    <w:rPr>
                      <w:rFonts w:hint="eastAsia"/>
                      <w:szCs w:val="21"/>
                    </w:rPr>
                    <w:t>4台1025t/h的亚临界自然循环煤粉锅炉；3、4号汽轮机为上海汽轮机有限公司生产的C320-16.18/0.245/535/535国产型汽轮机；5、6号汽轮机为哈汽公司生产的73型亚临界纯凝机组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restart"/>
                  <w:shd w:val="clear" w:color="auto" w:fill="auto"/>
                  <w:vAlign w:val="center"/>
                </w:tcPr>
                <w:p>
                  <w:pPr>
                    <w:jc w:val="center"/>
                    <w:rPr>
                      <w:szCs w:val="21"/>
                    </w:rPr>
                  </w:pPr>
                  <w:r>
                    <w:rPr>
                      <w:szCs w:val="21"/>
                    </w:rPr>
                    <w:t>公用工程</w:t>
                  </w:r>
                </w:p>
              </w:tc>
              <w:tc>
                <w:tcPr>
                  <w:tcW w:w="1444" w:type="dxa"/>
                  <w:shd w:val="clear" w:color="auto" w:fill="auto"/>
                  <w:vAlign w:val="center"/>
                </w:tcPr>
                <w:p>
                  <w:pPr>
                    <w:jc w:val="center"/>
                    <w:rPr>
                      <w:szCs w:val="21"/>
                    </w:rPr>
                  </w:pPr>
                  <w:r>
                    <w:rPr>
                      <w:szCs w:val="21"/>
                    </w:rPr>
                    <w:t>给水</w:t>
                  </w:r>
                </w:p>
              </w:tc>
              <w:tc>
                <w:tcPr>
                  <w:tcW w:w="6625" w:type="dxa"/>
                  <w:shd w:val="clear" w:color="auto" w:fill="auto"/>
                  <w:vAlign w:val="center"/>
                </w:tcPr>
                <w:p>
                  <w:pPr>
                    <w:jc w:val="center"/>
                    <w:rPr>
                      <w:szCs w:val="21"/>
                    </w:rPr>
                  </w:pPr>
                  <w:r>
                    <w:rPr>
                      <w:rFonts w:hint="eastAsia"/>
                      <w:szCs w:val="21"/>
                    </w:rPr>
                    <w:t>电厂</w:t>
                  </w:r>
                  <w:r>
                    <w:rPr>
                      <w:szCs w:val="21"/>
                    </w:rPr>
                    <w:t>用水</w:t>
                  </w:r>
                  <w:r>
                    <w:rPr>
                      <w:rFonts w:hint="eastAsia"/>
                      <w:szCs w:val="21"/>
                    </w:rPr>
                    <w:t>由厂区现有水井提供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rFonts w:hint="eastAsia"/>
                      <w:szCs w:val="21"/>
                    </w:rPr>
                    <w:t>循环</w:t>
                  </w:r>
                  <w:r>
                    <w:rPr>
                      <w:szCs w:val="21"/>
                    </w:rPr>
                    <w:t>冷却塔</w:t>
                  </w:r>
                </w:p>
              </w:tc>
              <w:tc>
                <w:tcPr>
                  <w:tcW w:w="6625" w:type="dxa"/>
                  <w:shd w:val="clear" w:color="auto" w:fill="auto"/>
                  <w:vAlign w:val="center"/>
                </w:tcPr>
                <w:p>
                  <w:pPr>
                    <w:jc w:val="center"/>
                    <w:rPr>
                      <w:szCs w:val="21"/>
                    </w:rPr>
                  </w:pPr>
                  <w:r>
                    <w:rPr>
                      <w:rFonts w:hint="eastAsia"/>
                      <w:szCs w:val="21"/>
                    </w:rPr>
                    <w:t>厂内设4座</w:t>
                  </w:r>
                  <w:r>
                    <w:rPr>
                      <w:szCs w:val="21"/>
                    </w:rPr>
                    <w:t>循环冷却塔，循环冷却排水经冷却塔后循环使用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rFonts w:hint="eastAsia"/>
                      <w:szCs w:val="21"/>
                    </w:rPr>
                    <w:t>补给水系统</w:t>
                  </w:r>
                </w:p>
              </w:tc>
              <w:tc>
                <w:tcPr>
                  <w:tcW w:w="6625" w:type="dxa"/>
                  <w:shd w:val="clear" w:color="auto" w:fill="auto"/>
                  <w:vAlign w:val="center"/>
                </w:tcPr>
                <w:p>
                  <w:pPr>
                    <w:jc w:val="center"/>
                    <w:rPr>
                      <w:szCs w:val="21"/>
                    </w:rPr>
                  </w:pPr>
                  <w:r>
                    <w:rPr>
                      <w:rFonts w:hint="eastAsia"/>
                      <w:szCs w:val="21"/>
                    </w:rPr>
                    <w:t>化水站</w:t>
                  </w:r>
                  <w:r>
                    <w:rPr>
                      <w:szCs w:val="21"/>
                    </w:rPr>
                    <w:t>酸碱废水进行中和处理后</w:t>
                  </w:r>
                  <w:r>
                    <w:rPr>
                      <w:rFonts w:hint="eastAsia"/>
                      <w:szCs w:val="21"/>
                    </w:rPr>
                    <w:t>作为</w:t>
                  </w:r>
                  <w:r>
                    <w:rPr>
                      <w:szCs w:val="21"/>
                    </w:rPr>
                    <w:t>循环冷却水</w:t>
                  </w:r>
                  <w:r>
                    <w:rPr>
                      <w:rFonts w:hint="eastAsia"/>
                      <w:szCs w:val="21"/>
                    </w:rPr>
                    <w:t>系统</w:t>
                  </w:r>
                  <w:r>
                    <w:rPr>
                      <w:szCs w:val="21"/>
                    </w:rPr>
                    <w:t>补充水，不外排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szCs w:val="21"/>
                    </w:rPr>
                    <w:t>排水</w:t>
                  </w:r>
                </w:p>
              </w:tc>
              <w:tc>
                <w:tcPr>
                  <w:tcW w:w="6625" w:type="dxa"/>
                  <w:shd w:val="clear" w:color="auto" w:fill="auto"/>
                  <w:vAlign w:val="center"/>
                </w:tcPr>
                <w:p>
                  <w:pPr>
                    <w:jc w:val="center"/>
                    <w:rPr>
                      <w:szCs w:val="21"/>
                    </w:rPr>
                  </w:pPr>
                  <w:r>
                    <w:rPr>
                      <w:rFonts w:hint="eastAsia"/>
                      <w:szCs w:val="21"/>
                    </w:rPr>
                    <w:t>项目生活污水</w:t>
                  </w:r>
                  <w:r>
                    <w:rPr>
                      <w:szCs w:val="21"/>
                    </w:rPr>
                    <w:t>、</w:t>
                  </w:r>
                  <w:r>
                    <w:rPr>
                      <w:rFonts w:hint="eastAsia"/>
                      <w:szCs w:val="21"/>
                    </w:rPr>
                    <w:t>工业</w:t>
                  </w:r>
                  <w:r>
                    <w:rPr>
                      <w:szCs w:val="21"/>
                    </w:rPr>
                    <w:t>废水</w:t>
                  </w:r>
                  <w:r>
                    <w:rPr>
                      <w:rFonts w:hint="eastAsia"/>
                      <w:szCs w:val="21"/>
                    </w:rPr>
                    <w:t>处理达标后排入</w:t>
                  </w:r>
                  <w:r>
                    <w:rPr>
                      <w:szCs w:val="21"/>
                    </w:rPr>
                    <w:t>市政</w:t>
                  </w:r>
                  <w:r>
                    <w:rPr>
                      <w:rFonts w:hint="eastAsia"/>
                      <w:szCs w:val="21"/>
                    </w:rPr>
                    <w:t>污水</w:t>
                  </w:r>
                  <w:r>
                    <w:rPr>
                      <w:szCs w:val="21"/>
                    </w:rPr>
                    <w:t>管网</w:t>
                  </w:r>
                  <w:r>
                    <w:rPr>
                      <w:rFonts w:hint="eastAsia"/>
                      <w:szCs w:val="21"/>
                    </w:rPr>
                    <w:t>，最终进入西咸新区</w:t>
                  </w:r>
                  <w:r>
                    <w:rPr>
                      <w:szCs w:val="21"/>
                    </w:rPr>
                    <w:t>秦汉新城污水处理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szCs w:val="21"/>
                    </w:rPr>
                    <w:t>供电</w:t>
                  </w:r>
                </w:p>
              </w:tc>
              <w:tc>
                <w:tcPr>
                  <w:tcW w:w="6625" w:type="dxa"/>
                  <w:shd w:val="clear" w:color="auto" w:fill="auto"/>
                  <w:vAlign w:val="center"/>
                </w:tcPr>
                <w:p>
                  <w:pPr>
                    <w:jc w:val="center"/>
                    <w:rPr>
                      <w:szCs w:val="21"/>
                    </w:rPr>
                  </w:pPr>
                  <w:r>
                    <w:rPr>
                      <w:rFonts w:hint="eastAsia"/>
                      <w:szCs w:val="21"/>
                    </w:rPr>
                    <w:t>项目</w:t>
                  </w:r>
                  <w:r>
                    <w:rPr>
                      <w:szCs w:val="21"/>
                    </w:rPr>
                    <w:t>用电由</w:t>
                  </w:r>
                  <w:r>
                    <w:rPr>
                      <w:rFonts w:hint="eastAsia"/>
                      <w:szCs w:val="21"/>
                    </w:rPr>
                    <w:t>电厂</w:t>
                  </w:r>
                  <w:r>
                    <w:rPr>
                      <w:szCs w:val="21"/>
                    </w:rPr>
                    <w:t>自用电系统</w:t>
                  </w:r>
                  <w:r>
                    <w:rPr>
                      <w:rFonts w:hint="eastAsia"/>
                      <w:szCs w:val="21"/>
                    </w:rPr>
                    <w:t>提供</w:t>
                  </w:r>
                  <w:r>
                    <w:rPr>
                      <w:szCs w:val="21"/>
                    </w:rPr>
                    <w:t>，二期、三期工程</w:t>
                  </w:r>
                  <w:r>
                    <w:rPr>
                      <w:rFonts w:hint="eastAsia"/>
                      <w:szCs w:val="21"/>
                    </w:rPr>
                    <w:t>互为启备</w:t>
                  </w:r>
                  <w:r>
                    <w:rPr>
                      <w:szCs w:val="21"/>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rFonts w:hint="eastAsia"/>
                      <w:szCs w:val="21"/>
                    </w:rPr>
                    <w:t>灰场</w:t>
                  </w:r>
                </w:p>
              </w:tc>
              <w:tc>
                <w:tcPr>
                  <w:tcW w:w="6625" w:type="dxa"/>
                  <w:shd w:val="clear" w:color="auto" w:fill="auto"/>
                  <w:vAlign w:val="center"/>
                </w:tcPr>
                <w:p>
                  <w:pPr>
                    <w:jc w:val="center"/>
                    <w:rPr>
                      <w:szCs w:val="21"/>
                    </w:rPr>
                  </w:pPr>
                  <w:r>
                    <w:rPr>
                      <w:rFonts w:hint="eastAsia"/>
                      <w:szCs w:val="21"/>
                    </w:rPr>
                    <w:t>渭河电厂</w:t>
                  </w:r>
                  <w:r>
                    <w:rPr>
                      <w:szCs w:val="21"/>
                    </w:rPr>
                    <w:t>原设有灰场</w:t>
                  </w:r>
                  <w:r>
                    <w:rPr>
                      <w:rFonts w:hint="eastAsia"/>
                      <w:szCs w:val="21"/>
                    </w:rPr>
                    <w:t>1座</w:t>
                  </w:r>
                  <w:r>
                    <w:rPr>
                      <w:szCs w:val="21"/>
                    </w:rPr>
                    <w:t>，位于项目</w:t>
                  </w:r>
                  <w:r>
                    <w:rPr>
                      <w:rFonts w:hint="eastAsia"/>
                      <w:szCs w:val="21"/>
                    </w:rPr>
                    <w:t>厂区</w:t>
                  </w:r>
                  <w:r>
                    <w:rPr>
                      <w:szCs w:val="21"/>
                    </w:rPr>
                    <w:t>东南侧约</w:t>
                  </w:r>
                  <w:r>
                    <w:rPr>
                      <w:rFonts w:hint="eastAsia"/>
                      <w:szCs w:val="21"/>
                    </w:rPr>
                    <w:t>1.3km处</w:t>
                  </w:r>
                  <w:r>
                    <w:rPr>
                      <w:szCs w:val="21"/>
                    </w:rPr>
                    <w:t>，</w:t>
                  </w:r>
                  <w:r>
                    <w:rPr>
                      <w:rFonts w:hint="eastAsia"/>
                      <w:szCs w:val="21"/>
                    </w:rPr>
                    <w:t>灰场已于2017年</w:t>
                  </w:r>
                  <w:r>
                    <w:rPr>
                      <w:szCs w:val="21"/>
                    </w:rPr>
                    <w:t>被秦汉新城</w:t>
                  </w:r>
                  <w:r>
                    <w:rPr>
                      <w:rFonts w:hint="eastAsia"/>
                      <w:szCs w:val="21"/>
                    </w:rPr>
                    <w:t>政府</w:t>
                  </w:r>
                  <w:r>
                    <w:rPr>
                      <w:szCs w:val="21"/>
                    </w:rPr>
                    <w:t>征用，</w:t>
                  </w:r>
                  <w:r>
                    <w:rPr>
                      <w:rFonts w:hint="eastAsia"/>
                      <w:szCs w:val="21"/>
                    </w:rPr>
                    <w:t>不再</w:t>
                  </w:r>
                  <w:r>
                    <w:rPr>
                      <w:szCs w:val="21"/>
                    </w:rPr>
                    <w:t>使用</w:t>
                  </w:r>
                  <w:r>
                    <w:rPr>
                      <w:rFonts w:hint="eastAsia"/>
                      <w:szCs w:val="21"/>
                    </w:rPr>
                    <w:t>；</w:t>
                  </w:r>
                  <w:r>
                    <w:rPr>
                      <w:szCs w:val="21"/>
                    </w:rPr>
                    <w:t>渭河电厂拟在</w:t>
                  </w:r>
                  <w:r>
                    <w:rPr>
                      <w:rFonts w:hint="eastAsia"/>
                      <w:szCs w:val="21"/>
                    </w:rPr>
                    <w:t>厂区</w:t>
                  </w:r>
                  <w:r>
                    <w:rPr>
                      <w:szCs w:val="21"/>
                    </w:rPr>
                    <w:t>西侧</w:t>
                  </w:r>
                  <w:r>
                    <w:rPr>
                      <w:rFonts w:hint="eastAsia"/>
                      <w:szCs w:val="21"/>
                    </w:rPr>
                    <w:t>待征地</w:t>
                  </w:r>
                  <w:r>
                    <w:rPr>
                      <w:szCs w:val="21"/>
                    </w:rPr>
                    <w:t>中</w:t>
                  </w:r>
                  <w:r>
                    <w:rPr>
                      <w:rFonts w:hint="eastAsia"/>
                      <w:szCs w:val="21"/>
                    </w:rPr>
                    <w:t>新建</w:t>
                  </w:r>
                  <w:r>
                    <w:rPr>
                      <w:szCs w:val="21"/>
                    </w:rPr>
                    <w:t>灰场，目前</w:t>
                  </w:r>
                  <w:r>
                    <w:rPr>
                      <w:rFonts w:hint="eastAsia"/>
                      <w:szCs w:val="21"/>
                    </w:rPr>
                    <w:t>仍在办理征</w:t>
                  </w:r>
                  <w:r>
                    <w:rPr>
                      <w:szCs w:val="21"/>
                    </w:rPr>
                    <w:t>地手续，尚未开始建设</w:t>
                  </w:r>
                  <w:r>
                    <w:rPr>
                      <w:rFonts w:hint="eastAsia"/>
                      <w:szCs w:val="21"/>
                    </w:rPr>
                    <w:t>；目前</w:t>
                  </w:r>
                  <w:r>
                    <w:rPr>
                      <w:szCs w:val="21"/>
                    </w:rPr>
                    <w:t>电厂</w:t>
                  </w:r>
                  <w:r>
                    <w:rPr>
                      <w:rFonts w:hint="eastAsia"/>
                      <w:szCs w:val="21"/>
                    </w:rPr>
                    <w:t>灰渣</w:t>
                  </w:r>
                  <w:r>
                    <w:rPr>
                      <w:szCs w:val="21"/>
                    </w:rPr>
                    <w:t>在渣仓内储存，并</w:t>
                  </w:r>
                  <w:r>
                    <w:rPr>
                      <w:rFonts w:hint="eastAsia"/>
                      <w:szCs w:val="21"/>
                    </w:rPr>
                    <w:t>随时外售正元电力实业</w:t>
                  </w:r>
                  <w:r>
                    <w:rPr>
                      <w:szCs w:val="21"/>
                    </w:rPr>
                    <w:t>发展公司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rFonts w:hint="eastAsia"/>
                      <w:szCs w:val="21"/>
                    </w:rPr>
                    <w:t>煤场</w:t>
                  </w:r>
                </w:p>
              </w:tc>
              <w:tc>
                <w:tcPr>
                  <w:tcW w:w="6625" w:type="dxa"/>
                  <w:shd w:val="clear" w:color="auto" w:fill="auto"/>
                  <w:vAlign w:val="center"/>
                </w:tcPr>
                <w:p>
                  <w:pPr>
                    <w:jc w:val="center"/>
                    <w:rPr>
                      <w:szCs w:val="21"/>
                    </w:rPr>
                  </w:pPr>
                  <w:r>
                    <w:rPr>
                      <w:rFonts w:hint="eastAsia"/>
                      <w:szCs w:val="21"/>
                    </w:rPr>
                    <w:t>储煤量为30×10</w:t>
                  </w:r>
                  <w:r>
                    <w:rPr>
                      <w:rFonts w:hint="eastAsia"/>
                      <w:szCs w:val="21"/>
                      <w:vertAlign w:val="superscript"/>
                    </w:rPr>
                    <w:t>4</w:t>
                  </w:r>
                  <w:r>
                    <w:rPr>
                      <w:rFonts w:hint="eastAsia"/>
                      <w:szCs w:val="21"/>
                    </w:rPr>
                    <w:t>t，</w:t>
                  </w:r>
                  <w:r>
                    <w:rPr>
                      <w:szCs w:val="21"/>
                    </w:rPr>
                    <w:t>设有防风</w:t>
                  </w:r>
                  <w:r>
                    <w:rPr>
                      <w:rFonts w:hint="eastAsia"/>
                      <w:szCs w:val="21"/>
                    </w:rPr>
                    <w:t>抑尘网</w:t>
                  </w:r>
                  <w:r>
                    <w:rPr>
                      <w:szCs w:val="21"/>
                    </w:rPr>
                    <w:t>，并设置报警装置、喷淋装置等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restart"/>
                  <w:shd w:val="clear" w:color="auto" w:fill="auto"/>
                  <w:vAlign w:val="center"/>
                </w:tcPr>
                <w:p>
                  <w:pPr>
                    <w:jc w:val="center"/>
                    <w:rPr>
                      <w:szCs w:val="21"/>
                    </w:rPr>
                  </w:pPr>
                  <w:r>
                    <w:rPr>
                      <w:szCs w:val="21"/>
                    </w:rPr>
                    <w:t>环保工程</w:t>
                  </w:r>
                </w:p>
              </w:tc>
              <w:tc>
                <w:tcPr>
                  <w:tcW w:w="1444" w:type="dxa"/>
                  <w:shd w:val="clear" w:color="auto" w:fill="auto"/>
                  <w:vAlign w:val="center"/>
                </w:tcPr>
                <w:p>
                  <w:pPr>
                    <w:jc w:val="center"/>
                    <w:rPr>
                      <w:szCs w:val="21"/>
                    </w:rPr>
                  </w:pPr>
                  <w:r>
                    <w:rPr>
                      <w:rFonts w:hint="eastAsia"/>
                      <w:szCs w:val="21"/>
                    </w:rPr>
                    <w:t>脱硫措施</w:t>
                  </w:r>
                </w:p>
              </w:tc>
              <w:tc>
                <w:tcPr>
                  <w:tcW w:w="6625" w:type="dxa"/>
                  <w:shd w:val="clear" w:color="auto" w:fill="auto"/>
                  <w:vAlign w:val="center"/>
                </w:tcPr>
                <w:p>
                  <w:pPr>
                    <w:jc w:val="center"/>
                    <w:rPr>
                      <w:szCs w:val="21"/>
                    </w:rPr>
                  </w:pPr>
                  <w:r>
                    <w:rPr>
                      <w:rFonts w:hint="eastAsia"/>
                      <w:szCs w:val="21"/>
                    </w:rPr>
                    <w:t>石灰石～石膏</w:t>
                  </w:r>
                  <w:r>
                    <w:rPr>
                      <w:szCs w:val="21"/>
                    </w:rPr>
                    <w:t>湿法脱硫</w:t>
                  </w:r>
                  <w:r>
                    <w:rPr>
                      <w:rFonts w:hint="eastAsia"/>
                      <w:szCs w:val="21"/>
                    </w:rPr>
                    <w:t>系统</w:t>
                  </w:r>
                  <w:r>
                    <w:rPr>
                      <w:szCs w:val="21"/>
                    </w:rPr>
                    <w:t>+2</w:t>
                  </w:r>
                  <w:r>
                    <w:rPr>
                      <w:rFonts w:hint="eastAsia"/>
                      <w:szCs w:val="21"/>
                    </w:rPr>
                    <w:t>级</w:t>
                  </w:r>
                  <w:r>
                    <w:rPr>
                      <w:szCs w:val="21"/>
                    </w:rPr>
                    <w:t>吸收塔</w:t>
                  </w:r>
                  <w:r>
                    <w:rPr>
                      <w:rFonts w:hint="eastAsia"/>
                      <w:szCs w:val="21"/>
                    </w:rPr>
                    <w:t>，</w:t>
                  </w:r>
                  <w:r>
                    <w:rPr>
                      <w:szCs w:val="21"/>
                    </w:rPr>
                    <w:t>脱硫效率</w:t>
                  </w:r>
                  <w:r>
                    <w:rPr>
                      <w:rFonts w:hint="eastAsia"/>
                      <w:szCs w:val="21"/>
                    </w:rPr>
                    <w:t>≥99.4</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rFonts w:hint="eastAsia"/>
                      <w:szCs w:val="21"/>
                    </w:rPr>
                    <w:t>除尘</w:t>
                  </w:r>
                  <w:r>
                    <w:rPr>
                      <w:szCs w:val="21"/>
                    </w:rPr>
                    <w:t>措施</w:t>
                  </w:r>
                </w:p>
              </w:tc>
              <w:tc>
                <w:tcPr>
                  <w:tcW w:w="6625" w:type="dxa"/>
                  <w:shd w:val="clear" w:color="auto" w:fill="auto"/>
                  <w:vAlign w:val="center"/>
                </w:tcPr>
                <w:p>
                  <w:pPr>
                    <w:jc w:val="center"/>
                    <w:rPr>
                      <w:szCs w:val="21"/>
                    </w:rPr>
                  </w:pPr>
                  <w:r>
                    <w:rPr>
                      <w:rFonts w:hint="eastAsia"/>
                      <w:szCs w:val="21"/>
                    </w:rPr>
                    <w:t>静电除尘器</w:t>
                  </w:r>
                  <w:r>
                    <w:rPr>
                      <w:szCs w:val="21"/>
                    </w:rPr>
                    <w:t>，除尘效率</w:t>
                  </w:r>
                  <w:r>
                    <w:rPr>
                      <w:rFonts w:hint="eastAsia"/>
                      <w:szCs w:val="21"/>
                    </w:rPr>
                    <w:t>≥99.8</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rFonts w:hint="eastAsia"/>
                      <w:szCs w:val="21"/>
                    </w:rPr>
                    <w:t>脱硝措施</w:t>
                  </w:r>
                </w:p>
              </w:tc>
              <w:tc>
                <w:tcPr>
                  <w:tcW w:w="6625" w:type="dxa"/>
                  <w:shd w:val="clear" w:color="auto" w:fill="auto"/>
                  <w:vAlign w:val="center"/>
                </w:tcPr>
                <w:p>
                  <w:pPr>
                    <w:jc w:val="center"/>
                    <w:rPr>
                      <w:szCs w:val="21"/>
                    </w:rPr>
                  </w:pPr>
                  <w:r>
                    <w:rPr>
                      <w:rFonts w:hint="eastAsia"/>
                      <w:szCs w:val="21"/>
                    </w:rPr>
                    <w:t>SCR脱硝，</w:t>
                  </w:r>
                  <w:r>
                    <w:rPr>
                      <w:szCs w:val="21"/>
                    </w:rPr>
                    <w:t>脱硝效率</w:t>
                  </w:r>
                  <w:r>
                    <w:rPr>
                      <w:rFonts w:hint="eastAsia"/>
                      <w:szCs w:val="21"/>
                    </w:rPr>
                    <w:t>≥90</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autoSpaceDE w:val="0"/>
                    <w:autoSpaceDN w:val="0"/>
                    <w:adjustRightInd w:val="0"/>
                    <w:jc w:val="center"/>
                    <w:rPr>
                      <w:szCs w:val="21"/>
                    </w:rPr>
                  </w:pPr>
                  <w:r>
                    <w:rPr>
                      <w:rFonts w:hint="eastAsia"/>
                      <w:kern w:val="0"/>
                      <w:szCs w:val="21"/>
                    </w:rPr>
                    <w:t>生活废水</w:t>
                  </w:r>
                  <w:r>
                    <w:rPr>
                      <w:kern w:val="0"/>
                      <w:szCs w:val="21"/>
                    </w:rPr>
                    <w:t>处理措施</w:t>
                  </w:r>
                </w:p>
              </w:tc>
              <w:tc>
                <w:tcPr>
                  <w:tcW w:w="6625" w:type="dxa"/>
                  <w:shd w:val="clear" w:color="auto" w:fill="auto"/>
                  <w:vAlign w:val="center"/>
                </w:tcPr>
                <w:p>
                  <w:pPr>
                    <w:jc w:val="center"/>
                    <w:rPr>
                      <w:szCs w:val="21"/>
                    </w:rPr>
                  </w:pPr>
                  <w:r>
                    <w:rPr>
                      <w:rFonts w:hint="eastAsia"/>
                      <w:szCs w:val="21"/>
                    </w:rPr>
                    <w:t>1套，生活污水经曝气、</w:t>
                  </w:r>
                  <w:r>
                    <w:rPr>
                      <w:szCs w:val="21"/>
                    </w:rPr>
                    <w:t>絮凝沉淀、过滤处理后排入</w:t>
                  </w:r>
                  <w:r>
                    <w:rPr>
                      <w:rFonts w:hint="eastAsia"/>
                      <w:szCs w:val="21"/>
                    </w:rPr>
                    <w:t>市政</w:t>
                  </w:r>
                  <w:r>
                    <w:rPr>
                      <w:szCs w:val="21"/>
                    </w:rPr>
                    <w:t>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rFonts w:hint="eastAsia"/>
                      <w:szCs w:val="21"/>
                    </w:rPr>
                    <w:t>脱硫废水</w:t>
                  </w:r>
                  <w:r>
                    <w:rPr>
                      <w:szCs w:val="21"/>
                    </w:rPr>
                    <w:t>处理措施</w:t>
                  </w:r>
                </w:p>
              </w:tc>
              <w:tc>
                <w:tcPr>
                  <w:tcW w:w="6625" w:type="dxa"/>
                  <w:shd w:val="clear" w:color="auto" w:fill="auto"/>
                  <w:vAlign w:val="center"/>
                </w:tcPr>
                <w:p>
                  <w:pPr>
                    <w:autoSpaceDE w:val="0"/>
                    <w:autoSpaceDN w:val="0"/>
                    <w:adjustRightInd w:val="0"/>
                    <w:jc w:val="center"/>
                    <w:rPr>
                      <w:szCs w:val="21"/>
                    </w:rPr>
                  </w:pPr>
                  <w:r>
                    <w:rPr>
                      <w:rFonts w:hint="eastAsia"/>
                      <w:szCs w:val="21"/>
                    </w:rPr>
                    <w:t>1套，从吸收塔排出的石膏浆液进入水力旋流浓缩器进入真空脱水装置脱水，脱水后的石膏储存、外售。溢流液经废水旋流器浓缩、中和、絮凝沉淀、澄清处理后用于冲渣补充水，不外排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rFonts w:hint="eastAsia"/>
                      <w:szCs w:val="21"/>
                    </w:rPr>
                    <w:t>工业废水</w:t>
                  </w:r>
                  <w:r>
                    <w:rPr>
                      <w:szCs w:val="21"/>
                    </w:rPr>
                    <w:t>处理措施</w:t>
                  </w:r>
                </w:p>
              </w:tc>
              <w:tc>
                <w:tcPr>
                  <w:tcW w:w="6625" w:type="dxa"/>
                  <w:shd w:val="clear" w:color="auto" w:fill="auto"/>
                  <w:vAlign w:val="center"/>
                </w:tcPr>
                <w:p>
                  <w:pPr>
                    <w:autoSpaceDE w:val="0"/>
                    <w:autoSpaceDN w:val="0"/>
                    <w:adjustRightInd w:val="0"/>
                    <w:jc w:val="center"/>
                    <w:rPr>
                      <w:szCs w:val="21"/>
                    </w:rPr>
                  </w:pPr>
                  <w:r>
                    <w:rPr>
                      <w:rFonts w:hint="eastAsia"/>
                      <w:szCs w:val="21"/>
                    </w:rPr>
                    <w:t>经悬浮澄清器、气浮装置、絮凝沉淀、过滤后排入</w:t>
                  </w:r>
                  <w:r>
                    <w:rPr>
                      <w:szCs w:val="21"/>
                    </w:rPr>
                    <w:t>市政污水管网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szCs w:val="21"/>
                    </w:rPr>
                    <w:t>噪声</w:t>
                  </w:r>
                </w:p>
              </w:tc>
              <w:tc>
                <w:tcPr>
                  <w:tcW w:w="6625" w:type="dxa"/>
                  <w:shd w:val="clear" w:color="auto" w:fill="auto"/>
                  <w:vAlign w:val="center"/>
                </w:tcPr>
                <w:p>
                  <w:pPr>
                    <w:autoSpaceDE w:val="0"/>
                    <w:autoSpaceDN w:val="0"/>
                    <w:adjustRightInd w:val="0"/>
                    <w:jc w:val="center"/>
                    <w:rPr>
                      <w:szCs w:val="21"/>
                    </w:rPr>
                  </w:pPr>
                  <w:r>
                    <w:rPr>
                      <w:kern w:val="0"/>
                      <w:szCs w:val="21"/>
                    </w:rPr>
                    <w:t>选用低噪声设备</w:t>
                  </w:r>
                  <w:r>
                    <w:rPr>
                      <w:rFonts w:hint="eastAsia"/>
                      <w:kern w:val="0"/>
                      <w:szCs w:val="21"/>
                    </w:rPr>
                    <w:t>，</w:t>
                  </w:r>
                  <w:r>
                    <w:rPr>
                      <w:kern w:val="0"/>
                      <w:szCs w:val="21"/>
                    </w:rPr>
                    <w:t>对重噪</w:t>
                  </w:r>
                  <w:r>
                    <w:rPr>
                      <w:rFonts w:hint="eastAsia"/>
                      <w:kern w:val="0"/>
                      <w:szCs w:val="21"/>
                    </w:rPr>
                    <w:t>设备</w:t>
                  </w:r>
                  <w:r>
                    <w:rPr>
                      <w:kern w:val="0"/>
                      <w:szCs w:val="21"/>
                    </w:rPr>
                    <w:t>安装消声器，合理绿化，充分利用</w:t>
                  </w:r>
                  <w:r>
                    <w:rPr>
                      <w:rFonts w:hint="eastAsia"/>
                      <w:kern w:val="0"/>
                      <w:szCs w:val="21"/>
                    </w:rPr>
                    <w:t>植物</w:t>
                  </w:r>
                  <w:r>
                    <w:rPr>
                      <w:kern w:val="0"/>
                      <w:szCs w:val="21"/>
                    </w:rPr>
                    <w:t>的降噪</w:t>
                  </w:r>
                  <w:r>
                    <w:rPr>
                      <w:rFonts w:hint="eastAsia"/>
                      <w:kern w:val="0"/>
                      <w:szCs w:val="21"/>
                    </w:rPr>
                    <w:t>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rFonts w:hint="eastAsia"/>
                      <w:szCs w:val="21"/>
                    </w:rPr>
                    <w:t>固体</w:t>
                  </w:r>
                  <w:r>
                    <w:rPr>
                      <w:szCs w:val="21"/>
                    </w:rPr>
                    <w:t>废物</w:t>
                  </w:r>
                </w:p>
              </w:tc>
              <w:tc>
                <w:tcPr>
                  <w:tcW w:w="6625" w:type="dxa"/>
                  <w:vAlign w:val="center"/>
                </w:tcPr>
                <w:p>
                  <w:pPr>
                    <w:jc w:val="center"/>
                    <w:rPr>
                      <w:szCs w:val="21"/>
                    </w:rPr>
                  </w:pPr>
                  <w:r>
                    <w:rPr>
                      <w:rFonts w:hint="eastAsia"/>
                      <w:szCs w:val="21"/>
                    </w:rPr>
                    <w:t>灰渣、</w:t>
                  </w:r>
                  <w:r>
                    <w:rPr>
                      <w:szCs w:val="21"/>
                    </w:rPr>
                    <w:t>脱硫石膏</w:t>
                  </w:r>
                  <w:r>
                    <w:rPr>
                      <w:rFonts w:hint="eastAsia"/>
                      <w:szCs w:val="21"/>
                    </w:rPr>
                    <w:t>外售正元电力实业发展公司；危险废物</w:t>
                  </w:r>
                  <w:r>
                    <w:rPr>
                      <w:szCs w:val="21"/>
                    </w:rPr>
                    <w:t>交有资质单位处置；生活垃圾统一收集后交</w:t>
                  </w:r>
                  <w:r>
                    <w:rPr>
                      <w:rFonts w:hint="eastAsia"/>
                      <w:szCs w:val="21"/>
                    </w:rPr>
                    <w:t>环卫</w:t>
                  </w:r>
                  <w:r>
                    <w:rPr>
                      <w:szCs w:val="21"/>
                    </w:rPr>
                    <w:t>部门处理</w:t>
                  </w:r>
                </w:p>
              </w:tc>
            </w:tr>
          </w:tbl>
          <w:p>
            <w:pPr>
              <w:spacing w:before="120" w:beforeLines="50" w:line="360" w:lineRule="auto"/>
              <w:ind w:firstLine="482" w:firstLineChars="200"/>
              <w:jc w:val="left"/>
              <w:rPr>
                <w:b/>
                <w:sz w:val="24"/>
                <w:szCs w:val="22"/>
              </w:rPr>
            </w:pPr>
            <w:r>
              <w:rPr>
                <w:b/>
                <w:sz w:val="24"/>
                <w:szCs w:val="22"/>
              </w:rPr>
              <w:t>2</w:t>
            </w:r>
            <w:r>
              <w:rPr>
                <w:rFonts w:hint="eastAsia"/>
                <w:b/>
                <w:sz w:val="24"/>
                <w:szCs w:val="22"/>
              </w:rPr>
              <w:t>、厂区</w:t>
            </w:r>
            <w:r>
              <w:rPr>
                <w:b/>
                <w:sz w:val="24"/>
                <w:szCs w:val="22"/>
              </w:rPr>
              <w:t>总平面布置</w:t>
            </w:r>
          </w:p>
          <w:p>
            <w:pPr>
              <w:spacing w:line="360" w:lineRule="auto"/>
              <w:ind w:firstLine="480" w:firstLineChars="200"/>
              <w:jc w:val="left"/>
              <w:rPr>
                <w:sz w:val="24"/>
                <w:szCs w:val="22"/>
              </w:rPr>
            </w:pPr>
            <w:r>
              <w:rPr>
                <w:rFonts w:hint="eastAsia"/>
                <w:sz w:val="24"/>
                <w:szCs w:val="22"/>
              </w:rPr>
              <w:t>渭河电厂总体上</w:t>
            </w:r>
            <w:r>
              <w:rPr>
                <w:sz w:val="24"/>
                <w:szCs w:val="22"/>
              </w:rPr>
              <w:t>分为生活区、生产区</w:t>
            </w:r>
            <w:r>
              <w:rPr>
                <w:rFonts w:hint="eastAsia"/>
                <w:sz w:val="24"/>
                <w:szCs w:val="22"/>
              </w:rPr>
              <w:t>2部分</w:t>
            </w:r>
            <w:r>
              <w:rPr>
                <w:sz w:val="24"/>
                <w:szCs w:val="22"/>
              </w:rPr>
              <w:t>，生活</w:t>
            </w:r>
            <w:r>
              <w:rPr>
                <w:rFonts w:hint="eastAsia"/>
                <w:sz w:val="24"/>
                <w:szCs w:val="22"/>
              </w:rPr>
              <w:t>区</w:t>
            </w:r>
            <w:r>
              <w:rPr>
                <w:sz w:val="24"/>
                <w:szCs w:val="22"/>
              </w:rPr>
              <w:t>位于</w:t>
            </w:r>
            <w:r>
              <w:rPr>
                <w:rFonts w:hint="eastAsia"/>
                <w:sz w:val="24"/>
                <w:szCs w:val="22"/>
              </w:rPr>
              <w:t>厂区</w:t>
            </w:r>
            <w:r>
              <w:rPr>
                <w:sz w:val="24"/>
                <w:szCs w:val="22"/>
              </w:rPr>
              <w:t>东侧</w:t>
            </w:r>
            <w:r>
              <w:rPr>
                <w:rFonts w:hint="eastAsia"/>
                <w:sz w:val="24"/>
                <w:szCs w:val="22"/>
              </w:rPr>
              <w:t>、</w:t>
            </w:r>
            <w:r>
              <w:rPr>
                <w:sz w:val="24"/>
                <w:szCs w:val="22"/>
              </w:rPr>
              <w:t>生产区位于西侧</w:t>
            </w:r>
            <w:r>
              <w:rPr>
                <w:rFonts w:hint="eastAsia"/>
                <w:sz w:val="24"/>
                <w:szCs w:val="22"/>
              </w:rPr>
              <w:t>，</w:t>
            </w:r>
            <w:r>
              <w:rPr>
                <w:sz w:val="24"/>
                <w:szCs w:val="22"/>
              </w:rPr>
              <w:t>两者间</w:t>
            </w:r>
            <w:r>
              <w:rPr>
                <w:rFonts w:hint="eastAsia"/>
                <w:sz w:val="24"/>
                <w:szCs w:val="22"/>
              </w:rPr>
              <w:t>有</w:t>
            </w:r>
            <w:r>
              <w:rPr>
                <w:sz w:val="24"/>
                <w:szCs w:val="22"/>
              </w:rPr>
              <w:t>围墙相隔。</w:t>
            </w:r>
            <w:r>
              <w:rPr>
                <w:rFonts w:hint="eastAsia"/>
                <w:sz w:val="24"/>
                <w:szCs w:val="22"/>
              </w:rPr>
              <w:t>生产区</w:t>
            </w:r>
            <w:r>
              <w:rPr>
                <w:sz w:val="24"/>
                <w:szCs w:val="22"/>
              </w:rPr>
              <w:t>西侧为</w:t>
            </w:r>
            <w:r>
              <w:rPr>
                <w:rFonts w:hint="eastAsia"/>
                <w:sz w:val="24"/>
                <w:szCs w:val="22"/>
              </w:rPr>
              <w:t>企业</w:t>
            </w:r>
            <w:r>
              <w:rPr>
                <w:sz w:val="24"/>
                <w:szCs w:val="22"/>
              </w:rPr>
              <w:t>灰场</w:t>
            </w:r>
            <w:r>
              <w:rPr>
                <w:rFonts w:hint="eastAsia"/>
                <w:sz w:val="24"/>
                <w:szCs w:val="22"/>
              </w:rPr>
              <w:t>，</w:t>
            </w:r>
            <w:r>
              <w:rPr>
                <w:sz w:val="24"/>
                <w:szCs w:val="22"/>
              </w:rPr>
              <w:t>中部</w:t>
            </w:r>
            <w:r>
              <w:rPr>
                <w:rFonts w:hint="eastAsia"/>
                <w:sz w:val="24"/>
                <w:szCs w:val="22"/>
              </w:rPr>
              <w:t>由</w:t>
            </w:r>
            <w:r>
              <w:rPr>
                <w:sz w:val="24"/>
                <w:szCs w:val="22"/>
              </w:rPr>
              <w:t>北向南</w:t>
            </w:r>
            <w:r>
              <w:rPr>
                <w:rFonts w:hint="eastAsia"/>
                <w:sz w:val="24"/>
                <w:szCs w:val="22"/>
              </w:rPr>
              <w:t>依次</w:t>
            </w:r>
            <w:r>
              <w:rPr>
                <w:sz w:val="24"/>
                <w:szCs w:val="22"/>
              </w:rPr>
              <w:t>为升压站、冷却塔、</w:t>
            </w:r>
            <w:r>
              <w:rPr>
                <w:rFonts w:hint="eastAsia"/>
                <w:sz w:val="24"/>
                <w:szCs w:val="22"/>
              </w:rPr>
              <w:t>主厂房区</w:t>
            </w:r>
            <w:r>
              <w:rPr>
                <w:sz w:val="24"/>
                <w:szCs w:val="22"/>
              </w:rPr>
              <w:t>、露天煤厂、火车卸车沟，东侧为</w:t>
            </w:r>
            <w:r>
              <w:rPr>
                <w:rFonts w:hint="eastAsia"/>
                <w:sz w:val="24"/>
                <w:szCs w:val="22"/>
              </w:rPr>
              <w:t>办公区</w:t>
            </w:r>
            <w:r>
              <w:rPr>
                <w:sz w:val="24"/>
                <w:szCs w:val="22"/>
              </w:rPr>
              <w:t>、污水处理站、</w:t>
            </w:r>
            <w:r>
              <w:rPr>
                <w:rFonts w:hint="eastAsia"/>
                <w:sz w:val="24"/>
                <w:szCs w:val="22"/>
              </w:rPr>
              <w:t>库房</w:t>
            </w:r>
            <w:r>
              <w:rPr>
                <w:sz w:val="24"/>
                <w:szCs w:val="22"/>
              </w:rPr>
              <w:t>等。</w:t>
            </w:r>
          </w:p>
          <w:p>
            <w:pPr>
              <w:spacing w:line="360" w:lineRule="auto"/>
              <w:ind w:firstLine="480" w:firstLineChars="200"/>
              <w:jc w:val="left"/>
              <w:rPr>
                <w:sz w:val="24"/>
                <w:szCs w:val="22"/>
              </w:rPr>
            </w:pPr>
            <w:r>
              <w:rPr>
                <w:rFonts w:hint="eastAsia"/>
                <w:sz w:val="24"/>
                <w:szCs w:val="22"/>
              </w:rPr>
              <w:t>厂区</w:t>
            </w:r>
            <w:r>
              <w:rPr>
                <w:sz w:val="24"/>
                <w:szCs w:val="22"/>
              </w:rPr>
              <w:t>总平面布置图见附图</w:t>
            </w:r>
            <w:r>
              <w:rPr>
                <w:rFonts w:hint="eastAsia"/>
                <w:sz w:val="24"/>
                <w:szCs w:val="22"/>
              </w:rPr>
              <w:t>2。</w:t>
            </w:r>
          </w:p>
          <w:p>
            <w:pPr>
              <w:spacing w:line="360" w:lineRule="auto"/>
              <w:ind w:firstLine="482" w:firstLineChars="200"/>
              <w:jc w:val="left"/>
              <w:rPr>
                <w:b/>
                <w:sz w:val="24"/>
                <w:szCs w:val="22"/>
              </w:rPr>
            </w:pPr>
            <w:r>
              <w:rPr>
                <w:b/>
                <w:sz w:val="24"/>
                <w:szCs w:val="22"/>
              </w:rPr>
              <w:t>3</w:t>
            </w:r>
            <w:r>
              <w:rPr>
                <w:rFonts w:hint="eastAsia"/>
                <w:b/>
                <w:sz w:val="24"/>
                <w:szCs w:val="22"/>
              </w:rPr>
              <w:t>、生产</w:t>
            </w:r>
            <w:r>
              <w:rPr>
                <w:b/>
                <w:sz w:val="24"/>
                <w:szCs w:val="22"/>
              </w:rPr>
              <w:t>工艺流程</w:t>
            </w:r>
          </w:p>
          <w:p>
            <w:pPr>
              <w:spacing w:line="360" w:lineRule="auto"/>
              <w:ind w:firstLine="480" w:firstLineChars="200"/>
              <w:jc w:val="left"/>
              <w:rPr>
                <w:sz w:val="24"/>
                <w:szCs w:val="22"/>
              </w:rPr>
            </w:pPr>
            <w:r>
              <w:rPr>
                <w:rFonts w:hint="eastAsia"/>
                <w:sz w:val="24"/>
                <w:szCs w:val="22"/>
              </w:rPr>
              <w:t>煤炭由火车运入厂内煤场贮存，然后由煤场进入输煤系统和制粉系统将煤制成煤粉送至锅炉燃烧，锅炉产生的高温高压蒸汽推动凝汽式汽轮发电机发电，产生的电能接入厂内配电装置，由输电线路送出，供用户使用。供凝汽器的循环冷却水经冷却塔冷却后循环使用。锅炉产生的烟气进入尾部烟道，经脱硝设施、空气预热器及除尘设备除尘、脱硫后通过烟囱排入大气。炉渣、粉煤灰和脱硫石膏基本综合利用。锅炉产生的部分蒸汽由汽轮机抽出后向用户供热。</w:t>
            </w:r>
          </w:p>
          <w:p>
            <w:pPr>
              <w:spacing w:line="360" w:lineRule="auto"/>
              <w:ind w:firstLine="482" w:firstLineChars="200"/>
              <w:jc w:val="left"/>
              <w:rPr>
                <w:b/>
                <w:sz w:val="24"/>
                <w:szCs w:val="22"/>
              </w:rPr>
            </w:pPr>
            <w:r>
              <w:rPr>
                <w:b/>
                <w:sz w:val="24"/>
                <w:szCs w:val="22"/>
              </w:rPr>
              <w:t>4</w:t>
            </w:r>
            <w:r>
              <w:rPr>
                <w:rFonts w:hint="eastAsia"/>
                <w:b/>
                <w:sz w:val="24"/>
                <w:szCs w:val="22"/>
              </w:rPr>
              <w:t>、现有</w:t>
            </w:r>
            <w:r>
              <w:rPr>
                <w:b/>
                <w:sz w:val="24"/>
                <w:szCs w:val="22"/>
              </w:rPr>
              <w:t>工程环保手续执行情况</w:t>
            </w:r>
          </w:p>
          <w:p>
            <w:pPr>
              <w:spacing w:line="360" w:lineRule="auto"/>
              <w:ind w:firstLine="480" w:firstLineChars="200"/>
              <w:rPr>
                <w:sz w:val="24"/>
              </w:rPr>
            </w:pPr>
            <w:r>
              <w:rPr>
                <w:rFonts w:hint="eastAsia"/>
                <w:sz w:val="24"/>
              </w:rPr>
              <w:t>渭河电厂二期</w:t>
            </w:r>
            <w:r>
              <w:rPr>
                <w:sz w:val="24"/>
              </w:rPr>
              <w:t>、三期工程</w:t>
            </w:r>
            <w:r>
              <w:rPr>
                <w:rFonts w:hint="eastAsia"/>
                <w:sz w:val="24"/>
              </w:rPr>
              <w:t>于1985年9月19日</w:t>
            </w:r>
            <w:r>
              <w:rPr>
                <w:sz w:val="24"/>
              </w:rPr>
              <w:t>取得</w:t>
            </w:r>
            <w:r>
              <w:rPr>
                <w:rFonts w:hint="eastAsia"/>
                <w:sz w:val="24"/>
              </w:rPr>
              <w:t>原陕西省城乡</w:t>
            </w:r>
            <w:r>
              <w:rPr>
                <w:sz w:val="24"/>
              </w:rPr>
              <w:t>建设环保厅</w:t>
            </w:r>
            <w:r>
              <w:rPr>
                <w:rFonts w:hint="eastAsia"/>
                <w:sz w:val="24"/>
              </w:rPr>
              <w:t>的</w:t>
            </w:r>
            <w:r>
              <w:rPr>
                <w:sz w:val="24"/>
              </w:rPr>
              <w:t>环评批复（</w:t>
            </w:r>
            <w:r>
              <w:rPr>
                <w:rFonts w:hint="eastAsia"/>
                <w:sz w:val="24"/>
              </w:rPr>
              <w:t>陕城环发〔1985〕358号</w:t>
            </w:r>
            <w:r>
              <w:rPr>
                <w:sz w:val="24"/>
              </w:rPr>
              <w:t>）</w:t>
            </w:r>
            <w:r>
              <w:rPr>
                <w:rFonts w:hint="eastAsia"/>
                <w:sz w:val="24"/>
              </w:rPr>
              <w:t>，1995年</w:t>
            </w:r>
            <w:r>
              <w:rPr>
                <w:sz w:val="24"/>
              </w:rPr>
              <w:t>全部</w:t>
            </w:r>
            <w:r>
              <w:rPr>
                <w:rFonts w:hint="eastAsia"/>
                <w:sz w:val="24"/>
              </w:rPr>
              <w:t>建成投产，2001年8月通过</w:t>
            </w:r>
            <w:r>
              <w:rPr>
                <w:sz w:val="24"/>
              </w:rPr>
              <w:t>原陕西省</w:t>
            </w:r>
            <w:r>
              <w:rPr>
                <w:rFonts w:hint="eastAsia"/>
                <w:sz w:val="24"/>
              </w:rPr>
              <w:t>环境保护局环保竣工验收</w:t>
            </w:r>
            <w:r>
              <w:rPr>
                <w:sz w:val="24"/>
              </w:rPr>
              <w:t>。</w:t>
            </w:r>
            <w:r>
              <w:rPr>
                <w:rFonts w:hint="eastAsia"/>
                <w:sz w:val="24"/>
              </w:rPr>
              <w:t>随着</w:t>
            </w:r>
            <w:r>
              <w:rPr>
                <w:sz w:val="24"/>
              </w:rPr>
              <w:t>环保排放标准的</w:t>
            </w:r>
            <w:r>
              <w:rPr>
                <w:rFonts w:hint="eastAsia"/>
                <w:sz w:val="24"/>
              </w:rPr>
              <w:t>要求日趋</w:t>
            </w:r>
            <w:r>
              <w:rPr>
                <w:sz w:val="24"/>
              </w:rPr>
              <w:t>严格，</w:t>
            </w:r>
            <w:r>
              <w:rPr>
                <w:rFonts w:hint="eastAsia"/>
                <w:sz w:val="24"/>
              </w:rPr>
              <w:t>2012年起渭河电厂</w:t>
            </w:r>
            <w:r>
              <w:rPr>
                <w:sz w:val="24"/>
              </w:rPr>
              <w:t>对#3</w:t>
            </w:r>
            <w:r>
              <w:rPr>
                <w:rFonts w:hint="eastAsia"/>
                <w:sz w:val="24"/>
              </w:rPr>
              <w:t>、</w:t>
            </w:r>
            <w:r>
              <w:rPr>
                <w:sz w:val="24"/>
              </w:rPr>
              <w:t>#4</w:t>
            </w:r>
            <w:r>
              <w:rPr>
                <w:rFonts w:hint="eastAsia"/>
                <w:sz w:val="24"/>
              </w:rPr>
              <w:t>、</w:t>
            </w:r>
            <w:r>
              <w:rPr>
                <w:sz w:val="24"/>
              </w:rPr>
              <w:t>#5</w:t>
            </w:r>
            <w:r>
              <w:rPr>
                <w:rFonts w:hint="eastAsia"/>
                <w:sz w:val="24"/>
              </w:rPr>
              <w:t>和</w:t>
            </w:r>
            <w:r>
              <w:rPr>
                <w:sz w:val="24"/>
              </w:rPr>
              <w:t>#6</w:t>
            </w:r>
            <w:r>
              <w:rPr>
                <w:rFonts w:hint="eastAsia"/>
                <w:sz w:val="24"/>
              </w:rPr>
              <w:t>机组进行了</w:t>
            </w:r>
            <w:r>
              <w:rPr>
                <w:sz w:val="24"/>
              </w:rPr>
              <w:t>超低排放改造，</w:t>
            </w:r>
            <w:r>
              <w:rPr>
                <w:rFonts w:hint="eastAsia"/>
                <w:sz w:val="24"/>
              </w:rPr>
              <w:t>并分别取得了原陕西省环境保护厅、</w:t>
            </w:r>
            <w:r>
              <w:rPr>
                <w:sz w:val="24"/>
              </w:rPr>
              <w:t>咸阳市环境保护局</w:t>
            </w:r>
            <w:r>
              <w:rPr>
                <w:rFonts w:hint="eastAsia"/>
                <w:sz w:val="24"/>
              </w:rPr>
              <w:t>的</w:t>
            </w:r>
            <w:r>
              <w:rPr>
                <w:sz w:val="24"/>
              </w:rPr>
              <w:t>环评批复</w:t>
            </w:r>
            <w:r>
              <w:rPr>
                <w:rFonts w:hint="eastAsia"/>
                <w:sz w:val="24"/>
              </w:rPr>
              <w:t>，2015年低氮排放改造工程通过原</w:t>
            </w:r>
            <w:r>
              <w:rPr>
                <w:sz w:val="24"/>
              </w:rPr>
              <w:t>陕西省环境保护厅</w:t>
            </w:r>
            <w:r>
              <w:rPr>
                <w:rFonts w:hint="eastAsia"/>
                <w:sz w:val="24"/>
              </w:rPr>
              <w:t>环保竣工</w:t>
            </w:r>
            <w:r>
              <w:rPr>
                <w:sz w:val="24"/>
              </w:rPr>
              <w:t>验收。</w:t>
            </w:r>
          </w:p>
          <w:p>
            <w:pPr>
              <w:spacing w:line="360" w:lineRule="auto"/>
              <w:ind w:firstLine="480" w:firstLineChars="200"/>
              <w:rPr>
                <w:sz w:val="24"/>
              </w:rPr>
            </w:pPr>
            <w:r>
              <w:rPr>
                <w:rFonts w:hint="eastAsia"/>
                <w:sz w:val="24"/>
              </w:rPr>
              <w:t>渭河电厂建厂以来</w:t>
            </w:r>
            <w:r>
              <w:rPr>
                <w:sz w:val="24"/>
              </w:rPr>
              <w:t>各项目环境影响评价</w:t>
            </w:r>
            <w:r>
              <w:rPr>
                <w:rFonts w:hint="eastAsia"/>
                <w:sz w:val="24"/>
              </w:rPr>
              <w:t>及“三同时”制度</w:t>
            </w:r>
            <w:r>
              <w:rPr>
                <w:sz w:val="24"/>
              </w:rPr>
              <w:t>执行情况具体见表4</w:t>
            </w:r>
            <w:r>
              <w:rPr>
                <w:rFonts w:hint="eastAsia"/>
                <w:sz w:val="24"/>
              </w:rPr>
              <w:t>。</w:t>
            </w:r>
          </w:p>
          <w:p>
            <w:pPr>
              <w:jc w:val="center"/>
              <w:rPr>
                <w:b/>
                <w:szCs w:val="21"/>
              </w:rPr>
            </w:pPr>
            <w:r>
              <w:rPr>
                <w:rFonts w:hint="eastAsia"/>
                <w:b/>
                <w:szCs w:val="21"/>
              </w:rPr>
              <w:t>表</w:t>
            </w:r>
            <w:r>
              <w:rPr>
                <w:b/>
                <w:szCs w:val="21"/>
              </w:rPr>
              <w:t>4</w:t>
            </w:r>
            <w:r>
              <w:rPr>
                <w:rFonts w:hint="eastAsia"/>
                <w:b/>
                <w:szCs w:val="21"/>
              </w:rPr>
              <w:t xml:space="preserve">    渭河电厂</w:t>
            </w:r>
            <w:r>
              <w:rPr>
                <w:b/>
                <w:szCs w:val="21"/>
              </w:rPr>
              <w:t>环境影响评价和</w:t>
            </w:r>
            <w:r>
              <w:rPr>
                <w:rFonts w:ascii="宋体" w:hAnsi="宋体"/>
                <w:b/>
                <w:szCs w:val="21"/>
              </w:rPr>
              <w:t>“</w:t>
            </w:r>
            <w:r>
              <w:rPr>
                <w:rFonts w:hint="eastAsia" w:ascii="宋体" w:hAnsi="宋体"/>
                <w:b/>
                <w:szCs w:val="21"/>
              </w:rPr>
              <w:t>三同时</w:t>
            </w:r>
            <w:r>
              <w:rPr>
                <w:rFonts w:ascii="宋体" w:hAnsi="宋体"/>
                <w:b/>
                <w:szCs w:val="21"/>
              </w:rPr>
              <w:t>”</w:t>
            </w:r>
            <w:r>
              <w:rPr>
                <w:rFonts w:hint="eastAsia" w:ascii="宋体" w:hAnsi="宋体"/>
                <w:b/>
                <w:szCs w:val="21"/>
              </w:rPr>
              <w:t>制度</w:t>
            </w:r>
            <w:r>
              <w:rPr>
                <w:rFonts w:ascii="宋体" w:hAnsi="宋体"/>
                <w:b/>
                <w:szCs w:val="21"/>
              </w:rPr>
              <w:t>执行情况</w:t>
            </w:r>
          </w:p>
          <w:tbl>
            <w:tblPr>
              <w:tblStyle w:val="40"/>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851"/>
              <w:gridCol w:w="1087"/>
              <w:gridCol w:w="802"/>
              <w:gridCol w:w="946"/>
              <w:gridCol w:w="660"/>
              <w:gridCol w:w="803"/>
              <w:gridCol w:w="805"/>
              <w:gridCol w:w="992"/>
              <w:gridCol w:w="709"/>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vMerge w:val="restart"/>
                  <w:vAlign w:val="center"/>
                </w:tcPr>
                <w:p>
                  <w:pPr>
                    <w:jc w:val="center"/>
                    <w:rPr>
                      <w:sz w:val="18"/>
                      <w:szCs w:val="18"/>
                    </w:rPr>
                  </w:pPr>
                  <w:r>
                    <w:rPr>
                      <w:rFonts w:hint="eastAsia"/>
                      <w:sz w:val="18"/>
                      <w:szCs w:val="18"/>
                    </w:rPr>
                    <w:t>序号</w:t>
                  </w:r>
                </w:p>
              </w:tc>
              <w:tc>
                <w:tcPr>
                  <w:tcW w:w="851" w:type="dxa"/>
                  <w:vMerge w:val="restart"/>
                  <w:vAlign w:val="center"/>
                </w:tcPr>
                <w:p>
                  <w:pPr>
                    <w:jc w:val="center"/>
                    <w:rPr>
                      <w:sz w:val="18"/>
                      <w:szCs w:val="18"/>
                    </w:rPr>
                  </w:pPr>
                  <w:r>
                    <w:rPr>
                      <w:rFonts w:hint="eastAsia"/>
                      <w:sz w:val="18"/>
                      <w:szCs w:val="18"/>
                    </w:rPr>
                    <w:t>生产线名称</w:t>
                  </w:r>
                </w:p>
              </w:tc>
              <w:tc>
                <w:tcPr>
                  <w:tcW w:w="1087" w:type="dxa"/>
                  <w:vMerge w:val="restart"/>
                  <w:vAlign w:val="center"/>
                </w:tcPr>
                <w:p>
                  <w:pPr>
                    <w:jc w:val="center"/>
                    <w:rPr>
                      <w:sz w:val="18"/>
                      <w:szCs w:val="18"/>
                    </w:rPr>
                  </w:pPr>
                  <w:r>
                    <w:rPr>
                      <w:rFonts w:hint="eastAsia"/>
                      <w:sz w:val="18"/>
                      <w:szCs w:val="18"/>
                    </w:rPr>
                    <w:t>项目</w:t>
                  </w:r>
                  <w:r>
                    <w:rPr>
                      <w:sz w:val="18"/>
                      <w:szCs w:val="18"/>
                    </w:rPr>
                    <w:t>名称</w:t>
                  </w:r>
                </w:p>
              </w:tc>
              <w:tc>
                <w:tcPr>
                  <w:tcW w:w="3211" w:type="dxa"/>
                  <w:gridSpan w:val="4"/>
                  <w:vAlign w:val="center"/>
                </w:tcPr>
                <w:p>
                  <w:pPr>
                    <w:jc w:val="center"/>
                    <w:rPr>
                      <w:sz w:val="18"/>
                      <w:szCs w:val="18"/>
                    </w:rPr>
                  </w:pPr>
                  <w:r>
                    <w:rPr>
                      <w:rFonts w:hint="eastAsia"/>
                      <w:sz w:val="18"/>
                      <w:szCs w:val="18"/>
                    </w:rPr>
                    <w:t>环境影响评价</w:t>
                  </w:r>
                </w:p>
              </w:tc>
              <w:tc>
                <w:tcPr>
                  <w:tcW w:w="2506" w:type="dxa"/>
                  <w:gridSpan w:val="3"/>
                  <w:vAlign w:val="center"/>
                </w:tcPr>
                <w:p>
                  <w:pPr>
                    <w:jc w:val="center"/>
                    <w:rPr>
                      <w:sz w:val="18"/>
                      <w:szCs w:val="18"/>
                    </w:rPr>
                  </w:pPr>
                  <w:r>
                    <w:rPr>
                      <w:rFonts w:hint="eastAsia"/>
                      <w:sz w:val="18"/>
                      <w:szCs w:val="18"/>
                    </w:rPr>
                    <w:t>竣工</w:t>
                  </w:r>
                  <w:r>
                    <w:rPr>
                      <w:sz w:val="18"/>
                      <w:szCs w:val="18"/>
                    </w:rPr>
                    <w:t>环境保护验收</w:t>
                  </w:r>
                </w:p>
              </w:tc>
              <w:tc>
                <w:tcPr>
                  <w:tcW w:w="706" w:type="dxa"/>
                  <w:vMerge w:val="restart"/>
                  <w:vAlign w:val="center"/>
                </w:tcPr>
                <w:p>
                  <w:pPr>
                    <w:jc w:val="center"/>
                    <w:rPr>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vMerge w:val="continue"/>
                  <w:vAlign w:val="center"/>
                </w:tcPr>
                <w:p>
                  <w:pPr>
                    <w:jc w:val="center"/>
                    <w:rPr>
                      <w:sz w:val="18"/>
                      <w:szCs w:val="18"/>
                    </w:rPr>
                  </w:pPr>
                </w:p>
              </w:tc>
              <w:tc>
                <w:tcPr>
                  <w:tcW w:w="851" w:type="dxa"/>
                  <w:vMerge w:val="continue"/>
                  <w:vAlign w:val="center"/>
                </w:tcPr>
                <w:p>
                  <w:pPr>
                    <w:jc w:val="center"/>
                    <w:rPr>
                      <w:sz w:val="18"/>
                      <w:szCs w:val="18"/>
                    </w:rPr>
                  </w:pPr>
                </w:p>
              </w:tc>
              <w:tc>
                <w:tcPr>
                  <w:tcW w:w="1087" w:type="dxa"/>
                  <w:vMerge w:val="continue"/>
                  <w:vAlign w:val="center"/>
                </w:tcPr>
                <w:p>
                  <w:pPr>
                    <w:jc w:val="center"/>
                    <w:rPr>
                      <w:sz w:val="18"/>
                      <w:szCs w:val="18"/>
                    </w:rPr>
                  </w:pPr>
                </w:p>
              </w:tc>
              <w:tc>
                <w:tcPr>
                  <w:tcW w:w="802" w:type="dxa"/>
                  <w:vAlign w:val="center"/>
                </w:tcPr>
                <w:p>
                  <w:pPr>
                    <w:jc w:val="center"/>
                    <w:rPr>
                      <w:sz w:val="18"/>
                      <w:szCs w:val="18"/>
                    </w:rPr>
                  </w:pPr>
                  <w:r>
                    <w:rPr>
                      <w:rFonts w:hint="eastAsia"/>
                      <w:sz w:val="18"/>
                      <w:szCs w:val="18"/>
                    </w:rPr>
                    <w:t>审批</w:t>
                  </w:r>
                  <w:r>
                    <w:rPr>
                      <w:sz w:val="18"/>
                      <w:szCs w:val="18"/>
                    </w:rPr>
                    <w:t>部门</w:t>
                  </w:r>
                </w:p>
              </w:tc>
              <w:tc>
                <w:tcPr>
                  <w:tcW w:w="946" w:type="dxa"/>
                  <w:vAlign w:val="center"/>
                </w:tcPr>
                <w:p>
                  <w:pPr>
                    <w:jc w:val="center"/>
                    <w:rPr>
                      <w:sz w:val="18"/>
                      <w:szCs w:val="18"/>
                    </w:rPr>
                  </w:pPr>
                  <w:r>
                    <w:rPr>
                      <w:rFonts w:hint="eastAsia"/>
                      <w:sz w:val="18"/>
                      <w:szCs w:val="18"/>
                    </w:rPr>
                    <w:t>审批文号</w:t>
                  </w:r>
                </w:p>
              </w:tc>
              <w:tc>
                <w:tcPr>
                  <w:tcW w:w="660" w:type="dxa"/>
                  <w:vAlign w:val="center"/>
                </w:tcPr>
                <w:p>
                  <w:pPr>
                    <w:jc w:val="center"/>
                    <w:rPr>
                      <w:sz w:val="18"/>
                      <w:szCs w:val="18"/>
                    </w:rPr>
                  </w:pPr>
                  <w:r>
                    <w:rPr>
                      <w:rFonts w:hint="eastAsia"/>
                      <w:sz w:val="18"/>
                      <w:szCs w:val="18"/>
                    </w:rPr>
                    <w:t>审批</w:t>
                  </w:r>
                  <w:r>
                    <w:rPr>
                      <w:sz w:val="18"/>
                      <w:szCs w:val="18"/>
                    </w:rPr>
                    <w:t>时间</w:t>
                  </w:r>
                </w:p>
              </w:tc>
              <w:tc>
                <w:tcPr>
                  <w:tcW w:w="803" w:type="dxa"/>
                  <w:vAlign w:val="center"/>
                </w:tcPr>
                <w:p>
                  <w:pPr>
                    <w:jc w:val="center"/>
                    <w:rPr>
                      <w:sz w:val="18"/>
                      <w:szCs w:val="18"/>
                    </w:rPr>
                  </w:pPr>
                  <w:r>
                    <w:rPr>
                      <w:rFonts w:hint="eastAsia"/>
                      <w:sz w:val="18"/>
                      <w:szCs w:val="18"/>
                    </w:rPr>
                    <w:t>规模</w:t>
                  </w:r>
                </w:p>
              </w:tc>
              <w:tc>
                <w:tcPr>
                  <w:tcW w:w="805" w:type="dxa"/>
                  <w:vAlign w:val="center"/>
                </w:tcPr>
                <w:p>
                  <w:pPr>
                    <w:jc w:val="center"/>
                    <w:rPr>
                      <w:sz w:val="18"/>
                      <w:szCs w:val="18"/>
                    </w:rPr>
                  </w:pPr>
                  <w:r>
                    <w:rPr>
                      <w:rFonts w:hint="eastAsia"/>
                      <w:sz w:val="18"/>
                      <w:szCs w:val="18"/>
                    </w:rPr>
                    <w:t>审批</w:t>
                  </w:r>
                  <w:r>
                    <w:rPr>
                      <w:sz w:val="18"/>
                      <w:szCs w:val="18"/>
                    </w:rPr>
                    <w:t>部门</w:t>
                  </w:r>
                </w:p>
              </w:tc>
              <w:tc>
                <w:tcPr>
                  <w:tcW w:w="992" w:type="dxa"/>
                  <w:vAlign w:val="center"/>
                </w:tcPr>
                <w:p>
                  <w:pPr>
                    <w:jc w:val="center"/>
                    <w:rPr>
                      <w:sz w:val="18"/>
                      <w:szCs w:val="18"/>
                    </w:rPr>
                  </w:pPr>
                  <w:r>
                    <w:rPr>
                      <w:rFonts w:hint="eastAsia"/>
                      <w:sz w:val="18"/>
                      <w:szCs w:val="18"/>
                    </w:rPr>
                    <w:t>审批文号</w:t>
                  </w:r>
                </w:p>
              </w:tc>
              <w:tc>
                <w:tcPr>
                  <w:tcW w:w="709" w:type="dxa"/>
                  <w:vAlign w:val="center"/>
                </w:tcPr>
                <w:p>
                  <w:pPr>
                    <w:jc w:val="center"/>
                    <w:rPr>
                      <w:sz w:val="18"/>
                      <w:szCs w:val="18"/>
                    </w:rPr>
                  </w:pPr>
                  <w:r>
                    <w:rPr>
                      <w:rFonts w:hint="eastAsia"/>
                      <w:sz w:val="18"/>
                      <w:szCs w:val="18"/>
                    </w:rPr>
                    <w:t>审批</w:t>
                  </w:r>
                  <w:r>
                    <w:rPr>
                      <w:sz w:val="18"/>
                      <w:szCs w:val="18"/>
                    </w:rPr>
                    <w:t>时间</w:t>
                  </w:r>
                </w:p>
              </w:tc>
              <w:tc>
                <w:tcPr>
                  <w:tcW w:w="706"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vAlign w:val="center"/>
                </w:tcPr>
                <w:p>
                  <w:pPr>
                    <w:jc w:val="center"/>
                    <w:rPr>
                      <w:sz w:val="18"/>
                      <w:szCs w:val="18"/>
                    </w:rPr>
                  </w:pPr>
                  <w:r>
                    <w:rPr>
                      <w:rFonts w:hint="eastAsia"/>
                      <w:sz w:val="18"/>
                      <w:szCs w:val="18"/>
                    </w:rPr>
                    <w:t>1</w:t>
                  </w:r>
                </w:p>
              </w:tc>
              <w:tc>
                <w:tcPr>
                  <w:tcW w:w="851" w:type="dxa"/>
                  <w:vAlign w:val="center"/>
                </w:tcPr>
                <w:p>
                  <w:pPr>
                    <w:jc w:val="center"/>
                    <w:rPr>
                      <w:sz w:val="18"/>
                      <w:szCs w:val="18"/>
                    </w:rPr>
                  </w:pPr>
                  <w:r>
                    <w:rPr>
                      <w:rFonts w:hint="eastAsia"/>
                      <w:sz w:val="18"/>
                      <w:szCs w:val="18"/>
                    </w:rPr>
                    <w:t>二期、</w:t>
                  </w:r>
                  <w:r>
                    <w:rPr>
                      <w:sz w:val="18"/>
                      <w:szCs w:val="18"/>
                    </w:rPr>
                    <w:t>三期</w:t>
                  </w:r>
                  <w:r>
                    <w:rPr>
                      <w:rFonts w:hint="eastAsia"/>
                      <w:sz w:val="18"/>
                      <w:szCs w:val="18"/>
                    </w:rPr>
                    <w:t>工程</w:t>
                  </w:r>
                </w:p>
              </w:tc>
              <w:tc>
                <w:tcPr>
                  <w:tcW w:w="1087" w:type="dxa"/>
                  <w:vAlign w:val="center"/>
                </w:tcPr>
                <w:p>
                  <w:pPr>
                    <w:jc w:val="center"/>
                    <w:rPr>
                      <w:sz w:val="18"/>
                      <w:szCs w:val="18"/>
                    </w:rPr>
                  </w:pPr>
                  <w:r>
                    <w:rPr>
                      <w:rFonts w:hint="eastAsia"/>
                      <w:sz w:val="18"/>
                      <w:szCs w:val="18"/>
                    </w:rPr>
                    <w:t>渭河电厂二、</w:t>
                  </w:r>
                  <w:r>
                    <w:rPr>
                      <w:sz w:val="18"/>
                      <w:szCs w:val="18"/>
                    </w:rPr>
                    <w:t>三期扩建工程</w:t>
                  </w:r>
                </w:p>
              </w:tc>
              <w:tc>
                <w:tcPr>
                  <w:tcW w:w="802" w:type="dxa"/>
                  <w:vAlign w:val="center"/>
                </w:tcPr>
                <w:p>
                  <w:pPr>
                    <w:jc w:val="center"/>
                    <w:rPr>
                      <w:sz w:val="18"/>
                      <w:szCs w:val="18"/>
                    </w:rPr>
                  </w:pPr>
                  <w:r>
                    <w:rPr>
                      <w:rFonts w:hint="eastAsia"/>
                      <w:sz w:val="18"/>
                      <w:szCs w:val="18"/>
                    </w:rPr>
                    <w:t>原陕西省</w:t>
                  </w:r>
                  <w:r>
                    <w:rPr>
                      <w:sz w:val="18"/>
                      <w:szCs w:val="18"/>
                    </w:rPr>
                    <w:t>城乡建设环保厅</w:t>
                  </w:r>
                </w:p>
              </w:tc>
              <w:tc>
                <w:tcPr>
                  <w:tcW w:w="946" w:type="dxa"/>
                  <w:vAlign w:val="center"/>
                </w:tcPr>
                <w:p>
                  <w:pPr>
                    <w:jc w:val="center"/>
                    <w:rPr>
                      <w:sz w:val="18"/>
                      <w:szCs w:val="18"/>
                    </w:rPr>
                  </w:pPr>
                  <w:r>
                    <w:rPr>
                      <w:rFonts w:hint="eastAsia"/>
                      <w:sz w:val="18"/>
                      <w:szCs w:val="18"/>
                    </w:rPr>
                    <w:t>陕城环发〔1985〕358号</w:t>
                  </w:r>
                </w:p>
              </w:tc>
              <w:tc>
                <w:tcPr>
                  <w:tcW w:w="660" w:type="dxa"/>
                  <w:vAlign w:val="center"/>
                </w:tcPr>
                <w:p>
                  <w:pPr>
                    <w:jc w:val="center"/>
                    <w:rPr>
                      <w:sz w:val="18"/>
                      <w:szCs w:val="18"/>
                    </w:rPr>
                  </w:pPr>
                  <w:r>
                    <w:rPr>
                      <w:rFonts w:hint="eastAsia"/>
                      <w:sz w:val="18"/>
                      <w:szCs w:val="18"/>
                    </w:rPr>
                    <w:t>1985.9.16</w:t>
                  </w:r>
                </w:p>
              </w:tc>
              <w:tc>
                <w:tcPr>
                  <w:tcW w:w="803" w:type="dxa"/>
                  <w:vAlign w:val="center"/>
                </w:tcPr>
                <w:p>
                  <w:pPr>
                    <w:jc w:val="center"/>
                    <w:rPr>
                      <w:sz w:val="18"/>
                      <w:szCs w:val="18"/>
                    </w:rPr>
                  </w:pPr>
                  <w:r>
                    <w:rPr>
                      <w:sz w:val="18"/>
                      <w:szCs w:val="18"/>
                    </w:rPr>
                    <w:t>4</w:t>
                  </w:r>
                  <w:r>
                    <w:rPr>
                      <w:rFonts w:hint="eastAsia"/>
                      <w:sz w:val="18"/>
                      <w:szCs w:val="18"/>
                    </w:rPr>
                    <w:t>×</w:t>
                  </w:r>
                  <w:r>
                    <w:rPr>
                      <w:sz w:val="18"/>
                      <w:szCs w:val="18"/>
                    </w:rPr>
                    <w:t>30</w:t>
                  </w:r>
                  <w:r>
                    <w:rPr>
                      <w:rFonts w:hint="eastAsia"/>
                      <w:sz w:val="18"/>
                      <w:szCs w:val="18"/>
                    </w:rPr>
                    <w:t>0MW</w:t>
                  </w:r>
                </w:p>
              </w:tc>
              <w:tc>
                <w:tcPr>
                  <w:tcW w:w="805" w:type="dxa"/>
                  <w:vAlign w:val="center"/>
                </w:tcPr>
                <w:p>
                  <w:pPr>
                    <w:jc w:val="center"/>
                    <w:rPr>
                      <w:sz w:val="18"/>
                      <w:szCs w:val="18"/>
                    </w:rPr>
                  </w:pPr>
                  <w:r>
                    <w:rPr>
                      <w:rFonts w:hint="eastAsia"/>
                      <w:sz w:val="18"/>
                      <w:szCs w:val="18"/>
                    </w:rPr>
                    <w:t>原</w:t>
                  </w:r>
                  <w:r>
                    <w:rPr>
                      <w:sz w:val="18"/>
                      <w:szCs w:val="18"/>
                    </w:rPr>
                    <w:t>陕西省环境保护局</w:t>
                  </w:r>
                </w:p>
              </w:tc>
              <w:tc>
                <w:tcPr>
                  <w:tcW w:w="992" w:type="dxa"/>
                  <w:vAlign w:val="center"/>
                </w:tcPr>
                <w:p>
                  <w:pPr>
                    <w:jc w:val="center"/>
                    <w:rPr>
                      <w:sz w:val="18"/>
                      <w:szCs w:val="18"/>
                    </w:rPr>
                  </w:pPr>
                  <w:r>
                    <w:rPr>
                      <w:rFonts w:hint="eastAsia"/>
                      <w:sz w:val="18"/>
                      <w:szCs w:val="18"/>
                    </w:rPr>
                    <w:t>陕</w:t>
                  </w:r>
                  <w:r>
                    <w:rPr>
                      <w:sz w:val="18"/>
                      <w:szCs w:val="18"/>
                    </w:rPr>
                    <w:t>环监验</w:t>
                  </w:r>
                  <w:r>
                    <w:rPr>
                      <w:rFonts w:hint="eastAsia"/>
                      <w:sz w:val="18"/>
                      <w:szCs w:val="18"/>
                    </w:rPr>
                    <w:t>〔</w:t>
                  </w:r>
                  <w:r>
                    <w:rPr>
                      <w:sz w:val="18"/>
                      <w:szCs w:val="18"/>
                    </w:rPr>
                    <w:t>2001</w:t>
                  </w:r>
                  <w:r>
                    <w:rPr>
                      <w:rFonts w:hint="eastAsia"/>
                      <w:sz w:val="18"/>
                      <w:szCs w:val="18"/>
                    </w:rPr>
                    <w:t>〕</w:t>
                  </w:r>
                  <w:r>
                    <w:rPr>
                      <w:sz w:val="18"/>
                      <w:szCs w:val="18"/>
                    </w:rPr>
                    <w:t>011</w:t>
                  </w:r>
                  <w:r>
                    <w:rPr>
                      <w:rFonts w:hint="eastAsia"/>
                      <w:sz w:val="18"/>
                      <w:szCs w:val="18"/>
                    </w:rPr>
                    <w:t>号</w:t>
                  </w:r>
                </w:p>
              </w:tc>
              <w:tc>
                <w:tcPr>
                  <w:tcW w:w="709" w:type="dxa"/>
                  <w:vAlign w:val="center"/>
                </w:tcPr>
                <w:p>
                  <w:pPr>
                    <w:jc w:val="center"/>
                    <w:rPr>
                      <w:sz w:val="18"/>
                      <w:szCs w:val="18"/>
                    </w:rPr>
                  </w:pPr>
                  <w:r>
                    <w:rPr>
                      <w:rFonts w:hint="eastAsia"/>
                      <w:sz w:val="18"/>
                      <w:szCs w:val="18"/>
                    </w:rPr>
                    <w:t>2011.11.19</w:t>
                  </w:r>
                </w:p>
              </w:tc>
              <w:tc>
                <w:tcPr>
                  <w:tcW w:w="706" w:type="dxa"/>
                  <w:vAlign w:val="center"/>
                </w:tcPr>
                <w:p>
                  <w:pPr>
                    <w:jc w:val="center"/>
                    <w:rPr>
                      <w:sz w:val="18"/>
                      <w:szCs w:val="18"/>
                    </w:rPr>
                  </w:pPr>
                  <w:r>
                    <w:rPr>
                      <w:rFonts w:hint="eastAsia"/>
                      <w:sz w:val="18"/>
                      <w:szCs w:val="18"/>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vAlign w:val="center"/>
                </w:tcPr>
                <w:p>
                  <w:pPr>
                    <w:jc w:val="center"/>
                    <w:rPr>
                      <w:sz w:val="18"/>
                      <w:szCs w:val="18"/>
                    </w:rPr>
                  </w:pPr>
                  <w:r>
                    <w:rPr>
                      <w:rFonts w:hint="eastAsia"/>
                      <w:sz w:val="18"/>
                      <w:szCs w:val="18"/>
                    </w:rPr>
                    <w:t>2</w:t>
                  </w:r>
                </w:p>
              </w:tc>
              <w:tc>
                <w:tcPr>
                  <w:tcW w:w="851" w:type="dxa"/>
                  <w:vAlign w:val="center"/>
                </w:tcPr>
                <w:p>
                  <w:pPr>
                    <w:jc w:val="center"/>
                    <w:rPr>
                      <w:sz w:val="18"/>
                      <w:szCs w:val="18"/>
                    </w:rPr>
                  </w:pPr>
                  <w:r>
                    <w:rPr>
                      <w:rFonts w:hint="eastAsia"/>
                      <w:sz w:val="18"/>
                      <w:szCs w:val="18"/>
                    </w:rPr>
                    <w:t>二期、</w:t>
                  </w:r>
                  <w:r>
                    <w:rPr>
                      <w:sz w:val="18"/>
                      <w:szCs w:val="18"/>
                    </w:rPr>
                    <w:t>三期</w:t>
                  </w:r>
                  <w:r>
                    <w:rPr>
                      <w:rFonts w:hint="eastAsia"/>
                      <w:sz w:val="18"/>
                      <w:szCs w:val="18"/>
                    </w:rPr>
                    <w:t>工程</w:t>
                  </w:r>
                </w:p>
              </w:tc>
              <w:tc>
                <w:tcPr>
                  <w:tcW w:w="1087" w:type="dxa"/>
                  <w:vAlign w:val="center"/>
                </w:tcPr>
                <w:p>
                  <w:pPr>
                    <w:jc w:val="center"/>
                    <w:rPr>
                      <w:sz w:val="18"/>
                      <w:szCs w:val="18"/>
                    </w:rPr>
                  </w:pPr>
                  <w:r>
                    <w:rPr>
                      <w:rFonts w:hint="eastAsia"/>
                      <w:sz w:val="18"/>
                      <w:szCs w:val="18"/>
                    </w:rPr>
                    <w:t>4×300MW机组脱硝工程</w:t>
                  </w:r>
                </w:p>
              </w:tc>
              <w:tc>
                <w:tcPr>
                  <w:tcW w:w="802" w:type="dxa"/>
                  <w:vAlign w:val="center"/>
                </w:tcPr>
                <w:p>
                  <w:pPr>
                    <w:jc w:val="center"/>
                    <w:rPr>
                      <w:sz w:val="18"/>
                      <w:szCs w:val="18"/>
                    </w:rPr>
                  </w:pPr>
                  <w:r>
                    <w:rPr>
                      <w:rFonts w:hint="eastAsia"/>
                      <w:sz w:val="18"/>
                      <w:szCs w:val="18"/>
                    </w:rPr>
                    <w:t>原陕西省环境保护厅</w:t>
                  </w:r>
                </w:p>
              </w:tc>
              <w:tc>
                <w:tcPr>
                  <w:tcW w:w="946" w:type="dxa"/>
                  <w:vAlign w:val="center"/>
                </w:tcPr>
                <w:p>
                  <w:pPr>
                    <w:jc w:val="center"/>
                    <w:rPr>
                      <w:sz w:val="18"/>
                      <w:szCs w:val="18"/>
                    </w:rPr>
                  </w:pPr>
                  <w:r>
                    <w:rPr>
                      <w:rFonts w:hint="eastAsia"/>
                      <w:sz w:val="18"/>
                      <w:szCs w:val="18"/>
                    </w:rPr>
                    <w:t>陕环批复〔2012〕35号</w:t>
                  </w:r>
                </w:p>
              </w:tc>
              <w:tc>
                <w:tcPr>
                  <w:tcW w:w="660" w:type="dxa"/>
                  <w:vAlign w:val="center"/>
                </w:tcPr>
                <w:p>
                  <w:pPr>
                    <w:jc w:val="center"/>
                    <w:rPr>
                      <w:sz w:val="18"/>
                      <w:szCs w:val="18"/>
                    </w:rPr>
                  </w:pPr>
                  <w:r>
                    <w:rPr>
                      <w:rFonts w:hint="eastAsia"/>
                      <w:sz w:val="18"/>
                      <w:szCs w:val="18"/>
                    </w:rPr>
                    <w:t>2012.2.3</w:t>
                  </w:r>
                </w:p>
              </w:tc>
              <w:tc>
                <w:tcPr>
                  <w:tcW w:w="803" w:type="dxa"/>
                  <w:vMerge w:val="restart"/>
                  <w:vAlign w:val="center"/>
                </w:tcPr>
                <w:p>
                  <w:pPr>
                    <w:jc w:val="center"/>
                    <w:rPr>
                      <w:sz w:val="18"/>
                      <w:szCs w:val="18"/>
                    </w:rPr>
                  </w:pPr>
                  <w:r>
                    <w:rPr>
                      <w:sz w:val="18"/>
                      <w:szCs w:val="18"/>
                    </w:rPr>
                    <w:t>4</w:t>
                  </w:r>
                  <w:r>
                    <w:rPr>
                      <w:rFonts w:hint="eastAsia"/>
                      <w:sz w:val="18"/>
                      <w:szCs w:val="18"/>
                    </w:rPr>
                    <w:t>×</w:t>
                  </w:r>
                  <w:r>
                    <w:rPr>
                      <w:sz w:val="18"/>
                      <w:szCs w:val="18"/>
                    </w:rPr>
                    <w:t>30</w:t>
                  </w:r>
                  <w:r>
                    <w:rPr>
                      <w:rFonts w:hint="eastAsia"/>
                      <w:sz w:val="18"/>
                      <w:szCs w:val="18"/>
                    </w:rPr>
                    <w:t>0MW</w:t>
                  </w:r>
                </w:p>
              </w:tc>
              <w:tc>
                <w:tcPr>
                  <w:tcW w:w="805" w:type="dxa"/>
                  <w:vMerge w:val="restart"/>
                  <w:vAlign w:val="center"/>
                </w:tcPr>
                <w:p>
                  <w:pPr>
                    <w:jc w:val="center"/>
                    <w:rPr>
                      <w:sz w:val="18"/>
                      <w:szCs w:val="18"/>
                    </w:rPr>
                  </w:pPr>
                  <w:r>
                    <w:rPr>
                      <w:rFonts w:hint="eastAsia"/>
                      <w:sz w:val="18"/>
                      <w:szCs w:val="18"/>
                    </w:rPr>
                    <w:t>原陕西省环境</w:t>
                  </w:r>
                  <w:r>
                    <w:rPr>
                      <w:sz w:val="18"/>
                      <w:szCs w:val="18"/>
                    </w:rPr>
                    <w:t>保护厅</w:t>
                  </w:r>
                </w:p>
              </w:tc>
              <w:tc>
                <w:tcPr>
                  <w:tcW w:w="992" w:type="dxa"/>
                  <w:vMerge w:val="restart"/>
                  <w:vAlign w:val="center"/>
                </w:tcPr>
                <w:p>
                  <w:pPr>
                    <w:jc w:val="center"/>
                    <w:rPr>
                      <w:sz w:val="18"/>
                      <w:szCs w:val="18"/>
                    </w:rPr>
                  </w:pPr>
                  <w:r>
                    <w:rPr>
                      <w:rFonts w:hint="eastAsia"/>
                      <w:sz w:val="18"/>
                      <w:szCs w:val="18"/>
                    </w:rPr>
                    <w:t>陕环</w:t>
                  </w:r>
                  <w:r>
                    <w:rPr>
                      <w:sz w:val="18"/>
                      <w:szCs w:val="18"/>
                    </w:rPr>
                    <w:t>批复</w:t>
                  </w:r>
                  <w:r>
                    <w:rPr>
                      <w:rFonts w:hint="eastAsia"/>
                      <w:sz w:val="18"/>
                      <w:szCs w:val="18"/>
                    </w:rPr>
                    <w:t>〔</w:t>
                  </w:r>
                  <w:r>
                    <w:rPr>
                      <w:sz w:val="18"/>
                      <w:szCs w:val="18"/>
                    </w:rPr>
                    <w:t>2016</w:t>
                  </w:r>
                  <w:r>
                    <w:rPr>
                      <w:rFonts w:hint="eastAsia"/>
                      <w:sz w:val="18"/>
                      <w:szCs w:val="18"/>
                    </w:rPr>
                    <w:t>〕</w:t>
                  </w:r>
                  <w:r>
                    <w:rPr>
                      <w:sz w:val="18"/>
                      <w:szCs w:val="18"/>
                    </w:rPr>
                    <w:t>105</w:t>
                  </w:r>
                  <w:r>
                    <w:rPr>
                      <w:rFonts w:hint="eastAsia"/>
                      <w:sz w:val="18"/>
                      <w:szCs w:val="18"/>
                    </w:rPr>
                    <w:t>号</w:t>
                  </w:r>
                </w:p>
              </w:tc>
              <w:tc>
                <w:tcPr>
                  <w:tcW w:w="709" w:type="dxa"/>
                  <w:vMerge w:val="restart"/>
                  <w:vAlign w:val="center"/>
                </w:tcPr>
                <w:p>
                  <w:pPr>
                    <w:jc w:val="center"/>
                    <w:rPr>
                      <w:sz w:val="18"/>
                      <w:szCs w:val="18"/>
                    </w:rPr>
                  </w:pPr>
                  <w:r>
                    <w:rPr>
                      <w:rFonts w:hint="eastAsia"/>
                      <w:sz w:val="18"/>
                      <w:szCs w:val="18"/>
                    </w:rPr>
                    <w:t>2016.2.29</w:t>
                  </w:r>
                </w:p>
              </w:tc>
              <w:tc>
                <w:tcPr>
                  <w:tcW w:w="706" w:type="dxa"/>
                  <w:vAlign w:val="center"/>
                </w:tcPr>
                <w:p>
                  <w:pPr>
                    <w:jc w:val="center"/>
                    <w:rPr>
                      <w:sz w:val="18"/>
                      <w:szCs w:val="18"/>
                    </w:rPr>
                  </w:pPr>
                  <w:r>
                    <w:rPr>
                      <w:rFonts w:hint="eastAsia"/>
                      <w:sz w:val="18"/>
                      <w:szCs w:val="18"/>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vAlign w:val="center"/>
                </w:tcPr>
                <w:p>
                  <w:pPr>
                    <w:jc w:val="center"/>
                    <w:rPr>
                      <w:sz w:val="18"/>
                      <w:szCs w:val="18"/>
                    </w:rPr>
                  </w:pPr>
                  <w:r>
                    <w:rPr>
                      <w:rFonts w:hint="eastAsia"/>
                      <w:sz w:val="18"/>
                      <w:szCs w:val="18"/>
                    </w:rPr>
                    <w:t>3</w:t>
                  </w:r>
                </w:p>
              </w:tc>
              <w:tc>
                <w:tcPr>
                  <w:tcW w:w="851" w:type="dxa"/>
                  <w:vAlign w:val="center"/>
                </w:tcPr>
                <w:p>
                  <w:pPr>
                    <w:jc w:val="center"/>
                    <w:rPr>
                      <w:sz w:val="18"/>
                      <w:szCs w:val="18"/>
                    </w:rPr>
                  </w:pPr>
                  <w:r>
                    <w:rPr>
                      <w:rFonts w:hint="eastAsia"/>
                      <w:sz w:val="18"/>
                      <w:szCs w:val="18"/>
                    </w:rPr>
                    <w:t>二期、</w:t>
                  </w:r>
                  <w:r>
                    <w:rPr>
                      <w:sz w:val="18"/>
                      <w:szCs w:val="18"/>
                    </w:rPr>
                    <w:t>三期</w:t>
                  </w:r>
                  <w:r>
                    <w:rPr>
                      <w:rFonts w:hint="eastAsia"/>
                      <w:sz w:val="18"/>
                      <w:szCs w:val="18"/>
                    </w:rPr>
                    <w:t>工程</w:t>
                  </w:r>
                </w:p>
              </w:tc>
              <w:tc>
                <w:tcPr>
                  <w:tcW w:w="1087" w:type="dxa"/>
                  <w:vAlign w:val="center"/>
                </w:tcPr>
                <w:p>
                  <w:pPr>
                    <w:jc w:val="center"/>
                    <w:rPr>
                      <w:sz w:val="18"/>
                      <w:szCs w:val="18"/>
                    </w:rPr>
                  </w:pPr>
                  <w:r>
                    <w:rPr>
                      <w:rFonts w:hint="eastAsia"/>
                      <w:sz w:val="18"/>
                      <w:szCs w:val="18"/>
                    </w:rPr>
                    <w:t>4×300MW机组脱硫增容改造工程</w:t>
                  </w:r>
                </w:p>
              </w:tc>
              <w:tc>
                <w:tcPr>
                  <w:tcW w:w="802" w:type="dxa"/>
                  <w:vAlign w:val="center"/>
                </w:tcPr>
                <w:p>
                  <w:pPr>
                    <w:jc w:val="center"/>
                    <w:rPr>
                      <w:sz w:val="18"/>
                      <w:szCs w:val="18"/>
                    </w:rPr>
                  </w:pPr>
                  <w:r>
                    <w:rPr>
                      <w:rFonts w:hint="eastAsia"/>
                      <w:sz w:val="18"/>
                      <w:szCs w:val="18"/>
                    </w:rPr>
                    <w:t>咸阳市</w:t>
                  </w:r>
                  <w:r>
                    <w:rPr>
                      <w:sz w:val="18"/>
                      <w:szCs w:val="18"/>
                    </w:rPr>
                    <w:t>环境保护局</w:t>
                  </w:r>
                </w:p>
              </w:tc>
              <w:tc>
                <w:tcPr>
                  <w:tcW w:w="946" w:type="dxa"/>
                  <w:vAlign w:val="center"/>
                </w:tcPr>
                <w:p>
                  <w:pPr>
                    <w:jc w:val="center"/>
                    <w:rPr>
                      <w:sz w:val="18"/>
                      <w:szCs w:val="18"/>
                    </w:rPr>
                  </w:pPr>
                  <w:r>
                    <w:rPr>
                      <w:rFonts w:hint="eastAsia"/>
                      <w:sz w:val="18"/>
                      <w:szCs w:val="18"/>
                    </w:rPr>
                    <w:t>咸环批复〔2014〕166号</w:t>
                  </w:r>
                </w:p>
              </w:tc>
              <w:tc>
                <w:tcPr>
                  <w:tcW w:w="660" w:type="dxa"/>
                  <w:vAlign w:val="center"/>
                </w:tcPr>
                <w:p>
                  <w:pPr>
                    <w:jc w:val="center"/>
                    <w:rPr>
                      <w:sz w:val="18"/>
                      <w:szCs w:val="18"/>
                    </w:rPr>
                  </w:pPr>
                  <w:r>
                    <w:rPr>
                      <w:rFonts w:hint="eastAsia"/>
                      <w:sz w:val="18"/>
                      <w:szCs w:val="18"/>
                    </w:rPr>
                    <w:t>2014.9.9</w:t>
                  </w:r>
                </w:p>
              </w:tc>
              <w:tc>
                <w:tcPr>
                  <w:tcW w:w="803" w:type="dxa"/>
                  <w:vMerge w:val="continue"/>
                  <w:vAlign w:val="center"/>
                </w:tcPr>
                <w:p>
                  <w:pPr>
                    <w:jc w:val="center"/>
                    <w:rPr>
                      <w:sz w:val="18"/>
                      <w:szCs w:val="18"/>
                    </w:rPr>
                  </w:pPr>
                </w:p>
              </w:tc>
              <w:tc>
                <w:tcPr>
                  <w:tcW w:w="805" w:type="dxa"/>
                  <w:vMerge w:val="continue"/>
                  <w:vAlign w:val="center"/>
                </w:tcPr>
                <w:p>
                  <w:pPr>
                    <w:jc w:val="center"/>
                    <w:rPr>
                      <w:sz w:val="18"/>
                      <w:szCs w:val="18"/>
                    </w:rPr>
                  </w:pPr>
                </w:p>
              </w:tc>
              <w:tc>
                <w:tcPr>
                  <w:tcW w:w="992" w:type="dxa"/>
                  <w:vMerge w:val="continue"/>
                  <w:vAlign w:val="center"/>
                </w:tcPr>
                <w:p>
                  <w:pPr>
                    <w:jc w:val="center"/>
                    <w:rPr>
                      <w:sz w:val="18"/>
                      <w:szCs w:val="18"/>
                    </w:rPr>
                  </w:pPr>
                </w:p>
              </w:tc>
              <w:tc>
                <w:tcPr>
                  <w:tcW w:w="709" w:type="dxa"/>
                  <w:vMerge w:val="continue"/>
                  <w:vAlign w:val="center"/>
                </w:tcPr>
                <w:p>
                  <w:pPr>
                    <w:jc w:val="center"/>
                    <w:rPr>
                      <w:sz w:val="18"/>
                      <w:szCs w:val="18"/>
                    </w:rPr>
                  </w:pPr>
                </w:p>
              </w:tc>
              <w:tc>
                <w:tcPr>
                  <w:tcW w:w="706" w:type="dxa"/>
                  <w:vAlign w:val="center"/>
                </w:tcPr>
                <w:p>
                  <w:pPr>
                    <w:jc w:val="center"/>
                    <w:rPr>
                      <w:sz w:val="18"/>
                      <w:szCs w:val="18"/>
                    </w:rPr>
                  </w:pPr>
                  <w:r>
                    <w:rPr>
                      <w:rFonts w:hint="eastAsia"/>
                      <w:sz w:val="18"/>
                      <w:szCs w:val="18"/>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vAlign w:val="center"/>
                </w:tcPr>
                <w:p>
                  <w:pPr>
                    <w:jc w:val="center"/>
                    <w:rPr>
                      <w:sz w:val="18"/>
                      <w:szCs w:val="18"/>
                    </w:rPr>
                  </w:pPr>
                  <w:r>
                    <w:rPr>
                      <w:rFonts w:hint="eastAsia"/>
                      <w:sz w:val="18"/>
                      <w:szCs w:val="18"/>
                    </w:rPr>
                    <w:t>4</w:t>
                  </w:r>
                </w:p>
              </w:tc>
              <w:tc>
                <w:tcPr>
                  <w:tcW w:w="851" w:type="dxa"/>
                  <w:vAlign w:val="center"/>
                </w:tcPr>
                <w:p>
                  <w:pPr>
                    <w:jc w:val="center"/>
                    <w:rPr>
                      <w:sz w:val="18"/>
                      <w:szCs w:val="18"/>
                    </w:rPr>
                  </w:pPr>
                  <w:r>
                    <w:rPr>
                      <w:rFonts w:hint="eastAsia"/>
                      <w:sz w:val="18"/>
                      <w:szCs w:val="18"/>
                    </w:rPr>
                    <w:t>二期、</w:t>
                  </w:r>
                  <w:r>
                    <w:rPr>
                      <w:sz w:val="18"/>
                      <w:szCs w:val="18"/>
                    </w:rPr>
                    <w:t>三期</w:t>
                  </w:r>
                  <w:r>
                    <w:rPr>
                      <w:rFonts w:hint="eastAsia"/>
                      <w:sz w:val="18"/>
                      <w:szCs w:val="18"/>
                    </w:rPr>
                    <w:t>工程</w:t>
                  </w:r>
                </w:p>
              </w:tc>
              <w:tc>
                <w:tcPr>
                  <w:tcW w:w="1087" w:type="dxa"/>
                  <w:vAlign w:val="center"/>
                </w:tcPr>
                <w:p>
                  <w:pPr>
                    <w:jc w:val="center"/>
                    <w:rPr>
                      <w:sz w:val="18"/>
                      <w:szCs w:val="18"/>
                    </w:rPr>
                  </w:pPr>
                  <w:r>
                    <w:rPr>
                      <w:rFonts w:hint="eastAsia"/>
                      <w:sz w:val="18"/>
                      <w:szCs w:val="18"/>
                    </w:rPr>
                    <w:t>4×300MW机组烟尘达标排放改造工程</w:t>
                  </w:r>
                </w:p>
              </w:tc>
              <w:tc>
                <w:tcPr>
                  <w:tcW w:w="802" w:type="dxa"/>
                  <w:vAlign w:val="center"/>
                </w:tcPr>
                <w:p>
                  <w:pPr>
                    <w:jc w:val="center"/>
                    <w:rPr>
                      <w:sz w:val="18"/>
                      <w:szCs w:val="18"/>
                    </w:rPr>
                  </w:pPr>
                  <w:r>
                    <w:rPr>
                      <w:rFonts w:hint="eastAsia"/>
                      <w:sz w:val="18"/>
                      <w:szCs w:val="18"/>
                    </w:rPr>
                    <w:t>咸阳市</w:t>
                  </w:r>
                  <w:r>
                    <w:rPr>
                      <w:sz w:val="18"/>
                      <w:szCs w:val="18"/>
                    </w:rPr>
                    <w:t>环境保护局</w:t>
                  </w:r>
                </w:p>
              </w:tc>
              <w:tc>
                <w:tcPr>
                  <w:tcW w:w="946" w:type="dxa"/>
                  <w:vAlign w:val="center"/>
                </w:tcPr>
                <w:p>
                  <w:pPr>
                    <w:jc w:val="center"/>
                    <w:rPr>
                      <w:sz w:val="18"/>
                      <w:szCs w:val="18"/>
                    </w:rPr>
                  </w:pPr>
                  <w:r>
                    <w:rPr>
                      <w:rFonts w:hint="eastAsia"/>
                      <w:sz w:val="18"/>
                      <w:szCs w:val="18"/>
                    </w:rPr>
                    <w:t>咸环批复〔2014〕167号</w:t>
                  </w:r>
                </w:p>
              </w:tc>
              <w:tc>
                <w:tcPr>
                  <w:tcW w:w="660" w:type="dxa"/>
                  <w:vAlign w:val="center"/>
                </w:tcPr>
                <w:p>
                  <w:pPr>
                    <w:jc w:val="center"/>
                    <w:rPr>
                      <w:sz w:val="18"/>
                      <w:szCs w:val="18"/>
                    </w:rPr>
                  </w:pPr>
                  <w:r>
                    <w:rPr>
                      <w:rFonts w:hint="eastAsia"/>
                      <w:sz w:val="18"/>
                      <w:szCs w:val="18"/>
                    </w:rPr>
                    <w:t>2014.9.9</w:t>
                  </w:r>
                </w:p>
              </w:tc>
              <w:tc>
                <w:tcPr>
                  <w:tcW w:w="803" w:type="dxa"/>
                  <w:vMerge w:val="continue"/>
                  <w:vAlign w:val="center"/>
                </w:tcPr>
                <w:p>
                  <w:pPr>
                    <w:jc w:val="center"/>
                    <w:rPr>
                      <w:sz w:val="18"/>
                      <w:szCs w:val="18"/>
                    </w:rPr>
                  </w:pPr>
                </w:p>
              </w:tc>
              <w:tc>
                <w:tcPr>
                  <w:tcW w:w="805" w:type="dxa"/>
                  <w:vMerge w:val="continue"/>
                  <w:vAlign w:val="center"/>
                </w:tcPr>
                <w:p>
                  <w:pPr>
                    <w:jc w:val="center"/>
                    <w:rPr>
                      <w:sz w:val="18"/>
                      <w:szCs w:val="18"/>
                    </w:rPr>
                  </w:pPr>
                </w:p>
              </w:tc>
              <w:tc>
                <w:tcPr>
                  <w:tcW w:w="992" w:type="dxa"/>
                  <w:vMerge w:val="continue"/>
                  <w:vAlign w:val="center"/>
                </w:tcPr>
                <w:p>
                  <w:pPr>
                    <w:jc w:val="center"/>
                    <w:rPr>
                      <w:sz w:val="18"/>
                      <w:szCs w:val="18"/>
                    </w:rPr>
                  </w:pPr>
                </w:p>
              </w:tc>
              <w:tc>
                <w:tcPr>
                  <w:tcW w:w="709" w:type="dxa"/>
                  <w:vMerge w:val="continue"/>
                  <w:vAlign w:val="center"/>
                </w:tcPr>
                <w:p>
                  <w:pPr>
                    <w:jc w:val="center"/>
                    <w:rPr>
                      <w:sz w:val="18"/>
                      <w:szCs w:val="18"/>
                    </w:rPr>
                  </w:pPr>
                </w:p>
              </w:tc>
              <w:tc>
                <w:tcPr>
                  <w:tcW w:w="706" w:type="dxa"/>
                  <w:vAlign w:val="center"/>
                </w:tcPr>
                <w:p>
                  <w:pPr>
                    <w:jc w:val="center"/>
                    <w:rPr>
                      <w:sz w:val="18"/>
                      <w:szCs w:val="18"/>
                    </w:rPr>
                  </w:pPr>
                  <w:r>
                    <w:rPr>
                      <w:rFonts w:hint="eastAsia"/>
                      <w:sz w:val="18"/>
                      <w:szCs w:val="18"/>
                    </w:rPr>
                    <w:t>正常运行</w:t>
                  </w:r>
                </w:p>
              </w:tc>
            </w:tr>
          </w:tbl>
          <w:p>
            <w:pPr>
              <w:spacing w:before="120" w:beforeLines="50" w:line="360" w:lineRule="auto"/>
              <w:ind w:firstLine="482" w:firstLineChars="200"/>
              <w:jc w:val="left"/>
              <w:rPr>
                <w:b/>
                <w:sz w:val="24"/>
                <w:szCs w:val="22"/>
              </w:rPr>
            </w:pPr>
            <w:r>
              <w:rPr>
                <w:b/>
                <w:sz w:val="24"/>
                <w:szCs w:val="22"/>
              </w:rPr>
              <w:t>5</w:t>
            </w:r>
            <w:r>
              <w:rPr>
                <w:rFonts w:hint="eastAsia"/>
                <w:b/>
                <w:sz w:val="24"/>
                <w:szCs w:val="22"/>
              </w:rPr>
              <w:t>、现有</w:t>
            </w:r>
            <w:r>
              <w:rPr>
                <w:b/>
                <w:sz w:val="24"/>
                <w:szCs w:val="22"/>
              </w:rPr>
              <w:t>工程产排污及治理情况</w:t>
            </w:r>
          </w:p>
          <w:p>
            <w:pPr>
              <w:spacing w:line="360" w:lineRule="auto"/>
              <w:ind w:firstLine="480" w:firstLineChars="200"/>
              <w:jc w:val="left"/>
              <w:rPr>
                <w:sz w:val="24"/>
                <w:szCs w:val="22"/>
              </w:rPr>
            </w:pPr>
            <w:r>
              <w:rPr>
                <w:sz w:val="24"/>
                <w:szCs w:val="22"/>
              </w:rPr>
              <w:fldChar w:fldCharType="begin"/>
            </w:r>
            <w:r>
              <w:rPr>
                <w:sz w:val="24"/>
                <w:szCs w:val="22"/>
              </w:rPr>
              <w:instrText xml:space="preserve"> </w:instrText>
            </w:r>
            <w:r>
              <w:rPr>
                <w:rFonts w:hint="eastAsia"/>
                <w:sz w:val="24"/>
                <w:szCs w:val="22"/>
              </w:rPr>
              <w:instrText xml:space="preserve">= 1 \* GB2</w:instrText>
            </w:r>
            <w:r>
              <w:rPr>
                <w:sz w:val="24"/>
                <w:szCs w:val="22"/>
              </w:rPr>
              <w:instrText xml:space="preserve"> </w:instrText>
            </w:r>
            <w:r>
              <w:rPr>
                <w:sz w:val="24"/>
                <w:szCs w:val="22"/>
              </w:rPr>
              <w:fldChar w:fldCharType="separate"/>
            </w:r>
            <w:r>
              <w:rPr>
                <w:rFonts w:hint="eastAsia"/>
                <w:sz w:val="24"/>
                <w:szCs w:val="22"/>
              </w:rPr>
              <w:t>⑴</w:t>
            </w:r>
            <w:r>
              <w:rPr>
                <w:sz w:val="24"/>
                <w:szCs w:val="22"/>
              </w:rPr>
              <w:fldChar w:fldCharType="end"/>
            </w:r>
            <w:r>
              <w:rPr>
                <w:sz w:val="24"/>
                <w:szCs w:val="22"/>
              </w:rPr>
              <w:t xml:space="preserve"> </w:t>
            </w:r>
            <w:r>
              <w:rPr>
                <w:rFonts w:hint="eastAsia"/>
                <w:sz w:val="24"/>
                <w:szCs w:val="22"/>
              </w:rPr>
              <w:t>废气</w:t>
            </w:r>
          </w:p>
          <w:p>
            <w:pPr>
              <w:spacing w:line="360" w:lineRule="auto"/>
              <w:ind w:firstLine="480" w:firstLineChars="200"/>
              <w:jc w:val="left"/>
              <w:rPr>
                <w:sz w:val="24"/>
                <w:szCs w:val="22"/>
              </w:rPr>
            </w:pPr>
            <w:r>
              <w:rPr>
                <w:rFonts w:hint="eastAsia"/>
                <w:sz w:val="24"/>
                <w:szCs w:val="22"/>
              </w:rPr>
              <w:t>现有工程废气主要为各机组燃煤锅炉排放的烟气，主要污染物为SO</w:t>
            </w:r>
            <w:r>
              <w:rPr>
                <w:rFonts w:hint="eastAsia"/>
                <w:sz w:val="24"/>
                <w:szCs w:val="22"/>
                <w:vertAlign w:val="subscript"/>
              </w:rPr>
              <w:t>2</w:t>
            </w:r>
            <w:r>
              <w:rPr>
                <w:rFonts w:hint="eastAsia"/>
                <w:sz w:val="24"/>
                <w:szCs w:val="22"/>
              </w:rPr>
              <w:t>、NOx和颗粒物等，属于有组织排放废气，燃煤堆场、输煤系统、石灰石浆液制备</w:t>
            </w:r>
            <w:r>
              <w:rPr>
                <w:sz w:val="24"/>
                <w:szCs w:val="22"/>
              </w:rPr>
              <w:t>系统</w:t>
            </w:r>
            <w:r>
              <w:rPr>
                <w:rFonts w:hint="eastAsia"/>
                <w:sz w:val="24"/>
                <w:szCs w:val="22"/>
              </w:rPr>
              <w:t>等均会无组织排放少量粉尘。</w:t>
            </w:r>
          </w:p>
          <w:p>
            <w:pPr>
              <w:spacing w:line="360" w:lineRule="auto"/>
              <w:ind w:firstLine="480" w:firstLineChars="200"/>
              <w:jc w:val="left"/>
              <w:rPr>
                <w:sz w:val="24"/>
                <w:szCs w:val="22"/>
              </w:rPr>
            </w:pPr>
            <w:r>
              <w:rPr>
                <w:sz w:val="24"/>
                <w:szCs w:val="22"/>
              </w:rPr>
              <w:fldChar w:fldCharType="begin"/>
            </w:r>
            <w:r>
              <w:rPr>
                <w:sz w:val="24"/>
                <w:szCs w:val="22"/>
              </w:rPr>
              <w:instrText xml:space="preserve"> </w:instrText>
            </w:r>
            <w:r>
              <w:rPr>
                <w:rFonts w:hint="eastAsia"/>
                <w:sz w:val="24"/>
                <w:szCs w:val="22"/>
              </w:rPr>
              <w:instrText xml:space="preserve">= 1 \* GB3</w:instrText>
            </w:r>
            <w:r>
              <w:rPr>
                <w:sz w:val="24"/>
                <w:szCs w:val="22"/>
              </w:rPr>
              <w:instrText xml:space="preserve"> </w:instrText>
            </w:r>
            <w:r>
              <w:rPr>
                <w:sz w:val="24"/>
                <w:szCs w:val="22"/>
              </w:rPr>
              <w:fldChar w:fldCharType="separate"/>
            </w:r>
            <w:r>
              <w:rPr>
                <w:rFonts w:hint="eastAsia"/>
                <w:sz w:val="24"/>
                <w:szCs w:val="22"/>
              </w:rPr>
              <w:t>①</w:t>
            </w:r>
            <w:r>
              <w:rPr>
                <w:sz w:val="24"/>
                <w:szCs w:val="22"/>
              </w:rPr>
              <w:fldChar w:fldCharType="end"/>
            </w:r>
            <w:r>
              <w:rPr>
                <w:sz w:val="24"/>
                <w:szCs w:val="22"/>
              </w:rPr>
              <w:t xml:space="preserve"> </w:t>
            </w:r>
            <w:r>
              <w:rPr>
                <w:rFonts w:hint="eastAsia"/>
                <w:sz w:val="24"/>
                <w:szCs w:val="22"/>
              </w:rPr>
              <w:t>有组织废气</w:t>
            </w:r>
          </w:p>
          <w:p>
            <w:pPr>
              <w:spacing w:line="360" w:lineRule="auto"/>
              <w:ind w:firstLine="480" w:firstLineChars="200"/>
              <w:jc w:val="left"/>
              <w:rPr>
                <w:sz w:val="24"/>
                <w:szCs w:val="22"/>
              </w:rPr>
            </w:pPr>
            <w:r>
              <w:rPr>
                <w:rFonts w:hint="eastAsia"/>
                <w:sz w:val="24"/>
                <w:szCs w:val="22"/>
              </w:rPr>
              <w:t>根据现有工程厂区在线监测数据，目前#3、#4、#5、#6机组正常运行，收集201</w:t>
            </w:r>
            <w:r>
              <w:rPr>
                <w:sz w:val="24"/>
                <w:szCs w:val="22"/>
              </w:rPr>
              <w:t>8</w:t>
            </w:r>
            <w:r>
              <w:rPr>
                <w:rFonts w:hint="eastAsia"/>
                <w:sz w:val="24"/>
                <w:szCs w:val="22"/>
              </w:rPr>
              <w:t>年</w:t>
            </w:r>
            <w:r>
              <w:rPr>
                <w:sz w:val="24"/>
                <w:szCs w:val="22"/>
              </w:rPr>
              <w:t>1</w:t>
            </w:r>
            <w:r>
              <w:rPr>
                <w:rFonts w:hint="eastAsia"/>
                <w:sz w:val="24"/>
                <w:szCs w:val="22"/>
              </w:rPr>
              <w:t>～</w:t>
            </w:r>
            <w:r>
              <w:rPr>
                <w:sz w:val="24"/>
                <w:szCs w:val="22"/>
              </w:rPr>
              <w:t>10</w:t>
            </w:r>
            <w:r>
              <w:rPr>
                <w:rFonts w:hint="eastAsia"/>
                <w:sz w:val="24"/>
                <w:szCs w:val="22"/>
              </w:rPr>
              <w:t>月</w:t>
            </w:r>
            <w:r>
              <w:rPr>
                <w:sz w:val="24"/>
                <w:szCs w:val="22"/>
              </w:rPr>
              <w:t>10</w:t>
            </w:r>
            <w:r>
              <w:rPr>
                <w:rFonts w:hint="eastAsia"/>
                <w:sz w:val="24"/>
                <w:szCs w:val="22"/>
              </w:rPr>
              <w:t>个月数据，具体见表</w:t>
            </w:r>
            <w:r>
              <w:rPr>
                <w:sz w:val="24"/>
                <w:szCs w:val="22"/>
              </w:rPr>
              <w:t>5</w:t>
            </w:r>
            <w:r>
              <w:rPr>
                <w:rFonts w:hint="eastAsia"/>
                <w:sz w:val="24"/>
                <w:szCs w:val="22"/>
              </w:rPr>
              <w:t>。</w:t>
            </w:r>
          </w:p>
          <w:p>
            <w:pPr>
              <w:jc w:val="center"/>
              <w:rPr>
                <w:b/>
                <w:szCs w:val="21"/>
              </w:rPr>
            </w:pPr>
            <w:r>
              <w:rPr>
                <w:rFonts w:hint="eastAsia"/>
                <w:b/>
                <w:szCs w:val="21"/>
              </w:rPr>
              <w:t>表</w:t>
            </w:r>
            <w:r>
              <w:rPr>
                <w:b/>
                <w:szCs w:val="21"/>
              </w:rPr>
              <w:t>5</w:t>
            </w:r>
            <w:r>
              <w:rPr>
                <w:rFonts w:hint="eastAsia"/>
                <w:b/>
                <w:szCs w:val="21"/>
              </w:rPr>
              <w:t xml:space="preserve">      各机组</w:t>
            </w:r>
            <w:r>
              <w:rPr>
                <w:b/>
                <w:szCs w:val="21"/>
              </w:rPr>
              <w:t>锅炉排放废气在线监测结果</w:t>
            </w:r>
          </w:p>
          <w:tbl>
            <w:tblPr>
              <w:tblStyle w:val="40"/>
              <w:tblW w:w="88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924"/>
              <w:gridCol w:w="728"/>
              <w:gridCol w:w="924"/>
              <w:gridCol w:w="700"/>
              <w:gridCol w:w="938"/>
              <w:gridCol w:w="699"/>
              <w:gridCol w:w="966"/>
              <w:gridCol w:w="742"/>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 w:type="dxa"/>
                  <w:vMerge w:val="restart"/>
                  <w:tcBorders>
                    <w:tl2br w:val="single" w:color="auto" w:sz="4" w:space="0"/>
                  </w:tcBorders>
                  <w:vAlign w:val="center"/>
                </w:tcPr>
                <w:p>
                  <w:pPr>
                    <w:jc w:val="center"/>
                    <w:rPr>
                      <w:szCs w:val="21"/>
                    </w:rPr>
                  </w:pPr>
                  <w:r>
                    <w:rPr>
                      <w:rFonts w:hint="eastAsia"/>
                      <w:szCs w:val="21"/>
                    </w:rPr>
                    <w:t xml:space="preserve">  机组污染物</w:t>
                  </w:r>
                </w:p>
              </w:tc>
              <w:tc>
                <w:tcPr>
                  <w:tcW w:w="1652" w:type="dxa"/>
                  <w:gridSpan w:val="2"/>
                  <w:vAlign w:val="center"/>
                </w:tcPr>
                <w:p>
                  <w:pPr>
                    <w:jc w:val="center"/>
                    <w:rPr>
                      <w:szCs w:val="21"/>
                    </w:rPr>
                  </w:pPr>
                  <w:r>
                    <w:rPr>
                      <w:rFonts w:hint="eastAsia"/>
                      <w:szCs w:val="21"/>
                    </w:rPr>
                    <w:t>#</w:t>
                  </w:r>
                  <w:r>
                    <w:rPr>
                      <w:szCs w:val="21"/>
                    </w:rPr>
                    <w:t>3</w:t>
                  </w:r>
                  <w:r>
                    <w:rPr>
                      <w:rFonts w:hint="eastAsia"/>
                      <w:szCs w:val="21"/>
                    </w:rPr>
                    <w:t>（mg/m</w:t>
                  </w:r>
                  <w:r>
                    <w:rPr>
                      <w:rFonts w:hint="eastAsia"/>
                      <w:szCs w:val="21"/>
                      <w:vertAlign w:val="superscript"/>
                    </w:rPr>
                    <w:t>3</w:t>
                  </w:r>
                  <w:r>
                    <w:rPr>
                      <w:rFonts w:hint="eastAsia"/>
                      <w:szCs w:val="21"/>
                    </w:rPr>
                    <w:t>）</w:t>
                  </w:r>
                </w:p>
              </w:tc>
              <w:tc>
                <w:tcPr>
                  <w:tcW w:w="1624" w:type="dxa"/>
                  <w:gridSpan w:val="2"/>
                  <w:vAlign w:val="center"/>
                </w:tcPr>
                <w:p>
                  <w:pPr>
                    <w:jc w:val="center"/>
                    <w:rPr>
                      <w:szCs w:val="21"/>
                    </w:rPr>
                  </w:pPr>
                  <w:r>
                    <w:rPr>
                      <w:rFonts w:hint="eastAsia"/>
                      <w:szCs w:val="21"/>
                    </w:rPr>
                    <w:t>#</w:t>
                  </w:r>
                  <w:r>
                    <w:rPr>
                      <w:szCs w:val="21"/>
                    </w:rPr>
                    <w:t>4</w:t>
                  </w:r>
                  <w:r>
                    <w:rPr>
                      <w:rFonts w:hint="eastAsia"/>
                      <w:szCs w:val="21"/>
                    </w:rPr>
                    <w:t>（mg/m</w:t>
                  </w:r>
                  <w:r>
                    <w:rPr>
                      <w:rFonts w:hint="eastAsia"/>
                      <w:szCs w:val="21"/>
                      <w:vertAlign w:val="superscript"/>
                    </w:rPr>
                    <w:t>3</w:t>
                  </w:r>
                  <w:r>
                    <w:rPr>
                      <w:rFonts w:hint="eastAsia"/>
                      <w:szCs w:val="21"/>
                    </w:rPr>
                    <w:t>）</w:t>
                  </w:r>
                </w:p>
              </w:tc>
              <w:tc>
                <w:tcPr>
                  <w:tcW w:w="1637" w:type="dxa"/>
                  <w:gridSpan w:val="2"/>
                  <w:vAlign w:val="center"/>
                </w:tcPr>
                <w:p>
                  <w:pPr>
                    <w:jc w:val="center"/>
                    <w:rPr>
                      <w:szCs w:val="21"/>
                    </w:rPr>
                  </w:pPr>
                  <w:r>
                    <w:rPr>
                      <w:rFonts w:hint="eastAsia"/>
                      <w:szCs w:val="21"/>
                    </w:rPr>
                    <w:t>#</w:t>
                  </w:r>
                  <w:r>
                    <w:rPr>
                      <w:szCs w:val="21"/>
                    </w:rPr>
                    <w:t>5</w:t>
                  </w:r>
                  <w:r>
                    <w:rPr>
                      <w:rFonts w:hint="eastAsia"/>
                      <w:szCs w:val="21"/>
                    </w:rPr>
                    <w:t>（mg/m</w:t>
                  </w:r>
                  <w:r>
                    <w:rPr>
                      <w:rFonts w:hint="eastAsia"/>
                      <w:szCs w:val="21"/>
                      <w:vertAlign w:val="superscript"/>
                    </w:rPr>
                    <w:t>3</w:t>
                  </w:r>
                  <w:r>
                    <w:rPr>
                      <w:rFonts w:hint="eastAsia"/>
                      <w:szCs w:val="21"/>
                    </w:rPr>
                    <w:t>）</w:t>
                  </w:r>
                </w:p>
              </w:tc>
              <w:tc>
                <w:tcPr>
                  <w:tcW w:w="1708" w:type="dxa"/>
                  <w:gridSpan w:val="2"/>
                  <w:vAlign w:val="center"/>
                </w:tcPr>
                <w:p>
                  <w:pPr>
                    <w:jc w:val="center"/>
                    <w:rPr>
                      <w:szCs w:val="21"/>
                    </w:rPr>
                  </w:pPr>
                  <w:r>
                    <w:rPr>
                      <w:rFonts w:hint="eastAsia"/>
                      <w:szCs w:val="21"/>
                    </w:rPr>
                    <w:t>#</w:t>
                  </w:r>
                  <w:r>
                    <w:rPr>
                      <w:szCs w:val="21"/>
                    </w:rPr>
                    <w:t>6</w:t>
                  </w:r>
                  <w:r>
                    <w:rPr>
                      <w:rFonts w:hint="eastAsia"/>
                      <w:szCs w:val="21"/>
                    </w:rPr>
                    <w:t>（mg/m</w:t>
                  </w:r>
                  <w:r>
                    <w:rPr>
                      <w:rFonts w:hint="eastAsia"/>
                      <w:szCs w:val="21"/>
                      <w:vertAlign w:val="superscript"/>
                    </w:rPr>
                    <w:t>3</w:t>
                  </w:r>
                  <w:r>
                    <w:rPr>
                      <w:rFonts w:hint="eastAsia"/>
                      <w:szCs w:val="21"/>
                    </w:rPr>
                    <w:t>）</w:t>
                  </w:r>
                </w:p>
              </w:tc>
              <w:tc>
                <w:tcPr>
                  <w:tcW w:w="1338" w:type="dxa"/>
                  <w:vMerge w:val="restart"/>
                  <w:vAlign w:val="center"/>
                </w:tcPr>
                <w:p>
                  <w:pPr>
                    <w:jc w:val="center"/>
                    <w:rPr>
                      <w:szCs w:val="21"/>
                    </w:rPr>
                  </w:pPr>
                  <w:r>
                    <w:rPr>
                      <w:rFonts w:hint="eastAsia"/>
                      <w:szCs w:val="21"/>
                    </w:rPr>
                    <w:t>执行标准（mg/m</w:t>
                  </w:r>
                  <w:r>
                    <w:rPr>
                      <w:rFonts w:hint="eastAsia"/>
                      <w:szCs w:val="21"/>
                      <w:vertAlign w:val="superscript"/>
                    </w:rPr>
                    <w:t>3</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 w:type="dxa"/>
                  <w:vMerge w:val="continue"/>
                  <w:vAlign w:val="center"/>
                </w:tcPr>
                <w:p>
                  <w:pPr>
                    <w:jc w:val="center"/>
                    <w:rPr>
                      <w:szCs w:val="21"/>
                    </w:rPr>
                  </w:pPr>
                </w:p>
              </w:tc>
              <w:tc>
                <w:tcPr>
                  <w:tcW w:w="924" w:type="dxa"/>
                  <w:vAlign w:val="center"/>
                </w:tcPr>
                <w:p>
                  <w:pPr>
                    <w:jc w:val="center"/>
                    <w:rPr>
                      <w:szCs w:val="21"/>
                    </w:rPr>
                  </w:pPr>
                  <w:r>
                    <w:rPr>
                      <w:rFonts w:hint="eastAsia"/>
                      <w:szCs w:val="21"/>
                    </w:rPr>
                    <w:t>范围</w:t>
                  </w:r>
                </w:p>
              </w:tc>
              <w:tc>
                <w:tcPr>
                  <w:tcW w:w="728" w:type="dxa"/>
                  <w:vAlign w:val="center"/>
                </w:tcPr>
                <w:p>
                  <w:pPr>
                    <w:jc w:val="center"/>
                    <w:rPr>
                      <w:szCs w:val="21"/>
                    </w:rPr>
                  </w:pPr>
                  <w:r>
                    <w:rPr>
                      <w:rFonts w:hint="eastAsia"/>
                      <w:szCs w:val="21"/>
                    </w:rPr>
                    <w:t>均值</w:t>
                  </w:r>
                </w:p>
              </w:tc>
              <w:tc>
                <w:tcPr>
                  <w:tcW w:w="924" w:type="dxa"/>
                  <w:vAlign w:val="center"/>
                </w:tcPr>
                <w:p>
                  <w:pPr>
                    <w:jc w:val="center"/>
                    <w:rPr>
                      <w:szCs w:val="21"/>
                    </w:rPr>
                  </w:pPr>
                  <w:r>
                    <w:rPr>
                      <w:rFonts w:hint="eastAsia"/>
                      <w:szCs w:val="21"/>
                    </w:rPr>
                    <w:t>范围</w:t>
                  </w:r>
                </w:p>
              </w:tc>
              <w:tc>
                <w:tcPr>
                  <w:tcW w:w="700" w:type="dxa"/>
                  <w:vAlign w:val="center"/>
                </w:tcPr>
                <w:p>
                  <w:pPr>
                    <w:jc w:val="center"/>
                    <w:rPr>
                      <w:szCs w:val="21"/>
                    </w:rPr>
                  </w:pPr>
                  <w:r>
                    <w:rPr>
                      <w:rFonts w:hint="eastAsia"/>
                      <w:szCs w:val="21"/>
                    </w:rPr>
                    <w:t>均值</w:t>
                  </w:r>
                </w:p>
              </w:tc>
              <w:tc>
                <w:tcPr>
                  <w:tcW w:w="938" w:type="dxa"/>
                  <w:vAlign w:val="center"/>
                </w:tcPr>
                <w:p>
                  <w:pPr>
                    <w:jc w:val="center"/>
                    <w:rPr>
                      <w:szCs w:val="21"/>
                    </w:rPr>
                  </w:pPr>
                  <w:r>
                    <w:rPr>
                      <w:rFonts w:hint="eastAsia"/>
                      <w:szCs w:val="21"/>
                    </w:rPr>
                    <w:t>范围</w:t>
                  </w:r>
                </w:p>
              </w:tc>
              <w:tc>
                <w:tcPr>
                  <w:tcW w:w="699" w:type="dxa"/>
                  <w:vAlign w:val="center"/>
                </w:tcPr>
                <w:p>
                  <w:pPr>
                    <w:jc w:val="center"/>
                    <w:rPr>
                      <w:szCs w:val="21"/>
                    </w:rPr>
                  </w:pPr>
                  <w:r>
                    <w:rPr>
                      <w:rFonts w:hint="eastAsia"/>
                      <w:szCs w:val="21"/>
                    </w:rPr>
                    <w:t>均值</w:t>
                  </w:r>
                </w:p>
              </w:tc>
              <w:tc>
                <w:tcPr>
                  <w:tcW w:w="966" w:type="dxa"/>
                  <w:vAlign w:val="center"/>
                </w:tcPr>
                <w:p>
                  <w:pPr>
                    <w:jc w:val="center"/>
                    <w:rPr>
                      <w:szCs w:val="21"/>
                    </w:rPr>
                  </w:pPr>
                  <w:r>
                    <w:rPr>
                      <w:rFonts w:hint="eastAsia"/>
                      <w:szCs w:val="21"/>
                    </w:rPr>
                    <w:t>范围</w:t>
                  </w:r>
                </w:p>
              </w:tc>
              <w:tc>
                <w:tcPr>
                  <w:tcW w:w="742" w:type="dxa"/>
                  <w:vAlign w:val="center"/>
                </w:tcPr>
                <w:p>
                  <w:pPr>
                    <w:jc w:val="center"/>
                    <w:rPr>
                      <w:szCs w:val="21"/>
                    </w:rPr>
                  </w:pPr>
                  <w:r>
                    <w:rPr>
                      <w:rFonts w:hint="eastAsia"/>
                      <w:szCs w:val="21"/>
                    </w:rPr>
                    <w:t>均值</w:t>
                  </w:r>
                </w:p>
              </w:tc>
              <w:tc>
                <w:tcPr>
                  <w:tcW w:w="1338"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 w:type="dxa"/>
                  <w:vAlign w:val="center"/>
                </w:tcPr>
                <w:p>
                  <w:pPr>
                    <w:jc w:val="center"/>
                    <w:rPr>
                      <w:szCs w:val="21"/>
                    </w:rPr>
                  </w:pPr>
                  <w:r>
                    <w:rPr>
                      <w:rFonts w:hint="eastAsia"/>
                      <w:szCs w:val="21"/>
                    </w:rPr>
                    <w:t>颗粒物</w:t>
                  </w:r>
                </w:p>
              </w:tc>
              <w:tc>
                <w:tcPr>
                  <w:tcW w:w="924" w:type="dxa"/>
                  <w:vAlign w:val="center"/>
                </w:tcPr>
                <w:p>
                  <w:pPr>
                    <w:jc w:val="center"/>
                    <w:rPr>
                      <w:szCs w:val="21"/>
                    </w:rPr>
                  </w:pPr>
                  <w:r>
                    <w:rPr>
                      <w:rFonts w:hint="eastAsia"/>
                      <w:szCs w:val="21"/>
                    </w:rPr>
                    <w:t>1.62～3.39</w:t>
                  </w:r>
                </w:p>
              </w:tc>
              <w:tc>
                <w:tcPr>
                  <w:tcW w:w="728" w:type="dxa"/>
                  <w:vAlign w:val="center"/>
                </w:tcPr>
                <w:p>
                  <w:pPr>
                    <w:jc w:val="center"/>
                    <w:rPr>
                      <w:szCs w:val="21"/>
                    </w:rPr>
                  </w:pPr>
                  <w:r>
                    <w:rPr>
                      <w:szCs w:val="21"/>
                    </w:rPr>
                    <w:t>1.89</w:t>
                  </w:r>
                </w:p>
              </w:tc>
              <w:tc>
                <w:tcPr>
                  <w:tcW w:w="924" w:type="dxa"/>
                  <w:vAlign w:val="center"/>
                </w:tcPr>
                <w:p>
                  <w:pPr>
                    <w:jc w:val="center"/>
                    <w:rPr>
                      <w:szCs w:val="21"/>
                    </w:rPr>
                  </w:pPr>
                  <w:r>
                    <w:rPr>
                      <w:szCs w:val="21"/>
                    </w:rPr>
                    <w:t>0.96</w:t>
                  </w:r>
                  <w:r>
                    <w:rPr>
                      <w:rFonts w:hint="eastAsia"/>
                      <w:szCs w:val="21"/>
                    </w:rPr>
                    <w:t>～3.</w:t>
                  </w:r>
                  <w:r>
                    <w:rPr>
                      <w:szCs w:val="21"/>
                    </w:rPr>
                    <w:t>16</w:t>
                  </w:r>
                </w:p>
              </w:tc>
              <w:tc>
                <w:tcPr>
                  <w:tcW w:w="700" w:type="dxa"/>
                  <w:vAlign w:val="center"/>
                </w:tcPr>
                <w:p>
                  <w:pPr>
                    <w:jc w:val="center"/>
                    <w:rPr>
                      <w:szCs w:val="21"/>
                    </w:rPr>
                  </w:pPr>
                  <w:r>
                    <w:rPr>
                      <w:rFonts w:hint="eastAsia"/>
                      <w:szCs w:val="21"/>
                    </w:rPr>
                    <w:t>2.16</w:t>
                  </w:r>
                </w:p>
              </w:tc>
              <w:tc>
                <w:tcPr>
                  <w:tcW w:w="938" w:type="dxa"/>
                  <w:vAlign w:val="center"/>
                </w:tcPr>
                <w:p>
                  <w:pPr>
                    <w:jc w:val="center"/>
                    <w:rPr>
                      <w:szCs w:val="21"/>
                    </w:rPr>
                  </w:pPr>
                  <w:r>
                    <w:rPr>
                      <w:rFonts w:hint="eastAsia"/>
                      <w:szCs w:val="21"/>
                    </w:rPr>
                    <w:t>1.</w:t>
                  </w:r>
                  <w:r>
                    <w:rPr>
                      <w:szCs w:val="21"/>
                    </w:rPr>
                    <w:t>70</w:t>
                  </w:r>
                  <w:r>
                    <w:rPr>
                      <w:rFonts w:hint="eastAsia"/>
                      <w:szCs w:val="21"/>
                    </w:rPr>
                    <w:t>～</w:t>
                  </w:r>
                  <w:r>
                    <w:rPr>
                      <w:szCs w:val="21"/>
                    </w:rPr>
                    <w:t>3.18</w:t>
                  </w:r>
                </w:p>
              </w:tc>
              <w:tc>
                <w:tcPr>
                  <w:tcW w:w="699" w:type="dxa"/>
                  <w:vAlign w:val="center"/>
                </w:tcPr>
                <w:p>
                  <w:pPr>
                    <w:jc w:val="center"/>
                    <w:rPr>
                      <w:szCs w:val="21"/>
                    </w:rPr>
                  </w:pPr>
                  <w:r>
                    <w:rPr>
                      <w:rFonts w:hint="eastAsia"/>
                      <w:szCs w:val="21"/>
                    </w:rPr>
                    <w:t>2.</w:t>
                  </w:r>
                  <w:r>
                    <w:rPr>
                      <w:szCs w:val="21"/>
                    </w:rPr>
                    <w:t>54</w:t>
                  </w:r>
                </w:p>
              </w:tc>
              <w:tc>
                <w:tcPr>
                  <w:tcW w:w="966" w:type="dxa"/>
                  <w:vAlign w:val="center"/>
                </w:tcPr>
                <w:p>
                  <w:pPr>
                    <w:jc w:val="center"/>
                    <w:rPr>
                      <w:szCs w:val="21"/>
                    </w:rPr>
                  </w:pPr>
                  <w:r>
                    <w:rPr>
                      <w:rFonts w:hint="eastAsia"/>
                      <w:szCs w:val="21"/>
                    </w:rPr>
                    <w:t>1.</w:t>
                  </w:r>
                  <w:r>
                    <w:rPr>
                      <w:szCs w:val="21"/>
                    </w:rPr>
                    <w:t>14</w:t>
                  </w:r>
                  <w:r>
                    <w:rPr>
                      <w:rFonts w:hint="eastAsia"/>
                      <w:szCs w:val="21"/>
                    </w:rPr>
                    <w:t>～</w:t>
                  </w:r>
                  <w:r>
                    <w:rPr>
                      <w:szCs w:val="21"/>
                    </w:rPr>
                    <w:t>2.80</w:t>
                  </w:r>
                </w:p>
              </w:tc>
              <w:tc>
                <w:tcPr>
                  <w:tcW w:w="742" w:type="dxa"/>
                  <w:vAlign w:val="center"/>
                </w:tcPr>
                <w:p>
                  <w:pPr>
                    <w:jc w:val="center"/>
                    <w:rPr>
                      <w:szCs w:val="21"/>
                    </w:rPr>
                  </w:pPr>
                  <w:r>
                    <w:rPr>
                      <w:rFonts w:hint="eastAsia"/>
                      <w:szCs w:val="21"/>
                    </w:rPr>
                    <w:t>2.1</w:t>
                  </w:r>
                  <w:r>
                    <w:rPr>
                      <w:szCs w:val="21"/>
                    </w:rPr>
                    <w:t>4</w:t>
                  </w:r>
                </w:p>
              </w:tc>
              <w:tc>
                <w:tcPr>
                  <w:tcW w:w="1338" w:type="dxa"/>
                  <w:vAlign w:val="center"/>
                </w:tcPr>
                <w:p>
                  <w:pPr>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 w:type="dxa"/>
                  <w:vAlign w:val="center"/>
                </w:tcPr>
                <w:p>
                  <w:pPr>
                    <w:jc w:val="center"/>
                    <w:rPr>
                      <w:szCs w:val="21"/>
                    </w:rPr>
                  </w:pPr>
                  <w:r>
                    <w:rPr>
                      <w:rFonts w:hint="eastAsia"/>
                      <w:szCs w:val="21"/>
                    </w:rPr>
                    <w:t>SO</w:t>
                  </w:r>
                  <w:r>
                    <w:rPr>
                      <w:rFonts w:hint="eastAsia"/>
                      <w:szCs w:val="21"/>
                      <w:vertAlign w:val="subscript"/>
                    </w:rPr>
                    <w:t>2</w:t>
                  </w:r>
                </w:p>
              </w:tc>
              <w:tc>
                <w:tcPr>
                  <w:tcW w:w="924" w:type="dxa"/>
                  <w:vAlign w:val="center"/>
                </w:tcPr>
                <w:p>
                  <w:pPr>
                    <w:jc w:val="center"/>
                    <w:rPr>
                      <w:szCs w:val="21"/>
                    </w:rPr>
                  </w:pPr>
                  <w:r>
                    <w:rPr>
                      <w:szCs w:val="21"/>
                    </w:rPr>
                    <w:t>11.26</w:t>
                  </w:r>
                  <w:r>
                    <w:rPr>
                      <w:rFonts w:hint="eastAsia"/>
                      <w:szCs w:val="21"/>
                    </w:rPr>
                    <w:t>～</w:t>
                  </w:r>
                  <w:r>
                    <w:rPr>
                      <w:szCs w:val="21"/>
                    </w:rPr>
                    <w:t>16.66</w:t>
                  </w:r>
                </w:p>
              </w:tc>
              <w:tc>
                <w:tcPr>
                  <w:tcW w:w="728" w:type="dxa"/>
                  <w:vAlign w:val="center"/>
                </w:tcPr>
                <w:p>
                  <w:pPr>
                    <w:jc w:val="center"/>
                    <w:rPr>
                      <w:szCs w:val="21"/>
                    </w:rPr>
                  </w:pPr>
                  <w:r>
                    <w:rPr>
                      <w:szCs w:val="21"/>
                    </w:rPr>
                    <w:t>14.22</w:t>
                  </w:r>
                </w:p>
              </w:tc>
              <w:tc>
                <w:tcPr>
                  <w:tcW w:w="924" w:type="dxa"/>
                  <w:vAlign w:val="center"/>
                </w:tcPr>
                <w:p>
                  <w:pPr>
                    <w:jc w:val="center"/>
                    <w:rPr>
                      <w:szCs w:val="21"/>
                    </w:rPr>
                  </w:pPr>
                  <w:r>
                    <w:rPr>
                      <w:szCs w:val="21"/>
                    </w:rPr>
                    <w:t>11.20</w:t>
                  </w:r>
                  <w:r>
                    <w:rPr>
                      <w:rFonts w:hint="eastAsia"/>
                      <w:szCs w:val="21"/>
                    </w:rPr>
                    <w:t>～</w:t>
                  </w:r>
                  <w:r>
                    <w:rPr>
                      <w:szCs w:val="21"/>
                    </w:rPr>
                    <w:t>17.80</w:t>
                  </w:r>
                </w:p>
              </w:tc>
              <w:tc>
                <w:tcPr>
                  <w:tcW w:w="700" w:type="dxa"/>
                  <w:vAlign w:val="center"/>
                </w:tcPr>
                <w:p>
                  <w:pPr>
                    <w:jc w:val="center"/>
                    <w:rPr>
                      <w:szCs w:val="21"/>
                    </w:rPr>
                  </w:pPr>
                  <w:r>
                    <w:rPr>
                      <w:szCs w:val="21"/>
                    </w:rPr>
                    <w:t>15.02</w:t>
                  </w:r>
                </w:p>
              </w:tc>
              <w:tc>
                <w:tcPr>
                  <w:tcW w:w="938" w:type="dxa"/>
                  <w:vAlign w:val="center"/>
                </w:tcPr>
                <w:p>
                  <w:pPr>
                    <w:jc w:val="center"/>
                    <w:rPr>
                      <w:szCs w:val="21"/>
                    </w:rPr>
                  </w:pPr>
                  <w:r>
                    <w:rPr>
                      <w:szCs w:val="21"/>
                    </w:rPr>
                    <w:t>11.56</w:t>
                  </w:r>
                  <w:r>
                    <w:rPr>
                      <w:rFonts w:hint="eastAsia"/>
                      <w:szCs w:val="21"/>
                    </w:rPr>
                    <w:t>～</w:t>
                  </w:r>
                  <w:r>
                    <w:rPr>
                      <w:szCs w:val="21"/>
                    </w:rPr>
                    <w:t>15.59</w:t>
                  </w:r>
                </w:p>
              </w:tc>
              <w:tc>
                <w:tcPr>
                  <w:tcW w:w="699" w:type="dxa"/>
                  <w:vAlign w:val="center"/>
                </w:tcPr>
                <w:p>
                  <w:pPr>
                    <w:jc w:val="center"/>
                    <w:rPr>
                      <w:szCs w:val="21"/>
                    </w:rPr>
                  </w:pPr>
                  <w:r>
                    <w:rPr>
                      <w:szCs w:val="21"/>
                    </w:rPr>
                    <w:t>13.61</w:t>
                  </w:r>
                </w:p>
              </w:tc>
              <w:tc>
                <w:tcPr>
                  <w:tcW w:w="966" w:type="dxa"/>
                  <w:vAlign w:val="center"/>
                </w:tcPr>
                <w:p>
                  <w:pPr>
                    <w:jc w:val="center"/>
                    <w:rPr>
                      <w:szCs w:val="21"/>
                    </w:rPr>
                  </w:pPr>
                  <w:r>
                    <w:rPr>
                      <w:szCs w:val="21"/>
                    </w:rPr>
                    <w:t>9.77</w:t>
                  </w:r>
                  <w:r>
                    <w:rPr>
                      <w:rFonts w:hint="eastAsia"/>
                      <w:szCs w:val="21"/>
                    </w:rPr>
                    <w:t>～</w:t>
                  </w:r>
                  <w:r>
                    <w:rPr>
                      <w:szCs w:val="21"/>
                    </w:rPr>
                    <w:t>18.00</w:t>
                  </w:r>
                </w:p>
              </w:tc>
              <w:tc>
                <w:tcPr>
                  <w:tcW w:w="742" w:type="dxa"/>
                  <w:vAlign w:val="center"/>
                </w:tcPr>
                <w:p>
                  <w:pPr>
                    <w:jc w:val="center"/>
                    <w:rPr>
                      <w:szCs w:val="21"/>
                    </w:rPr>
                  </w:pPr>
                  <w:r>
                    <w:rPr>
                      <w:szCs w:val="21"/>
                    </w:rPr>
                    <w:t>13.75</w:t>
                  </w:r>
                </w:p>
              </w:tc>
              <w:tc>
                <w:tcPr>
                  <w:tcW w:w="1338" w:type="dxa"/>
                  <w:vAlign w:val="center"/>
                </w:tcPr>
                <w:p>
                  <w:pPr>
                    <w:jc w:val="center"/>
                    <w:rPr>
                      <w:szCs w:val="21"/>
                    </w:rPr>
                  </w:pPr>
                  <w:r>
                    <w:rPr>
                      <w:rFonts w:hint="eastAsia"/>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 w:type="dxa"/>
                  <w:vAlign w:val="center"/>
                </w:tcPr>
                <w:p>
                  <w:pPr>
                    <w:jc w:val="center"/>
                    <w:rPr>
                      <w:szCs w:val="21"/>
                    </w:rPr>
                  </w:pPr>
                  <w:r>
                    <w:rPr>
                      <w:rFonts w:hint="eastAsia"/>
                      <w:szCs w:val="21"/>
                    </w:rPr>
                    <w:t>NOx</w:t>
                  </w:r>
                </w:p>
              </w:tc>
              <w:tc>
                <w:tcPr>
                  <w:tcW w:w="924" w:type="dxa"/>
                  <w:vAlign w:val="center"/>
                </w:tcPr>
                <w:p>
                  <w:pPr>
                    <w:jc w:val="center"/>
                    <w:rPr>
                      <w:szCs w:val="21"/>
                    </w:rPr>
                  </w:pPr>
                  <w:r>
                    <w:rPr>
                      <w:szCs w:val="21"/>
                    </w:rPr>
                    <w:t>28.76</w:t>
                  </w:r>
                  <w:r>
                    <w:rPr>
                      <w:rFonts w:hint="eastAsia"/>
                      <w:szCs w:val="21"/>
                    </w:rPr>
                    <w:t>～</w:t>
                  </w:r>
                  <w:r>
                    <w:rPr>
                      <w:szCs w:val="21"/>
                    </w:rPr>
                    <w:t>37.48</w:t>
                  </w:r>
                </w:p>
              </w:tc>
              <w:tc>
                <w:tcPr>
                  <w:tcW w:w="728" w:type="dxa"/>
                  <w:vAlign w:val="center"/>
                </w:tcPr>
                <w:p>
                  <w:pPr>
                    <w:jc w:val="center"/>
                    <w:rPr>
                      <w:szCs w:val="21"/>
                    </w:rPr>
                  </w:pPr>
                  <w:r>
                    <w:rPr>
                      <w:szCs w:val="21"/>
                    </w:rPr>
                    <w:t>33.67</w:t>
                  </w:r>
                </w:p>
              </w:tc>
              <w:tc>
                <w:tcPr>
                  <w:tcW w:w="924" w:type="dxa"/>
                  <w:vAlign w:val="center"/>
                </w:tcPr>
                <w:p>
                  <w:pPr>
                    <w:jc w:val="center"/>
                    <w:rPr>
                      <w:szCs w:val="21"/>
                    </w:rPr>
                  </w:pPr>
                  <w:r>
                    <w:rPr>
                      <w:szCs w:val="21"/>
                    </w:rPr>
                    <w:t>32.28</w:t>
                  </w:r>
                  <w:r>
                    <w:rPr>
                      <w:rFonts w:hint="eastAsia"/>
                      <w:szCs w:val="21"/>
                    </w:rPr>
                    <w:t>～</w:t>
                  </w:r>
                  <w:r>
                    <w:rPr>
                      <w:szCs w:val="21"/>
                    </w:rPr>
                    <w:t>35.28</w:t>
                  </w:r>
                </w:p>
              </w:tc>
              <w:tc>
                <w:tcPr>
                  <w:tcW w:w="700" w:type="dxa"/>
                  <w:vAlign w:val="center"/>
                </w:tcPr>
                <w:p>
                  <w:pPr>
                    <w:jc w:val="center"/>
                    <w:rPr>
                      <w:szCs w:val="21"/>
                    </w:rPr>
                  </w:pPr>
                  <w:r>
                    <w:rPr>
                      <w:szCs w:val="21"/>
                    </w:rPr>
                    <w:t>33.82</w:t>
                  </w:r>
                </w:p>
              </w:tc>
              <w:tc>
                <w:tcPr>
                  <w:tcW w:w="938" w:type="dxa"/>
                  <w:vAlign w:val="center"/>
                </w:tcPr>
                <w:p>
                  <w:pPr>
                    <w:jc w:val="center"/>
                    <w:rPr>
                      <w:szCs w:val="21"/>
                    </w:rPr>
                  </w:pPr>
                  <w:r>
                    <w:rPr>
                      <w:szCs w:val="21"/>
                    </w:rPr>
                    <w:t>18.14</w:t>
                  </w:r>
                  <w:r>
                    <w:rPr>
                      <w:rFonts w:hint="eastAsia"/>
                      <w:szCs w:val="21"/>
                    </w:rPr>
                    <w:t>～</w:t>
                  </w:r>
                  <w:r>
                    <w:rPr>
                      <w:szCs w:val="21"/>
                    </w:rPr>
                    <w:t>20.79</w:t>
                  </w:r>
                </w:p>
              </w:tc>
              <w:tc>
                <w:tcPr>
                  <w:tcW w:w="699" w:type="dxa"/>
                  <w:vAlign w:val="center"/>
                </w:tcPr>
                <w:p>
                  <w:pPr>
                    <w:jc w:val="center"/>
                    <w:rPr>
                      <w:szCs w:val="21"/>
                    </w:rPr>
                  </w:pPr>
                  <w:r>
                    <w:rPr>
                      <w:szCs w:val="21"/>
                    </w:rPr>
                    <w:t>19.18</w:t>
                  </w:r>
                </w:p>
              </w:tc>
              <w:tc>
                <w:tcPr>
                  <w:tcW w:w="966" w:type="dxa"/>
                  <w:vAlign w:val="center"/>
                </w:tcPr>
                <w:p>
                  <w:pPr>
                    <w:jc w:val="center"/>
                    <w:rPr>
                      <w:szCs w:val="21"/>
                    </w:rPr>
                  </w:pPr>
                  <w:r>
                    <w:rPr>
                      <w:szCs w:val="21"/>
                    </w:rPr>
                    <w:t>14.63</w:t>
                  </w:r>
                  <w:r>
                    <w:rPr>
                      <w:rFonts w:hint="eastAsia"/>
                      <w:szCs w:val="21"/>
                    </w:rPr>
                    <w:t>～</w:t>
                  </w:r>
                  <w:r>
                    <w:rPr>
                      <w:szCs w:val="21"/>
                    </w:rPr>
                    <w:t>23.35</w:t>
                  </w:r>
                </w:p>
              </w:tc>
              <w:tc>
                <w:tcPr>
                  <w:tcW w:w="742" w:type="dxa"/>
                  <w:vAlign w:val="center"/>
                </w:tcPr>
                <w:p>
                  <w:pPr>
                    <w:jc w:val="center"/>
                    <w:rPr>
                      <w:szCs w:val="21"/>
                    </w:rPr>
                  </w:pPr>
                  <w:r>
                    <w:rPr>
                      <w:szCs w:val="21"/>
                    </w:rPr>
                    <w:t>18.41</w:t>
                  </w:r>
                </w:p>
              </w:tc>
              <w:tc>
                <w:tcPr>
                  <w:tcW w:w="1338" w:type="dxa"/>
                  <w:vAlign w:val="center"/>
                </w:tcPr>
                <w:p>
                  <w:pPr>
                    <w:jc w:val="center"/>
                    <w:rPr>
                      <w:szCs w:val="21"/>
                    </w:rPr>
                  </w:pPr>
                  <w:r>
                    <w:rPr>
                      <w:rFonts w:hint="eastAsia"/>
                      <w:szCs w:val="21"/>
                    </w:rPr>
                    <w:t>50</w:t>
                  </w:r>
                </w:p>
              </w:tc>
            </w:tr>
          </w:tbl>
          <w:p>
            <w:pPr>
              <w:spacing w:before="120" w:beforeLines="50" w:line="360" w:lineRule="auto"/>
              <w:ind w:firstLine="480" w:firstLineChars="200"/>
              <w:jc w:val="left"/>
              <w:rPr>
                <w:sz w:val="24"/>
                <w:szCs w:val="22"/>
              </w:rPr>
            </w:pPr>
            <w:r>
              <w:rPr>
                <w:rFonts w:hint="eastAsia"/>
                <w:sz w:val="24"/>
                <w:szCs w:val="22"/>
              </w:rPr>
              <w:t>现有</w:t>
            </w:r>
            <w:r>
              <w:rPr>
                <w:sz w:val="24"/>
                <w:szCs w:val="22"/>
              </w:rPr>
              <w:t>工程废气污染防治措施见表6</w:t>
            </w:r>
            <w:r>
              <w:rPr>
                <w:rFonts w:hint="eastAsia"/>
                <w:sz w:val="24"/>
                <w:szCs w:val="22"/>
              </w:rPr>
              <w:t>。</w:t>
            </w:r>
          </w:p>
          <w:p>
            <w:pPr>
              <w:jc w:val="center"/>
              <w:rPr>
                <w:b/>
                <w:szCs w:val="21"/>
              </w:rPr>
            </w:pPr>
            <w:r>
              <w:rPr>
                <w:rFonts w:hint="eastAsia"/>
                <w:b/>
                <w:szCs w:val="21"/>
              </w:rPr>
              <w:t>表</w:t>
            </w:r>
            <w:r>
              <w:rPr>
                <w:b/>
                <w:szCs w:val="21"/>
              </w:rPr>
              <w:t>6</w:t>
            </w:r>
            <w:r>
              <w:rPr>
                <w:rFonts w:hint="eastAsia"/>
                <w:b/>
                <w:szCs w:val="21"/>
              </w:rPr>
              <w:t xml:space="preserve">    废气污染源</w:t>
            </w:r>
            <w:r>
              <w:rPr>
                <w:b/>
                <w:szCs w:val="21"/>
              </w:rPr>
              <w:t>采取的</w:t>
            </w:r>
            <w:r>
              <w:rPr>
                <w:rFonts w:hint="eastAsia"/>
                <w:b/>
                <w:szCs w:val="21"/>
              </w:rPr>
              <w:t>防治措施</w:t>
            </w:r>
            <w:r>
              <w:rPr>
                <w:b/>
                <w:szCs w:val="21"/>
              </w:rPr>
              <w:t>一览表</w:t>
            </w:r>
          </w:p>
          <w:tbl>
            <w:tblPr>
              <w:tblStyle w:val="40"/>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1379"/>
              <w:gridCol w:w="1128"/>
              <w:gridCol w:w="1632"/>
              <w:gridCol w:w="138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Merge w:val="restart"/>
                  <w:vAlign w:val="center"/>
                </w:tcPr>
                <w:p>
                  <w:pPr>
                    <w:jc w:val="center"/>
                    <w:rPr>
                      <w:szCs w:val="21"/>
                    </w:rPr>
                  </w:pPr>
                  <w:r>
                    <w:rPr>
                      <w:rFonts w:hint="eastAsia"/>
                      <w:szCs w:val="21"/>
                    </w:rPr>
                    <w:t>废气来源</w:t>
                  </w:r>
                </w:p>
              </w:tc>
              <w:tc>
                <w:tcPr>
                  <w:tcW w:w="1379" w:type="dxa"/>
                  <w:vMerge w:val="restart"/>
                  <w:vAlign w:val="center"/>
                </w:tcPr>
                <w:p>
                  <w:pPr>
                    <w:jc w:val="center"/>
                    <w:rPr>
                      <w:szCs w:val="21"/>
                    </w:rPr>
                  </w:pPr>
                  <w:r>
                    <w:rPr>
                      <w:rFonts w:hint="eastAsia"/>
                      <w:szCs w:val="21"/>
                    </w:rPr>
                    <w:t>污染物</w:t>
                  </w:r>
                </w:p>
              </w:tc>
              <w:tc>
                <w:tcPr>
                  <w:tcW w:w="4140" w:type="dxa"/>
                  <w:gridSpan w:val="3"/>
                  <w:vAlign w:val="center"/>
                </w:tcPr>
                <w:p>
                  <w:pPr>
                    <w:jc w:val="center"/>
                    <w:rPr>
                      <w:szCs w:val="21"/>
                    </w:rPr>
                  </w:pPr>
                  <w:r>
                    <w:rPr>
                      <w:rFonts w:hint="eastAsia"/>
                      <w:szCs w:val="21"/>
                    </w:rPr>
                    <w:t>废气</w:t>
                  </w:r>
                  <w:r>
                    <w:rPr>
                      <w:szCs w:val="21"/>
                    </w:rPr>
                    <w:t>污染防治设施</w:t>
                  </w:r>
                </w:p>
              </w:tc>
              <w:tc>
                <w:tcPr>
                  <w:tcW w:w="1380" w:type="dxa"/>
                  <w:vMerge w:val="restart"/>
                  <w:vAlign w:val="center"/>
                </w:tcPr>
                <w:p>
                  <w:pPr>
                    <w:jc w:val="center"/>
                    <w:rPr>
                      <w:szCs w:val="21"/>
                    </w:rPr>
                  </w:pPr>
                  <w:r>
                    <w:rPr>
                      <w:rFonts w:hint="eastAsia"/>
                      <w:szCs w:val="21"/>
                    </w:rPr>
                    <w:t>排气筒</w:t>
                  </w:r>
                  <w:r>
                    <w:rPr>
                      <w:szCs w:val="21"/>
                    </w:rPr>
                    <w:t>高度</w:t>
                  </w:r>
                  <w:r>
                    <w:rPr>
                      <w:rFonts w:hint="eastAsia"/>
                      <w:szCs w:val="21"/>
                    </w:rPr>
                    <w:t>/数量/内径</w:t>
                  </w:r>
                  <w:r>
                    <w:rPr>
                      <w:szCs w:val="21"/>
                    </w:rPr>
                    <w:t>（</w:t>
                  </w:r>
                  <w:r>
                    <w:rPr>
                      <w:rFonts w:hint="eastAsia"/>
                      <w:szCs w:val="21"/>
                    </w:rPr>
                    <w:t>m</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Merge w:val="continue"/>
                  <w:vAlign w:val="center"/>
                </w:tcPr>
                <w:p>
                  <w:pPr>
                    <w:jc w:val="center"/>
                    <w:rPr>
                      <w:szCs w:val="21"/>
                    </w:rPr>
                  </w:pPr>
                </w:p>
              </w:tc>
              <w:tc>
                <w:tcPr>
                  <w:tcW w:w="1379" w:type="dxa"/>
                  <w:vMerge w:val="continue"/>
                  <w:vAlign w:val="center"/>
                </w:tcPr>
                <w:p>
                  <w:pPr>
                    <w:jc w:val="center"/>
                    <w:rPr>
                      <w:szCs w:val="21"/>
                    </w:rPr>
                  </w:pPr>
                </w:p>
              </w:tc>
              <w:tc>
                <w:tcPr>
                  <w:tcW w:w="1128" w:type="dxa"/>
                  <w:vAlign w:val="center"/>
                </w:tcPr>
                <w:p>
                  <w:pPr>
                    <w:jc w:val="center"/>
                    <w:rPr>
                      <w:szCs w:val="21"/>
                    </w:rPr>
                  </w:pPr>
                  <w:r>
                    <w:rPr>
                      <w:rFonts w:hint="eastAsia"/>
                      <w:szCs w:val="21"/>
                    </w:rPr>
                    <w:t>名称</w:t>
                  </w:r>
                </w:p>
              </w:tc>
              <w:tc>
                <w:tcPr>
                  <w:tcW w:w="1632" w:type="dxa"/>
                  <w:vAlign w:val="center"/>
                </w:tcPr>
                <w:p>
                  <w:pPr>
                    <w:jc w:val="center"/>
                    <w:rPr>
                      <w:szCs w:val="21"/>
                    </w:rPr>
                  </w:pPr>
                  <w:r>
                    <w:rPr>
                      <w:rFonts w:hint="eastAsia"/>
                      <w:szCs w:val="21"/>
                    </w:rPr>
                    <w:t>工艺</w:t>
                  </w:r>
                </w:p>
              </w:tc>
              <w:tc>
                <w:tcPr>
                  <w:tcW w:w="1380" w:type="dxa"/>
                  <w:vAlign w:val="center"/>
                </w:tcPr>
                <w:p>
                  <w:pPr>
                    <w:jc w:val="center"/>
                    <w:rPr>
                      <w:szCs w:val="21"/>
                    </w:rPr>
                  </w:pPr>
                  <w:r>
                    <w:rPr>
                      <w:rFonts w:hint="eastAsia"/>
                      <w:szCs w:val="21"/>
                    </w:rPr>
                    <w:t>处理效率</w:t>
                  </w:r>
                </w:p>
              </w:tc>
              <w:tc>
                <w:tcPr>
                  <w:tcW w:w="1380"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Merge w:val="restart"/>
                  <w:vAlign w:val="center"/>
                </w:tcPr>
                <w:p>
                  <w:pPr>
                    <w:jc w:val="center"/>
                    <w:rPr>
                      <w:szCs w:val="21"/>
                    </w:rPr>
                  </w:pPr>
                  <w:r>
                    <w:rPr>
                      <w:rFonts w:hint="eastAsia"/>
                      <w:szCs w:val="21"/>
                    </w:rPr>
                    <w:t>#</w:t>
                  </w:r>
                  <w:r>
                    <w:rPr>
                      <w:szCs w:val="21"/>
                    </w:rPr>
                    <w:t>3</w:t>
                  </w:r>
                  <w:r>
                    <w:rPr>
                      <w:rFonts w:hint="eastAsia"/>
                      <w:szCs w:val="21"/>
                    </w:rPr>
                    <w:t>、</w:t>
                  </w:r>
                  <w:r>
                    <w:rPr>
                      <w:szCs w:val="21"/>
                    </w:rPr>
                    <w:t>#4</w:t>
                  </w:r>
                  <w:r>
                    <w:rPr>
                      <w:rFonts w:hint="eastAsia"/>
                      <w:szCs w:val="21"/>
                    </w:rPr>
                    <w:t>、</w:t>
                  </w:r>
                  <w:r>
                    <w:rPr>
                      <w:szCs w:val="21"/>
                    </w:rPr>
                    <w:t>#5</w:t>
                  </w:r>
                  <w:r>
                    <w:rPr>
                      <w:rFonts w:hint="eastAsia"/>
                      <w:szCs w:val="21"/>
                    </w:rPr>
                    <w:t>、</w:t>
                  </w:r>
                  <w:r>
                    <w:rPr>
                      <w:szCs w:val="21"/>
                    </w:rPr>
                    <w:t>#6</w:t>
                  </w:r>
                  <w:r>
                    <w:rPr>
                      <w:rFonts w:hint="eastAsia"/>
                      <w:szCs w:val="21"/>
                    </w:rPr>
                    <w:t>机组</w:t>
                  </w:r>
                  <w:r>
                    <w:rPr>
                      <w:szCs w:val="21"/>
                    </w:rPr>
                    <w:t>锅炉烟气（</w:t>
                  </w:r>
                  <w:r>
                    <w:rPr>
                      <w:rFonts w:hint="eastAsia"/>
                      <w:szCs w:val="21"/>
                    </w:rPr>
                    <w:t>2×300MW</w:t>
                  </w:r>
                  <w:r>
                    <w:rPr>
                      <w:szCs w:val="21"/>
                    </w:rPr>
                    <w:t>）</w:t>
                  </w:r>
                </w:p>
              </w:tc>
              <w:tc>
                <w:tcPr>
                  <w:tcW w:w="1379" w:type="dxa"/>
                  <w:vAlign w:val="center"/>
                </w:tcPr>
                <w:p>
                  <w:pPr>
                    <w:jc w:val="center"/>
                    <w:rPr>
                      <w:szCs w:val="21"/>
                    </w:rPr>
                  </w:pPr>
                  <w:r>
                    <w:rPr>
                      <w:rFonts w:hint="eastAsia"/>
                      <w:szCs w:val="21"/>
                    </w:rPr>
                    <w:t>颗粒</w:t>
                  </w:r>
                </w:p>
              </w:tc>
              <w:tc>
                <w:tcPr>
                  <w:tcW w:w="1128" w:type="dxa"/>
                  <w:vAlign w:val="center"/>
                </w:tcPr>
                <w:p>
                  <w:pPr>
                    <w:jc w:val="center"/>
                    <w:rPr>
                      <w:szCs w:val="21"/>
                    </w:rPr>
                  </w:pPr>
                  <w:r>
                    <w:rPr>
                      <w:rFonts w:hint="eastAsia"/>
                      <w:szCs w:val="21"/>
                    </w:rPr>
                    <w:t>双室</w:t>
                  </w:r>
                  <w:r>
                    <w:rPr>
                      <w:szCs w:val="21"/>
                    </w:rPr>
                    <w:t>四电厂除尘器</w:t>
                  </w:r>
                </w:p>
              </w:tc>
              <w:tc>
                <w:tcPr>
                  <w:tcW w:w="1632" w:type="dxa"/>
                  <w:vAlign w:val="center"/>
                </w:tcPr>
                <w:p>
                  <w:pPr>
                    <w:jc w:val="center"/>
                    <w:rPr>
                      <w:szCs w:val="21"/>
                    </w:rPr>
                  </w:pPr>
                  <w:r>
                    <w:rPr>
                      <w:rFonts w:hint="eastAsia"/>
                      <w:szCs w:val="21"/>
                    </w:rPr>
                    <w:t>静电除尘</w:t>
                  </w:r>
                </w:p>
              </w:tc>
              <w:tc>
                <w:tcPr>
                  <w:tcW w:w="1380" w:type="dxa"/>
                  <w:vAlign w:val="center"/>
                </w:tcPr>
                <w:p>
                  <w:pPr>
                    <w:jc w:val="center"/>
                    <w:rPr>
                      <w:szCs w:val="21"/>
                    </w:rPr>
                  </w:pPr>
                  <w:r>
                    <w:rPr>
                      <w:rFonts w:hint="eastAsia"/>
                      <w:szCs w:val="21"/>
                    </w:rPr>
                    <w:t>除尘效率≥99.</w:t>
                  </w:r>
                  <w:r>
                    <w:rPr>
                      <w:szCs w:val="21"/>
                    </w:rPr>
                    <w:t>8%</w:t>
                  </w:r>
                </w:p>
              </w:tc>
              <w:tc>
                <w:tcPr>
                  <w:tcW w:w="1380" w:type="dxa"/>
                  <w:vMerge w:val="restart"/>
                  <w:vAlign w:val="center"/>
                </w:tcPr>
                <w:p>
                  <w:pPr>
                    <w:jc w:val="center"/>
                    <w:rPr>
                      <w:szCs w:val="21"/>
                    </w:rPr>
                  </w:pPr>
                  <w:r>
                    <w:rPr>
                      <w:rFonts w:hint="eastAsia"/>
                      <w:szCs w:val="21"/>
                    </w:rPr>
                    <w:t>2</w:t>
                  </w:r>
                  <w:r>
                    <w:rPr>
                      <w:szCs w:val="21"/>
                    </w:rPr>
                    <w:t>2</w:t>
                  </w:r>
                  <w:r>
                    <w:rPr>
                      <w:rFonts w:hint="eastAsia"/>
                      <w:szCs w:val="21"/>
                    </w:rPr>
                    <w:t>0m/2/</w:t>
                  </w:r>
                  <w:r>
                    <w:rPr>
                      <w:szCs w:val="21"/>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Merge w:val="continue"/>
                  <w:vAlign w:val="center"/>
                </w:tcPr>
                <w:p>
                  <w:pPr>
                    <w:jc w:val="center"/>
                    <w:rPr>
                      <w:szCs w:val="21"/>
                    </w:rPr>
                  </w:pPr>
                </w:p>
              </w:tc>
              <w:tc>
                <w:tcPr>
                  <w:tcW w:w="1379" w:type="dxa"/>
                  <w:vAlign w:val="center"/>
                </w:tcPr>
                <w:p>
                  <w:pPr>
                    <w:jc w:val="center"/>
                    <w:rPr>
                      <w:szCs w:val="21"/>
                    </w:rPr>
                  </w:pPr>
                  <w:r>
                    <w:rPr>
                      <w:rFonts w:hint="eastAsia"/>
                      <w:szCs w:val="21"/>
                    </w:rPr>
                    <w:t>SO</w:t>
                  </w:r>
                  <w:r>
                    <w:rPr>
                      <w:rFonts w:hint="eastAsia"/>
                      <w:szCs w:val="21"/>
                      <w:vertAlign w:val="subscript"/>
                    </w:rPr>
                    <w:t>2</w:t>
                  </w:r>
                </w:p>
              </w:tc>
              <w:tc>
                <w:tcPr>
                  <w:tcW w:w="1128" w:type="dxa"/>
                  <w:vAlign w:val="center"/>
                </w:tcPr>
                <w:p>
                  <w:pPr>
                    <w:jc w:val="center"/>
                    <w:rPr>
                      <w:szCs w:val="21"/>
                    </w:rPr>
                  </w:pPr>
                  <w:r>
                    <w:rPr>
                      <w:rFonts w:hint="eastAsia"/>
                      <w:szCs w:val="21"/>
                    </w:rPr>
                    <w:t>湿法脱硫</w:t>
                  </w:r>
                </w:p>
              </w:tc>
              <w:tc>
                <w:tcPr>
                  <w:tcW w:w="1632" w:type="dxa"/>
                  <w:vAlign w:val="center"/>
                </w:tcPr>
                <w:p>
                  <w:pPr>
                    <w:jc w:val="center"/>
                    <w:rPr>
                      <w:szCs w:val="21"/>
                    </w:rPr>
                  </w:pPr>
                  <w:r>
                    <w:rPr>
                      <w:rFonts w:hint="eastAsia"/>
                      <w:szCs w:val="21"/>
                    </w:rPr>
                    <w:t>石灰石～石膏</w:t>
                  </w:r>
                  <w:r>
                    <w:rPr>
                      <w:szCs w:val="21"/>
                    </w:rPr>
                    <w:t>湿法脱硫</w:t>
                  </w:r>
                  <w:r>
                    <w:rPr>
                      <w:rFonts w:hint="eastAsia"/>
                      <w:szCs w:val="21"/>
                    </w:rPr>
                    <w:t>系统</w:t>
                  </w:r>
                  <w:r>
                    <w:rPr>
                      <w:szCs w:val="21"/>
                    </w:rPr>
                    <w:t>+2</w:t>
                  </w:r>
                  <w:r>
                    <w:rPr>
                      <w:rFonts w:hint="eastAsia"/>
                      <w:szCs w:val="21"/>
                    </w:rPr>
                    <w:t>级</w:t>
                  </w:r>
                  <w:r>
                    <w:rPr>
                      <w:szCs w:val="21"/>
                    </w:rPr>
                    <w:t>吸收塔</w:t>
                  </w:r>
                </w:p>
              </w:tc>
              <w:tc>
                <w:tcPr>
                  <w:tcW w:w="1380" w:type="dxa"/>
                  <w:vAlign w:val="center"/>
                </w:tcPr>
                <w:p>
                  <w:pPr>
                    <w:jc w:val="center"/>
                    <w:rPr>
                      <w:szCs w:val="21"/>
                    </w:rPr>
                  </w:pPr>
                  <w:r>
                    <w:rPr>
                      <w:rFonts w:hint="eastAsia"/>
                      <w:szCs w:val="21"/>
                    </w:rPr>
                    <w:t>脱硫效率≥99.</w:t>
                  </w:r>
                  <w:r>
                    <w:rPr>
                      <w:szCs w:val="21"/>
                    </w:rPr>
                    <w:t>4%</w:t>
                  </w:r>
                </w:p>
              </w:tc>
              <w:tc>
                <w:tcPr>
                  <w:tcW w:w="1380"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Merge w:val="continue"/>
                  <w:vAlign w:val="center"/>
                </w:tcPr>
                <w:p>
                  <w:pPr>
                    <w:jc w:val="center"/>
                    <w:rPr>
                      <w:szCs w:val="21"/>
                    </w:rPr>
                  </w:pPr>
                </w:p>
              </w:tc>
              <w:tc>
                <w:tcPr>
                  <w:tcW w:w="1379" w:type="dxa"/>
                  <w:vAlign w:val="center"/>
                </w:tcPr>
                <w:p>
                  <w:pPr>
                    <w:jc w:val="center"/>
                    <w:rPr>
                      <w:szCs w:val="21"/>
                    </w:rPr>
                  </w:pPr>
                  <w:r>
                    <w:rPr>
                      <w:rFonts w:hint="eastAsia"/>
                      <w:szCs w:val="21"/>
                    </w:rPr>
                    <w:t>NOx</w:t>
                  </w:r>
                </w:p>
              </w:tc>
              <w:tc>
                <w:tcPr>
                  <w:tcW w:w="1128" w:type="dxa"/>
                  <w:vAlign w:val="center"/>
                </w:tcPr>
                <w:p>
                  <w:pPr>
                    <w:jc w:val="center"/>
                    <w:rPr>
                      <w:szCs w:val="21"/>
                    </w:rPr>
                  </w:pPr>
                  <w:r>
                    <w:rPr>
                      <w:rFonts w:hint="eastAsia"/>
                      <w:szCs w:val="21"/>
                    </w:rPr>
                    <w:t>SCR</w:t>
                  </w:r>
                </w:p>
              </w:tc>
              <w:tc>
                <w:tcPr>
                  <w:tcW w:w="1632" w:type="dxa"/>
                  <w:vAlign w:val="center"/>
                </w:tcPr>
                <w:p>
                  <w:pPr>
                    <w:jc w:val="center"/>
                    <w:rPr>
                      <w:szCs w:val="21"/>
                    </w:rPr>
                  </w:pPr>
                  <w:r>
                    <w:rPr>
                      <w:rFonts w:hint="eastAsia"/>
                      <w:szCs w:val="21"/>
                    </w:rPr>
                    <w:t>SCR</w:t>
                  </w:r>
                </w:p>
              </w:tc>
              <w:tc>
                <w:tcPr>
                  <w:tcW w:w="1380" w:type="dxa"/>
                  <w:vAlign w:val="center"/>
                </w:tcPr>
                <w:p>
                  <w:pPr>
                    <w:jc w:val="center"/>
                    <w:rPr>
                      <w:szCs w:val="21"/>
                    </w:rPr>
                  </w:pPr>
                  <w:r>
                    <w:rPr>
                      <w:rFonts w:hint="eastAsia"/>
                      <w:szCs w:val="21"/>
                    </w:rPr>
                    <w:t>脱硝效率</w:t>
                  </w:r>
                  <w:r>
                    <w:rPr>
                      <w:szCs w:val="21"/>
                    </w:rPr>
                    <w:t>≥90%</w:t>
                  </w:r>
                </w:p>
              </w:tc>
              <w:tc>
                <w:tcPr>
                  <w:tcW w:w="1380" w:type="dxa"/>
                  <w:vMerge w:val="continue"/>
                  <w:vAlign w:val="center"/>
                </w:tcPr>
                <w:p>
                  <w:pPr>
                    <w:jc w:val="center"/>
                    <w:rPr>
                      <w:szCs w:val="21"/>
                    </w:rPr>
                  </w:pPr>
                </w:p>
              </w:tc>
            </w:tr>
          </w:tbl>
          <w:p>
            <w:pPr>
              <w:spacing w:line="360" w:lineRule="auto"/>
              <w:ind w:firstLine="361" w:firstLineChars="200"/>
              <w:jc w:val="left"/>
              <w:rPr>
                <w:b/>
                <w:sz w:val="18"/>
                <w:szCs w:val="18"/>
              </w:rPr>
            </w:pPr>
            <w:r>
              <w:rPr>
                <w:rFonts w:hint="eastAsia"/>
                <w:b/>
                <w:sz w:val="18"/>
                <w:szCs w:val="18"/>
              </w:rPr>
              <w:t>注：表</w:t>
            </w:r>
            <w:r>
              <w:rPr>
                <w:b/>
                <w:sz w:val="18"/>
                <w:szCs w:val="18"/>
              </w:rPr>
              <w:t>中所列数据来自于</w:t>
            </w:r>
            <w:r>
              <w:rPr>
                <w:rFonts w:hint="eastAsia"/>
                <w:b/>
                <w:sz w:val="18"/>
                <w:szCs w:val="18"/>
              </w:rPr>
              <w:t>陕西渭河发电有限公司</w:t>
            </w:r>
            <w:r>
              <w:rPr>
                <w:b/>
                <w:sz w:val="18"/>
                <w:szCs w:val="18"/>
              </w:rPr>
              <w:t>超低排放改造工程</w:t>
            </w:r>
            <w:r>
              <w:rPr>
                <w:rFonts w:hint="eastAsia"/>
                <w:b/>
                <w:sz w:val="18"/>
                <w:szCs w:val="18"/>
              </w:rPr>
              <w:t>报告表（已批复、验收）。</w:t>
            </w:r>
          </w:p>
          <w:p>
            <w:pPr>
              <w:spacing w:line="360" w:lineRule="auto"/>
              <w:ind w:firstLine="480" w:firstLineChars="200"/>
              <w:jc w:val="left"/>
              <w:rPr>
                <w:sz w:val="24"/>
                <w:szCs w:val="22"/>
              </w:rPr>
            </w:pPr>
            <w:r>
              <w:rPr>
                <w:sz w:val="24"/>
                <w:szCs w:val="22"/>
              </w:rPr>
              <w:fldChar w:fldCharType="begin"/>
            </w:r>
            <w:r>
              <w:rPr>
                <w:sz w:val="24"/>
                <w:szCs w:val="22"/>
              </w:rPr>
              <w:instrText xml:space="preserve"> </w:instrText>
            </w:r>
            <w:r>
              <w:rPr>
                <w:rFonts w:hint="eastAsia"/>
                <w:sz w:val="24"/>
                <w:szCs w:val="22"/>
              </w:rPr>
              <w:instrText xml:space="preserve">= 2 \* GB3</w:instrText>
            </w:r>
            <w:r>
              <w:rPr>
                <w:sz w:val="24"/>
                <w:szCs w:val="22"/>
              </w:rPr>
              <w:instrText xml:space="preserve"> </w:instrText>
            </w:r>
            <w:r>
              <w:rPr>
                <w:sz w:val="24"/>
                <w:szCs w:val="22"/>
              </w:rPr>
              <w:fldChar w:fldCharType="separate"/>
            </w:r>
            <w:r>
              <w:rPr>
                <w:rFonts w:hint="eastAsia"/>
                <w:sz w:val="24"/>
                <w:szCs w:val="22"/>
              </w:rPr>
              <w:t>②</w:t>
            </w:r>
            <w:r>
              <w:rPr>
                <w:sz w:val="24"/>
                <w:szCs w:val="22"/>
              </w:rPr>
              <w:fldChar w:fldCharType="end"/>
            </w:r>
            <w:r>
              <w:rPr>
                <w:sz w:val="24"/>
                <w:szCs w:val="22"/>
              </w:rPr>
              <w:t xml:space="preserve"> </w:t>
            </w:r>
            <w:r>
              <w:rPr>
                <w:rFonts w:hint="eastAsia"/>
                <w:sz w:val="24"/>
                <w:szCs w:val="22"/>
              </w:rPr>
              <w:t>无组织</w:t>
            </w:r>
            <w:r>
              <w:rPr>
                <w:sz w:val="24"/>
                <w:szCs w:val="22"/>
              </w:rPr>
              <w:t>废气</w:t>
            </w:r>
          </w:p>
          <w:p>
            <w:pPr>
              <w:spacing w:line="360" w:lineRule="auto"/>
              <w:ind w:firstLine="480" w:firstLineChars="200"/>
              <w:jc w:val="left"/>
              <w:rPr>
                <w:kern w:val="24"/>
                <w:sz w:val="24"/>
              </w:rPr>
            </w:pPr>
            <w:r>
              <w:rPr>
                <w:rFonts w:hint="eastAsia"/>
                <w:sz w:val="24"/>
                <w:szCs w:val="22"/>
              </w:rPr>
              <w:t>现有</w:t>
            </w:r>
            <w:r>
              <w:rPr>
                <w:sz w:val="24"/>
                <w:szCs w:val="22"/>
              </w:rPr>
              <w:t>工程露天煤场、输煤系统、石灰石浆液制备系统</w:t>
            </w:r>
            <w:r>
              <w:rPr>
                <w:rFonts w:hint="eastAsia"/>
                <w:sz w:val="24"/>
                <w:szCs w:val="22"/>
              </w:rPr>
              <w:t>会</w:t>
            </w:r>
            <w:r>
              <w:rPr>
                <w:sz w:val="24"/>
                <w:szCs w:val="22"/>
              </w:rPr>
              <w:t>产生无组织粉尘，</w:t>
            </w:r>
            <w:r>
              <w:rPr>
                <w:rFonts w:hint="eastAsia"/>
                <w:sz w:val="24"/>
                <w:szCs w:val="22"/>
              </w:rPr>
              <w:t>均采用相应的喷淋装置、防风抑尘网等措施，来控制无组织粉尘的排放。电厂现状露天</w:t>
            </w:r>
            <w:r>
              <w:rPr>
                <w:sz w:val="24"/>
                <w:szCs w:val="22"/>
              </w:rPr>
              <w:t>煤场无组织粉尘排放</w:t>
            </w:r>
            <w:r>
              <w:rPr>
                <w:kern w:val="24"/>
                <w:sz w:val="24"/>
              </w:rPr>
              <w:t>主要包括</w:t>
            </w:r>
            <w:r>
              <w:rPr>
                <w:rFonts w:hint="eastAsia"/>
                <w:kern w:val="24"/>
                <w:sz w:val="24"/>
              </w:rPr>
              <w:t>煤炭</w:t>
            </w:r>
            <w:r>
              <w:rPr>
                <w:kern w:val="24"/>
                <w:sz w:val="24"/>
              </w:rPr>
              <w:t>装卸产生扬尘、煤炭堆放产生的</w:t>
            </w:r>
            <w:r>
              <w:rPr>
                <w:rFonts w:hint="eastAsia"/>
                <w:kern w:val="24"/>
                <w:sz w:val="24"/>
              </w:rPr>
              <w:t>扬尘</w:t>
            </w:r>
            <w:r>
              <w:rPr>
                <w:kern w:val="24"/>
                <w:sz w:val="24"/>
              </w:rPr>
              <w:t>、</w:t>
            </w:r>
            <w:r>
              <w:rPr>
                <w:rFonts w:hint="eastAsia"/>
                <w:kern w:val="24"/>
                <w:sz w:val="24"/>
              </w:rPr>
              <w:t>运输</w:t>
            </w:r>
            <w:r>
              <w:rPr>
                <w:kern w:val="24"/>
                <w:sz w:val="24"/>
              </w:rPr>
              <w:t>车辆产生扬尘。</w:t>
            </w:r>
            <w:r>
              <w:rPr>
                <w:rFonts w:hint="eastAsia"/>
                <w:kern w:val="24"/>
                <w:sz w:val="24"/>
              </w:rPr>
              <w:t>由于电厂</w:t>
            </w:r>
            <w:r>
              <w:rPr>
                <w:kern w:val="24"/>
                <w:sz w:val="24"/>
              </w:rPr>
              <w:t>原环评中未核算煤场无组织粉尘</w:t>
            </w:r>
            <w:r>
              <w:rPr>
                <w:rFonts w:hint="eastAsia"/>
                <w:kern w:val="24"/>
                <w:sz w:val="24"/>
              </w:rPr>
              <w:t>排放量</w:t>
            </w:r>
            <w:r>
              <w:rPr>
                <w:kern w:val="24"/>
                <w:sz w:val="24"/>
              </w:rPr>
              <w:t>，本次</w:t>
            </w:r>
            <w:r>
              <w:rPr>
                <w:rFonts w:hint="eastAsia"/>
                <w:kern w:val="24"/>
                <w:sz w:val="24"/>
              </w:rPr>
              <w:t>进行</w:t>
            </w:r>
            <w:r>
              <w:rPr>
                <w:kern w:val="24"/>
                <w:sz w:val="24"/>
              </w:rPr>
              <w:t>补充核算。</w:t>
            </w:r>
          </w:p>
          <w:p>
            <w:pPr>
              <w:spacing w:line="360" w:lineRule="auto"/>
              <w:ind w:firstLine="480" w:firstLineChars="200"/>
              <w:rPr>
                <w:kern w:val="24"/>
                <w:sz w:val="24"/>
              </w:rPr>
            </w:pPr>
            <w:r>
              <w:rPr>
                <w:kern w:val="24"/>
                <w:sz w:val="24"/>
              </w:rPr>
              <w:t>a</w:t>
            </w:r>
            <w:r>
              <w:rPr>
                <w:rFonts w:hint="eastAsia"/>
                <w:kern w:val="24"/>
                <w:sz w:val="24"/>
              </w:rPr>
              <w:t>、煤炭装卸</w:t>
            </w:r>
            <w:r>
              <w:rPr>
                <w:kern w:val="24"/>
                <w:sz w:val="24"/>
              </w:rPr>
              <w:t>扬尘</w:t>
            </w:r>
          </w:p>
          <w:p>
            <w:pPr>
              <w:spacing w:line="360" w:lineRule="auto"/>
              <w:ind w:firstLine="480" w:firstLineChars="200"/>
              <w:rPr>
                <w:kern w:val="24"/>
                <w:sz w:val="24"/>
              </w:rPr>
            </w:pPr>
            <w:r>
              <w:rPr>
                <w:rFonts w:hint="eastAsia"/>
                <w:kern w:val="24"/>
                <w:sz w:val="24"/>
              </w:rPr>
              <w:t>煤炭卸料</w:t>
            </w:r>
            <w:r>
              <w:rPr>
                <w:kern w:val="24"/>
                <w:sz w:val="24"/>
              </w:rPr>
              <w:t>、堆料等过程具有</w:t>
            </w:r>
            <w:r>
              <w:rPr>
                <w:rFonts w:hint="eastAsia"/>
                <w:kern w:val="24"/>
                <w:sz w:val="24"/>
              </w:rPr>
              <w:t>同一</w:t>
            </w:r>
            <w:r>
              <w:rPr>
                <w:kern w:val="24"/>
                <w:sz w:val="24"/>
              </w:rPr>
              <w:t>性质的起尘机制</w:t>
            </w:r>
            <w:r>
              <w:rPr>
                <w:rFonts w:hint="eastAsia"/>
                <w:kern w:val="24"/>
                <w:sz w:val="24"/>
              </w:rPr>
              <w:t>，</w:t>
            </w:r>
            <w:r>
              <w:rPr>
                <w:kern w:val="24"/>
                <w:sz w:val="24"/>
              </w:rPr>
              <w:t>都是由于落差引起扬尘。项目</w:t>
            </w:r>
            <w:r>
              <w:rPr>
                <w:rFonts w:hint="eastAsia"/>
                <w:kern w:val="24"/>
                <w:sz w:val="24"/>
              </w:rPr>
              <w:t>煤炭</w:t>
            </w:r>
            <w:r>
              <w:rPr>
                <w:kern w:val="24"/>
                <w:sz w:val="24"/>
              </w:rPr>
              <w:t>装卸起尘环节主要</w:t>
            </w:r>
            <w:r>
              <w:rPr>
                <w:rFonts w:hint="eastAsia"/>
                <w:kern w:val="24"/>
                <w:sz w:val="24"/>
              </w:rPr>
              <w:t>包括</w:t>
            </w:r>
            <w:r>
              <w:rPr>
                <w:kern w:val="24"/>
                <w:sz w:val="24"/>
              </w:rPr>
              <w:t>卸料、堆料和</w:t>
            </w:r>
            <w:r>
              <w:rPr>
                <w:rFonts w:hint="eastAsia"/>
                <w:kern w:val="24"/>
                <w:sz w:val="24"/>
              </w:rPr>
              <w:t>取料</w:t>
            </w:r>
            <w:r>
              <w:rPr>
                <w:kern w:val="24"/>
                <w:sz w:val="24"/>
              </w:rPr>
              <w:t>过程。</w:t>
            </w:r>
            <w:r>
              <w:rPr>
                <w:rFonts w:hint="eastAsia"/>
                <w:kern w:val="24"/>
                <w:sz w:val="24"/>
              </w:rPr>
              <w:t>起尘量</w:t>
            </w:r>
            <w:r>
              <w:rPr>
                <w:kern w:val="24"/>
                <w:sz w:val="24"/>
              </w:rPr>
              <w:t>计算参照</w:t>
            </w:r>
            <w:r>
              <w:rPr>
                <w:rFonts w:hint="eastAsia"/>
                <w:kern w:val="24"/>
                <w:sz w:val="24"/>
              </w:rPr>
              <w:t>“秦皇岛</w:t>
            </w:r>
            <w:r>
              <w:rPr>
                <w:kern w:val="24"/>
                <w:sz w:val="24"/>
              </w:rPr>
              <w:t>港口煤炭</w:t>
            </w:r>
            <w:r>
              <w:rPr>
                <w:rFonts w:hint="eastAsia"/>
                <w:kern w:val="24"/>
                <w:sz w:val="24"/>
              </w:rPr>
              <w:t>装卸</w:t>
            </w:r>
            <w:r>
              <w:rPr>
                <w:kern w:val="24"/>
                <w:sz w:val="24"/>
              </w:rPr>
              <w:t>起尘及其扩散规律的研究</w:t>
            </w:r>
            <w:r>
              <w:rPr>
                <w:rFonts w:hint="eastAsia"/>
                <w:kern w:val="24"/>
                <w:sz w:val="24"/>
              </w:rPr>
              <w:t>”得出</w:t>
            </w:r>
            <w:r>
              <w:rPr>
                <w:kern w:val="24"/>
                <w:sz w:val="24"/>
              </w:rPr>
              <w:t>的计算公式，公式为：</w:t>
            </w:r>
          </w:p>
          <w:p>
            <w:pPr>
              <w:spacing w:line="360" w:lineRule="auto"/>
              <w:jc w:val="center"/>
              <w:rPr>
                <w:kern w:val="24"/>
                <w:sz w:val="24"/>
              </w:rPr>
            </w:pPr>
            <w:r>
              <w:drawing>
                <wp:inline distT="0" distB="0" distL="0" distR="0">
                  <wp:extent cx="1657350" cy="2292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cstate="print"/>
                          <a:stretch>
                            <a:fillRect/>
                          </a:stretch>
                        </pic:blipFill>
                        <pic:spPr>
                          <a:xfrm>
                            <a:off x="0" y="0"/>
                            <a:ext cx="1750226" cy="242456"/>
                          </a:xfrm>
                          <a:prstGeom prst="rect">
                            <a:avLst/>
                          </a:prstGeom>
                        </pic:spPr>
                      </pic:pic>
                    </a:graphicData>
                  </a:graphic>
                </wp:inline>
              </w:drawing>
            </w:r>
          </w:p>
          <w:p>
            <w:pPr>
              <w:spacing w:line="360" w:lineRule="auto"/>
              <w:ind w:firstLine="480" w:firstLineChars="200"/>
              <w:rPr>
                <w:kern w:val="24"/>
                <w:sz w:val="24"/>
              </w:rPr>
            </w:pPr>
            <w:r>
              <w:rPr>
                <w:rFonts w:hint="eastAsia"/>
                <w:kern w:val="24"/>
                <w:sz w:val="24"/>
              </w:rPr>
              <w:t>式中：</w:t>
            </w:r>
          </w:p>
          <w:p>
            <w:pPr>
              <w:spacing w:line="360" w:lineRule="auto"/>
              <w:ind w:firstLine="960" w:firstLineChars="400"/>
              <w:rPr>
                <w:kern w:val="24"/>
                <w:sz w:val="24"/>
              </w:rPr>
            </w:pPr>
            <w:r>
              <w:rPr>
                <w:rFonts w:hint="eastAsia"/>
                <w:kern w:val="24"/>
                <w:sz w:val="24"/>
              </w:rPr>
              <w:t>Q——煤炭</w:t>
            </w:r>
            <w:r>
              <w:rPr>
                <w:kern w:val="24"/>
                <w:sz w:val="24"/>
              </w:rPr>
              <w:t>装卸扬尘产生量，kg</w:t>
            </w:r>
            <w:r>
              <w:rPr>
                <w:rFonts w:hint="eastAsia"/>
                <w:kern w:val="24"/>
                <w:sz w:val="24"/>
              </w:rPr>
              <w:t>/</w:t>
            </w:r>
            <w:r>
              <w:rPr>
                <w:kern w:val="24"/>
                <w:sz w:val="24"/>
              </w:rPr>
              <w:t>t</w:t>
            </w:r>
            <w:r>
              <w:rPr>
                <w:rFonts w:hint="eastAsia"/>
                <w:kern w:val="24"/>
                <w:sz w:val="24"/>
              </w:rPr>
              <w:t>；</w:t>
            </w:r>
          </w:p>
          <w:p>
            <w:pPr>
              <w:spacing w:line="360" w:lineRule="auto"/>
              <w:ind w:firstLine="960" w:firstLineChars="400"/>
              <w:rPr>
                <w:kern w:val="24"/>
                <w:sz w:val="24"/>
              </w:rPr>
            </w:pPr>
            <w:r>
              <w:rPr>
                <w:kern w:val="24"/>
                <w:sz w:val="24"/>
              </w:rPr>
              <w:t>U</w:t>
            </w:r>
            <w:r>
              <w:rPr>
                <w:rFonts w:hint="eastAsia"/>
                <w:kern w:val="24"/>
                <w:sz w:val="24"/>
              </w:rPr>
              <w:t>——地面</w:t>
            </w:r>
            <w:r>
              <w:rPr>
                <w:kern w:val="24"/>
                <w:sz w:val="24"/>
              </w:rPr>
              <w:t>平均风速，</w:t>
            </w:r>
            <w:r>
              <w:rPr>
                <w:rFonts w:hint="eastAsia"/>
                <w:kern w:val="24"/>
                <w:sz w:val="24"/>
              </w:rPr>
              <w:t>取2.</w:t>
            </w:r>
            <w:r>
              <w:rPr>
                <w:kern w:val="24"/>
                <w:sz w:val="24"/>
              </w:rPr>
              <w:t>1m/s</w:t>
            </w:r>
            <w:r>
              <w:rPr>
                <w:rFonts w:hint="eastAsia"/>
                <w:kern w:val="24"/>
                <w:sz w:val="24"/>
              </w:rPr>
              <w:t>；</w:t>
            </w:r>
          </w:p>
          <w:p>
            <w:pPr>
              <w:spacing w:line="360" w:lineRule="auto"/>
              <w:ind w:firstLine="960" w:firstLineChars="400"/>
              <w:rPr>
                <w:kern w:val="24"/>
                <w:sz w:val="24"/>
              </w:rPr>
            </w:pPr>
            <w:r>
              <w:rPr>
                <w:kern w:val="24"/>
                <w:sz w:val="24"/>
              </w:rPr>
              <w:t>W</w:t>
            </w:r>
            <w:r>
              <w:rPr>
                <w:rFonts w:hint="eastAsia"/>
                <w:kern w:val="24"/>
                <w:sz w:val="24"/>
              </w:rPr>
              <w:t>——煤炭含水率</w:t>
            </w:r>
            <w:r>
              <w:rPr>
                <w:kern w:val="24"/>
                <w:sz w:val="24"/>
              </w:rPr>
              <w:t>，</w:t>
            </w:r>
            <w:r>
              <w:rPr>
                <w:rFonts w:hint="eastAsia"/>
                <w:kern w:val="24"/>
                <w:sz w:val="24"/>
              </w:rPr>
              <w:t>取</w:t>
            </w:r>
            <w:r>
              <w:rPr>
                <w:kern w:val="24"/>
                <w:sz w:val="24"/>
              </w:rPr>
              <w:t>8%</w:t>
            </w:r>
            <w:r>
              <w:rPr>
                <w:rFonts w:hint="eastAsia"/>
                <w:kern w:val="24"/>
                <w:sz w:val="24"/>
              </w:rPr>
              <w:t>；</w:t>
            </w:r>
          </w:p>
          <w:p>
            <w:pPr>
              <w:spacing w:line="360" w:lineRule="auto"/>
              <w:ind w:firstLine="960" w:firstLineChars="400"/>
              <w:rPr>
                <w:kern w:val="24"/>
                <w:sz w:val="24"/>
              </w:rPr>
            </w:pPr>
            <w:r>
              <w:rPr>
                <w:kern w:val="24"/>
                <w:sz w:val="24"/>
              </w:rPr>
              <w:t>H</w:t>
            </w:r>
            <w:r>
              <w:rPr>
                <w:rFonts w:hint="eastAsia"/>
                <w:kern w:val="24"/>
                <w:sz w:val="24"/>
              </w:rPr>
              <w:t>——装卸高度</w:t>
            </w:r>
            <w:r>
              <w:rPr>
                <w:kern w:val="24"/>
                <w:sz w:val="24"/>
              </w:rPr>
              <w:t>，</w:t>
            </w:r>
            <w:r>
              <w:rPr>
                <w:rFonts w:hint="eastAsia"/>
                <w:kern w:val="24"/>
                <w:sz w:val="24"/>
              </w:rPr>
              <w:t>取1.5m。</w:t>
            </w:r>
          </w:p>
          <w:p>
            <w:pPr>
              <w:spacing w:line="360" w:lineRule="auto"/>
              <w:ind w:firstLine="480" w:firstLineChars="200"/>
              <w:rPr>
                <w:kern w:val="24"/>
                <w:sz w:val="24"/>
              </w:rPr>
            </w:pPr>
            <w:r>
              <w:rPr>
                <w:rFonts w:hint="eastAsia"/>
                <w:kern w:val="24"/>
                <w:sz w:val="24"/>
              </w:rPr>
              <w:t>经计算可知，项目煤炭装卸</w:t>
            </w:r>
            <w:r>
              <w:rPr>
                <w:kern w:val="24"/>
                <w:sz w:val="24"/>
              </w:rPr>
              <w:t>过程中扬尘</w:t>
            </w:r>
            <w:r>
              <w:rPr>
                <w:rFonts w:hint="eastAsia"/>
                <w:kern w:val="24"/>
                <w:sz w:val="24"/>
              </w:rPr>
              <w:t>产生量为</w:t>
            </w:r>
            <w:r>
              <w:rPr>
                <w:kern w:val="24"/>
                <w:sz w:val="24"/>
              </w:rPr>
              <w:t>0.03kg</w:t>
            </w:r>
            <w:r>
              <w:rPr>
                <w:rFonts w:hint="eastAsia"/>
                <w:kern w:val="24"/>
                <w:sz w:val="24"/>
              </w:rPr>
              <w:t>/</w:t>
            </w:r>
            <w:r>
              <w:rPr>
                <w:kern w:val="24"/>
                <w:sz w:val="24"/>
              </w:rPr>
              <w:t>t</w:t>
            </w:r>
            <w:r>
              <w:rPr>
                <w:rFonts w:hint="eastAsia"/>
                <w:kern w:val="24"/>
                <w:sz w:val="24"/>
              </w:rPr>
              <w:t>，因而煤炭装卸粉尘产生量为</w:t>
            </w:r>
            <w:r>
              <w:rPr>
                <w:kern w:val="24"/>
                <w:sz w:val="24"/>
              </w:rPr>
              <w:t>217.74</w:t>
            </w:r>
            <w:r>
              <w:rPr>
                <w:rFonts w:hint="eastAsia"/>
                <w:kern w:val="24"/>
                <w:sz w:val="24"/>
              </w:rPr>
              <w:t>t/a。电厂露天煤场</w:t>
            </w:r>
            <w:r>
              <w:rPr>
                <w:kern w:val="24"/>
                <w:sz w:val="24"/>
              </w:rPr>
              <w:t>四周</w:t>
            </w:r>
            <w:r>
              <w:rPr>
                <w:rFonts w:hint="eastAsia"/>
                <w:kern w:val="24"/>
                <w:sz w:val="24"/>
              </w:rPr>
              <w:t>设置有15m高</w:t>
            </w:r>
            <w:r>
              <w:rPr>
                <w:kern w:val="24"/>
                <w:sz w:val="24"/>
              </w:rPr>
              <w:t>防风抑尘网，同时在煤场四周设有</w:t>
            </w:r>
            <w:r>
              <w:rPr>
                <w:rFonts w:hint="eastAsia"/>
                <w:kern w:val="24"/>
                <w:sz w:val="24"/>
              </w:rPr>
              <w:t>喷洒水防尘系统，类比其它</w:t>
            </w:r>
            <w:r>
              <w:rPr>
                <w:kern w:val="24"/>
                <w:sz w:val="24"/>
              </w:rPr>
              <w:t>储煤场的防风抑尘效率</w:t>
            </w:r>
            <w:r>
              <w:rPr>
                <w:rFonts w:hint="eastAsia"/>
                <w:kern w:val="24"/>
                <w:sz w:val="24"/>
              </w:rPr>
              <w:t>，抑尘率可达</w:t>
            </w:r>
            <w:r>
              <w:rPr>
                <w:kern w:val="24"/>
                <w:sz w:val="24"/>
              </w:rPr>
              <w:t>80</w:t>
            </w:r>
            <w:r>
              <w:rPr>
                <w:rFonts w:hint="eastAsia"/>
                <w:kern w:val="24"/>
                <w:sz w:val="24"/>
              </w:rPr>
              <w:t>%，则现状露天</w:t>
            </w:r>
            <w:r>
              <w:rPr>
                <w:kern w:val="24"/>
                <w:sz w:val="24"/>
              </w:rPr>
              <w:t>煤场</w:t>
            </w:r>
            <w:r>
              <w:rPr>
                <w:rFonts w:hint="eastAsia"/>
                <w:kern w:val="24"/>
                <w:sz w:val="24"/>
              </w:rPr>
              <w:t>煤炭</w:t>
            </w:r>
            <w:r>
              <w:rPr>
                <w:kern w:val="24"/>
                <w:sz w:val="24"/>
              </w:rPr>
              <w:t>装卸</w:t>
            </w:r>
            <w:r>
              <w:rPr>
                <w:rFonts w:hint="eastAsia"/>
                <w:kern w:val="24"/>
                <w:sz w:val="24"/>
              </w:rPr>
              <w:t>无组织粉尘排放量为</w:t>
            </w:r>
            <w:r>
              <w:rPr>
                <w:kern w:val="24"/>
                <w:sz w:val="24"/>
              </w:rPr>
              <w:t>43.55</w:t>
            </w:r>
            <w:r>
              <w:rPr>
                <w:rFonts w:hint="eastAsia"/>
                <w:kern w:val="24"/>
                <w:sz w:val="24"/>
              </w:rPr>
              <w:t>t/a。</w:t>
            </w:r>
          </w:p>
          <w:p>
            <w:pPr>
              <w:spacing w:line="360" w:lineRule="auto"/>
              <w:ind w:firstLine="480" w:firstLineChars="200"/>
              <w:rPr>
                <w:kern w:val="24"/>
                <w:sz w:val="24"/>
              </w:rPr>
            </w:pPr>
            <w:r>
              <w:rPr>
                <w:kern w:val="24"/>
                <w:sz w:val="24"/>
              </w:rPr>
              <w:t>b</w:t>
            </w:r>
            <w:r>
              <w:rPr>
                <w:rFonts w:hint="eastAsia"/>
                <w:kern w:val="24"/>
                <w:sz w:val="24"/>
              </w:rPr>
              <w:t>、煤炭堆放</w:t>
            </w:r>
            <w:r>
              <w:rPr>
                <w:kern w:val="24"/>
                <w:sz w:val="24"/>
              </w:rPr>
              <w:t>扬尘</w:t>
            </w:r>
          </w:p>
          <w:p>
            <w:pPr>
              <w:spacing w:line="360" w:lineRule="auto"/>
              <w:ind w:firstLine="480" w:firstLineChars="200"/>
              <w:rPr>
                <w:kern w:val="24"/>
                <w:sz w:val="24"/>
              </w:rPr>
            </w:pPr>
            <w:r>
              <w:rPr>
                <w:rFonts w:hint="eastAsia"/>
                <w:kern w:val="24"/>
                <w:sz w:val="24"/>
              </w:rPr>
              <w:t>项目运营期主要的煤尘主要来源于堆场起尘。煤炭堆放</w:t>
            </w:r>
            <w:r>
              <w:rPr>
                <w:kern w:val="24"/>
                <w:sz w:val="24"/>
              </w:rPr>
              <w:t>过程中，由于风力的影响产生少量的风力扬尘，</w:t>
            </w:r>
            <w:r>
              <w:rPr>
                <w:rFonts w:hint="eastAsia"/>
                <w:kern w:val="24"/>
                <w:sz w:val="24"/>
              </w:rPr>
              <w:t>起尘量</w:t>
            </w:r>
            <w:r>
              <w:rPr>
                <w:kern w:val="24"/>
                <w:sz w:val="24"/>
              </w:rPr>
              <w:t>采用西安冶金建筑学院的起尘量推荐</w:t>
            </w:r>
            <w:r>
              <w:rPr>
                <w:rFonts w:hint="eastAsia"/>
                <w:kern w:val="24"/>
                <w:sz w:val="24"/>
              </w:rPr>
              <w:t>公式</w:t>
            </w:r>
            <w:r>
              <w:rPr>
                <w:kern w:val="24"/>
                <w:sz w:val="24"/>
              </w:rPr>
              <w:t>计算，</w:t>
            </w:r>
            <w:r>
              <w:rPr>
                <w:rFonts w:hint="eastAsia"/>
                <w:kern w:val="24"/>
                <w:sz w:val="24"/>
              </w:rPr>
              <w:t>公式</w:t>
            </w:r>
            <w:r>
              <w:rPr>
                <w:kern w:val="24"/>
                <w:sz w:val="24"/>
              </w:rPr>
              <w:t>为：</w:t>
            </w:r>
          </w:p>
          <w:p>
            <w:pPr>
              <w:spacing w:line="360" w:lineRule="auto"/>
              <w:jc w:val="center"/>
              <w:rPr>
                <w:kern w:val="24"/>
                <w:sz w:val="24"/>
              </w:rPr>
            </w:pPr>
            <w:r>
              <w:pict>
                <v:shape id="_x0000_i1025" o:spt="75" type="#_x0000_t75" style="height:14.25pt;width:148.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isplayBackgroundShape/&gt;&lt;w:doNotEmbedSystemFonts/&gt;&lt;w:bordersDontSurroundHeader/&gt;&lt;w:bordersDontSurroundFooter/&gt;&lt;w:hideSpelling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F45624&quot;/&gt;&lt;wsp:rsid wsp:val=&quot;00064DAA&quot;/&gt;&lt;wsp:rsid wsp:val=&quot;00234316&quot;/&gt;&lt;wsp:rsid wsp:val=&quot;002979AD&quot;/&gt;&lt;wsp:rsid wsp:val=&quot;004A4452&quot;/&gt;&lt;wsp:rsid wsp:val=&quot;006A0D31&quot;/&gt;&lt;wsp:rsid wsp:val=&quot;00785AD7&quot;/&gt;&lt;wsp:rsid wsp:val=&quot;009B5D8B&quot;/&gt;&lt;wsp:rsid wsp:val=&quot;00A809DB&quot;/&gt;&lt;wsp:rsid wsp:val=&quot;00BB677A&quot;/&gt;&lt;wsp:rsid wsp:val=&quot;00D22ABC&quot;/&gt;&lt;wsp:rsid wsp:val=&quot;00DB6073&quot;/&gt;&lt;wsp:rsid wsp:val=&quot;00F142B4&quot;/&gt;&lt;wsp:rsid wsp:val=&quot;00F45624&quot;/&gt;&lt;/wsp:rsids&gt;&lt;/w:docPr&gt;&lt;w:body&gt;&lt;wx:sect&gt;&lt;w:p wsp:rsidR=&quot;00000000&quot; wsp:rsidRPr=&quot;00BB677A&quot; wsp:rsidRDefault=&quot;00BB677A&quot; wsp:rsidP=&quot;00BB677A&quot;&gt;&lt;m:oMathPara&gt;&lt;m:oMath&gt;&lt;m:r&gt;&lt;m:rPr&gt;&lt;m:sty m:val=&quot;p&quot;/&gt;&lt;/m:rPr&gt;&lt;w:rPr&gt;&lt;w:rFonts w:ascii=&quot;Cambria Math&quot; w:h-ansi=&quot;Cambria Math&quot;/&gt;&lt;wx:font wx:val=&quot;Cambria Math&quot;/&gt;&lt;w:kern w:val=&quot;24&quot;/&gt;&lt;w:sz w:val=&quot;24&quot;/&gt;&lt;/w:rPr&gt;&lt;m:t&gt;Q=4.32脳&lt;/m:t&gt;&lt;/m:r&gt;&lt;m:sSup&gt;&lt;m:sSupPr&gt;&lt;m:ctrlPr&gt;&lt;w:rPr&gt;&lt;w:rFonts w:ascii=&quot;Cambria Math&quot; w:h-ansi=&quot;Cambria Math&quot;/&gt;&lt;wx:font wx:val=&quot;Cambria Math&quot;/&gt;&lt;w:kern w:val=&quot;24&quot;/&gt;&lt;w:sz w:val=&quot;24&quot;/&gt;&lt;/w:rPr&gt;&lt;/m:ctrlPr&gt;&lt;/m:sSupPr&gt;wwwwwwwwwwwwwwwwwwwwwwwwwwwwwwwwwwwwww&lt;m:e&gt;&lt;m:r&gt;&lt;w:rPr&gt;&lt;w:rFonts w:ascii=&quot;Cambria Math&quot; w:h-ansi=&quot;Cambria Math&quot;/&gt;&lt;wx:font wx:val=&quot;Cambria Math&quot;/&gt;&lt;w:i/&gt;&lt;w:kern w:val=&quot;24&quot;/&gt;&lt;w:sz w:val=&quot;24&quot;/&gt;&lt;/w:rPr&gt;&lt;m:t&gt;10&lt;/m:t&gt;&lt;/m:r&gt;&lt;/m:e&gt;&lt;m:sup&gt;&lt;m:r&gt;&lt;w:rPr&gt;&lt;w:rFonts w:ascii=&quot;Cambria Math&quot; w:h-ansi=&quot;Cambria Math&quot;/&gt;&lt;wx:font wx:val=&quot;Cambria Math&quot;/&gt;&lt;w:i/&gt;&lt;w:kern w:val=&quot;24&quot;/&gt;&lt;w:sz w:val=&quot;24&quot;/&gt;&lt;/w:rPr&gt;&lt;m:t&gt;-4&lt;/m:t&gt;&lt;/m:r&gt;&lt;/m:sup&gt;&lt;/m:sSup&gt;&lt;m:r&gt;&lt;w:rPr&gt;&lt;w:rFonts w:ascii=&quot;Cambria Math&quot; w:h-ansi=&quot;Cambria Math&quot;/&gt;&lt;wx:font wx:val=&quot;Cambria Math&quot;/&gt;&lt;w:i/&gt;&lt;w:kern w:val=&quot;24&quot;/&gt;&lt;w:sz w:val=&quot;24&quot;/&gt;&lt;/w:rPr&gt;&lt;m:t&gt;脳&lt;/m:t&gt;&lt;/m:r&gt;&lt;m:sSup&gt;&lt;m:sSupPr&gt;&lt;m:ctrlPr&gt;&lt;w:rPr&gt;&lt;w:rFonts w:ascii=&quot;Cambria Math&quot; w:h-ansi=&quot;Cambria Math&quot;/&gt;&lt;wx:font wx:val=&quot;Cambria Math&quot;/&gt;&lt;w:i/&gt;&lt;w:kern w:val=&quot;24&quot;/&gt;&lt;w:sz w:val=&quot;24&quot;/&gt;&lt;/w:rrPira&gt; &lt;M/amt:hc&quot;t/r&gt;l&lt;Pwr:&gt;i&lt;//&gt;m&lt;:ws:SkueprPnr &gt;w&lt;:mv:ael&gt;=&lt;&quot;m2:4r&quot;&gt;/&lt;&gt;w&lt;:rPr&gt;&lt;w:rFonts w:ascii=&quot;Cambria Math&quot; w:h-ansi=&quot;Cambria Math&quot;/&gt;&lt;wx:font wx:val=&quot;Cambria Math&quot;/&gt;&lt;w:i/&gt;&lt;w:kern w:val=&quot;24&quot;/&gt;&lt;w:sz w:val=&quot;24&quot;/&gt;&lt;/w:rPr&gt;&lt;m:t&gt;U&lt;/m:t&gt;&lt;/m:r&gt;&lt;/m:e&gt;&lt;m:sup&gt;&lt;m:r&gt;&lt;w:rPr&gt;&lt;w:rFonts w:ascii=&quot;Cambria Math&quot; w:h-ansi=&quot;Cambria Math&quot;/&gt;&lt;wx:font wx:val=&quot;Cambria Math&quot;/&gt;&lt;w:i/&gt;&lt;w:kern w:val=&quot;24&quot;/&gt;&lt;w:sz w:val=&quot;24&quot;/&gt;&lt;/w:rPr&gt;&lt;m:t&gt;4.9&lt;/m:t&gt;&lt;/m:r&gt;&lt;/m:sup&gt;&lt;/m:sSup&gt;&lt;m:r&gt;&lt;w:rPr&gt;&lt;w:rFonts w:ascii=&quot;Cambria Math&quot; w:h-ansi=&quot;Cambria Math&quot;/&gt;&lt;wx:font wx:val=&quot;Cambria Math&quot;/&gt;&lt;w:i/&gt;&lt;w:kern w:val=&quot;24&quot;/&gt;&lt;w:sz w:val=&quot;24&quot;/&gt;&lt;/w:rPr&gt;&lt;m:t&gt;脳AP&lt;/m:t&gt;&lt;/m:r&gt;&lt;/m:oMath&gt;&lt;/m:oMathPara&gt;&lt;/w:p&gt;&lt;w:sectPr wsp:rsidR=&quot;00000000&quot; wsp:rsidRPr=&quot;00BB677A&quot;&gt;&lt;w:pgSz w:w=&quot;12240&quot; w:h=&quot;15840&quot;/&gt;&lt;w:pgMar w:top=&quot;1440&quot; w:right=h&quot;1/80&lt;0&quot;x wf:bnot toxm=v&quot;1l44&quot;0&quot;a wb:lief t=a&quot;1h80/0&quot;&lt; w::h/ea&lt;de:r=e&quot;7n20w&quot; vw:lfo&quot;ot4er/=&quot;&lt;72:0&quot;z ww:gvutlte&quot;r=&quot;0&quot;/&gt;&lt;w:cols w:space=&quot;720&quot;/&gt;&lt;/w:sectPr&gt;&lt;/wx:sect&gt;&lt;/w:body&gt;&lt;/w:wordDocument&gt;">
                  <v:path/>
                  <v:fill on="f" focussize="0,0"/>
                  <v:stroke on="f" joinstyle="miter"/>
                  <v:imagedata r:id="rId14" chromakey="#FFFFFF" o:title=""/>
                  <o:lock v:ext="edit" aspectratio="t"/>
                  <w10:wrap type="none"/>
                  <w10:anchorlock/>
                </v:shape>
              </w:pict>
            </w:r>
          </w:p>
          <w:p>
            <w:pPr>
              <w:spacing w:line="360" w:lineRule="auto"/>
              <w:ind w:firstLine="480" w:firstLineChars="200"/>
              <w:rPr>
                <w:kern w:val="24"/>
                <w:sz w:val="24"/>
              </w:rPr>
            </w:pPr>
            <w:r>
              <w:rPr>
                <w:rFonts w:hint="eastAsia"/>
                <w:kern w:val="24"/>
                <w:sz w:val="24"/>
              </w:rPr>
              <w:t>式中：</w:t>
            </w:r>
          </w:p>
          <w:p>
            <w:pPr>
              <w:spacing w:line="360" w:lineRule="auto"/>
              <w:ind w:firstLine="960" w:firstLineChars="400"/>
              <w:rPr>
                <w:kern w:val="24"/>
                <w:sz w:val="24"/>
              </w:rPr>
            </w:pPr>
            <w:r>
              <w:rPr>
                <w:rFonts w:hint="eastAsia"/>
                <w:kern w:val="24"/>
                <w:sz w:val="24"/>
              </w:rPr>
              <w:t>Q——</w:t>
            </w:r>
            <w:r>
              <w:rPr>
                <w:kern w:val="24"/>
                <w:sz w:val="24"/>
              </w:rPr>
              <w:t>堆场扬尘产生量，</w:t>
            </w:r>
            <w:r>
              <w:rPr>
                <w:rFonts w:hint="eastAsia"/>
                <w:kern w:val="24"/>
                <w:sz w:val="24"/>
              </w:rPr>
              <w:t>mg/s；</w:t>
            </w:r>
          </w:p>
          <w:p>
            <w:pPr>
              <w:spacing w:line="360" w:lineRule="auto"/>
              <w:ind w:firstLine="960" w:firstLineChars="400"/>
              <w:rPr>
                <w:kern w:val="24"/>
                <w:sz w:val="24"/>
              </w:rPr>
            </w:pPr>
            <w:r>
              <w:rPr>
                <w:kern w:val="24"/>
                <w:sz w:val="24"/>
              </w:rPr>
              <w:t>U</w:t>
            </w:r>
            <w:r>
              <w:rPr>
                <w:rFonts w:hint="eastAsia"/>
                <w:kern w:val="24"/>
                <w:sz w:val="24"/>
              </w:rPr>
              <w:t>——地面</w:t>
            </w:r>
            <w:r>
              <w:rPr>
                <w:kern w:val="24"/>
                <w:sz w:val="24"/>
              </w:rPr>
              <w:t>平均风速，</w:t>
            </w:r>
            <w:r>
              <w:rPr>
                <w:rFonts w:hint="eastAsia"/>
                <w:kern w:val="24"/>
                <w:sz w:val="24"/>
              </w:rPr>
              <w:t>取2.</w:t>
            </w:r>
            <w:r>
              <w:rPr>
                <w:kern w:val="24"/>
                <w:sz w:val="24"/>
              </w:rPr>
              <w:t>5m/s</w:t>
            </w:r>
            <w:r>
              <w:rPr>
                <w:rFonts w:hint="eastAsia"/>
                <w:kern w:val="24"/>
                <w:sz w:val="24"/>
              </w:rPr>
              <w:t>；</w:t>
            </w:r>
          </w:p>
          <w:p>
            <w:pPr>
              <w:spacing w:line="360" w:lineRule="auto"/>
              <w:ind w:firstLine="960" w:firstLineChars="400"/>
              <w:rPr>
                <w:kern w:val="24"/>
                <w:sz w:val="24"/>
              </w:rPr>
            </w:pPr>
            <w:r>
              <w:rPr>
                <w:kern w:val="24"/>
                <w:sz w:val="24"/>
              </w:rPr>
              <w:t>AP</w:t>
            </w:r>
            <w:r>
              <w:rPr>
                <w:rFonts w:hint="eastAsia"/>
                <w:kern w:val="24"/>
                <w:sz w:val="24"/>
              </w:rPr>
              <w:t>——起尘</w:t>
            </w:r>
            <w:r>
              <w:rPr>
                <w:kern w:val="24"/>
                <w:sz w:val="24"/>
              </w:rPr>
              <w:t>面积，</w:t>
            </w:r>
            <w:r>
              <w:rPr>
                <w:rFonts w:hint="eastAsia"/>
                <w:kern w:val="24"/>
                <w:sz w:val="24"/>
              </w:rPr>
              <w:t>露天煤场</w:t>
            </w:r>
            <w:r>
              <w:rPr>
                <w:kern w:val="24"/>
                <w:sz w:val="24"/>
              </w:rPr>
              <w:t>面积约为47840</w:t>
            </w:r>
            <w:r>
              <w:rPr>
                <w:rFonts w:hint="eastAsia"/>
                <w:kern w:val="24"/>
                <w:sz w:val="24"/>
              </w:rPr>
              <w:t>m</w:t>
            </w:r>
            <w:r>
              <w:rPr>
                <w:rFonts w:hint="eastAsia"/>
                <w:kern w:val="24"/>
                <w:sz w:val="24"/>
                <w:vertAlign w:val="superscript"/>
              </w:rPr>
              <w:t>2</w:t>
            </w:r>
            <w:r>
              <w:rPr>
                <w:rFonts w:hint="eastAsia"/>
                <w:kern w:val="24"/>
                <w:sz w:val="24"/>
              </w:rPr>
              <w:t>。</w:t>
            </w:r>
          </w:p>
          <w:p>
            <w:pPr>
              <w:spacing w:line="360" w:lineRule="auto"/>
              <w:ind w:firstLine="480" w:firstLineChars="200"/>
              <w:rPr>
                <w:kern w:val="24"/>
                <w:sz w:val="24"/>
              </w:rPr>
            </w:pPr>
            <w:r>
              <w:rPr>
                <w:rFonts w:hint="eastAsia"/>
                <w:kern w:val="24"/>
                <w:sz w:val="24"/>
              </w:rPr>
              <w:t>经计算可知，项目煤炭堆放起尘量为</w:t>
            </w:r>
            <w:r>
              <w:rPr>
                <w:kern w:val="24"/>
                <w:sz w:val="24"/>
              </w:rPr>
              <w:t>1841.54</w:t>
            </w:r>
            <w:r>
              <w:rPr>
                <w:rFonts w:hint="eastAsia"/>
                <w:kern w:val="24"/>
                <w:sz w:val="24"/>
              </w:rPr>
              <w:t>mg/s，因而煤炭堆放粉尘产生量为</w:t>
            </w:r>
            <w:r>
              <w:rPr>
                <w:kern w:val="24"/>
                <w:sz w:val="24"/>
              </w:rPr>
              <w:t>58.07</w:t>
            </w:r>
            <w:r>
              <w:rPr>
                <w:rFonts w:hint="eastAsia"/>
                <w:kern w:val="24"/>
                <w:sz w:val="24"/>
              </w:rPr>
              <w:t>t/a。电厂露天煤场</w:t>
            </w:r>
            <w:r>
              <w:rPr>
                <w:kern w:val="24"/>
                <w:sz w:val="24"/>
              </w:rPr>
              <w:t>四周</w:t>
            </w:r>
            <w:r>
              <w:rPr>
                <w:rFonts w:hint="eastAsia"/>
                <w:kern w:val="24"/>
                <w:sz w:val="24"/>
              </w:rPr>
              <w:t>设置有15m高</w:t>
            </w:r>
            <w:r>
              <w:rPr>
                <w:kern w:val="24"/>
                <w:sz w:val="24"/>
              </w:rPr>
              <w:t>防风抑尘网，同时在煤场四周设有</w:t>
            </w:r>
            <w:r>
              <w:rPr>
                <w:rFonts w:hint="eastAsia"/>
                <w:kern w:val="24"/>
                <w:sz w:val="24"/>
              </w:rPr>
              <w:t>喷洒水防尘系统，类比其它</w:t>
            </w:r>
            <w:r>
              <w:rPr>
                <w:kern w:val="24"/>
                <w:sz w:val="24"/>
              </w:rPr>
              <w:t>储煤场的防风抑尘效率</w:t>
            </w:r>
            <w:r>
              <w:rPr>
                <w:rFonts w:hint="eastAsia"/>
                <w:kern w:val="24"/>
                <w:sz w:val="24"/>
              </w:rPr>
              <w:t>，抑尘率可达</w:t>
            </w:r>
            <w:r>
              <w:rPr>
                <w:kern w:val="24"/>
                <w:sz w:val="24"/>
              </w:rPr>
              <w:t>80</w:t>
            </w:r>
            <w:r>
              <w:rPr>
                <w:rFonts w:hint="eastAsia"/>
                <w:kern w:val="24"/>
                <w:sz w:val="24"/>
              </w:rPr>
              <w:t>%，则现状露天</w:t>
            </w:r>
            <w:r>
              <w:rPr>
                <w:kern w:val="24"/>
                <w:sz w:val="24"/>
              </w:rPr>
              <w:t>煤场</w:t>
            </w:r>
            <w:r>
              <w:rPr>
                <w:rFonts w:hint="eastAsia"/>
                <w:kern w:val="24"/>
                <w:sz w:val="24"/>
              </w:rPr>
              <w:t>煤炭堆放无组织扬尘排放量为</w:t>
            </w:r>
            <w:r>
              <w:rPr>
                <w:kern w:val="24"/>
                <w:sz w:val="24"/>
              </w:rPr>
              <w:t>11.61</w:t>
            </w:r>
            <w:r>
              <w:rPr>
                <w:rFonts w:hint="eastAsia"/>
                <w:kern w:val="24"/>
                <w:sz w:val="24"/>
              </w:rPr>
              <w:t>t/a。</w:t>
            </w:r>
          </w:p>
          <w:p>
            <w:pPr>
              <w:spacing w:line="360" w:lineRule="auto"/>
              <w:ind w:firstLine="480" w:firstLineChars="200"/>
              <w:rPr>
                <w:kern w:val="24"/>
                <w:sz w:val="24"/>
              </w:rPr>
            </w:pPr>
            <w:r>
              <w:rPr>
                <w:kern w:val="24"/>
                <w:sz w:val="24"/>
              </w:rPr>
              <w:t>c</w:t>
            </w:r>
            <w:r>
              <w:rPr>
                <w:rFonts w:hint="eastAsia"/>
                <w:kern w:val="24"/>
                <w:sz w:val="24"/>
              </w:rPr>
              <w:t>、运输车辆</w:t>
            </w:r>
            <w:r>
              <w:rPr>
                <w:kern w:val="24"/>
                <w:sz w:val="24"/>
              </w:rPr>
              <w:t>扬尘</w:t>
            </w:r>
          </w:p>
          <w:p>
            <w:pPr>
              <w:spacing w:line="360" w:lineRule="auto"/>
              <w:ind w:firstLine="480" w:firstLineChars="200"/>
              <w:jc w:val="left"/>
              <w:rPr>
                <w:kern w:val="24"/>
                <w:sz w:val="24"/>
              </w:rPr>
            </w:pPr>
            <w:r>
              <w:rPr>
                <w:rFonts w:hint="eastAsia"/>
                <w:kern w:val="24"/>
                <w:sz w:val="24"/>
              </w:rPr>
              <w:t>项目</w:t>
            </w:r>
            <w:r>
              <w:rPr>
                <w:kern w:val="24"/>
                <w:sz w:val="24"/>
              </w:rPr>
              <w:t>所需</w:t>
            </w:r>
            <w:r>
              <w:rPr>
                <w:rFonts w:hint="eastAsia"/>
                <w:kern w:val="24"/>
                <w:sz w:val="24"/>
              </w:rPr>
              <w:t>燃料煤炭由彬长和铜川煤矿供应，厂外运输采用铁路和公路相结合的运输方式，以</w:t>
            </w:r>
            <w:r>
              <w:rPr>
                <w:kern w:val="24"/>
                <w:sz w:val="24"/>
              </w:rPr>
              <w:t>铁路为主</w:t>
            </w:r>
            <w:r>
              <w:rPr>
                <w:rFonts w:hint="eastAsia"/>
                <w:kern w:val="24"/>
                <w:sz w:val="24"/>
              </w:rPr>
              <w:t>。煤炭</w:t>
            </w:r>
            <w:r>
              <w:rPr>
                <w:kern w:val="24"/>
                <w:sz w:val="24"/>
              </w:rPr>
              <w:t>运输过程中</w:t>
            </w:r>
            <w:r>
              <w:rPr>
                <w:rFonts w:hint="eastAsia"/>
                <w:kern w:val="24"/>
                <w:sz w:val="24"/>
              </w:rPr>
              <w:t>会有</w:t>
            </w:r>
            <w:r>
              <w:rPr>
                <w:kern w:val="24"/>
                <w:sz w:val="24"/>
              </w:rPr>
              <w:t>扬尘产生</w:t>
            </w:r>
            <w:r>
              <w:rPr>
                <w:rFonts w:hint="eastAsia"/>
                <w:kern w:val="24"/>
                <w:sz w:val="24"/>
              </w:rPr>
              <w:t>，为减少</w:t>
            </w:r>
            <w:r>
              <w:rPr>
                <w:kern w:val="24"/>
                <w:sz w:val="24"/>
              </w:rPr>
              <w:t>道路扬尘，</w:t>
            </w:r>
            <w:r>
              <w:rPr>
                <w:rFonts w:hint="eastAsia"/>
                <w:kern w:val="24"/>
                <w:sz w:val="24"/>
              </w:rPr>
              <w:t>建设单位</w:t>
            </w:r>
            <w:r>
              <w:rPr>
                <w:kern w:val="24"/>
                <w:sz w:val="24"/>
              </w:rPr>
              <w:t>采取了</w:t>
            </w:r>
            <w:r>
              <w:rPr>
                <w:rFonts w:hint="eastAsia"/>
                <w:kern w:val="24"/>
                <w:sz w:val="24"/>
              </w:rPr>
              <w:t>运输车辆</w:t>
            </w:r>
            <w:r>
              <w:rPr>
                <w:kern w:val="24"/>
                <w:sz w:val="24"/>
              </w:rPr>
              <w:t>全覆盖、定期洒水、</w:t>
            </w:r>
            <w:r>
              <w:rPr>
                <w:rFonts w:hint="eastAsia"/>
                <w:kern w:val="24"/>
                <w:sz w:val="24"/>
              </w:rPr>
              <w:t>道路</w:t>
            </w:r>
            <w:r>
              <w:rPr>
                <w:kern w:val="24"/>
                <w:sz w:val="24"/>
              </w:rPr>
              <w:t>硬化等措施，</w:t>
            </w:r>
            <w:r>
              <w:rPr>
                <w:rFonts w:hint="eastAsia"/>
                <w:kern w:val="24"/>
                <w:sz w:val="24"/>
              </w:rPr>
              <w:t>经</w:t>
            </w:r>
            <w:r>
              <w:rPr>
                <w:kern w:val="24"/>
                <w:sz w:val="24"/>
              </w:rPr>
              <w:t>采取上述措施</w:t>
            </w:r>
            <w:r>
              <w:rPr>
                <w:rFonts w:hint="eastAsia"/>
                <w:kern w:val="24"/>
                <w:sz w:val="24"/>
              </w:rPr>
              <w:t>后</w:t>
            </w:r>
            <w:r>
              <w:rPr>
                <w:kern w:val="24"/>
                <w:sz w:val="24"/>
              </w:rPr>
              <w:t>，运输车辆扬尘产生量较小。</w:t>
            </w:r>
          </w:p>
          <w:p>
            <w:pPr>
              <w:spacing w:line="360" w:lineRule="auto"/>
              <w:ind w:firstLine="480" w:firstLineChars="200"/>
              <w:jc w:val="left"/>
              <w:rPr>
                <w:kern w:val="24"/>
                <w:sz w:val="24"/>
              </w:rPr>
            </w:pPr>
            <w:r>
              <w:rPr>
                <w:rFonts w:hint="eastAsia"/>
                <w:kern w:val="24"/>
                <w:sz w:val="24"/>
              </w:rPr>
              <w:t>综上</w:t>
            </w:r>
            <w:r>
              <w:rPr>
                <w:kern w:val="24"/>
                <w:sz w:val="24"/>
              </w:rPr>
              <w:t>所述，项目现状露天煤场无组织扬尘</w:t>
            </w:r>
            <w:r>
              <w:rPr>
                <w:rFonts w:hint="eastAsia"/>
                <w:kern w:val="24"/>
                <w:sz w:val="24"/>
              </w:rPr>
              <w:t>排放量为</w:t>
            </w:r>
            <w:r>
              <w:rPr>
                <w:kern w:val="24"/>
                <w:sz w:val="24"/>
              </w:rPr>
              <w:t>55.16</w:t>
            </w:r>
            <w:r>
              <w:rPr>
                <w:rFonts w:hint="eastAsia"/>
                <w:kern w:val="24"/>
                <w:sz w:val="24"/>
              </w:rPr>
              <w:t>t/a。</w:t>
            </w:r>
          </w:p>
          <w:p>
            <w:pPr>
              <w:spacing w:line="360" w:lineRule="auto"/>
              <w:ind w:firstLine="480" w:firstLineChars="200"/>
              <w:jc w:val="left"/>
              <w:rPr>
                <w:sz w:val="24"/>
                <w:szCs w:val="22"/>
              </w:rPr>
            </w:pPr>
            <w:r>
              <w:rPr>
                <w:sz w:val="24"/>
                <w:szCs w:val="22"/>
              </w:rPr>
              <w:fldChar w:fldCharType="begin"/>
            </w:r>
            <w:r>
              <w:rPr>
                <w:sz w:val="24"/>
                <w:szCs w:val="22"/>
              </w:rPr>
              <w:instrText xml:space="preserve"> </w:instrText>
            </w:r>
            <w:r>
              <w:rPr>
                <w:rFonts w:hint="eastAsia"/>
                <w:sz w:val="24"/>
                <w:szCs w:val="22"/>
              </w:rPr>
              <w:instrText xml:space="preserve">= 2 \* GB2</w:instrText>
            </w:r>
            <w:r>
              <w:rPr>
                <w:sz w:val="24"/>
                <w:szCs w:val="22"/>
              </w:rPr>
              <w:instrText xml:space="preserve"> </w:instrText>
            </w:r>
            <w:r>
              <w:rPr>
                <w:sz w:val="24"/>
                <w:szCs w:val="22"/>
              </w:rPr>
              <w:fldChar w:fldCharType="separate"/>
            </w:r>
            <w:r>
              <w:rPr>
                <w:rFonts w:hint="eastAsia"/>
                <w:sz w:val="24"/>
                <w:szCs w:val="22"/>
              </w:rPr>
              <w:t>⑵</w:t>
            </w:r>
            <w:r>
              <w:rPr>
                <w:sz w:val="24"/>
                <w:szCs w:val="22"/>
              </w:rPr>
              <w:fldChar w:fldCharType="end"/>
            </w:r>
            <w:r>
              <w:rPr>
                <w:sz w:val="24"/>
                <w:szCs w:val="22"/>
              </w:rPr>
              <w:t xml:space="preserve"> </w:t>
            </w:r>
            <w:r>
              <w:rPr>
                <w:rFonts w:hint="eastAsia"/>
                <w:sz w:val="24"/>
                <w:szCs w:val="22"/>
              </w:rPr>
              <w:t>废水</w:t>
            </w:r>
          </w:p>
          <w:p>
            <w:pPr>
              <w:spacing w:line="360" w:lineRule="auto"/>
              <w:ind w:firstLine="480" w:firstLineChars="200"/>
              <w:jc w:val="left"/>
              <w:rPr>
                <w:sz w:val="24"/>
                <w:szCs w:val="22"/>
              </w:rPr>
            </w:pPr>
            <w:r>
              <w:rPr>
                <w:rFonts w:hint="eastAsia"/>
                <w:sz w:val="24"/>
                <w:szCs w:val="22"/>
              </w:rPr>
              <w:t>现有工程</w:t>
            </w:r>
            <w:r>
              <w:rPr>
                <w:sz w:val="24"/>
                <w:szCs w:val="22"/>
              </w:rPr>
              <w:t>废水主要是生活污水、工业废水</w:t>
            </w:r>
            <w:r>
              <w:rPr>
                <w:rFonts w:hint="eastAsia"/>
                <w:sz w:val="24"/>
                <w:szCs w:val="22"/>
              </w:rPr>
              <w:t>以及</w:t>
            </w:r>
            <w:r>
              <w:rPr>
                <w:sz w:val="24"/>
                <w:szCs w:val="22"/>
              </w:rPr>
              <w:t>脱硫废水</w:t>
            </w:r>
            <w:r>
              <w:rPr>
                <w:rFonts w:hint="eastAsia"/>
                <w:sz w:val="24"/>
                <w:szCs w:val="22"/>
              </w:rPr>
              <w:t>，</w:t>
            </w:r>
            <w:r>
              <w:rPr>
                <w:sz w:val="24"/>
                <w:szCs w:val="22"/>
              </w:rPr>
              <w:t>废水治理情况见表7</w:t>
            </w:r>
            <w:r>
              <w:rPr>
                <w:rFonts w:hint="eastAsia"/>
                <w:sz w:val="24"/>
                <w:szCs w:val="22"/>
              </w:rPr>
              <w:t>。</w:t>
            </w: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r>
              <w:rPr>
                <w:rFonts w:hint="eastAsia"/>
                <w:b/>
                <w:szCs w:val="21"/>
              </w:rPr>
              <w:t>表</w:t>
            </w:r>
            <w:r>
              <w:rPr>
                <w:b/>
                <w:szCs w:val="21"/>
              </w:rPr>
              <w:t>7</w:t>
            </w:r>
            <w:r>
              <w:rPr>
                <w:rFonts w:hint="eastAsia"/>
                <w:b/>
                <w:szCs w:val="21"/>
              </w:rPr>
              <w:t xml:space="preserve">    废水治理情况</w:t>
            </w:r>
            <w:r>
              <w:rPr>
                <w:b/>
                <w:szCs w:val="21"/>
              </w:rPr>
              <w:t>一览表</w:t>
            </w:r>
          </w:p>
          <w:tbl>
            <w:tblPr>
              <w:tblStyle w:val="40"/>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709"/>
              <w:gridCol w:w="992"/>
              <w:gridCol w:w="1140"/>
              <w:gridCol w:w="1128"/>
              <w:gridCol w:w="1632"/>
              <w:gridCol w:w="138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vMerge w:val="restart"/>
                  <w:vAlign w:val="center"/>
                </w:tcPr>
                <w:p>
                  <w:pPr>
                    <w:jc w:val="center"/>
                    <w:rPr>
                      <w:szCs w:val="21"/>
                    </w:rPr>
                  </w:pPr>
                  <w:r>
                    <w:rPr>
                      <w:rFonts w:hint="eastAsia"/>
                      <w:szCs w:val="21"/>
                    </w:rPr>
                    <w:t>序号</w:t>
                  </w:r>
                </w:p>
              </w:tc>
              <w:tc>
                <w:tcPr>
                  <w:tcW w:w="709" w:type="dxa"/>
                  <w:vMerge w:val="restart"/>
                  <w:vAlign w:val="center"/>
                </w:tcPr>
                <w:p>
                  <w:pPr>
                    <w:jc w:val="center"/>
                    <w:rPr>
                      <w:szCs w:val="21"/>
                    </w:rPr>
                  </w:pPr>
                  <w:r>
                    <w:rPr>
                      <w:rFonts w:hint="eastAsia"/>
                      <w:szCs w:val="21"/>
                    </w:rPr>
                    <w:t>废气来源</w:t>
                  </w:r>
                </w:p>
              </w:tc>
              <w:tc>
                <w:tcPr>
                  <w:tcW w:w="992" w:type="dxa"/>
                  <w:vMerge w:val="restart"/>
                  <w:vAlign w:val="center"/>
                </w:tcPr>
                <w:p>
                  <w:pPr>
                    <w:jc w:val="center"/>
                    <w:rPr>
                      <w:szCs w:val="21"/>
                    </w:rPr>
                  </w:pPr>
                  <w:r>
                    <w:rPr>
                      <w:rFonts w:hint="eastAsia"/>
                      <w:szCs w:val="21"/>
                    </w:rPr>
                    <w:t>污染物</w:t>
                  </w:r>
                </w:p>
              </w:tc>
              <w:tc>
                <w:tcPr>
                  <w:tcW w:w="1140" w:type="dxa"/>
                  <w:vMerge w:val="restart"/>
                  <w:vAlign w:val="center"/>
                </w:tcPr>
                <w:p>
                  <w:pPr>
                    <w:jc w:val="center"/>
                    <w:rPr>
                      <w:szCs w:val="21"/>
                    </w:rPr>
                  </w:pPr>
                  <w:r>
                    <w:rPr>
                      <w:rFonts w:hint="eastAsia"/>
                      <w:szCs w:val="21"/>
                    </w:rPr>
                    <w:t>产生设施</w:t>
                  </w:r>
                  <w:r>
                    <w:rPr>
                      <w:szCs w:val="21"/>
                    </w:rPr>
                    <w:t>或工序</w:t>
                  </w:r>
                </w:p>
              </w:tc>
              <w:tc>
                <w:tcPr>
                  <w:tcW w:w="4140" w:type="dxa"/>
                  <w:gridSpan w:val="3"/>
                  <w:vAlign w:val="center"/>
                </w:tcPr>
                <w:p>
                  <w:pPr>
                    <w:jc w:val="center"/>
                    <w:rPr>
                      <w:szCs w:val="21"/>
                    </w:rPr>
                  </w:pPr>
                  <w:r>
                    <w:rPr>
                      <w:rFonts w:hint="eastAsia"/>
                      <w:szCs w:val="21"/>
                    </w:rPr>
                    <w:t>废水</w:t>
                  </w:r>
                  <w:r>
                    <w:rPr>
                      <w:szCs w:val="21"/>
                    </w:rPr>
                    <w:t>污染防治设施</w:t>
                  </w:r>
                </w:p>
              </w:tc>
              <w:tc>
                <w:tcPr>
                  <w:tcW w:w="1380" w:type="dxa"/>
                  <w:vMerge w:val="restart"/>
                  <w:vAlign w:val="center"/>
                </w:tcPr>
                <w:p>
                  <w:pPr>
                    <w:jc w:val="center"/>
                    <w:rPr>
                      <w:szCs w:val="21"/>
                    </w:rPr>
                  </w:pPr>
                  <w:r>
                    <w:rPr>
                      <w:rFonts w:hint="eastAsia"/>
                      <w:szCs w:val="21"/>
                    </w:rPr>
                    <w:t>外排去向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vMerge w:val="continue"/>
                  <w:vAlign w:val="center"/>
                </w:tcPr>
                <w:p>
                  <w:pPr>
                    <w:jc w:val="center"/>
                    <w:rPr>
                      <w:szCs w:val="21"/>
                    </w:rPr>
                  </w:pPr>
                </w:p>
              </w:tc>
              <w:tc>
                <w:tcPr>
                  <w:tcW w:w="709" w:type="dxa"/>
                  <w:vMerge w:val="continue"/>
                  <w:vAlign w:val="center"/>
                </w:tcPr>
                <w:p>
                  <w:pPr>
                    <w:jc w:val="center"/>
                    <w:rPr>
                      <w:szCs w:val="21"/>
                    </w:rPr>
                  </w:pPr>
                </w:p>
              </w:tc>
              <w:tc>
                <w:tcPr>
                  <w:tcW w:w="992" w:type="dxa"/>
                  <w:vMerge w:val="continue"/>
                  <w:vAlign w:val="center"/>
                </w:tcPr>
                <w:p>
                  <w:pPr>
                    <w:jc w:val="center"/>
                    <w:rPr>
                      <w:szCs w:val="21"/>
                    </w:rPr>
                  </w:pPr>
                </w:p>
              </w:tc>
              <w:tc>
                <w:tcPr>
                  <w:tcW w:w="1140" w:type="dxa"/>
                  <w:vMerge w:val="continue"/>
                  <w:vAlign w:val="center"/>
                </w:tcPr>
                <w:p>
                  <w:pPr>
                    <w:jc w:val="center"/>
                    <w:rPr>
                      <w:szCs w:val="21"/>
                    </w:rPr>
                  </w:pPr>
                </w:p>
              </w:tc>
              <w:tc>
                <w:tcPr>
                  <w:tcW w:w="1128" w:type="dxa"/>
                  <w:vAlign w:val="center"/>
                </w:tcPr>
                <w:p>
                  <w:pPr>
                    <w:jc w:val="center"/>
                    <w:rPr>
                      <w:szCs w:val="21"/>
                    </w:rPr>
                  </w:pPr>
                  <w:r>
                    <w:rPr>
                      <w:rFonts w:hint="eastAsia"/>
                      <w:szCs w:val="21"/>
                    </w:rPr>
                    <w:t>名称</w:t>
                  </w:r>
                </w:p>
              </w:tc>
              <w:tc>
                <w:tcPr>
                  <w:tcW w:w="1632" w:type="dxa"/>
                  <w:vAlign w:val="center"/>
                </w:tcPr>
                <w:p>
                  <w:pPr>
                    <w:jc w:val="center"/>
                    <w:rPr>
                      <w:szCs w:val="21"/>
                    </w:rPr>
                  </w:pPr>
                  <w:r>
                    <w:rPr>
                      <w:rFonts w:hint="eastAsia"/>
                      <w:szCs w:val="21"/>
                    </w:rPr>
                    <w:t>工艺</w:t>
                  </w:r>
                </w:p>
              </w:tc>
              <w:tc>
                <w:tcPr>
                  <w:tcW w:w="1380" w:type="dxa"/>
                  <w:vAlign w:val="center"/>
                </w:tcPr>
                <w:p>
                  <w:pPr>
                    <w:jc w:val="center"/>
                    <w:rPr>
                      <w:szCs w:val="21"/>
                    </w:rPr>
                  </w:pPr>
                  <w:r>
                    <w:rPr>
                      <w:rFonts w:hint="eastAsia"/>
                      <w:szCs w:val="21"/>
                    </w:rPr>
                    <w:t>处理</w:t>
                  </w:r>
                  <w:r>
                    <w:rPr>
                      <w:szCs w:val="21"/>
                    </w:rPr>
                    <w:t>能力</w:t>
                  </w:r>
                </w:p>
              </w:tc>
              <w:tc>
                <w:tcPr>
                  <w:tcW w:w="1380"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vAlign w:val="center"/>
                </w:tcPr>
                <w:p>
                  <w:pPr>
                    <w:jc w:val="center"/>
                    <w:rPr>
                      <w:szCs w:val="21"/>
                    </w:rPr>
                  </w:pPr>
                  <w:r>
                    <w:rPr>
                      <w:rFonts w:hint="eastAsia"/>
                      <w:szCs w:val="21"/>
                    </w:rPr>
                    <w:t>1</w:t>
                  </w:r>
                </w:p>
              </w:tc>
              <w:tc>
                <w:tcPr>
                  <w:tcW w:w="709" w:type="dxa"/>
                  <w:vAlign w:val="center"/>
                </w:tcPr>
                <w:p>
                  <w:pPr>
                    <w:jc w:val="center"/>
                    <w:rPr>
                      <w:szCs w:val="21"/>
                    </w:rPr>
                  </w:pPr>
                  <w:r>
                    <w:rPr>
                      <w:rFonts w:hint="eastAsia"/>
                      <w:szCs w:val="21"/>
                    </w:rPr>
                    <w:t>工业废水</w:t>
                  </w:r>
                </w:p>
              </w:tc>
              <w:tc>
                <w:tcPr>
                  <w:tcW w:w="992" w:type="dxa"/>
                  <w:vAlign w:val="center"/>
                </w:tcPr>
                <w:p>
                  <w:pPr>
                    <w:jc w:val="center"/>
                    <w:rPr>
                      <w:szCs w:val="21"/>
                    </w:rPr>
                  </w:pPr>
                  <w:r>
                    <w:rPr>
                      <w:rFonts w:hint="eastAsia"/>
                      <w:szCs w:val="21"/>
                    </w:rPr>
                    <w:t>S</w:t>
                  </w:r>
                  <w:r>
                    <w:rPr>
                      <w:szCs w:val="21"/>
                    </w:rPr>
                    <w:t>S</w:t>
                  </w:r>
                  <w:r>
                    <w:rPr>
                      <w:rFonts w:hint="eastAsia"/>
                      <w:szCs w:val="21"/>
                    </w:rPr>
                    <w:t>、pH、COD</w:t>
                  </w:r>
                </w:p>
              </w:tc>
              <w:tc>
                <w:tcPr>
                  <w:tcW w:w="1140" w:type="dxa"/>
                  <w:vAlign w:val="center"/>
                </w:tcPr>
                <w:p>
                  <w:pPr>
                    <w:jc w:val="center"/>
                    <w:rPr>
                      <w:szCs w:val="21"/>
                    </w:rPr>
                  </w:pPr>
                  <w:r>
                    <w:rPr>
                      <w:rFonts w:hint="eastAsia"/>
                      <w:szCs w:val="21"/>
                    </w:rPr>
                    <w:t>化水站</w:t>
                  </w:r>
                  <w:r>
                    <w:rPr>
                      <w:szCs w:val="21"/>
                    </w:rPr>
                    <w:t>排污水及杂用水</w:t>
                  </w:r>
                </w:p>
              </w:tc>
              <w:tc>
                <w:tcPr>
                  <w:tcW w:w="1128" w:type="dxa"/>
                  <w:vAlign w:val="center"/>
                </w:tcPr>
                <w:p>
                  <w:pPr>
                    <w:jc w:val="center"/>
                    <w:rPr>
                      <w:szCs w:val="21"/>
                    </w:rPr>
                  </w:pPr>
                  <w:r>
                    <w:rPr>
                      <w:rFonts w:hint="eastAsia"/>
                      <w:szCs w:val="21"/>
                    </w:rPr>
                    <w:t>污水处理站</w:t>
                  </w:r>
                </w:p>
              </w:tc>
              <w:tc>
                <w:tcPr>
                  <w:tcW w:w="1632" w:type="dxa"/>
                  <w:vAlign w:val="center"/>
                </w:tcPr>
                <w:p>
                  <w:pPr>
                    <w:jc w:val="center"/>
                    <w:rPr>
                      <w:szCs w:val="21"/>
                    </w:rPr>
                  </w:pPr>
                  <w:r>
                    <w:rPr>
                      <w:rFonts w:hint="eastAsia"/>
                      <w:szCs w:val="21"/>
                    </w:rPr>
                    <w:t>隔油</w:t>
                  </w:r>
                  <w:r>
                    <w:rPr>
                      <w:szCs w:val="21"/>
                    </w:rPr>
                    <w:t>处理+气浮装置+</w:t>
                  </w:r>
                  <w:r>
                    <w:rPr>
                      <w:rFonts w:hint="eastAsia"/>
                      <w:szCs w:val="21"/>
                    </w:rPr>
                    <w:t>絮凝沉淀</w:t>
                  </w:r>
                  <w:r>
                    <w:rPr>
                      <w:szCs w:val="21"/>
                    </w:rPr>
                    <w:t>+过滤</w:t>
                  </w:r>
                </w:p>
              </w:tc>
              <w:tc>
                <w:tcPr>
                  <w:tcW w:w="1380" w:type="dxa"/>
                  <w:vAlign w:val="center"/>
                </w:tcPr>
                <w:p>
                  <w:pPr>
                    <w:jc w:val="center"/>
                    <w:rPr>
                      <w:szCs w:val="21"/>
                    </w:rPr>
                  </w:pPr>
                  <w:r>
                    <w:rPr>
                      <w:szCs w:val="21"/>
                    </w:rPr>
                    <w:t>130t/h</w:t>
                  </w:r>
                </w:p>
              </w:tc>
              <w:tc>
                <w:tcPr>
                  <w:tcW w:w="1380" w:type="dxa"/>
                  <w:vMerge w:val="restart"/>
                  <w:vAlign w:val="center"/>
                </w:tcPr>
                <w:p>
                  <w:pPr>
                    <w:jc w:val="center"/>
                    <w:rPr>
                      <w:szCs w:val="21"/>
                    </w:rPr>
                  </w:pPr>
                  <w:r>
                    <w:rPr>
                      <w:rFonts w:hint="eastAsia"/>
                      <w:szCs w:val="21"/>
                    </w:rPr>
                    <w:t>市政污水</w:t>
                  </w:r>
                  <w:r>
                    <w:rPr>
                      <w:szCs w:val="21"/>
                    </w:rPr>
                    <w:t>管网，</w:t>
                  </w:r>
                  <w:r>
                    <w:rPr>
                      <w:rFonts w:hint="eastAsia"/>
                      <w:szCs w:val="21"/>
                    </w:rPr>
                    <w:t>秦汉新城</w:t>
                  </w:r>
                  <w:r>
                    <w:rPr>
                      <w:szCs w:val="21"/>
                    </w:rPr>
                    <w:t>朝阳污水处理厂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vAlign w:val="center"/>
                </w:tcPr>
                <w:p>
                  <w:pPr>
                    <w:jc w:val="center"/>
                    <w:rPr>
                      <w:szCs w:val="21"/>
                    </w:rPr>
                  </w:pPr>
                  <w:r>
                    <w:rPr>
                      <w:rFonts w:hint="eastAsia"/>
                      <w:szCs w:val="21"/>
                    </w:rPr>
                    <w:t>2</w:t>
                  </w:r>
                </w:p>
              </w:tc>
              <w:tc>
                <w:tcPr>
                  <w:tcW w:w="709" w:type="dxa"/>
                  <w:vAlign w:val="center"/>
                </w:tcPr>
                <w:p>
                  <w:pPr>
                    <w:jc w:val="center"/>
                    <w:rPr>
                      <w:szCs w:val="21"/>
                    </w:rPr>
                  </w:pPr>
                  <w:r>
                    <w:rPr>
                      <w:rFonts w:hint="eastAsia"/>
                      <w:szCs w:val="21"/>
                    </w:rPr>
                    <w:t>生活污水</w:t>
                  </w:r>
                </w:p>
              </w:tc>
              <w:tc>
                <w:tcPr>
                  <w:tcW w:w="992" w:type="dxa"/>
                  <w:vAlign w:val="center"/>
                </w:tcPr>
                <w:p>
                  <w:pPr>
                    <w:jc w:val="center"/>
                    <w:rPr>
                      <w:szCs w:val="21"/>
                    </w:rPr>
                  </w:pPr>
                  <w:r>
                    <w:rPr>
                      <w:rFonts w:hint="eastAsia"/>
                      <w:szCs w:val="21"/>
                    </w:rPr>
                    <w:t>COD、</w:t>
                  </w:r>
                  <w:r>
                    <w:rPr>
                      <w:szCs w:val="21"/>
                    </w:rPr>
                    <w:t>氨氮</w:t>
                  </w:r>
                </w:p>
              </w:tc>
              <w:tc>
                <w:tcPr>
                  <w:tcW w:w="1140" w:type="dxa"/>
                  <w:vAlign w:val="center"/>
                </w:tcPr>
                <w:p>
                  <w:pPr>
                    <w:jc w:val="center"/>
                    <w:rPr>
                      <w:szCs w:val="21"/>
                    </w:rPr>
                  </w:pPr>
                  <w:r>
                    <w:rPr>
                      <w:rFonts w:hint="eastAsia"/>
                      <w:szCs w:val="21"/>
                    </w:rPr>
                    <w:t>员工生活</w:t>
                  </w:r>
                  <w:r>
                    <w:rPr>
                      <w:szCs w:val="21"/>
                    </w:rPr>
                    <w:t>用水</w:t>
                  </w:r>
                </w:p>
              </w:tc>
              <w:tc>
                <w:tcPr>
                  <w:tcW w:w="1128" w:type="dxa"/>
                  <w:vAlign w:val="center"/>
                </w:tcPr>
                <w:p>
                  <w:pPr>
                    <w:jc w:val="center"/>
                    <w:rPr>
                      <w:szCs w:val="21"/>
                    </w:rPr>
                  </w:pPr>
                  <w:r>
                    <w:rPr>
                      <w:rFonts w:hint="eastAsia"/>
                      <w:szCs w:val="21"/>
                    </w:rPr>
                    <w:t>生活污水</w:t>
                  </w:r>
                  <w:r>
                    <w:rPr>
                      <w:szCs w:val="21"/>
                    </w:rPr>
                    <w:t>处理站</w:t>
                  </w:r>
                </w:p>
              </w:tc>
              <w:tc>
                <w:tcPr>
                  <w:tcW w:w="1632" w:type="dxa"/>
                  <w:vAlign w:val="center"/>
                </w:tcPr>
                <w:p>
                  <w:pPr>
                    <w:jc w:val="center"/>
                    <w:rPr>
                      <w:szCs w:val="21"/>
                    </w:rPr>
                  </w:pPr>
                  <w:r>
                    <w:rPr>
                      <w:rFonts w:hint="eastAsia"/>
                      <w:szCs w:val="21"/>
                    </w:rPr>
                    <w:t>曝气+絮凝沉淀+过滤</w:t>
                  </w:r>
                </w:p>
              </w:tc>
              <w:tc>
                <w:tcPr>
                  <w:tcW w:w="1380" w:type="dxa"/>
                  <w:vAlign w:val="center"/>
                </w:tcPr>
                <w:p>
                  <w:pPr>
                    <w:jc w:val="center"/>
                    <w:rPr>
                      <w:szCs w:val="21"/>
                    </w:rPr>
                  </w:pPr>
                  <w:r>
                    <w:rPr>
                      <w:szCs w:val="21"/>
                    </w:rPr>
                    <w:t>300t/h</w:t>
                  </w:r>
                </w:p>
              </w:tc>
              <w:tc>
                <w:tcPr>
                  <w:tcW w:w="1380"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vAlign w:val="center"/>
                </w:tcPr>
                <w:p>
                  <w:pPr>
                    <w:jc w:val="center"/>
                    <w:rPr>
                      <w:szCs w:val="21"/>
                    </w:rPr>
                  </w:pPr>
                  <w:r>
                    <w:rPr>
                      <w:rFonts w:hint="eastAsia"/>
                      <w:szCs w:val="21"/>
                    </w:rPr>
                    <w:t>3</w:t>
                  </w:r>
                </w:p>
              </w:tc>
              <w:tc>
                <w:tcPr>
                  <w:tcW w:w="709" w:type="dxa"/>
                  <w:vAlign w:val="center"/>
                </w:tcPr>
                <w:p>
                  <w:pPr>
                    <w:jc w:val="center"/>
                    <w:rPr>
                      <w:szCs w:val="21"/>
                    </w:rPr>
                  </w:pPr>
                  <w:r>
                    <w:rPr>
                      <w:rFonts w:hint="eastAsia"/>
                      <w:szCs w:val="21"/>
                    </w:rPr>
                    <w:t>脱硫废水</w:t>
                  </w:r>
                </w:p>
              </w:tc>
              <w:tc>
                <w:tcPr>
                  <w:tcW w:w="992" w:type="dxa"/>
                  <w:vAlign w:val="center"/>
                </w:tcPr>
                <w:p>
                  <w:pPr>
                    <w:jc w:val="center"/>
                    <w:rPr>
                      <w:szCs w:val="21"/>
                    </w:rPr>
                  </w:pPr>
                  <w:r>
                    <w:rPr>
                      <w:rFonts w:hint="eastAsia"/>
                      <w:szCs w:val="21"/>
                    </w:rPr>
                    <w:t>S</w:t>
                  </w:r>
                  <w:r>
                    <w:rPr>
                      <w:szCs w:val="21"/>
                    </w:rPr>
                    <w:t>S</w:t>
                  </w:r>
                  <w:r>
                    <w:rPr>
                      <w:rFonts w:hint="eastAsia"/>
                      <w:szCs w:val="21"/>
                    </w:rPr>
                    <w:t>、pH</w:t>
                  </w:r>
                </w:p>
              </w:tc>
              <w:tc>
                <w:tcPr>
                  <w:tcW w:w="1140" w:type="dxa"/>
                  <w:vAlign w:val="center"/>
                </w:tcPr>
                <w:p>
                  <w:pPr>
                    <w:jc w:val="center"/>
                    <w:rPr>
                      <w:szCs w:val="21"/>
                    </w:rPr>
                  </w:pPr>
                  <w:r>
                    <w:rPr>
                      <w:rFonts w:hint="eastAsia"/>
                      <w:szCs w:val="21"/>
                    </w:rPr>
                    <w:t>脱硫设施</w:t>
                  </w:r>
                </w:p>
              </w:tc>
              <w:tc>
                <w:tcPr>
                  <w:tcW w:w="1128" w:type="dxa"/>
                  <w:vAlign w:val="center"/>
                </w:tcPr>
                <w:p>
                  <w:pPr>
                    <w:jc w:val="center"/>
                    <w:rPr>
                      <w:szCs w:val="21"/>
                    </w:rPr>
                  </w:pPr>
                  <w:r>
                    <w:rPr>
                      <w:rFonts w:hint="eastAsia"/>
                      <w:szCs w:val="21"/>
                    </w:rPr>
                    <w:t>配套</w:t>
                  </w:r>
                  <w:r>
                    <w:rPr>
                      <w:szCs w:val="21"/>
                    </w:rPr>
                    <w:t>废水净化装置</w:t>
                  </w:r>
                </w:p>
              </w:tc>
              <w:tc>
                <w:tcPr>
                  <w:tcW w:w="1632" w:type="dxa"/>
                  <w:vAlign w:val="center"/>
                </w:tcPr>
                <w:p>
                  <w:pPr>
                    <w:jc w:val="center"/>
                    <w:rPr>
                      <w:szCs w:val="21"/>
                    </w:rPr>
                  </w:pPr>
                  <w:r>
                    <w:rPr>
                      <w:rFonts w:hint="eastAsia"/>
                      <w:szCs w:val="21"/>
                    </w:rPr>
                    <w:t>中和、絮凝沉淀</w:t>
                  </w:r>
                  <w:r>
                    <w:rPr>
                      <w:szCs w:val="21"/>
                    </w:rPr>
                    <w:t>、澄清</w:t>
                  </w:r>
                </w:p>
              </w:tc>
              <w:tc>
                <w:tcPr>
                  <w:tcW w:w="1380" w:type="dxa"/>
                  <w:vAlign w:val="center"/>
                </w:tcPr>
                <w:p>
                  <w:pPr>
                    <w:jc w:val="center"/>
                    <w:rPr>
                      <w:szCs w:val="21"/>
                    </w:rPr>
                  </w:pPr>
                  <w:r>
                    <w:rPr>
                      <w:szCs w:val="21"/>
                    </w:rPr>
                    <w:t>50t/h</w:t>
                  </w:r>
                </w:p>
              </w:tc>
              <w:tc>
                <w:tcPr>
                  <w:tcW w:w="1380" w:type="dxa"/>
                  <w:vAlign w:val="center"/>
                </w:tcPr>
                <w:p>
                  <w:pPr>
                    <w:jc w:val="center"/>
                    <w:rPr>
                      <w:szCs w:val="21"/>
                    </w:rPr>
                  </w:pPr>
                  <w:r>
                    <w:rPr>
                      <w:rFonts w:hint="eastAsia"/>
                      <w:szCs w:val="21"/>
                    </w:rPr>
                    <w:t>回用3</w:t>
                  </w:r>
                  <w:r>
                    <w:rPr>
                      <w:szCs w:val="21"/>
                    </w:rPr>
                    <w:t>#、</w:t>
                  </w:r>
                  <w:r>
                    <w:rPr>
                      <w:rFonts w:hint="eastAsia"/>
                      <w:szCs w:val="21"/>
                    </w:rPr>
                    <w:t>4</w:t>
                  </w:r>
                  <w:r>
                    <w:rPr>
                      <w:szCs w:val="21"/>
                    </w:rPr>
                    <w:t>#</w:t>
                  </w:r>
                  <w:r>
                    <w:rPr>
                      <w:rFonts w:hint="eastAsia"/>
                      <w:szCs w:val="21"/>
                    </w:rPr>
                    <w:t>锅炉</w:t>
                  </w:r>
                  <w:r>
                    <w:rPr>
                      <w:szCs w:val="21"/>
                    </w:rPr>
                    <w:t>排渣用水</w:t>
                  </w:r>
                </w:p>
              </w:tc>
            </w:tr>
          </w:tbl>
          <w:p>
            <w:pPr>
              <w:spacing w:before="120" w:beforeLines="50" w:line="360" w:lineRule="auto"/>
              <w:ind w:firstLine="480" w:firstLineChars="200"/>
              <w:jc w:val="left"/>
              <w:rPr>
                <w:sz w:val="24"/>
                <w:szCs w:val="22"/>
              </w:rPr>
            </w:pPr>
            <w:r>
              <w:rPr>
                <w:rFonts w:hint="eastAsia"/>
                <w:sz w:val="24"/>
                <w:szCs w:val="22"/>
              </w:rPr>
              <w:t>综上</w:t>
            </w:r>
            <w:r>
              <w:rPr>
                <w:sz w:val="24"/>
                <w:szCs w:val="22"/>
              </w:rPr>
              <w:t>，现有工程</w:t>
            </w:r>
            <w:r>
              <w:rPr>
                <w:rFonts w:hint="eastAsia"/>
                <w:sz w:val="24"/>
                <w:szCs w:val="22"/>
              </w:rPr>
              <w:t>废水排入市政</w:t>
            </w:r>
            <w:r>
              <w:rPr>
                <w:sz w:val="24"/>
                <w:szCs w:val="22"/>
              </w:rPr>
              <w:t>污水管网，最终进入</w:t>
            </w:r>
            <w:r>
              <w:rPr>
                <w:rFonts w:hint="eastAsia"/>
                <w:sz w:val="24"/>
                <w:szCs w:val="22"/>
              </w:rPr>
              <w:t>秦汉新城朝阳污水处理厂处理</w:t>
            </w:r>
            <w:r>
              <w:rPr>
                <w:sz w:val="24"/>
                <w:szCs w:val="22"/>
              </w:rPr>
              <w:t>。</w:t>
            </w:r>
          </w:p>
          <w:p>
            <w:pPr>
              <w:spacing w:line="360" w:lineRule="auto"/>
              <w:ind w:firstLine="480" w:firstLineChars="200"/>
              <w:jc w:val="left"/>
              <w:rPr>
                <w:sz w:val="24"/>
                <w:szCs w:val="22"/>
              </w:rPr>
            </w:pPr>
            <w:r>
              <w:rPr>
                <w:sz w:val="24"/>
                <w:szCs w:val="22"/>
              </w:rPr>
              <w:fldChar w:fldCharType="begin"/>
            </w:r>
            <w:r>
              <w:rPr>
                <w:sz w:val="24"/>
                <w:szCs w:val="22"/>
              </w:rPr>
              <w:instrText xml:space="preserve"> </w:instrText>
            </w:r>
            <w:r>
              <w:rPr>
                <w:rFonts w:hint="eastAsia"/>
                <w:sz w:val="24"/>
                <w:szCs w:val="22"/>
              </w:rPr>
              <w:instrText xml:space="preserve">= 3 \* GB2</w:instrText>
            </w:r>
            <w:r>
              <w:rPr>
                <w:sz w:val="24"/>
                <w:szCs w:val="22"/>
              </w:rPr>
              <w:instrText xml:space="preserve"> </w:instrText>
            </w:r>
            <w:r>
              <w:rPr>
                <w:sz w:val="24"/>
                <w:szCs w:val="22"/>
              </w:rPr>
              <w:fldChar w:fldCharType="separate"/>
            </w:r>
            <w:r>
              <w:rPr>
                <w:rFonts w:hint="eastAsia"/>
                <w:sz w:val="24"/>
                <w:szCs w:val="22"/>
              </w:rPr>
              <w:t>⑶</w:t>
            </w:r>
            <w:r>
              <w:rPr>
                <w:sz w:val="24"/>
                <w:szCs w:val="22"/>
              </w:rPr>
              <w:fldChar w:fldCharType="end"/>
            </w:r>
            <w:r>
              <w:rPr>
                <w:sz w:val="24"/>
                <w:szCs w:val="22"/>
              </w:rPr>
              <w:t xml:space="preserve"> </w:t>
            </w:r>
            <w:r>
              <w:rPr>
                <w:rFonts w:hint="eastAsia"/>
                <w:sz w:val="24"/>
                <w:szCs w:val="22"/>
              </w:rPr>
              <w:t>噪声</w:t>
            </w:r>
          </w:p>
          <w:p>
            <w:pPr>
              <w:spacing w:line="360" w:lineRule="auto"/>
              <w:ind w:firstLine="480" w:firstLineChars="200"/>
              <w:jc w:val="left"/>
              <w:rPr>
                <w:sz w:val="24"/>
                <w:szCs w:val="22"/>
              </w:rPr>
            </w:pPr>
            <w:r>
              <w:rPr>
                <w:rFonts w:hint="eastAsia"/>
                <w:sz w:val="24"/>
                <w:szCs w:val="22"/>
              </w:rPr>
              <w:t>目前，厂区噪声源主要包括汽轮机、发电机、磨煤机、灰渣泵房、各水泵房、送引风机、冷却塔等。</w:t>
            </w:r>
          </w:p>
          <w:p>
            <w:pPr>
              <w:spacing w:line="360" w:lineRule="auto"/>
              <w:ind w:firstLine="480" w:firstLineChars="200"/>
              <w:jc w:val="left"/>
              <w:rPr>
                <w:sz w:val="24"/>
                <w:szCs w:val="22"/>
              </w:rPr>
            </w:pPr>
            <w:r>
              <w:rPr>
                <w:rFonts w:hint="eastAsia"/>
                <w:sz w:val="24"/>
                <w:szCs w:val="22"/>
              </w:rPr>
              <w:t>根据现场调查，企业针对噪声来源采取不同的防治措施，包括将大部分强声源集中在厂房内，灰渣泵、各类水泵及空压机均设置专用泵房或空压站，减少对厂外环境的影响，部分设备有隔声罩、消声器、减振垫。加强绿化，种植绿化隔离带，减轻电厂噪声对周围环境的影响。</w:t>
            </w:r>
          </w:p>
          <w:p>
            <w:pPr>
              <w:spacing w:line="360" w:lineRule="auto"/>
              <w:ind w:firstLine="480" w:firstLineChars="200"/>
              <w:jc w:val="left"/>
              <w:rPr>
                <w:sz w:val="24"/>
                <w:szCs w:val="22"/>
              </w:rPr>
            </w:pPr>
            <w:r>
              <w:rPr>
                <w:sz w:val="24"/>
                <w:szCs w:val="22"/>
              </w:rPr>
              <w:t>厂区</w:t>
            </w:r>
            <w:r>
              <w:rPr>
                <w:rFonts w:hint="eastAsia"/>
                <w:sz w:val="24"/>
                <w:szCs w:val="22"/>
              </w:rPr>
              <w:t>201</w:t>
            </w:r>
            <w:r>
              <w:rPr>
                <w:sz w:val="24"/>
                <w:szCs w:val="22"/>
              </w:rPr>
              <w:t>8</w:t>
            </w:r>
            <w:r>
              <w:rPr>
                <w:rFonts w:hint="eastAsia"/>
                <w:sz w:val="24"/>
                <w:szCs w:val="22"/>
              </w:rPr>
              <w:t>年10月6日</w:t>
            </w:r>
            <w:r>
              <w:rPr>
                <w:sz w:val="24"/>
                <w:szCs w:val="22"/>
              </w:rPr>
              <w:t>至</w:t>
            </w:r>
            <w:r>
              <w:rPr>
                <w:rFonts w:hint="eastAsia"/>
                <w:sz w:val="24"/>
                <w:szCs w:val="22"/>
              </w:rPr>
              <w:t>7日</w:t>
            </w:r>
            <w:r>
              <w:rPr>
                <w:sz w:val="24"/>
                <w:szCs w:val="22"/>
              </w:rPr>
              <w:t>的</w:t>
            </w:r>
            <w:r>
              <w:rPr>
                <w:rFonts w:hint="eastAsia"/>
                <w:sz w:val="24"/>
                <w:szCs w:val="22"/>
              </w:rPr>
              <w:t>厂界</w:t>
            </w:r>
            <w:r>
              <w:rPr>
                <w:sz w:val="24"/>
                <w:szCs w:val="22"/>
              </w:rPr>
              <w:t>噪声监测结果见表8</w:t>
            </w:r>
            <w:r>
              <w:rPr>
                <w:rFonts w:hint="eastAsia"/>
                <w:sz w:val="24"/>
                <w:szCs w:val="22"/>
              </w:rPr>
              <w:t>。</w:t>
            </w:r>
          </w:p>
          <w:p>
            <w:pPr>
              <w:jc w:val="center"/>
              <w:rPr>
                <w:b/>
                <w:szCs w:val="21"/>
              </w:rPr>
            </w:pPr>
            <w:r>
              <w:rPr>
                <w:rFonts w:hint="eastAsia"/>
                <w:b/>
                <w:szCs w:val="21"/>
              </w:rPr>
              <w:t>表</w:t>
            </w:r>
            <w:r>
              <w:rPr>
                <w:b/>
                <w:szCs w:val="21"/>
              </w:rPr>
              <w:t>8</w:t>
            </w:r>
            <w:r>
              <w:rPr>
                <w:rFonts w:hint="eastAsia"/>
                <w:b/>
                <w:szCs w:val="21"/>
              </w:rPr>
              <w:t xml:space="preserve">    厂界</w:t>
            </w:r>
            <w:r>
              <w:rPr>
                <w:b/>
                <w:szCs w:val="21"/>
              </w:rPr>
              <w:t>噪声监测</w:t>
            </w:r>
            <w:r>
              <w:rPr>
                <w:rFonts w:hint="eastAsia"/>
                <w:b/>
                <w:szCs w:val="21"/>
              </w:rPr>
              <w:t>结果</w:t>
            </w:r>
          </w:p>
          <w:tbl>
            <w:tblPr>
              <w:tblStyle w:val="40"/>
              <w:tblW w:w="88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701"/>
              <w:gridCol w:w="1701"/>
              <w:gridCol w:w="2268"/>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Align w:val="center"/>
                </w:tcPr>
                <w:p>
                  <w:pPr>
                    <w:jc w:val="center"/>
                    <w:rPr>
                      <w:szCs w:val="21"/>
                    </w:rPr>
                  </w:pPr>
                  <w:r>
                    <w:rPr>
                      <w:rFonts w:hint="eastAsia"/>
                      <w:szCs w:val="21"/>
                    </w:rPr>
                    <w:t>序号</w:t>
                  </w:r>
                </w:p>
              </w:tc>
              <w:tc>
                <w:tcPr>
                  <w:tcW w:w="1701" w:type="dxa"/>
                  <w:vAlign w:val="center"/>
                </w:tcPr>
                <w:p>
                  <w:pPr>
                    <w:jc w:val="center"/>
                    <w:rPr>
                      <w:szCs w:val="21"/>
                    </w:rPr>
                  </w:pPr>
                  <w:r>
                    <w:rPr>
                      <w:rFonts w:hint="eastAsia"/>
                      <w:szCs w:val="21"/>
                    </w:rPr>
                    <w:t>监测点</w:t>
                  </w:r>
                </w:p>
              </w:tc>
              <w:tc>
                <w:tcPr>
                  <w:tcW w:w="1701" w:type="dxa"/>
                  <w:vAlign w:val="center"/>
                </w:tcPr>
                <w:p>
                  <w:pPr>
                    <w:jc w:val="center"/>
                    <w:rPr>
                      <w:szCs w:val="21"/>
                    </w:rPr>
                  </w:pPr>
                  <w:r>
                    <w:rPr>
                      <w:rFonts w:hint="eastAsia"/>
                      <w:szCs w:val="21"/>
                    </w:rPr>
                    <w:t>监测</w:t>
                  </w:r>
                  <w:r>
                    <w:rPr>
                      <w:szCs w:val="21"/>
                    </w:rPr>
                    <w:t>时间</w:t>
                  </w:r>
                </w:p>
              </w:tc>
              <w:tc>
                <w:tcPr>
                  <w:tcW w:w="2268" w:type="dxa"/>
                  <w:vAlign w:val="center"/>
                </w:tcPr>
                <w:p>
                  <w:pPr>
                    <w:jc w:val="center"/>
                    <w:rPr>
                      <w:szCs w:val="21"/>
                    </w:rPr>
                  </w:pPr>
                  <w:r>
                    <w:rPr>
                      <w:rFonts w:hint="eastAsia"/>
                      <w:szCs w:val="21"/>
                    </w:rPr>
                    <w:t>昼间噪声值（（dB）A）</w:t>
                  </w:r>
                </w:p>
              </w:tc>
              <w:tc>
                <w:tcPr>
                  <w:tcW w:w="2121" w:type="dxa"/>
                  <w:vAlign w:val="center"/>
                </w:tcPr>
                <w:p>
                  <w:pPr>
                    <w:jc w:val="center"/>
                    <w:rPr>
                      <w:szCs w:val="21"/>
                    </w:rPr>
                  </w:pPr>
                  <w:r>
                    <w:rPr>
                      <w:rFonts w:hint="eastAsia"/>
                      <w:szCs w:val="21"/>
                    </w:rPr>
                    <w:t>夜间噪声值（（dB）A）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restart"/>
                  <w:vAlign w:val="center"/>
                </w:tcPr>
                <w:p>
                  <w:pPr>
                    <w:jc w:val="center"/>
                    <w:rPr>
                      <w:szCs w:val="21"/>
                    </w:rPr>
                  </w:pPr>
                  <w:r>
                    <w:rPr>
                      <w:rFonts w:hint="eastAsia"/>
                      <w:szCs w:val="21"/>
                    </w:rPr>
                    <w:t>1</w:t>
                  </w:r>
                </w:p>
              </w:tc>
              <w:tc>
                <w:tcPr>
                  <w:tcW w:w="1701" w:type="dxa"/>
                  <w:vMerge w:val="restart"/>
                  <w:vAlign w:val="center"/>
                </w:tcPr>
                <w:p>
                  <w:pPr>
                    <w:jc w:val="center"/>
                    <w:rPr>
                      <w:szCs w:val="21"/>
                    </w:rPr>
                  </w:pPr>
                  <w:r>
                    <w:rPr>
                      <w:rFonts w:hint="eastAsia"/>
                      <w:szCs w:val="21"/>
                    </w:rPr>
                    <w:t>南厂界1</w:t>
                  </w:r>
                </w:p>
              </w:tc>
              <w:tc>
                <w:tcPr>
                  <w:tcW w:w="1701" w:type="dxa"/>
                  <w:vAlign w:val="center"/>
                </w:tcPr>
                <w:p>
                  <w:pPr>
                    <w:jc w:val="center"/>
                    <w:rPr>
                      <w:szCs w:val="21"/>
                    </w:rPr>
                  </w:pPr>
                  <w:r>
                    <w:rPr>
                      <w:rFonts w:hint="eastAsia"/>
                      <w:szCs w:val="21"/>
                    </w:rPr>
                    <w:t>2018.10.6</w:t>
                  </w:r>
                </w:p>
              </w:tc>
              <w:tc>
                <w:tcPr>
                  <w:tcW w:w="2268" w:type="dxa"/>
                </w:tcPr>
                <w:p>
                  <w:pPr>
                    <w:jc w:val="center"/>
                  </w:pPr>
                  <w:r>
                    <w:t>54.3</w:t>
                  </w:r>
                </w:p>
              </w:tc>
              <w:tc>
                <w:tcPr>
                  <w:tcW w:w="2121" w:type="dxa"/>
                </w:tcPr>
                <w:p>
                  <w:pPr>
                    <w:jc w:val="center"/>
                  </w:pPr>
                  <w:r>
                    <w:t>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continue"/>
                  <w:vAlign w:val="center"/>
                </w:tcPr>
                <w:p>
                  <w:pPr>
                    <w:jc w:val="center"/>
                    <w:rPr>
                      <w:szCs w:val="21"/>
                    </w:rPr>
                  </w:pPr>
                </w:p>
              </w:tc>
              <w:tc>
                <w:tcPr>
                  <w:tcW w:w="1701" w:type="dxa"/>
                  <w:vMerge w:val="continue"/>
                  <w:vAlign w:val="center"/>
                </w:tcPr>
                <w:p>
                  <w:pPr>
                    <w:jc w:val="center"/>
                    <w:rPr>
                      <w:szCs w:val="21"/>
                    </w:rPr>
                  </w:pPr>
                </w:p>
              </w:tc>
              <w:tc>
                <w:tcPr>
                  <w:tcW w:w="1701" w:type="dxa"/>
                  <w:vAlign w:val="center"/>
                </w:tcPr>
                <w:p>
                  <w:pPr>
                    <w:jc w:val="center"/>
                    <w:rPr>
                      <w:szCs w:val="21"/>
                    </w:rPr>
                  </w:pPr>
                  <w:r>
                    <w:rPr>
                      <w:rFonts w:hint="eastAsia"/>
                      <w:szCs w:val="21"/>
                    </w:rPr>
                    <w:t>2018.10.7</w:t>
                  </w:r>
                </w:p>
              </w:tc>
              <w:tc>
                <w:tcPr>
                  <w:tcW w:w="2268" w:type="dxa"/>
                  <w:vAlign w:val="center"/>
                </w:tcPr>
                <w:p>
                  <w:pPr>
                    <w:jc w:val="center"/>
                  </w:pPr>
                  <w:r>
                    <w:rPr>
                      <w:rFonts w:hint="eastAsia"/>
                    </w:rPr>
                    <w:t>54.0</w:t>
                  </w:r>
                </w:p>
              </w:tc>
              <w:tc>
                <w:tcPr>
                  <w:tcW w:w="2121" w:type="dxa"/>
                  <w:vAlign w:val="center"/>
                </w:tcPr>
                <w:p>
                  <w:pPr>
                    <w:jc w:val="center"/>
                  </w:pPr>
                  <w:r>
                    <w:rPr>
                      <w:rFonts w:hint="eastAsia"/>
                    </w:rPr>
                    <w:t>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restart"/>
                  <w:vAlign w:val="center"/>
                </w:tcPr>
                <w:p>
                  <w:pPr>
                    <w:jc w:val="center"/>
                    <w:rPr>
                      <w:szCs w:val="21"/>
                    </w:rPr>
                  </w:pPr>
                  <w:r>
                    <w:rPr>
                      <w:rFonts w:hint="eastAsia"/>
                      <w:szCs w:val="21"/>
                    </w:rPr>
                    <w:t>2</w:t>
                  </w:r>
                </w:p>
              </w:tc>
              <w:tc>
                <w:tcPr>
                  <w:tcW w:w="1701" w:type="dxa"/>
                  <w:vMerge w:val="restart"/>
                  <w:vAlign w:val="center"/>
                </w:tcPr>
                <w:p>
                  <w:pPr>
                    <w:jc w:val="center"/>
                    <w:rPr>
                      <w:szCs w:val="21"/>
                    </w:rPr>
                  </w:pPr>
                  <w:r>
                    <w:rPr>
                      <w:rFonts w:hint="eastAsia"/>
                      <w:szCs w:val="21"/>
                    </w:rPr>
                    <w:t>南厂界2</w:t>
                  </w:r>
                </w:p>
              </w:tc>
              <w:tc>
                <w:tcPr>
                  <w:tcW w:w="1701" w:type="dxa"/>
                  <w:vAlign w:val="center"/>
                </w:tcPr>
                <w:p>
                  <w:pPr>
                    <w:jc w:val="center"/>
                    <w:rPr>
                      <w:szCs w:val="21"/>
                    </w:rPr>
                  </w:pPr>
                  <w:r>
                    <w:rPr>
                      <w:rFonts w:hint="eastAsia"/>
                      <w:szCs w:val="21"/>
                    </w:rPr>
                    <w:t>2018.10.6</w:t>
                  </w:r>
                </w:p>
              </w:tc>
              <w:tc>
                <w:tcPr>
                  <w:tcW w:w="2268" w:type="dxa"/>
                  <w:vAlign w:val="center"/>
                </w:tcPr>
                <w:p>
                  <w:pPr>
                    <w:jc w:val="center"/>
                  </w:pPr>
                  <w:r>
                    <w:rPr>
                      <w:rFonts w:hint="eastAsia"/>
                    </w:rPr>
                    <w:t>54.1</w:t>
                  </w:r>
                </w:p>
              </w:tc>
              <w:tc>
                <w:tcPr>
                  <w:tcW w:w="2121" w:type="dxa"/>
                  <w:vAlign w:val="center"/>
                </w:tcPr>
                <w:p>
                  <w:pPr>
                    <w:jc w:val="center"/>
                  </w:pPr>
                  <w:r>
                    <w:rPr>
                      <w:rFonts w:hint="eastAsia"/>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continue"/>
                  <w:vAlign w:val="center"/>
                </w:tcPr>
                <w:p>
                  <w:pPr>
                    <w:jc w:val="center"/>
                    <w:rPr>
                      <w:szCs w:val="21"/>
                    </w:rPr>
                  </w:pPr>
                </w:p>
              </w:tc>
              <w:tc>
                <w:tcPr>
                  <w:tcW w:w="1701" w:type="dxa"/>
                  <w:vMerge w:val="continue"/>
                  <w:vAlign w:val="center"/>
                </w:tcPr>
                <w:p>
                  <w:pPr>
                    <w:jc w:val="center"/>
                    <w:rPr>
                      <w:szCs w:val="21"/>
                    </w:rPr>
                  </w:pPr>
                </w:p>
              </w:tc>
              <w:tc>
                <w:tcPr>
                  <w:tcW w:w="1701" w:type="dxa"/>
                  <w:vAlign w:val="center"/>
                </w:tcPr>
                <w:p>
                  <w:pPr>
                    <w:jc w:val="center"/>
                    <w:rPr>
                      <w:szCs w:val="21"/>
                    </w:rPr>
                  </w:pPr>
                  <w:r>
                    <w:rPr>
                      <w:rFonts w:hint="eastAsia"/>
                      <w:szCs w:val="21"/>
                    </w:rPr>
                    <w:t>2018.10.7</w:t>
                  </w:r>
                </w:p>
              </w:tc>
              <w:tc>
                <w:tcPr>
                  <w:tcW w:w="2268" w:type="dxa"/>
                  <w:vAlign w:val="center"/>
                </w:tcPr>
                <w:p>
                  <w:pPr>
                    <w:jc w:val="center"/>
                  </w:pPr>
                  <w:r>
                    <w:rPr>
                      <w:rFonts w:hint="eastAsia"/>
                    </w:rPr>
                    <w:t>53.8</w:t>
                  </w:r>
                </w:p>
              </w:tc>
              <w:tc>
                <w:tcPr>
                  <w:tcW w:w="2121" w:type="dxa"/>
                  <w:vAlign w:val="center"/>
                </w:tcPr>
                <w:p>
                  <w:pPr>
                    <w:jc w:val="center"/>
                  </w:pPr>
                  <w:r>
                    <w:rPr>
                      <w:rFonts w:hint="eastAsia"/>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restart"/>
                  <w:vAlign w:val="center"/>
                </w:tcPr>
                <w:p>
                  <w:pPr>
                    <w:jc w:val="center"/>
                    <w:rPr>
                      <w:szCs w:val="21"/>
                    </w:rPr>
                  </w:pPr>
                  <w:r>
                    <w:rPr>
                      <w:rFonts w:hint="eastAsia"/>
                      <w:szCs w:val="21"/>
                    </w:rPr>
                    <w:t>3</w:t>
                  </w:r>
                </w:p>
              </w:tc>
              <w:tc>
                <w:tcPr>
                  <w:tcW w:w="1701" w:type="dxa"/>
                  <w:vMerge w:val="restart"/>
                  <w:vAlign w:val="center"/>
                </w:tcPr>
                <w:p>
                  <w:pPr>
                    <w:jc w:val="center"/>
                    <w:rPr>
                      <w:szCs w:val="21"/>
                    </w:rPr>
                  </w:pPr>
                  <w:r>
                    <w:rPr>
                      <w:rFonts w:hint="eastAsia"/>
                      <w:szCs w:val="21"/>
                    </w:rPr>
                    <w:t>东厂界1</w:t>
                  </w:r>
                </w:p>
              </w:tc>
              <w:tc>
                <w:tcPr>
                  <w:tcW w:w="1701" w:type="dxa"/>
                  <w:vAlign w:val="center"/>
                </w:tcPr>
                <w:p>
                  <w:pPr>
                    <w:jc w:val="center"/>
                    <w:rPr>
                      <w:szCs w:val="21"/>
                    </w:rPr>
                  </w:pPr>
                  <w:r>
                    <w:rPr>
                      <w:rFonts w:hint="eastAsia"/>
                      <w:szCs w:val="21"/>
                    </w:rPr>
                    <w:t>2018.10.6</w:t>
                  </w:r>
                </w:p>
              </w:tc>
              <w:tc>
                <w:tcPr>
                  <w:tcW w:w="2268" w:type="dxa"/>
                  <w:vAlign w:val="center"/>
                </w:tcPr>
                <w:p>
                  <w:pPr>
                    <w:jc w:val="center"/>
                  </w:pPr>
                  <w:r>
                    <w:rPr>
                      <w:rFonts w:hint="eastAsia"/>
                    </w:rPr>
                    <w:t>53.8</w:t>
                  </w:r>
                </w:p>
              </w:tc>
              <w:tc>
                <w:tcPr>
                  <w:tcW w:w="2121" w:type="dxa"/>
                  <w:vAlign w:val="center"/>
                </w:tcPr>
                <w:p>
                  <w:pPr>
                    <w:jc w:val="center"/>
                  </w:pPr>
                  <w:r>
                    <w:rPr>
                      <w:rFonts w:hint="eastAsia"/>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continue"/>
                  <w:vAlign w:val="center"/>
                </w:tcPr>
                <w:p>
                  <w:pPr>
                    <w:jc w:val="center"/>
                    <w:rPr>
                      <w:szCs w:val="21"/>
                    </w:rPr>
                  </w:pPr>
                </w:p>
              </w:tc>
              <w:tc>
                <w:tcPr>
                  <w:tcW w:w="1701" w:type="dxa"/>
                  <w:vMerge w:val="continue"/>
                  <w:vAlign w:val="center"/>
                </w:tcPr>
                <w:p>
                  <w:pPr>
                    <w:jc w:val="center"/>
                    <w:rPr>
                      <w:szCs w:val="21"/>
                    </w:rPr>
                  </w:pPr>
                </w:p>
              </w:tc>
              <w:tc>
                <w:tcPr>
                  <w:tcW w:w="1701" w:type="dxa"/>
                  <w:vAlign w:val="center"/>
                </w:tcPr>
                <w:p>
                  <w:pPr>
                    <w:jc w:val="center"/>
                    <w:rPr>
                      <w:szCs w:val="21"/>
                    </w:rPr>
                  </w:pPr>
                  <w:r>
                    <w:rPr>
                      <w:rFonts w:hint="eastAsia"/>
                      <w:szCs w:val="21"/>
                    </w:rPr>
                    <w:t>2018.10.7</w:t>
                  </w:r>
                </w:p>
              </w:tc>
              <w:tc>
                <w:tcPr>
                  <w:tcW w:w="2268" w:type="dxa"/>
                  <w:vAlign w:val="center"/>
                </w:tcPr>
                <w:p>
                  <w:pPr>
                    <w:jc w:val="center"/>
                  </w:pPr>
                  <w:r>
                    <w:rPr>
                      <w:rFonts w:hint="eastAsia"/>
                    </w:rPr>
                    <w:t>53.6</w:t>
                  </w:r>
                </w:p>
              </w:tc>
              <w:tc>
                <w:tcPr>
                  <w:tcW w:w="2121" w:type="dxa"/>
                  <w:vAlign w:val="center"/>
                </w:tcPr>
                <w:p>
                  <w:pPr>
                    <w:jc w:val="center"/>
                  </w:pPr>
                  <w:r>
                    <w:rPr>
                      <w:rFonts w:hint="eastAsia"/>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restart"/>
                  <w:vAlign w:val="center"/>
                </w:tcPr>
                <w:p>
                  <w:pPr>
                    <w:jc w:val="center"/>
                    <w:rPr>
                      <w:szCs w:val="21"/>
                    </w:rPr>
                  </w:pPr>
                  <w:r>
                    <w:rPr>
                      <w:rFonts w:hint="eastAsia"/>
                      <w:szCs w:val="21"/>
                    </w:rPr>
                    <w:t>4</w:t>
                  </w:r>
                </w:p>
              </w:tc>
              <w:tc>
                <w:tcPr>
                  <w:tcW w:w="1701" w:type="dxa"/>
                  <w:vMerge w:val="restart"/>
                  <w:vAlign w:val="center"/>
                </w:tcPr>
                <w:p>
                  <w:pPr>
                    <w:jc w:val="center"/>
                    <w:rPr>
                      <w:szCs w:val="21"/>
                    </w:rPr>
                  </w:pPr>
                  <w:r>
                    <w:rPr>
                      <w:rFonts w:hint="eastAsia"/>
                      <w:szCs w:val="21"/>
                    </w:rPr>
                    <w:t>东厂界2</w:t>
                  </w:r>
                </w:p>
              </w:tc>
              <w:tc>
                <w:tcPr>
                  <w:tcW w:w="1701" w:type="dxa"/>
                  <w:vAlign w:val="center"/>
                </w:tcPr>
                <w:p>
                  <w:pPr>
                    <w:jc w:val="center"/>
                    <w:rPr>
                      <w:szCs w:val="21"/>
                    </w:rPr>
                  </w:pPr>
                  <w:r>
                    <w:rPr>
                      <w:rFonts w:hint="eastAsia"/>
                      <w:szCs w:val="21"/>
                    </w:rPr>
                    <w:t>2018.10.6</w:t>
                  </w:r>
                </w:p>
              </w:tc>
              <w:tc>
                <w:tcPr>
                  <w:tcW w:w="2268" w:type="dxa"/>
                  <w:vAlign w:val="center"/>
                </w:tcPr>
                <w:p>
                  <w:pPr>
                    <w:jc w:val="center"/>
                  </w:pPr>
                  <w:r>
                    <w:rPr>
                      <w:rFonts w:hint="eastAsia"/>
                    </w:rPr>
                    <w:t>54.2</w:t>
                  </w:r>
                </w:p>
              </w:tc>
              <w:tc>
                <w:tcPr>
                  <w:tcW w:w="2121" w:type="dxa"/>
                  <w:vAlign w:val="center"/>
                </w:tcPr>
                <w:p>
                  <w:pPr>
                    <w:jc w:val="center"/>
                  </w:pPr>
                  <w:r>
                    <w:rPr>
                      <w:rFonts w:hint="eastAsia"/>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continue"/>
                  <w:vAlign w:val="center"/>
                </w:tcPr>
                <w:p>
                  <w:pPr>
                    <w:jc w:val="center"/>
                    <w:rPr>
                      <w:szCs w:val="21"/>
                    </w:rPr>
                  </w:pPr>
                </w:p>
              </w:tc>
              <w:tc>
                <w:tcPr>
                  <w:tcW w:w="1701" w:type="dxa"/>
                  <w:vMerge w:val="continue"/>
                  <w:vAlign w:val="center"/>
                </w:tcPr>
                <w:p>
                  <w:pPr>
                    <w:jc w:val="center"/>
                    <w:rPr>
                      <w:szCs w:val="21"/>
                    </w:rPr>
                  </w:pPr>
                </w:p>
              </w:tc>
              <w:tc>
                <w:tcPr>
                  <w:tcW w:w="1701" w:type="dxa"/>
                  <w:vAlign w:val="center"/>
                </w:tcPr>
                <w:p>
                  <w:pPr>
                    <w:jc w:val="center"/>
                    <w:rPr>
                      <w:szCs w:val="21"/>
                    </w:rPr>
                  </w:pPr>
                  <w:r>
                    <w:rPr>
                      <w:rFonts w:hint="eastAsia"/>
                      <w:szCs w:val="21"/>
                    </w:rPr>
                    <w:t>2018.10.7</w:t>
                  </w:r>
                </w:p>
              </w:tc>
              <w:tc>
                <w:tcPr>
                  <w:tcW w:w="2268" w:type="dxa"/>
                  <w:vAlign w:val="center"/>
                </w:tcPr>
                <w:p>
                  <w:pPr>
                    <w:jc w:val="center"/>
                  </w:pPr>
                  <w:r>
                    <w:rPr>
                      <w:rFonts w:hint="eastAsia"/>
                    </w:rPr>
                    <w:t>54.4</w:t>
                  </w:r>
                </w:p>
              </w:tc>
              <w:tc>
                <w:tcPr>
                  <w:tcW w:w="2121" w:type="dxa"/>
                  <w:vAlign w:val="center"/>
                </w:tcPr>
                <w:p>
                  <w:pPr>
                    <w:jc w:val="center"/>
                  </w:pPr>
                  <w:r>
                    <w:rPr>
                      <w:rFonts w:hint="eastAsia"/>
                    </w:rPr>
                    <w:t>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restart"/>
                  <w:vAlign w:val="center"/>
                </w:tcPr>
                <w:p>
                  <w:pPr>
                    <w:jc w:val="center"/>
                    <w:rPr>
                      <w:szCs w:val="21"/>
                    </w:rPr>
                  </w:pPr>
                  <w:r>
                    <w:rPr>
                      <w:rFonts w:hint="eastAsia"/>
                      <w:szCs w:val="21"/>
                    </w:rPr>
                    <w:t>5</w:t>
                  </w:r>
                </w:p>
              </w:tc>
              <w:tc>
                <w:tcPr>
                  <w:tcW w:w="1701" w:type="dxa"/>
                  <w:vMerge w:val="restart"/>
                  <w:vAlign w:val="center"/>
                </w:tcPr>
                <w:p>
                  <w:pPr>
                    <w:jc w:val="center"/>
                    <w:rPr>
                      <w:szCs w:val="21"/>
                    </w:rPr>
                  </w:pPr>
                  <w:r>
                    <w:rPr>
                      <w:rFonts w:hint="eastAsia"/>
                      <w:szCs w:val="21"/>
                    </w:rPr>
                    <w:t>北厂界1</w:t>
                  </w:r>
                </w:p>
              </w:tc>
              <w:tc>
                <w:tcPr>
                  <w:tcW w:w="1701" w:type="dxa"/>
                  <w:vAlign w:val="center"/>
                </w:tcPr>
                <w:p>
                  <w:pPr>
                    <w:jc w:val="center"/>
                    <w:rPr>
                      <w:szCs w:val="21"/>
                    </w:rPr>
                  </w:pPr>
                  <w:r>
                    <w:rPr>
                      <w:rFonts w:hint="eastAsia"/>
                      <w:szCs w:val="21"/>
                    </w:rPr>
                    <w:t>2018.10.6</w:t>
                  </w:r>
                </w:p>
              </w:tc>
              <w:tc>
                <w:tcPr>
                  <w:tcW w:w="2268" w:type="dxa"/>
                  <w:vAlign w:val="center"/>
                </w:tcPr>
                <w:p>
                  <w:pPr>
                    <w:jc w:val="center"/>
                  </w:pPr>
                  <w:r>
                    <w:rPr>
                      <w:rFonts w:hint="eastAsia"/>
                    </w:rPr>
                    <w:t>54.5</w:t>
                  </w:r>
                </w:p>
              </w:tc>
              <w:tc>
                <w:tcPr>
                  <w:tcW w:w="2121" w:type="dxa"/>
                  <w:vAlign w:val="center"/>
                </w:tcPr>
                <w:p>
                  <w:pPr>
                    <w:jc w:val="center"/>
                  </w:pPr>
                  <w:r>
                    <w:rPr>
                      <w:rFonts w:hint="eastAsia"/>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continue"/>
                  <w:vAlign w:val="center"/>
                </w:tcPr>
                <w:p>
                  <w:pPr>
                    <w:jc w:val="center"/>
                    <w:rPr>
                      <w:szCs w:val="21"/>
                    </w:rPr>
                  </w:pPr>
                </w:p>
              </w:tc>
              <w:tc>
                <w:tcPr>
                  <w:tcW w:w="1701" w:type="dxa"/>
                  <w:vMerge w:val="continue"/>
                  <w:vAlign w:val="center"/>
                </w:tcPr>
                <w:p>
                  <w:pPr>
                    <w:jc w:val="center"/>
                    <w:rPr>
                      <w:szCs w:val="21"/>
                    </w:rPr>
                  </w:pPr>
                </w:p>
              </w:tc>
              <w:tc>
                <w:tcPr>
                  <w:tcW w:w="1701" w:type="dxa"/>
                  <w:vAlign w:val="center"/>
                </w:tcPr>
                <w:p>
                  <w:pPr>
                    <w:jc w:val="center"/>
                    <w:rPr>
                      <w:szCs w:val="21"/>
                    </w:rPr>
                  </w:pPr>
                  <w:r>
                    <w:rPr>
                      <w:rFonts w:hint="eastAsia"/>
                      <w:szCs w:val="21"/>
                    </w:rPr>
                    <w:t>2018.10.7</w:t>
                  </w:r>
                </w:p>
              </w:tc>
              <w:tc>
                <w:tcPr>
                  <w:tcW w:w="2268" w:type="dxa"/>
                  <w:vAlign w:val="center"/>
                </w:tcPr>
                <w:p>
                  <w:pPr>
                    <w:jc w:val="center"/>
                  </w:pPr>
                  <w:r>
                    <w:rPr>
                      <w:rFonts w:hint="eastAsia"/>
                    </w:rPr>
                    <w:t>54.3</w:t>
                  </w:r>
                </w:p>
              </w:tc>
              <w:tc>
                <w:tcPr>
                  <w:tcW w:w="2121" w:type="dxa"/>
                  <w:vAlign w:val="center"/>
                </w:tcPr>
                <w:p>
                  <w:pPr>
                    <w:jc w:val="center"/>
                  </w:pPr>
                  <w:r>
                    <w:rPr>
                      <w:rFonts w:hint="eastAsia"/>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restart"/>
                  <w:vAlign w:val="center"/>
                </w:tcPr>
                <w:p>
                  <w:pPr>
                    <w:jc w:val="center"/>
                    <w:rPr>
                      <w:szCs w:val="21"/>
                    </w:rPr>
                  </w:pPr>
                  <w:r>
                    <w:rPr>
                      <w:rFonts w:hint="eastAsia"/>
                      <w:szCs w:val="21"/>
                    </w:rPr>
                    <w:t>6</w:t>
                  </w:r>
                </w:p>
              </w:tc>
              <w:tc>
                <w:tcPr>
                  <w:tcW w:w="1701" w:type="dxa"/>
                  <w:vMerge w:val="restart"/>
                  <w:vAlign w:val="center"/>
                </w:tcPr>
                <w:p>
                  <w:pPr>
                    <w:jc w:val="center"/>
                    <w:rPr>
                      <w:szCs w:val="21"/>
                    </w:rPr>
                  </w:pPr>
                  <w:r>
                    <w:rPr>
                      <w:rFonts w:hint="eastAsia"/>
                      <w:szCs w:val="21"/>
                    </w:rPr>
                    <w:t>北厂界2</w:t>
                  </w:r>
                </w:p>
              </w:tc>
              <w:tc>
                <w:tcPr>
                  <w:tcW w:w="1701" w:type="dxa"/>
                  <w:vAlign w:val="center"/>
                </w:tcPr>
                <w:p>
                  <w:pPr>
                    <w:jc w:val="center"/>
                    <w:rPr>
                      <w:szCs w:val="21"/>
                    </w:rPr>
                  </w:pPr>
                  <w:r>
                    <w:rPr>
                      <w:rFonts w:hint="eastAsia"/>
                      <w:szCs w:val="21"/>
                    </w:rPr>
                    <w:t>2018.10.6</w:t>
                  </w:r>
                </w:p>
              </w:tc>
              <w:tc>
                <w:tcPr>
                  <w:tcW w:w="2268" w:type="dxa"/>
                  <w:vAlign w:val="center"/>
                </w:tcPr>
                <w:p>
                  <w:pPr>
                    <w:jc w:val="center"/>
                  </w:pPr>
                  <w:r>
                    <w:rPr>
                      <w:rFonts w:hint="eastAsia"/>
                    </w:rPr>
                    <w:t>54.7</w:t>
                  </w:r>
                </w:p>
              </w:tc>
              <w:tc>
                <w:tcPr>
                  <w:tcW w:w="2121" w:type="dxa"/>
                  <w:vAlign w:val="center"/>
                </w:tcPr>
                <w:p>
                  <w:pPr>
                    <w:jc w:val="center"/>
                  </w:pPr>
                  <w:r>
                    <w:rPr>
                      <w:rFonts w:hint="eastAsia"/>
                    </w:rPr>
                    <w:t>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continue"/>
                  <w:vAlign w:val="center"/>
                </w:tcPr>
                <w:p>
                  <w:pPr>
                    <w:jc w:val="center"/>
                    <w:rPr>
                      <w:szCs w:val="21"/>
                    </w:rPr>
                  </w:pPr>
                </w:p>
              </w:tc>
              <w:tc>
                <w:tcPr>
                  <w:tcW w:w="1701" w:type="dxa"/>
                  <w:vMerge w:val="continue"/>
                  <w:vAlign w:val="center"/>
                </w:tcPr>
                <w:p>
                  <w:pPr>
                    <w:jc w:val="center"/>
                    <w:rPr>
                      <w:szCs w:val="21"/>
                    </w:rPr>
                  </w:pPr>
                </w:p>
              </w:tc>
              <w:tc>
                <w:tcPr>
                  <w:tcW w:w="1701" w:type="dxa"/>
                  <w:vAlign w:val="center"/>
                </w:tcPr>
                <w:p>
                  <w:pPr>
                    <w:jc w:val="center"/>
                    <w:rPr>
                      <w:szCs w:val="21"/>
                    </w:rPr>
                  </w:pPr>
                  <w:r>
                    <w:rPr>
                      <w:rFonts w:hint="eastAsia"/>
                      <w:szCs w:val="21"/>
                    </w:rPr>
                    <w:t>2018.10.7</w:t>
                  </w:r>
                </w:p>
              </w:tc>
              <w:tc>
                <w:tcPr>
                  <w:tcW w:w="2268" w:type="dxa"/>
                  <w:vAlign w:val="center"/>
                </w:tcPr>
                <w:p>
                  <w:pPr>
                    <w:jc w:val="center"/>
                  </w:pPr>
                  <w:r>
                    <w:rPr>
                      <w:rFonts w:hint="eastAsia"/>
                    </w:rPr>
                    <w:t>54.8</w:t>
                  </w:r>
                </w:p>
              </w:tc>
              <w:tc>
                <w:tcPr>
                  <w:tcW w:w="2121" w:type="dxa"/>
                  <w:vAlign w:val="center"/>
                </w:tcPr>
                <w:p>
                  <w:pPr>
                    <w:jc w:val="center"/>
                  </w:pPr>
                  <w:r>
                    <w:rPr>
                      <w:rFonts w:hint="eastAsia"/>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restart"/>
                  <w:vAlign w:val="center"/>
                </w:tcPr>
                <w:p>
                  <w:pPr>
                    <w:jc w:val="center"/>
                    <w:rPr>
                      <w:szCs w:val="21"/>
                    </w:rPr>
                  </w:pPr>
                  <w:r>
                    <w:rPr>
                      <w:rFonts w:hint="eastAsia"/>
                      <w:szCs w:val="21"/>
                    </w:rPr>
                    <w:t>7</w:t>
                  </w:r>
                </w:p>
              </w:tc>
              <w:tc>
                <w:tcPr>
                  <w:tcW w:w="1701" w:type="dxa"/>
                  <w:vMerge w:val="restart"/>
                  <w:vAlign w:val="center"/>
                </w:tcPr>
                <w:p>
                  <w:pPr>
                    <w:jc w:val="center"/>
                    <w:rPr>
                      <w:szCs w:val="21"/>
                    </w:rPr>
                  </w:pPr>
                  <w:r>
                    <w:rPr>
                      <w:rFonts w:hint="eastAsia"/>
                      <w:szCs w:val="21"/>
                    </w:rPr>
                    <w:t>西厂界1</w:t>
                  </w:r>
                </w:p>
              </w:tc>
              <w:tc>
                <w:tcPr>
                  <w:tcW w:w="1701" w:type="dxa"/>
                  <w:vAlign w:val="center"/>
                </w:tcPr>
                <w:p>
                  <w:pPr>
                    <w:jc w:val="center"/>
                    <w:rPr>
                      <w:szCs w:val="21"/>
                    </w:rPr>
                  </w:pPr>
                  <w:r>
                    <w:rPr>
                      <w:rFonts w:hint="eastAsia"/>
                      <w:szCs w:val="21"/>
                    </w:rPr>
                    <w:t>2018.10.6</w:t>
                  </w:r>
                </w:p>
              </w:tc>
              <w:tc>
                <w:tcPr>
                  <w:tcW w:w="2268" w:type="dxa"/>
                  <w:vAlign w:val="center"/>
                </w:tcPr>
                <w:p>
                  <w:pPr>
                    <w:jc w:val="center"/>
                  </w:pPr>
                  <w:r>
                    <w:rPr>
                      <w:rFonts w:hint="eastAsia"/>
                    </w:rPr>
                    <w:t>54.4</w:t>
                  </w:r>
                </w:p>
              </w:tc>
              <w:tc>
                <w:tcPr>
                  <w:tcW w:w="2121" w:type="dxa"/>
                  <w:vAlign w:val="center"/>
                </w:tcPr>
                <w:p>
                  <w:pPr>
                    <w:jc w:val="center"/>
                  </w:pPr>
                  <w:r>
                    <w:rPr>
                      <w:rFonts w:hint="eastAsia"/>
                    </w:rPr>
                    <w:t>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continue"/>
                  <w:vAlign w:val="center"/>
                </w:tcPr>
                <w:p>
                  <w:pPr>
                    <w:jc w:val="center"/>
                    <w:rPr>
                      <w:szCs w:val="21"/>
                    </w:rPr>
                  </w:pPr>
                </w:p>
              </w:tc>
              <w:tc>
                <w:tcPr>
                  <w:tcW w:w="1701" w:type="dxa"/>
                  <w:vMerge w:val="continue"/>
                  <w:vAlign w:val="center"/>
                </w:tcPr>
                <w:p>
                  <w:pPr>
                    <w:jc w:val="center"/>
                    <w:rPr>
                      <w:szCs w:val="21"/>
                    </w:rPr>
                  </w:pPr>
                </w:p>
              </w:tc>
              <w:tc>
                <w:tcPr>
                  <w:tcW w:w="1701" w:type="dxa"/>
                  <w:vAlign w:val="center"/>
                </w:tcPr>
                <w:p>
                  <w:pPr>
                    <w:jc w:val="center"/>
                    <w:rPr>
                      <w:szCs w:val="21"/>
                    </w:rPr>
                  </w:pPr>
                  <w:r>
                    <w:rPr>
                      <w:rFonts w:hint="eastAsia"/>
                      <w:szCs w:val="21"/>
                    </w:rPr>
                    <w:t>2018.10.7</w:t>
                  </w:r>
                </w:p>
              </w:tc>
              <w:tc>
                <w:tcPr>
                  <w:tcW w:w="2268" w:type="dxa"/>
                  <w:vAlign w:val="center"/>
                </w:tcPr>
                <w:p>
                  <w:pPr>
                    <w:jc w:val="center"/>
                  </w:pPr>
                  <w:r>
                    <w:rPr>
                      <w:rFonts w:hint="eastAsia"/>
                    </w:rPr>
                    <w:t>54.6</w:t>
                  </w:r>
                </w:p>
              </w:tc>
              <w:tc>
                <w:tcPr>
                  <w:tcW w:w="2121" w:type="dxa"/>
                  <w:vAlign w:val="center"/>
                </w:tcPr>
                <w:p>
                  <w:pPr>
                    <w:jc w:val="center"/>
                  </w:pPr>
                  <w:r>
                    <w:rPr>
                      <w:rFonts w:hint="eastAsia"/>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restart"/>
                  <w:vAlign w:val="center"/>
                </w:tcPr>
                <w:p>
                  <w:pPr>
                    <w:jc w:val="center"/>
                    <w:rPr>
                      <w:szCs w:val="21"/>
                    </w:rPr>
                  </w:pPr>
                  <w:r>
                    <w:rPr>
                      <w:rFonts w:hint="eastAsia"/>
                      <w:szCs w:val="21"/>
                    </w:rPr>
                    <w:t>8</w:t>
                  </w:r>
                </w:p>
              </w:tc>
              <w:tc>
                <w:tcPr>
                  <w:tcW w:w="1701" w:type="dxa"/>
                  <w:vMerge w:val="restart"/>
                  <w:vAlign w:val="center"/>
                </w:tcPr>
                <w:p>
                  <w:pPr>
                    <w:jc w:val="center"/>
                    <w:rPr>
                      <w:szCs w:val="21"/>
                    </w:rPr>
                  </w:pPr>
                  <w:r>
                    <w:rPr>
                      <w:rFonts w:hint="eastAsia"/>
                      <w:szCs w:val="21"/>
                    </w:rPr>
                    <w:t>西厂界2</w:t>
                  </w:r>
                </w:p>
              </w:tc>
              <w:tc>
                <w:tcPr>
                  <w:tcW w:w="1701" w:type="dxa"/>
                  <w:vAlign w:val="center"/>
                </w:tcPr>
                <w:p>
                  <w:pPr>
                    <w:jc w:val="center"/>
                    <w:rPr>
                      <w:szCs w:val="21"/>
                    </w:rPr>
                  </w:pPr>
                  <w:r>
                    <w:rPr>
                      <w:rFonts w:hint="eastAsia"/>
                      <w:szCs w:val="21"/>
                    </w:rPr>
                    <w:t>2018.10.6</w:t>
                  </w:r>
                </w:p>
              </w:tc>
              <w:tc>
                <w:tcPr>
                  <w:tcW w:w="2268" w:type="dxa"/>
                  <w:vAlign w:val="center"/>
                </w:tcPr>
                <w:p>
                  <w:pPr>
                    <w:jc w:val="center"/>
                  </w:pPr>
                  <w:r>
                    <w:rPr>
                      <w:rFonts w:hint="eastAsia"/>
                    </w:rPr>
                    <w:t>53.7</w:t>
                  </w:r>
                </w:p>
              </w:tc>
              <w:tc>
                <w:tcPr>
                  <w:tcW w:w="2121" w:type="dxa"/>
                  <w:vAlign w:val="center"/>
                </w:tcPr>
                <w:p>
                  <w:pPr>
                    <w:jc w:val="center"/>
                  </w:pPr>
                  <w:r>
                    <w:rPr>
                      <w:rFonts w:hint="eastAsia"/>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continue"/>
                  <w:vAlign w:val="center"/>
                </w:tcPr>
                <w:p>
                  <w:pPr>
                    <w:jc w:val="center"/>
                    <w:rPr>
                      <w:szCs w:val="21"/>
                    </w:rPr>
                  </w:pPr>
                </w:p>
              </w:tc>
              <w:tc>
                <w:tcPr>
                  <w:tcW w:w="1701" w:type="dxa"/>
                  <w:vMerge w:val="continue"/>
                  <w:vAlign w:val="center"/>
                </w:tcPr>
                <w:p>
                  <w:pPr>
                    <w:jc w:val="center"/>
                    <w:rPr>
                      <w:szCs w:val="21"/>
                    </w:rPr>
                  </w:pPr>
                </w:p>
              </w:tc>
              <w:tc>
                <w:tcPr>
                  <w:tcW w:w="1701" w:type="dxa"/>
                  <w:vAlign w:val="center"/>
                </w:tcPr>
                <w:p>
                  <w:pPr>
                    <w:jc w:val="center"/>
                    <w:rPr>
                      <w:szCs w:val="21"/>
                    </w:rPr>
                  </w:pPr>
                  <w:r>
                    <w:rPr>
                      <w:rFonts w:hint="eastAsia"/>
                      <w:szCs w:val="21"/>
                    </w:rPr>
                    <w:t>2018.10.7</w:t>
                  </w:r>
                </w:p>
              </w:tc>
              <w:tc>
                <w:tcPr>
                  <w:tcW w:w="2268" w:type="dxa"/>
                  <w:vAlign w:val="center"/>
                </w:tcPr>
                <w:p>
                  <w:pPr>
                    <w:jc w:val="center"/>
                  </w:pPr>
                  <w:r>
                    <w:rPr>
                      <w:rFonts w:hint="eastAsia"/>
                    </w:rPr>
                    <w:t>53.9</w:t>
                  </w:r>
                </w:p>
              </w:tc>
              <w:tc>
                <w:tcPr>
                  <w:tcW w:w="2121" w:type="dxa"/>
                  <w:vAlign w:val="center"/>
                </w:tcPr>
                <w:p>
                  <w:pPr>
                    <w:jc w:val="center"/>
                  </w:pPr>
                  <w:r>
                    <w:rPr>
                      <w:rFonts w:hint="eastAsia"/>
                    </w:rPr>
                    <w:t>43.6</w:t>
                  </w:r>
                </w:p>
              </w:tc>
            </w:tr>
          </w:tbl>
          <w:p>
            <w:pPr>
              <w:spacing w:before="120" w:beforeLines="50" w:line="360" w:lineRule="auto"/>
              <w:ind w:firstLine="480" w:firstLineChars="200"/>
              <w:jc w:val="left"/>
              <w:rPr>
                <w:sz w:val="24"/>
                <w:szCs w:val="22"/>
              </w:rPr>
            </w:pPr>
            <w:r>
              <w:rPr>
                <w:rFonts w:hint="eastAsia"/>
                <w:sz w:val="24"/>
                <w:szCs w:val="22"/>
              </w:rPr>
              <w:t>由</w:t>
            </w:r>
            <w:r>
              <w:rPr>
                <w:sz w:val="24"/>
                <w:szCs w:val="22"/>
              </w:rPr>
              <w:t>表</w:t>
            </w:r>
            <w:r>
              <w:rPr>
                <w:rFonts w:hint="eastAsia"/>
                <w:sz w:val="24"/>
                <w:szCs w:val="22"/>
              </w:rPr>
              <w:t>9可知</w:t>
            </w:r>
            <w:r>
              <w:rPr>
                <w:sz w:val="24"/>
                <w:szCs w:val="22"/>
              </w:rPr>
              <w:t>，现有厂区厂界昼夜噪声值能够满足</w:t>
            </w:r>
            <w:r>
              <w:rPr>
                <w:rFonts w:hint="eastAsia"/>
                <w:sz w:val="24"/>
                <w:szCs w:val="22"/>
              </w:rPr>
              <w:t>《工业企业厂界环境噪声排放标准》（GB12348-2008）3类标准要求。</w:t>
            </w:r>
          </w:p>
          <w:p>
            <w:pPr>
              <w:spacing w:line="360" w:lineRule="auto"/>
              <w:ind w:firstLine="480" w:firstLineChars="200"/>
              <w:jc w:val="left"/>
              <w:rPr>
                <w:sz w:val="24"/>
                <w:szCs w:val="22"/>
              </w:rPr>
            </w:pPr>
            <w:r>
              <w:rPr>
                <w:sz w:val="24"/>
                <w:szCs w:val="22"/>
              </w:rPr>
              <w:fldChar w:fldCharType="begin"/>
            </w:r>
            <w:r>
              <w:rPr>
                <w:sz w:val="24"/>
                <w:szCs w:val="22"/>
              </w:rPr>
              <w:instrText xml:space="preserve"> </w:instrText>
            </w:r>
            <w:r>
              <w:rPr>
                <w:rFonts w:hint="eastAsia"/>
                <w:sz w:val="24"/>
                <w:szCs w:val="22"/>
              </w:rPr>
              <w:instrText xml:space="preserve">= 4 \* GB2</w:instrText>
            </w:r>
            <w:r>
              <w:rPr>
                <w:sz w:val="24"/>
                <w:szCs w:val="22"/>
              </w:rPr>
              <w:instrText xml:space="preserve"> </w:instrText>
            </w:r>
            <w:r>
              <w:rPr>
                <w:sz w:val="24"/>
                <w:szCs w:val="22"/>
              </w:rPr>
              <w:fldChar w:fldCharType="separate"/>
            </w:r>
            <w:r>
              <w:rPr>
                <w:rFonts w:hint="eastAsia"/>
                <w:sz w:val="24"/>
                <w:szCs w:val="22"/>
              </w:rPr>
              <w:t>⑷</w:t>
            </w:r>
            <w:r>
              <w:rPr>
                <w:sz w:val="24"/>
                <w:szCs w:val="22"/>
              </w:rPr>
              <w:fldChar w:fldCharType="end"/>
            </w:r>
            <w:r>
              <w:rPr>
                <w:sz w:val="24"/>
                <w:szCs w:val="22"/>
              </w:rPr>
              <w:t xml:space="preserve"> </w:t>
            </w:r>
            <w:r>
              <w:rPr>
                <w:rFonts w:hint="eastAsia"/>
                <w:sz w:val="24"/>
                <w:szCs w:val="22"/>
              </w:rPr>
              <w:t>固废</w:t>
            </w:r>
          </w:p>
          <w:p>
            <w:pPr>
              <w:spacing w:line="360" w:lineRule="auto"/>
              <w:ind w:firstLine="480" w:firstLineChars="200"/>
              <w:jc w:val="left"/>
              <w:rPr>
                <w:sz w:val="24"/>
                <w:szCs w:val="22"/>
              </w:rPr>
            </w:pPr>
            <w:r>
              <w:rPr>
                <w:rFonts w:hint="eastAsia"/>
                <w:sz w:val="24"/>
                <w:szCs w:val="22"/>
              </w:rPr>
              <w:t>厂区</w:t>
            </w:r>
            <w:r>
              <w:rPr>
                <w:sz w:val="24"/>
                <w:szCs w:val="22"/>
              </w:rPr>
              <w:t>固废主要为一般</w:t>
            </w:r>
            <w:r>
              <w:rPr>
                <w:rFonts w:hint="eastAsia"/>
                <w:sz w:val="24"/>
                <w:szCs w:val="22"/>
              </w:rPr>
              <w:t>固体废物</w:t>
            </w:r>
            <w:r>
              <w:rPr>
                <w:sz w:val="24"/>
                <w:szCs w:val="22"/>
              </w:rPr>
              <w:t>和危险废物。</w:t>
            </w:r>
          </w:p>
          <w:p>
            <w:pPr>
              <w:spacing w:line="360" w:lineRule="auto"/>
              <w:ind w:firstLine="480" w:firstLineChars="200"/>
              <w:jc w:val="left"/>
              <w:rPr>
                <w:sz w:val="24"/>
                <w:szCs w:val="22"/>
              </w:rPr>
            </w:pPr>
            <w:r>
              <w:rPr>
                <w:sz w:val="24"/>
                <w:szCs w:val="22"/>
              </w:rPr>
              <w:fldChar w:fldCharType="begin"/>
            </w:r>
            <w:r>
              <w:rPr>
                <w:sz w:val="24"/>
                <w:szCs w:val="22"/>
              </w:rPr>
              <w:instrText xml:space="preserve"> </w:instrText>
            </w:r>
            <w:r>
              <w:rPr>
                <w:rFonts w:hint="eastAsia"/>
                <w:sz w:val="24"/>
                <w:szCs w:val="22"/>
              </w:rPr>
              <w:instrText xml:space="preserve">= 1 \* GB3</w:instrText>
            </w:r>
            <w:r>
              <w:rPr>
                <w:sz w:val="24"/>
                <w:szCs w:val="22"/>
              </w:rPr>
              <w:instrText xml:space="preserve"> </w:instrText>
            </w:r>
            <w:r>
              <w:rPr>
                <w:sz w:val="24"/>
                <w:szCs w:val="22"/>
              </w:rPr>
              <w:fldChar w:fldCharType="separate"/>
            </w:r>
            <w:r>
              <w:rPr>
                <w:rFonts w:hint="eastAsia"/>
                <w:sz w:val="24"/>
                <w:szCs w:val="22"/>
              </w:rPr>
              <w:t>①</w:t>
            </w:r>
            <w:r>
              <w:rPr>
                <w:sz w:val="24"/>
                <w:szCs w:val="22"/>
              </w:rPr>
              <w:fldChar w:fldCharType="end"/>
            </w:r>
            <w:r>
              <w:rPr>
                <w:sz w:val="24"/>
                <w:szCs w:val="22"/>
              </w:rPr>
              <w:t xml:space="preserve"> </w:t>
            </w:r>
            <w:r>
              <w:rPr>
                <w:rFonts w:hint="eastAsia"/>
                <w:sz w:val="24"/>
                <w:szCs w:val="22"/>
              </w:rPr>
              <w:t>一般</w:t>
            </w:r>
            <w:r>
              <w:rPr>
                <w:sz w:val="24"/>
                <w:szCs w:val="22"/>
              </w:rPr>
              <w:t>固废</w:t>
            </w:r>
          </w:p>
          <w:p>
            <w:pPr>
              <w:spacing w:line="360" w:lineRule="auto"/>
              <w:ind w:firstLine="480" w:firstLineChars="200"/>
              <w:jc w:val="left"/>
              <w:rPr>
                <w:sz w:val="24"/>
                <w:szCs w:val="22"/>
              </w:rPr>
            </w:pPr>
            <w:r>
              <w:rPr>
                <w:rFonts w:hint="eastAsia"/>
                <w:sz w:val="24"/>
                <w:szCs w:val="22"/>
              </w:rPr>
              <w:t>一般</w:t>
            </w:r>
            <w:r>
              <w:rPr>
                <w:sz w:val="24"/>
                <w:szCs w:val="22"/>
              </w:rPr>
              <w:t>固废综合利用</w:t>
            </w:r>
            <w:r>
              <w:rPr>
                <w:rFonts w:hint="eastAsia"/>
                <w:sz w:val="24"/>
                <w:szCs w:val="22"/>
              </w:rPr>
              <w:t>与</w:t>
            </w:r>
            <w:r>
              <w:rPr>
                <w:sz w:val="24"/>
                <w:szCs w:val="22"/>
              </w:rPr>
              <w:t>处置情况见表9</w:t>
            </w:r>
            <w:r>
              <w:rPr>
                <w:rFonts w:hint="eastAsia"/>
                <w:sz w:val="24"/>
                <w:szCs w:val="22"/>
              </w:rPr>
              <w:t>。</w:t>
            </w:r>
          </w:p>
          <w:p>
            <w:pPr>
              <w:jc w:val="center"/>
              <w:rPr>
                <w:b/>
                <w:szCs w:val="21"/>
              </w:rPr>
            </w:pPr>
            <w:r>
              <w:rPr>
                <w:rFonts w:hint="eastAsia"/>
                <w:b/>
                <w:szCs w:val="21"/>
              </w:rPr>
              <w:t>表</w:t>
            </w:r>
            <w:r>
              <w:rPr>
                <w:b/>
                <w:szCs w:val="21"/>
              </w:rPr>
              <w:t>9</w:t>
            </w:r>
            <w:r>
              <w:rPr>
                <w:rFonts w:hint="eastAsia"/>
                <w:b/>
                <w:szCs w:val="21"/>
              </w:rPr>
              <w:t xml:space="preserve">    一般</w:t>
            </w:r>
            <w:r>
              <w:rPr>
                <w:b/>
                <w:szCs w:val="21"/>
              </w:rPr>
              <w:t>固废综合利用</w:t>
            </w:r>
            <w:r>
              <w:rPr>
                <w:rFonts w:hint="eastAsia"/>
                <w:b/>
                <w:szCs w:val="21"/>
              </w:rPr>
              <w:t>与</w:t>
            </w:r>
            <w:r>
              <w:rPr>
                <w:b/>
                <w:szCs w:val="21"/>
              </w:rPr>
              <w:t>处置情况一览表</w:t>
            </w:r>
          </w:p>
          <w:tbl>
            <w:tblPr>
              <w:tblStyle w:val="40"/>
              <w:tblW w:w="8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103"/>
              <w:gridCol w:w="1241"/>
              <w:gridCol w:w="709"/>
              <w:gridCol w:w="1359"/>
              <w:gridCol w:w="1334"/>
              <w:gridCol w:w="709"/>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3" w:type="dxa"/>
                  <w:vMerge w:val="restart"/>
                  <w:vAlign w:val="center"/>
                </w:tcPr>
                <w:p>
                  <w:pPr>
                    <w:jc w:val="center"/>
                    <w:rPr>
                      <w:szCs w:val="21"/>
                    </w:rPr>
                  </w:pPr>
                  <w:r>
                    <w:rPr>
                      <w:rFonts w:hint="eastAsia"/>
                      <w:szCs w:val="21"/>
                    </w:rPr>
                    <w:t>一般</w:t>
                  </w:r>
                  <w:r>
                    <w:rPr>
                      <w:szCs w:val="21"/>
                    </w:rPr>
                    <w:t>工业固废名称</w:t>
                  </w:r>
                </w:p>
              </w:tc>
              <w:tc>
                <w:tcPr>
                  <w:tcW w:w="1103" w:type="dxa"/>
                  <w:vMerge w:val="restart"/>
                  <w:vAlign w:val="center"/>
                </w:tcPr>
                <w:p>
                  <w:pPr>
                    <w:jc w:val="center"/>
                    <w:rPr>
                      <w:szCs w:val="21"/>
                    </w:rPr>
                  </w:pPr>
                  <w:r>
                    <w:rPr>
                      <w:rFonts w:hint="eastAsia"/>
                      <w:szCs w:val="21"/>
                    </w:rPr>
                    <w:t>产生量</w:t>
                  </w:r>
                </w:p>
                <w:p>
                  <w:pPr>
                    <w:jc w:val="center"/>
                    <w:rPr>
                      <w:szCs w:val="21"/>
                    </w:rPr>
                  </w:pPr>
                  <w:r>
                    <w:rPr>
                      <w:rFonts w:hint="eastAsia"/>
                      <w:szCs w:val="21"/>
                    </w:rPr>
                    <w:t>（t）</w:t>
                  </w:r>
                </w:p>
              </w:tc>
              <w:tc>
                <w:tcPr>
                  <w:tcW w:w="3309" w:type="dxa"/>
                  <w:gridSpan w:val="3"/>
                  <w:vAlign w:val="center"/>
                </w:tcPr>
                <w:p>
                  <w:pPr>
                    <w:jc w:val="center"/>
                    <w:rPr>
                      <w:szCs w:val="21"/>
                    </w:rPr>
                  </w:pPr>
                  <w:r>
                    <w:rPr>
                      <w:rFonts w:hint="eastAsia"/>
                      <w:szCs w:val="21"/>
                    </w:rPr>
                    <w:t>综合利用</w:t>
                  </w:r>
                </w:p>
              </w:tc>
              <w:tc>
                <w:tcPr>
                  <w:tcW w:w="3311" w:type="dxa"/>
                  <w:gridSpan w:val="3"/>
                  <w:vAlign w:val="center"/>
                </w:tcPr>
                <w:p>
                  <w:pPr>
                    <w:jc w:val="center"/>
                    <w:rPr>
                      <w:szCs w:val="21"/>
                    </w:rPr>
                  </w:pPr>
                  <w:r>
                    <w:rPr>
                      <w:rFonts w:hint="eastAsia"/>
                      <w:szCs w:val="21"/>
                    </w:rPr>
                    <w:t>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3" w:type="dxa"/>
                  <w:vMerge w:val="continue"/>
                  <w:vAlign w:val="center"/>
                </w:tcPr>
                <w:p>
                  <w:pPr>
                    <w:jc w:val="center"/>
                    <w:rPr>
                      <w:szCs w:val="21"/>
                    </w:rPr>
                  </w:pPr>
                </w:p>
              </w:tc>
              <w:tc>
                <w:tcPr>
                  <w:tcW w:w="1103" w:type="dxa"/>
                  <w:vMerge w:val="continue"/>
                  <w:vAlign w:val="center"/>
                </w:tcPr>
                <w:p>
                  <w:pPr>
                    <w:jc w:val="center"/>
                    <w:rPr>
                      <w:szCs w:val="21"/>
                    </w:rPr>
                  </w:pPr>
                </w:p>
              </w:tc>
              <w:tc>
                <w:tcPr>
                  <w:tcW w:w="1241" w:type="dxa"/>
                  <w:vAlign w:val="center"/>
                </w:tcPr>
                <w:p>
                  <w:pPr>
                    <w:jc w:val="center"/>
                    <w:rPr>
                      <w:szCs w:val="21"/>
                    </w:rPr>
                  </w:pPr>
                  <w:r>
                    <w:rPr>
                      <w:rFonts w:hint="eastAsia"/>
                      <w:szCs w:val="21"/>
                    </w:rPr>
                    <w:t>利用量</w:t>
                  </w:r>
                  <w:r>
                    <w:rPr>
                      <w:szCs w:val="21"/>
                    </w:rPr>
                    <w:t>（</w:t>
                  </w:r>
                  <w:r>
                    <w:rPr>
                      <w:rFonts w:hint="eastAsia"/>
                      <w:szCs w:val="21"/>
                    </w:rPr>
                    <w:t>t</w:t>
                  </w:r>
                  <w:r>
                    <w:rPr>
                      <w:szCs w:val="21"/>
                    </w:rPr>
                    <w:t>）</w:t>
                  </w:r>
                </w:p>
              </w:tc>
              <w:tc>
                <w:tcPr>
                  <w:tcW w:w="709" w:type="dxa"/>
                  <w:vAlign w:val="center"/>
                </w:tcPr>
                <w:p>
                  <w:pPr>
                    <w:jc w:val="center"/>
                    <w:rPr>
                      <w:szCs w:val="21"/>
                    </w:rPr>
                  </w:pPr>
                  <w:r>
                    <w:rPr>
                      <w:rFonts w:hint="eastAsia"/>
                      <w:szCs w:val="21"/>
                    </w:rPr>
                    <w:t>去向</w:t>
                  </w:r>
                </w:p>
              </w:tc>
              <w:tc>
                <w:tcPr>
                  <w:tcW w:w="1359" w:type="dxa"/>
                  <w:vAlign w:val="center"/>
                </w:tcPr>
                <w:p>
                  <w:pPr>
                    <w:jc w:val="center"/>
                    <w:rPr>
                      <w:szCs w:val="21"/>
                    </w:rPr>
                  </w:pPr>
                  <w:r>
                    <w:rPr>
                      <w:rFonts w:hint="eastAsia"/>
                      <w:szCs w:val="21"/>
                    </w:rPr>
                    <w:t>利用率</w:t>
                  </w:r>
                  <w:r>
                    <w:rPr>
                      <w:szCs w:val="21"/>
                    </w:rPr>
                    <w:t>（</w:t>
                  </w:r>
                  <w:r>
                    <w:rPr>
                      <w:rFonts w:hint="eastAsia"/>
                      <w:szCs w:val="21"/>
                    </w:rPr>
                    <w:t>%</w:t>
                  </w:r>
                  <w:r>
                    <w:rPr>
                      <w:szCs w:val="21"/>
                    </w:rPr>
                    <w:t>）</w:t>
                  </w:r>
                </w:p>
              </w:tc>
              <w:tc>
                <w:tcPr>
                  <w:tcW w:w="1334" w:type="dxa"/>
                  <w:vAlign w:val="center"/>
                </w:tcPr>
                <w:p>
                  <w:pPr>
                    <w:jc w:val="center"/>
                    <w:rPr>
                      <w:szCs w:val="21"/>
                    </w:rPr>
                  </w:pPr>
                  <w:r>
                    <w:rPr>
                      <w:rFonts w:hint="eastAsia"/>
                      <w:szCs w:val="21"/>
                    </w:rPr>
                    <w:t>贮存量</w:t>
                  </w:r>
                  <w:r>
                    <w:rPr>
                      <w:szCs w:val="21"/>
                    </w:rPr>
                    <w:t>（</w:t>
                  </w:r>
                  <w:r>
                    <w:rPr>
                      <w:rFonts w:hint="eastAsia"/>
                      <w:szCs w:val="21"/>
                    </w:rPr>
                    <w:t>t</w:t>
                  </w:r>
                  <w:r>
                    <w:rPr>
                      <w:szCs w:val="21"/>
                    </w:rPr>
                    <w:t>）</w:t>
                  </w:r>
                </w:p>
              </w:tc>
              <w:tc>
                <w:tcPr>
                  <w:tcW w:w="709" w:type="dxa"/>
                  <w:vAlign w:val="center"/>
                </w:tcPr>
                <w:p>
                  <w:pPr>
                    <w:jc w:val="center"/>
                    <w:rPr>
                      <w:szCs w:val="21"/>
                    </w:rPr>
                  </w:pPr>
                  <w:r>
                    <w:rPr>
                      <w:rFonts w:hint="eastAsia"/>
                      <w:szCs w:val="21"/>
                    </w:rPr>
                    <w:t>去向</w:t>
                  </w:r>
                </w:p>
              </w:tc>
              <w:tc>
                <w:tcPr>
                  <w:tcW w:w="1268" w:type="dxa"/>
                  <w:vAlign w:val="center"/>
                </w:tcPr>
                <w:p>
                  <w:pPr>
                    <w:jc w:val="center"/>
                    <w:rPr>
                      <w:szCs w:val="21"/>
                    </w:rPr>
                  </w:pPr>
                  <w:r>
                    <w:rPr>
                      <w:rFonts w:hint="eastAsia"/>
                      <w:szCs w:val="21"/>
                    </w:rPr>
                    <w:t>利用率</w:t>
                  </w:r>
                  <w:r>
                    <w:rPr>
                      <w:szCs w:val="21"/>
                    </w:rPr>
                    <w:t>（</w:t>
                  </w:r>
                  <w:r>
                    <w:rPr>
                      <w:rFonts w:hint="eastAsia"/>
                      <w:szCs w:val="21"/>
                    </w:rPr>
                    <w:t>%</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103" w:type="dxa"/>
                  <w:vAlign w:val="center"/>
                </w:tcPr>
                <w:p>
                  <w:pPr>
                    <w:jc w:val="center"/>
                    <w:rPr>
                      <w:szCs w:val="21"/>
                    </w:rPr>
                  </w:pPr>
                  <w:r>
                    <w:rPr>
                      <w:rFonts w:hint="eastAsia"/>
                      <w:szCs w:val="21"/>
                    </w:rPr>
                    <w:t>炉渣</w:t>
                  </w:r>
                </w:p>
              </w:tc>
              <w:tc>
                <w:tcPr>
                  <w:tcW w:w="1103" w:type="dxa"/>
                  <w:vAlign w:val="center"/>
                </w:tcPr>
                <w:p>
                  <w:pPr>
                    <w:jc w:val="center"/>
                    <w:rPr>
                      <w:szCs w:val="21"/>
                    </w:rPr>
                  </w:pPr>
                  <w:r>
                    <w:rPr>
                      <w:szCs w:val="21"/>
                    </w:rPr>
                    <w:t>14.42×10</w:t>
                  </w:r>
                  <w:r>
                    <w:rPr>
                      <w:szCs w:val="21"/>
                      <w:vertAlign w:val="superscript"/>
                    </w:rPr>
                    <w:t>4</w:t>
                  </w:r>
                </w:p>
              </w:tc>
              <w:tc>
                <w:tcPr>
                  <w:tcW w:w="1241" w:type="dxa"/>
                  <w:vAlign w:val="center"/>
                </w:tcPr>
                <w:p>
                  <w:pPr>
                    <w:jc w:val="center"/>
                    <w:rPr>
                      <w:szCs w:val="21"/>
                    </w:rPr>
                  </w:pPr>
                  <w:r>
                    <w:rPr>
                      <w:szCs w:val="21"/>
                    </w:rPr>
                    <w:t>14.42×10</w:t>
                  </w:r>
                  <w:r>
                    <w:rPr>
                      <w:szCs w:val="21"/>
                      <w:vertAlign w:val="superscript"/>
                    </w:rPr>
                    <w:t>4</w:t>
                  </w:r>
                </w:p>
              </w:tc>
              <w:tc>
                <w:tcPr>
                  <w:tcW w:w="709" w:type="dxa"/>
                  <w:vMerge w:val="restart"/>
                  <w:vAlign w:val="center"/>
                </w:tcPr>
                <w:p>
                  <w:pPr>
                    <w:jc w:val="center"/>
                    <w:rPr>
                      <w:szCs w:val="21"/>
                    </w:rPr>
                  </w:pPr>
                  <w:r>
                    <w:rPr>
                      <w:rFonts w:hint="eastAsia"/>
                      <w:szCs w:val="21"/>
                    </w:rPr>
                    <w:t>全部外售</w:t>
                  </w:r>
                </w:p>
              </w:tc>
              <w:tc>
                <w:tcPr>
                  <w:tcW w:w="1359" w:type="dxa"/>
                  <w:vAlign w:val="center"/>
                </w:tcPr>
                <w:p>
                  <w:pPr>
                    <w:jc w:val="center"/>
                    <w:rPr>
                      <w:szCs w:val="21"/>
                    </w:rPr>
                  </w:pPr>
                  <w:r>
                    <w:rPr>
                      <w:rFonts w:hint="eastAsia"/>
                      <w:szCs w:val="21"/>
                    </w:rPr>
                    <w:t>100</w:t>
                  </w:r>
                </w:p>
              </w:tc>
              <w:tc>
                <w:tcPr>
                  <w:tcW w:w="1334" w:type="dxa"/>
                  <w:vAlign w:val="center"/>
                </w:tcPr>
                <w:p>
                  <w:pPr>
                    <w:jc w:val="center"/>
                    <w:rPr>
                      <w:szCs w:val="21"/>
                    </w:rPr>
                  </w:pPr>
                  <w:r>
                    <w:rPr>
                      <w:rFonts w:hint="eastAsia"/>
                      <w:szCs w:val="21"/>
                    </w:rPr>
                    <w:t>0</w:t>
                  </w:r>
                </w:p>
              </w:tc>
              <w:tc>
                <w:tcPr>
                  <w:tcW w:w="709" w:type="dxa"/>
                  <w:vMerge w:val="restart"/>
                  <w:vAlign w:val="center"/>
                </w:tcPr>
                <w:p>
                  <w:pPr>
                    <w:jc w:val="center"/>
                    <w:rPr>
                      <w:szCs w:val="21"/>
                    </w:rPr>
                  </w:pPr>
                  <w:r>
                    <w:rPr>
                      <w:rFonts w:hint="eastAsia"/>
                      <w:szCs w:val="21"/>
                    </w:rPr>
                    <w:t>渣仓</w:t>
                  </w:r>
                </w:p>
              </w:tc>
              <w:tc>
                <w:tcPr>
                  <w:tcW w:w="1268"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3" w:type="dxa"/>
                  <w:vAlign w:val="center"/>
                </w:tcPr>
                <w:p>
                  <w:pPr>
                    <w:jc w:val="center"/>
                    <w:rPr>
                      <w:szCs w:val="21"/>
                    </w:rPr>
                  </w:pPr>
                  <w:r>
                    <w:rPr>
                      <w:rFonts w:hint="eastAsia"/>
                      <w:szCs w:val="21"/>
                    </w:rPr>
                    <w:t>粉煤灰</w:t>
                  </w:r>
                </w:p>
              </w:tc>
              <w:tc>
                <w:tcPr>
                  <w:tcW w:w="1103" w:type="dxa"/>
                  <w:vAlign w:val="center"/>
                </w:tcPr>
                <w:p>
                  <w:pPr>
                    <w:jc w:val="center"/>
                    <w:rPr>
                      <w:szCs w:val="21"/>
                    </w:rPr>
                  </w:pPr>
                  <w:r>
                    <w:rPr>
                      <w:szCs w:val="21"/>
                    </w:rPr>
                    <w:t>60.57×10</w:t>
                  </w:r>
                  <w:r>
                    <w:rPr>
                      <w:szCs w:val="21"/>
                      <w:vertAlign w:val="superscript"/>
                    </w:rPr>
                    <w:t>4</w:t>
                  </w:r>
                </w:p>
              </w:tc>
              <w:tc>
                <w:tcPr>
                  <w:tcW w:w="1241" w:type="dxa"/>
                  <w:vAlign w:val="center"/>
                </w:tcPr>
                <w:p>
                  <w:pPr>
                    <w:jc w:val="center"/>
                    <w:rPr>
                      <w:szCs w:val="21"/>
                    </w:rPr>
                  </w:pPr>
                  <w:r>
                    <w:rPr>
                      <w:szCs w:val="21"/>
                    </w:rPr>
                    <w:t>60.57×10</w:t>
                  </w:r>
                  <w:r>
                    <w:rPr>
                      <w:szCs w:val="21"/>
                      <w:vertAlign w:val="superscript"/>
                    </w:rPr>
                    <w:t>4</w:t>
                  </w:r>
                </w:p>
              </w:tc>
              <w:tc>
                <w:tcPr>
                  <w:tcW w:w="709" w:type="dxa"/>
                  <w:vMerge w:val="continue"/>
                  <w:vAlign w:val="center"/>
                </w:tcPr>
                <w:p>
                  <w:pPr>
                    <w:jc w:val="center"/>
                    <w:rPr>
                      <w:szCs w:val="21"/>
                    </w:rPr>
                  </w:pPr>
                </w:p>
              </w:tc>
              <w:tc>
                <w:tcPr>
                  <w:tcW w:w="1359" w:type="dxa"/>
                  <w:vAlign w:val="center"/>
                </w:tcPr>
                <w:p>
                  <w:pPr>
                    <w:jc w:val="center"/>
                    <w:rPr>
                      <w:szCs w:val="21"/>
                    </w:rPr>
                  </w:pPr>
                  <w:r>
                    <w:rPr>
                      <w:rFonts w:hint="eastAsia"/>
                      <w:szCs w:val="21"/>
                    </w:rPr>
                    <w:t>100</w:t>
                  </w:r>
                </w:p>
              </w:tc>
              <w:tc>
                <w:tcPr>
                  <w:tcW w:w="1334" w:type="dxa"/>
                  <w:vAlign w:val="center"/>
                </w:tcPr>
                <w:p>
                  <w:pPr>
                    <w:jc w:val="center"/>
                    <w:rPr>
                      <w:szCs w:val="21"/>
                    </w:rPr>
                  </w:pPr>
                  <w:r>
                    <w:rPr>
                      <w:rFonts w:hint="eastAsia"/>
                      <w:szCs w:val="21"/>
                    </w:rPr>
                    <w:t>0</w:t>
                  </w:r>
                </w:p>
              </w:tc>
              <w:tc>
                <w:tcPr>
                  <w:tcW w:w="709" w:type="dxa"/>
                  <w:vMerge w:val="continue"/>
                  <w:vAlign w:val="center"/>
                </w:tcPr>
                <w:p>
                  <w:pPr>
                    <w:jc w:val="center"/>
                    <w:rPr>
                      <w:szCs w:val="21"/>
                    </w:rPr>
                  </w:pPr>
                </w:p>
              </w:tc>
              <w:tc>
                <w:tcPr>
                  <w:tcW w:w="1268"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3" w:type="dxa"/>
                  <w:vAlign w:val="center"/>
                </w:tcPr>
                <w:p>
                  <w:pPr>
                    <w:jc w:val="center"/>
                    <w:rPr>
                      <w:szCs w:val="21"/>
                    </w:rPr>
                  </w:pPr>
                  <w:r>
                    <w:rPr>
                      <w:rFonts w:hint="eastAsia"/>
                      <w:szCs w:val="21"/>
                    </w:rPr>
                    <w:t>脱硫石膏</w:t>
                  </w:r>
                </w:p>
              </w:tc>
              <w:tc>
                <w:tcPr>
                  <w:tcW w:w="1103" w:type="dxa"/>
                  <w:vAlign w:val="center"/>
                </w:tcPr>
                <w:p>
                  <w:pPr>
                    <w:jc w:val="center"/>
                    <w:rPr>
                      <w:szCs w:val="21"/>
                    </w:rPr>
                  </w:pPr>
                  <w:r>
                    <w:rPr>
                      <w:szCs w:val="21"/>
                    </w:rPr>
                    <w:t>12.00×10</w:t>
                  </w:r>
                  <w:r>
                    <w:rPr>
                      <w:szCs w:val="21"/>
                      <w:vertAlign w:val="superscript"/>
                    </w:rPr>
                    <w:t>4</w:t>
                  </w:r>
                </w:p>
              </w:tc>
              <w:tc>
                <w:tcPr>
                  <w:tcW w:w="1241" w:type="dxa"/>
                  <w:vAlign w:val="center"/>
                </w:tcPr>
                <w:p>
                  <w:pPr>
                    <w:jc w:val="center"/>
                    <w:rPr>
                      <w:szCs w:val="21"/>
                    </w:rPr>
                  </w:pPr>
                  <w:r>
                    <w:rPr>
                      <w:szCs w:val="21"/>
                    </w:rPr>
                    <w:t>12.00×10</w:t>
                  </w:r>
                  <w:r>
                    <w:rPr>
                      <w:szCs w:val="21"/>
                      <w:vertAlign w:val="superscript"/>
                    </w:rPr>
                    <w:t>4</w:t>
                  </w:r>
                </w:p>
              </w:tc>
              <w:tc>
                <w:tcPr>
                  <w:tcW w:w="709" w:type="dxa"/>
                  <w:vMerge w:val="continue"/>
                  <w:vAlign w:val="center"/>
                </w:tcPr>
                <w:p>
                  <w:pPr>
                    <w:jc w:val="center"/>
                    <w:rPr>
                      <w:szCs w:val="21"/>
                    </w:rPr>
                  </w:pPr>
                </w:p>
              </w:tc>
              <w:tc>
                <w:tcPr>
                  <w:tcW w:w="1359" w:type="dxa"/>
                  <w:vAlign w:val="center"/>
                </w:tcPr>
                <w:p>
                  <w:pPr>
                    <w:jc w:val="center"/>
                    <w:rPr>
                      <w:szCs w:val="21"/>
                    </w:rPr>
                  </w:pPr>
                  <w:r>
                    <w:rPr>
                      <w:rFonts w:hint="eastAsia"/>
                      <w:szCs w:val="21"/>
                    </w:rPr>
                    <w:t>100</w:t>
                  </w:r>
                </w:p>
              </w:tc>
              <w:tc>
                <w:tcPr>
                  <w:tcW w:w="1334" w:type="dxa"/>
                  <w:vAlign w:val="center"/>
                </w:tcPr>
                <w:p>
                  <w:pPr>
                    <w:jc w:val="center"/>
                    <w:rPr>
                      <w:szCs w:val="21"/>
                    </w:rPr>
                  </w:pPr>
                  <w:r>
                    <w:rPr>
                      <w:rFonts w:hint="eastAsia"/>
                      <w:szCs w:val="21"/>
                    </w:rPr>
                    <w:t>0</w:t>
                  </w:r>
                </w:p>
              </w:tc>
              <w:tc>
                <w:tcPr>
                  <w:tcW w:w="709" w:type="dxa"/>
                  <w:vMerge w:val="continue"/>
                  <w:vAlign w:val="center"/>
                </w:tcPr>
                <w:p>
                  <w:pPr>
                    <w:jc w:val="center"/>
                    <w:rPr>
                      <w:szCs w:val="21"/>
                    </w:rPr>
                  </w:pPr>
                </w:p>
              </w:tc>
              <w:tc>
                <w:tcPr>
                  <w:tcW w:w="1268" w:type="dxa"/>
                  <w:vAlign w:val="center"/>
                </w:tcPr>
                <w:p>
                  <w:pPr>
                    <w:jc w:val="center"/>
                    <w:rPr>
                      <w:szCs w:val="21"/>
                    </w:rPr>
                  </w:pPr>
                  <w:r>
                    <w:rPr>
                      <w:rFonts w:hint="eastAsia"/>
                      <w:szCs w:val="21"/>
                    </w:rPr>
                    <w:t>0</w:t>
                  </w:r>
                </w:p>
              </w:tc>
            </w:tr>
          </w:tbl>
          <w:p>
            <w:pPr>
              <w:spacing w:before="120" w:beforeLines="50" w:line="360" w:lineRule="auto"/>
              <w:ind w:firstLine="480" w:firstLineChars="200"/>
              <w:jc w:val="left"/>
              <w:rPr>
                <w:sz w:val="24"/>
                <w:szCs w:val="22"/>
              </w:rPr>
            </w:pPr>
            <w:r>
              <w:rPr>
                <w:rFonts w:hint="eastAsia"/>
                <w:sz w:val="24"/>
                <w:szCs w:val="22"/>
              </w:rPr>
              <w:t>现有</w:t>
            </w:r>
            <w:r>
              <w:rPr>
                <w:sz w:val="24"/>
                <w:szCs w:val="22"/>
              </w:rPr>
              <w:t>工程全</w:t>
            </w:r>
            <w:r>
              <w:rPr>
                <w:rFonts w:hint="eastAsia"/>
                <w:sz w:val="24"/>
                <w:szCs w:val="22"/>
              </w:rPr>
              <w:t>厂</w:t>
            </w:r>
            <w:r>
              <w:rPr>
                <w:sz w:val="24"/>
                <w:szCs w:val="22"/>
              </w:rPr>
              <w:t>产生的一般固废均外售综合利用。</w:t>
            </w:r>
          </w:p>
          <w:p>
            <w:pPr>
              <w:spacing w:line="360" w:lineRule="auto"/>
              <w:ind w:firstLine="480" w:firstLineChars="200"/>
              <w:jc w:val="left"/>
              <w:rPr>
                <w:sz w:val="24"/>
                <w:szCs w:val="22"/>
              </w:rPr>
            </w:pPr>
            <w:r>
              <w:rPr>
                <w:sz w:val="24"/>
                <w:szCs w:val="22"/>
              </w:rPr>
              <w:fldChar w:fldCharType="begin"/>
            </w:r>
            <w:r>
              <w:rPr>
                <w:sz w:val="24"/>
                <w:szCs w:val="22"/>
              </w:rPr>
              <w:instrText xml:space="preserve"> </w:instrText>
            </w:r>
            <w:r>
              <w:rPr>
                <w:rFonts w:hint="eastAsia"/>
                <w:sz w:val="24"/>
                <w:szCs w:val="22"/>
              </w:rPr>
              <w:instrText xml:space="preserve">= 2 \* GB3</w:instrText>
            </w:r>
            <w:r>
              <w:rPr>
                <w:sz w:val="24"/>
                <w:szCs w:val="22"/>
              </w:rPr>
              <w:instrText xml:space="preserve"> </w:instrText>
            </w:r>
            <w:r>
              <w:rPr>
                <w:sz w:val="24"/>
                <w:szCs w:val="22"/>
              </w:rPr>
              <w:fldChar w:fldCharType="separate"/>
            </w:r>
            <w:r>
              <w:rPr>
                <w:rFonts w:hint="eastAsia"/>
                <w:sz w:val="24"/>
                <w:szCs w:val="22"/>
              </w:rPr>
              <w:t>②</w:t>
            </w:r>
            <w:r>
              <w:rPr>
                <w:sz w:val="24"/>
                <w:szCs w:val="22"/>
              </w:rPr>
              <w:fldChar w:fldCharType="end"/>
            </w:r>
            <w:r>
              <w:rPr>
                <w:sz w:val="24"/>
                <w:szCs w:val="22"/>
              </w:rPr>
              <w:t xml:space="preserve"> </w:t>
            </w:r>
            <w:r>
              <w:rPr>
                <w:rFonts w:hint="eastAsia"/>
                <w:sz w:val="24"/>
                <w:szCs w:val="22"/>
              </w:rPr>
              <w:t>危险废物</w:t>
            </w:r>
          </w:p>
          <w:p>
            <w:pPr>
              <w:spacing w:line="360" w:lineRule="auto"/>
              <w:ind w:firstLine="480" w:firstLineChars="200"/>
              <w:jc w:val="left"/>
              <w:rPr>
                <w:sz w:val="24"/>
                <w:szCs w:val="22"/>
              </w:rPr>
            </w:pPr>
            <w:r>
              <w:rPr>
                <w:rFonts w:hint="eastAsia"/>
                <w:sz w:val="24"/>
                <w:szCs w:val="22"/>
              </w:rPr>
              <w:t>现有厂区产生的危险废物主要是机械设备定期更换产生的废机油、</w:t>
            </w:r>
            <w:r>
              <w:rPr>
                <w:sz w:val="24"/>
                <w:szCs w:val="22"/>
              </w:rPr>
              <w:t>废保温石棉、废</w:t>
            </w:r>
            <w:r>
              <w:rPr>
                <w:rFonts w:hint="eastAsia"/>
                <w:sz w:val="24"/>
                <w:szCs w:val="22"/>
              </w:rPr>
              <w:t>SCR催化剂，根据《国家危险废物名录》，废机油</w:t>
            </w:r>
            <w:r>
              <w:rPr>
                <w:sz w:val="24"/>
                <w:szCs w:val="22"/>
              </w:rPr>
              <w:t>、</w:t>
            </w:r>
            <w:r>
              <w:rPr>
                <w:rFonts w:hint="eastAsia"/>
                <w:sz w:val="24"/>
                <w:szCs w:val="22"/>
              </w:rPr>
              <w:t>废油桶</w:t>
            </w:r>
            <w:r>
              <w:rPr>
                <w:sz w:val="24"/>
                <w:szCs w:val="22"/>
              </w:rPr>
              <w:t>、</w:t>
            </w:r>
            <w:r>
              <w:rPr>
                <w:rFonts w:hint="eastAsia"/>
                <w:sz w:val="24"/>
                <w:szCs w:val="22"/>
              </w:rPr>
              <w:t>废感光材料</w:t>
            </w:r>
            <w:r>
              <w:rPr>
                <w:sz w:val="24"/>
                <w:szCs w:val="22"/>
              </w:rPr>
              <w:t>、废石棉、废</w:t>
            </w:r>
            <w:r>
              <w:rPr>
                <w:rFonts w:hint="eastAsia"/>
                <w:sz w:val="24"/>
                <w:szCs w:val="22"/>
              </w:rPr>
              <w:t>SCR催化剂危险废物类别分别为HW08、HW49、HW16、HW36、HW50，产生情况见表1</w:t>
            </w:r>
            <w:r>
              <w:rPr>
                <w:sz w:val="24"/>
                <w:szCs w:val="22"/>
              </w:rPr>
              <w:t>0</w:t>
            </w:r>
            <w:r>
              <w:rPr>
                <w:rFonts w:hint="eastAsia"/>
                <w:sz w:val="24"/>
                <w:szCs w:val="22"/>
              </w:rPr>
              <w:t>。</w:t>
            </w:r>
          </w:p>
          <w:p>
            <w:pPr>
              <w:jc w:val="center"/>
              <w:rPr>
                <w:b/>
                <w:szCs w:val="21"/>
              </w:rPr>
            </w:pPr>
            <w:r>
              <w:rPr>
                <w:rFonts w:hint="eastAsia"/>
                <w:b/>
                <w:szCs w:val="21"/>
              </w:rPr>
              <w:t>表1</w:t>
            </w:r>
            <w:r>
              <w:rPr>
                <w:b/>
                <w:szCs w:val="21"/>
              </w:rPr>
              <w:t>0</w:t>
            </w:r>
            <w:r>
              <w:rPr>
                <w:rFonts w:hint="eastAsia"/>
                <w:b/>
                <w:szCs w:val="21"/>
              </w:rPr>
              <w:t xml:space="preserve">    危险废物</w:t>
            </w:r>
            <w:r>
              <w:rPr>
                <w:b/>
                <w:szCs w:val="21"/>
              </w:rPr>
              <w:t>产生</w:t>
            </w:r>
            <w:r>
              <w:rPr>
                <w:rFonts w:hint="eastAsia"/>
                <w:b/>
                <w:szCs w:val="21"/>
              </w:rPr>
              <w:t>与</w:t>
            </w:r>
            <w:r>
              <w:rPr>
                <w:b/>
                <w:szCs w:val="21"/>
              </w:rPr>
              <w:t>处置情况一览表</w:t>
            </w:r>
          </w:p>
          <w:tbl>
            <w:tblPr>
              <w:tblStyle w:val="40"/>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472"/>
              <w:gridCol w:w="1472"/>
              <w:gridCol w:w="1472"/>
              <w:gridCol w:w="1954"/>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471" w:type="dxa"/>
                  <w:vAlign w:val="center"/>
                </w:tcPr>
                <w:p>
                  <w:pPr>
                    <w:jc w:val="center"/>
                    <w:rPr>
                      <w:szCs w:val="21"/>
                    </w:rPr>
                  </w:pPr>
                  <w:r>
                    <w:rPr>
                      <w:rFonts w:hint="eastAsia"/>
                      <w:szCs w:val="21"/>
                    </w:rPr>
                    <w:t>危险废物</w:t>
                  </w:r>
                  <w:r>
                    <w:rPr>
                      <w:szCs w:val="21"/>
                    </w:rPr>
                    <w:t>名称</w:t>
                  </w:r>
                </w:p>
              </w:tc>
              <w:tc>
                <w:tcPr>
                  <w:tcW w:w="1472" w:type="dxa"/>
                  <w:vAlign w:val="center"/>
                </w:tcPr>
                <w:p>
                  <w:pPr>
                    <w:jc w:val="center"/>
                    <w:rPr>
                      <w:szCs w:val="21"/>
                    </w:rPr>
                  </w:pPr>
                  <w:r>
                    <w:rPr>
                      <w:rFonts w:hint="eastAsia"/>
                      <w:szCs w:val="21"/>
                    </w:rPr>
                    <w:t>产生量</w:t>
                  </w:r>
                  <w:r>
                    <w:rPr>
                      <w:szCs w:val="21"/>
                    </w:rPr>
                    <w:t>（</w:t>
                  </w:r>
                  <w:r>
                    <w:rPr>
                      <w:rFonts w:hint="eastAsia"/>
                      <w:szCs w:val="21"/>
                    </w:rPr>
                    <w:t>t/a</w:t>
                  </w:r>
                  <w:r>
                    <w:rPr>
                      <w:szCs w:val="21"/>
                    </w:rPr>
                    <w:t>）</w:t>
                  </w:r>
                </w:p>
              </w:tc>
              <w:tc>
                <w:tcPr>
                  <w:tcW w:w="1472" w:type="dxa"/>
                  <w:vAlign w:val="center"/>
                </w:tcPr>
                <w:p>
                  <w:pPr>
                    <w:jc w:val="center"/>
                    <w:rPr>
                      <w:szCs w:val="21"/>
                    </w:rPr>
                  </w:pPr>
                  <w:r>
                    <w:rPr>
                      <w:rFonts w:hint="eastAsia"/>
                      <w:szCs w:val="21"/>
                    </w:rPr>
                    <w:t>贮存量</w:t>
                  </w:r>
                  <w:r>
                    <w:rPr>
                      <w:szCs w:val="21"/>
                    </w:rPr>
                    <w:t>（</w:t>
                  </w:r>
                  <w:r>
                    <w:rPr>
                      <w:rFonts w:hint="eastAsia"/>
                      <w:szCs w:val="21"/>
                    </w:rPr>
                    <w:t>t</w:t>
                  </w:r>
                  <w:r>
                    <w:rPr>
                      <w:szCs w:val="21"/>
                    </w:rPr>
                    <w:t>）</w:t>
                  </w:r>
                </w:p>
              </w:tc>
              <w:tc>
                <w:tcPr>
                  <w:tcW w:w="1472" w:type="dxa"/>
                  <w:vAlign w:val="center"/>
                </w:tcPr>
                <w:p>
                  <w:pPr>
                    <w:jc w:val="center"/>
                    <w:rPr>
                      <w:szCs w:val="21"/>
                    </w:rPr>
                  </w:pPr>
                  <w:r>
                    <w:rPr>
                      <w:rFonts w:hint="eastAsia"/>
                      <w:szCs w:val="21"/>
                    </w:rPr>
                    <w:t>处理（处置）量</w:t>
                  </w:r>
                  <w:r>
                    <w:rPr>
                      <w:szCs w:val="21"/>
                    </w:rPr>
                    <w:t>（</w:t>
                  </w:r>
                  <w:r>
                    <w:rPr>
                      <w:rFonts w:hint="eastAsia"/>
                      <w:szCs w:val="21"/>
                    </w:rPr>
                    <w:t>t</w:t>
                  </w:r>
                  <w:r>
                    <w:rPr>
                      <w:szCs w:val="21"/>
                    </w:rPr>
                    <w:t>/a）</w:t>
                  </w:r>
                </w:p>
              </w:tc>
              <w:tc>
                <w:tcPr>
                  <w:tcW w:w="1954" w:type="dxa"/>
                  <w:vAlign w:val="center"/>
                </w:tcPr>
                <w:p>
                  <w:pPr>
                    <w:jc w:val="center"/>
                    <w:rPr>
                      <w:szCs w:val="21"/>
                    </w:rPr>
                  </w:pPr>
                  <w:r>
                    <w:rPr>
                      <w:rFonts w:hint="eastAsia"/>
                      <w:szCs w:val="21"/>
                    </w:rPr>
                    <w:t>处理方式</w:t>
                  </w:r>
                  <w:r>
                    <w:rPr>
                      <w:szCs w:val="21"/>
                    </w:rPr>
                    <w:t>（</w:t>
                  </w:r>
                  <w:r>
                    <w:rPr>
                      <w:rFonts w:hint="eastAsia"/>
                      <w:szCs w:val="21"/>
                    </w:rPr>
                    <w:t>及</w:t>
                  </w:r>
                  <w:r>
                    <w:rPr>
                      <w:szCs w:val="21"/>
                    </w:rPr>
                    <w:t>去向）</w:t>
                  </w:r>
                </w:p>
              </w:tc>
              <w:tc>
                <w:tcPr>
                  <w:tcW w:w="990" w:type="dxa"/>
                  <w:vAlign w:val="center"/>
                </w:tcPr>
                <w:p>
                  <w:pPr>
                    <w:jc w:val="center"/>
                    <w:rPr>
                      <w:szCs w:val="21"/>
                    </w:rPr>
                  </w:pPr>
                  <w:r>
                    <w:rPr>
                      <w:rFonts w:hint="eastAsia"/>
                      <w:szCs w:val="21"/>
                    </w:rPr>
                    <w:t>处理率</w:t>
                  </w:r>
                  <w:r>
                    <w:rPr>
                      <w:szCs w:val="21"/>
                    </w:rPr>
                    <w:t>（</w:t>
                  </w:r>
                  <w:r>
                    <w:rPr>
                      <w:rFonts w:hint="eastAsia"/>
                      <w:szCs w:val="21"/>
                    </w:rPr>
                    <w:t>%</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vAlign w:val="center"/>
                </w:tcPr>
                <w:p>
                  <w:pPr>
                    <w:jc w:val="center"/>
                    <w:rPr>
                      <w:szCs w:val="21"/>
                    </w:rPr>
                  </w:pPr>
                  <w:r>
                    <w:rPr>
                      <w:rFonts w:hint="eastAsia"/>
                      <w:szCs w:val="21"/>
                    </w:rPr>
                    <w:t>废机油</w:t>
                  </w:r>
                  <w:r>
                    <w:rPr>
                      <w:szCs w:val="21"/>
                    </w:rPr>
                    <w:t>（</w:t>
                  </w:r>
                  <w:r>
                    <w:rPr>
                      <w:rFonts w:hint="eastAsia"/>
                      <w:szCs w:val="21"/>
                    </w:rPr>
                    <w:t>HW08</w:t>
                  </w:r>
                  <w:r>
                    <w:rPr>
                      <w:szCs w:val="21"/>
                    </w:rPr>
                    <w:t>）</w:t>
                  </w:r>
                </w:p>
              </w:tc>
              <w:tc>
                <w:tcPr>
                  <w:tcW w:w="1472" w:type="dxa"/>
                  <w:vAlign w:val="center"/>
                </w:tcPr>
                <w:p>
                  <w:pPr>
                    <w:jc w:val="center"/>
                    <w:rPr>
                      <w:szCs w:val="21"/>
                    </w:rPr>
                  </w:pPr>
                  <w:r>
                    <w:rPr>
                      <w:rFonts w:hint="eastAsia"/>
                      <w:szCs w:val="21"/>
                    </w:rPr>
                    <w:t>21.8</w:t>
                  </w:r>
                  <w:r>
                    <w:rPr>
                      <w:szCs w:val="21"/>
                    </w:rPr>
                    <w:t>0</w:t>
                  </w:r>
                </w:p>
              </w:tc>
              <w:tc>
                <w:tcPr>
                  <w:tcW w:w="1472" w:type="dxa"/>
                  <w:vAlign w:val="center"/>
                </w:tcPr>
                <w:p>
                  <w:pPr>
                    <w:jc w:val="center"/>
                    <w:rPr>
                      <w:szCs w:val="21"/>
                    </w:rPr>
                  </w:pPr>
                  <w:r>
                    <w:rPr>
                      <w:szCs w:val="21"/>
                    </w:rPr>
                    <w:t>10.90</w:t>
                  </w:r>
                </w:p>
              </w:tc>
              <w:tc>
                <w:tcPr>
                  <w:tcW w:w="1472" w:type="dxa"/>
                  <w:vAlign w:val="center"/>
                </w:tcPr>
                <w:p>
                  <w:pPr>
                    <w:jc w:val="center"/>
                    <w:rPr>
                      <w:szCs w:val="21"/>
                    </w:rPr>
                  </w:pPr>
                  <w:r>
                    <w:rPr>
                      <w:rFonts w:hint="eastAsia"/>
                      <w:szCs w:val="21"/>
                    </w:rPr>
                    <w:t>21.8</w:t>
                  </w:r>
                  <w:r>
                    <w:rPr>
                      <w:szCs w:val="21"/>
                    </w:rPr>
                    <w:t>0</w:t>
                  </w:r>
                </w:p>
              </w:tc>
              <w:tc>
                <w:tcPr>
                  <w:tcW w:w="1954" w:type="dxa"/>
                  <w:vMerge w:val="restart"/>
                  <w:vAlign w:val="center"/>
                </w:tcPr>
                <w:p>
                  <w:pPr>
                    <w:jc w:val="center"/>
                    <w:rPr>
                      <w:szCs w:val="21"/>
                    </w:rPr>
                  </w:pPr>
                  <w:r>
                    <w:rPr>
                      <w:rFonts w:hint="eastAsia"/>
                      <w:szCs w:val="21"/>
                    </w:rPr>
                    <w:t>陕西</w:t>
                  </w:r>
                  <w:r>
                    <w:rPr>
                      <w:szCs w:val="21"/>
                    </w:rPr>
                    <w:t>明瑞资源再生有限公司</w:t>
                  </w:r>
                </w:p>
              </w:tc>
              <w:tc>
                <w:tcPr>
                  <w:tcW w:w="990" w:type="dxa"/>
                  <w:vAlign w:val="center"/>
                </w:tcPr>
                <w:p>
                  <w:pPr>
                    <w:jc w:val="center"/>
                    <w:rPr>
                      <w:szCs w:val="21"/>
                    </w:rPr>
                  </w:pPr>
                  <w:r>
                    <w:rPr>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vAlign w:val="center"/>
                </w:tcPr>
                <w:p>
                  <w:pPr>
                    <w:jc w:val="center"/>
                    <w:rPr>
                      <w:szCs w:val="21"/>
                    </w:rPr>
                  </w:pPr>
                  <w:r>
                    <w:rPr>
                      <w:rFonts w:hint="eastAsia"/>
                      <w:szCs w:val="21"/>
                    </w:rPr>
                    <w:t>废油桶</w:t>
                  </w:r>
                  <w:r>
                    <w:rPr>
                      <w:szCs w:val="21"/>
                    </w:rPr>
                    <w:t>（</w:t>
                  </w:r>
                  <w:r>
                    <w:rPr>
                      <w:rFonts w:hint="eastAsia"/>
                      <w:szCs w:val="21"/>
                    </w:rPr>
                    <w:t>HW49</w:t>
                  </w:r>
                  <w:r>
                    <w:rPr>
                      <w:szCs w:val="21"/>
                    </w:rPr>
                    <w:t>）</w:t>
                  </w:r>
                </w:p>
              </w:tc>
              <w:tc>
                <w:tcPr>
                  <w:tcW w:w="1472" w:type="dxa"/>
                  <w:vAlign w:val="center"/>
                </w:tcPr>
                <w:p>
                  <w:pPr>
                    <w:jc w:val="center"/>
                    <w:rPr>
                      <w:szCs w:val="21"/>
                    </w:rPr>
                  </w:pPr>
                  <w:r>
                    <w:rPr>
                      <w:rFonts w:hint="eastAsia"/>
                      <w:szCs w:val="21"/>
                    </w:rPr>
                    <w:t>2.14</w:t>
                  </w:r>
                </w:p>
              </w:tc>
              <w:tc>
                <w:tcPr>
                  <w:tcW w:w="1472" w:type="dxa"/>
                  <w:vAlign w:val="center"/>
                </w:tcPr>
                <w:p>
                  <w:pPr>
                    <w:jc w:val="center"/>
                    <w:rPr>
                      <w:szCs w:val="21"/>
                    </w:rPr>
                  </w:pPr>
                  <w:r>
                    <w:rPr>
                      <w:rFonts w:hint="eastAsia"/>
                      <w:szCs w:val="21"/>
                    </w:rPr>
                    <w:t>1.07</w:t>
                  </w:r>
                </w:p>
              </w:tc>
              <w:tc>
                <w:tcPr>
                  <w:tcW w:w="1472" w:type="dxa"/>
                  <w:vAlign w:val="center"/>
                </w:tcPr>
                <w:p>
                  <w:pPr>
                    <w:jc w:val="center"/>
                    <w:rPr>
                      <w:szCs w:val="21"/>
                    </w:rPr>
                  </w:pPr>
                  <w:r>
                    <w:rPr>
                      <w:rFonts w:hint="eastAsia"/>
                      <w:szCs w:val="21"/>
                    </w:rPr>
                    <w:t>2.14</w:t>
                  </w:r>
                </w:p>
              </w:tc>
              <w:tc>
                <w:tcPr>
                  <w:tcW w:w="1954" w:type="dxa"/>
                  <w:vMerge w:val="continue"/>
                  <w:vAlign w:val="center"/>
                </w:tcPr>
                <w:p>
                  <w:pPr>
                    <w:jc w:val="center"/>
                    <w:rPr>
                      <w:szCs w:val="21"/>
                    </w:rPr>
                  </w:pPr>
                </w:p>
              </w:tc>
              <w:tc>
                <w:tcPr>
                  <w:tcW w:w="990" w:type="dxa"/>
                  <w:vAlign w:val="center"/>
                </w:tcPr>
                <w:p>
                  <w:pPr>
                    <w:jc w:val="center"/>
                    <w:rPr>
                      <w:szCs w:val="21"/>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vAlign w:val="center"/>
                </w:tcPr>
                <w:p>
                  <w:pPr>
                    <w:jc w:val="center"/>
                    <w:rPr>
                      <w:szCs w:val="21"/>
                    </w:rPr>
                  </w:pPr>
                  <w:r>
                    <w:rPr>
                      <w:rFonts w:hint="eastAsia"/>
                      <w:szCs w:val="21"/>
                    </w:rPr>
                    <w:t>废</w:t>
                  </w:r>
                  <w:r>
                    <w:rPr>
                      <w:szCs w:val="21"/>
                    </w:rPr>
                    <w:t>感光材料（</w:t>
                  </w:r>
                  <w:r>
                    <w:rPr>
                      <w:rFonts w:hint="eastAsia"/>
                      <w:szCs w:val="21"/>
                    </w:rPr>
                    <w:t>HW16</w:t>
                  </w:r>
                  <w:r>
                    <w:rPr>
                      <w:szCs w:val="21"/>
                    </w:rPr>
                    <w:t>）</w:t>
                  </w:r>
                </w:p>
              </w:tc>
              <w:tc>
                <w:tcPr>
                  <w:tcW w:w="1472" w:type="dxa"/>
                  <w:vAlign w:val="center"/>
                </w:tcPr>
                <w:p>
                  <w:pPr>
                    <w:jc w:val="center"/>
                    <w:rPr>
                      <w:szCs w:val="21"/>
                    </w:rPr>
                  </w:pPr>
                  <w:r>
                    <w:rPr>
                      <w:rFonts w:hint="eastAsia"/>
                      <w:szCs w:val="21"/>
                    </w:rPr>
                    <w:t>0.05</w:t>
                  </w:r>
                </w:p>
              </w:tc>
              <w:tc>
                <w:tcPr>
                  <w:tcW w:w="1472" w:type="dxa"/>
                  <w:vAlign w:val="center"/>
                </w:tcPr>
                <w:p>
                  <w:pPr>
                    <w:jc w:val="center"/>
                    <w:rPr>
                      <w:szCs w:val="21"/>
                    </w:rPr>
                  </w:pPr>
                  <w:r>
                    <w:rPr>
                      <w:rFonts w:hint="eastAsia"/>
                      <w:szCs w:val="21"/>
                    </w:rPr>
                    <w:t>0.05</w:t>
                  </w:r>
                </w:p>
              </w:tc>
              <w:tc>
                <w:tcPr>
                  <w:tcW w:w="1472" w:type="dxa"/>
                  <w:vAlign w:val="center"/>
                </w:tcPr>
                <w:p>
                  <w:pPr>
                    <w:jc w:val="center"/>
                    <w:rPr>
                      <w:szCs w:val="21"/>
                    </w:rPr>
                  </w:pPr>
                  <w:r>
                    <w:rPr>
                      <w:rFonts w:hint="eastAsia"/>
                      <w:szCs w:val="21"/>
                    </w:rPr>
                    <w:t>0.05</w:t>
                  </w:r>
                </w:p>
              </w:tc>
              <w:tc>
                <w:tcPr>
                  <w:tcW w:w="1954" w:type="dxa"/>
                  <w:vMerge w:val="restart"/>
                  <w:vAlign w:val="center"/>
                </w:tcPr>
                <w:p>
                  <w:pPr>
                    <w:jc w:val="center"/>
                    <w:rPr>
                      <w:szCs w:val="21"/>
                    </w:rPr>
                  </w:pPr>
                  <w:r>
                    <w:rPr>
                      <w:rFonts w:hint="eastAsia"/>
                      <w:szCs w:val="21"/>
                    </w:rPr>
                    <w:t>陕西</w:t>
                  </w:r>
                  <w:r>
                    <w:rPr>
                      <w:szCs w:val="21"/>
                    </w:rPr>
                    <w:t>新</w:t>
                  </w:r>
                  <w:r>
                    <w:rPr>
                      <w:rFonts w:hint="eastAsia"/>
                      <w:szCs w:val="21"/>
                    </w:rPr>
                    <w:t>天地固体废物</w:t>
                  </w:r>
                  <w:r>
                    <w:rPr>
                      <w:szCs w:val="21"/>
                    </w:rPr>
                    <w:t>综合处置有限公司</w:t>
                  </w:r>
                </w:p>
              </w:tc>
              <w:tc>
                <w:tcPr>
                  <w:tcW w:w="990" w:type="dxa"/>
                  <w:vAlign w:val="center"/>
                </w:tcPr>
                <w:p>
                  <w:pPr>
                    <w:jc w:val="center"/>
                    <w:rPr>
                      <w:szCs w:val="21"/>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vAlign w:val="center"/>
                </w:tcPr>
                <w:p>
                  <w:pPr>
                    <w:jc w:val="center"/>
                    <w:rPr>
                      <w:szCs w:val="21"/>
                    </w:rPr>
                  </w:pPr>
                  <w:r>
                    <w:rPr>
                      <w:rFonts w:hint="eastAsia"/>
                      <w:szCs w:val="21"/>
                    </w:rPr>
                    <w:t>废石棉</w:t>
                  </w:r>
                  <w:r>
                    <w:rPr>
                      <w:szCs w:val="21"/>
                    </w:rPr>
                    <w:t>（</w:t>
                  </w:r>
                  <w:r>
                    <w:rPr>
                      <w:rFonts w:hint="eastAsia"/>
                      <w:szCs w:val="21"/>
                    </w:rPr>
                    <w:t>HW</w:t>
                  </w:r>
                  <w:r>
                    <w:rPr>
                      <w:szCs w:val="21"/>
                    </w:rPr>
                    <w:t>36）</w:t>
                  </w:r>
                </w:p>
              </w:tc>
              <w:tc>
                <w:tcPr>
                  <w:tcW w:w="1472" w:type="dxa"/>
                  <w:vAlign w:val="center"/>
                </w:tcPr>
                <w:p>
                  <w:pPr>
                    <w:jc w:val="center"/>
                    <w:rPr>
                      <w:szCs w:val="21"/>
                    </w:rPr>
                  </w:pPr>
                  <w:r>
                    <w:rPr>
                      <w:rFonts w:hint="eastAsia"/>
                      <w:szCs w:val="21"/>
                    </w:rPr>
                    <w:t>24.8</w:t>
                  </w:r>
                  <w:r>
                    <w:rPr>
                      <w:szCs w:val="21"/>
                    </w:rPr>
                    <w:t>0</w:t>
                  </w:r>
                </w:p>
              </w:tc>
              <w:tc>
                <w:tcPr>
                  <w:tcW w:w="1472" w:type="dxa"/>
                  <w:vAlign w:val="center"/>
                </w:tcPr>
                <w:p>
                  <w:pPr>
                    <w:jc w:val="center"/>
                    <w:rPr>
                      <w:szCs w:val="21"/>
                    </w:rPr>
                  </w:pPr>
                  <w:r>
                    <w:rPr>
                      <w:rFonts w:hint="eastAsia"/>
                      <w:szCs w:val="21"/>
                    </w:rPr>
                    <w:t>12.40</w:t>
                  </w:r>
                </w:p>
              </w:tc>
              <w:tc>
                <w:tcPr>
                  <w:tcW w:w="1472" w:type="dxa"/>
                  <w:vAlign w:val="center"/>
                </w:tcPr>
                <w:p>
                  <w:pPr>
                    <w:jc w:val="center"/>
                    <w:rPr>
                      <w:szCs w:val="21"/>
                    </w:rPr>
                  </w:pPr>
                  <w:r>
                    <w:rPr>
                      <w:rFonts w:hint="eastAsia"/>
                      <w:szCs w:val="21"/>
                    </w:rPr>
                    <w:t>24.8</w:t>
                  </w:r>
                  <w:r>
                    <w:rPr>
                      <w:szCs w:val="21"/>
                    </w:rPr>
                    <w:t>0</w:t>
                  </w:r>
                </w:p>
              </w:tc>
              <w:tc>
                <w:tcPr>
                  <w:tcW w:w="1954" w:type="dxa"/>
                  <w:vMerge w:val="continue"/>
                  <w:vAlign w:val="center"/>
                </w:tcPr>
                <w:p>
                  <w:pPr>
                    <w:jc w:val="center"/>
                    <w:rPr>
                      <w:szCs w:val="21"/>
                    </w:rPr>
                  </w:pPr>
                </w:p>
              </w:tc>
              <w:tc>
                <w:tcPr>
                  <w:tcW w:w="990" w:type="dxa"/>
                  <w:vAlign w:val="center"/>
                </w:tcPr>
                <w:p>
                  <w:pPr>
                    <w:jc w:val="center"/>
                    <w:rPr>
                      <w:szCs w:val="21"/>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vAlign w:val="center"/>
                </w:tcPr>
                <w:p>
                  <w:pPr>
                    <w:jc w:val="center"/>
                    <w:rPr>
                      <w:szCs w:val="21"/>
                    </w:rPr>
                  </w:pPr>
                  <w:r>
                    <w:rPr>
                      <w:rFonts w:hint="eastAsia"/>
                      <w:szCs w:val="21"/>
                    </w:rPr>
                    <w:t>废S</w:t>
                  </w:r>
                  <w:r>
                    <w:rPr>
                      <w:szCs w:val="21"/>
                    </w:rPr>
                    <w:t>CR</w:t>
                  </w:r>
                  <w:r>
                    <w:rPr>
                      <w:rFonts w:hint="eastAsia"/>
                      <w:szCs w:val="21"/>
                    </w:rPr>
                    <w:t>催化剂</w:t>
                  </w:r>
                  <w:r>
                    <w:rPr>
                      <w:szCs w:val="21"/>
                    </w:rPr>
                    <w:t>（</w:t>
                  </w:r>
                  <w:r>
                    <w:rPr>
                      <w:rFonts w:hint="eastAsia"/>
                      <w:szCs w:val="21"/>
                    </w:rPr>
                    <w:t>HW</w:t>
                  </w:r>
                  <w:r>
                    <w:rPr>
                      <w:szCs w:val="21"/>
                    </w:rPr>
                    <w:t>50）</w:t>
                  </w:r>
                </w:p>
              </w:tc>
              <w:tc>
                <w:tcPr>
                  <w:tcW w:w="1472" w:type="dxa"/>
                  <w:vAlign w:val="center"/>
                </w:tcPr>
                <w:p>
                  <w:pPr>
                    <w:jc w:val="center"/>
                    <w:rPr>
                      <w:szCs w:val="21"/>
                    </w:rPr>
                  </w:pPr>
                  <w:r>
                    <w:rPr>
                      <w:szCs w:val="21"/>
                    </w:rPr>
                    <w:t>60.00</w:t>
                  </w:r>
                </w:p>
              </w:tc>
              <w:tc>
                <w:tcPr>
                  <w:tcW w:w="1472" w:type="dxa"/>
                  <w:vAlign w:val="center"/>
                </w:tcPr>
                <w:p>
                  <w:pPr>
                    <w:jc w:val="center"/>
                    <w:rPr>
                      <w:szCs w:val="21"/>
                    </w:rPr>
                  </w:pPr>
                  <w:r>
                    <w:rPr>
                      <w:rFonts w:hint="eastAsia"/>
                      <w:szCs w:val="21"/>
                    </w:rPr>
                    <w:t>30.00</w:t>
                  </w:r>
                </w:p>
              </w:tc>
              <w:tc>
                <w:tcPr>
                  <w:tcW w:w="1472" w:type="dxa"/>
                  <w:vAlign w:val="center"/>
                </w:tcPr>
                <w:p>
                  <w:pPr>
                    <w:jc w:val="center"/>
                    <w:rPr>
                      <w:szCs w:val="21"/>
                    </w:rPr>
                  </w:pPr>
                  <w:r>
                    <w:rPr>
                      <w:szCs w:val="21"/>
                    </w:rPr>
                    <w:t>60.00</w:t>
                  </w:r>
                </w:p>
              </w:tc>
              <w:tc>
                <w:tcPr>
                  <w:tcW w:w="1954" w:type="dxa"/>
                  <w:vAlign w:val="center"/>
                </w:tcPr>
                <w:p>
                  <w:pPr>
                    <w:jc w:val="center"/>
                    <w:rPr>
                      <w:szCs w:val="21"/>
                    </w:rPr>
                  </w:pPr>
                  <w:r>
                    <w:rPr>
                      <w:rFonts w:hint="eastAsia"/>
                      <w:szCs w:val="21"/>
                    </w:rPr>
                    <w:t>江苏龙净</w:t>
                  </w:r>
                  <w:r>
                    <w:rPr>
                      <w:szCs w:val="21"/>
                    </w:rPr>
                    <w:t>科杰催化剂再生有限公司</w:t>
                  </w:r>
                </w:p>
              </w:tc>
              <w:tc>
                <w:tcPr>
                  <w:tcW w:w="990" w:type="dxa"/>
                  <w:vAlign w:val="center"/>
                </w:tcPr>
                <w:p>
                  <w:pPr>
                    <w:jc w:val="center"/>
                    <w:rPr>
                      <w:szCs w:val="21"/>
                    </w:rPr>
                  </w:pPr>
                  <w:r>
                    <w:rPr>
                      <w:rFonts w:hint="eastAsia"/>
                      <w:szCs w:val="21"/>
                    </w:rPr>
                    <w:t>100</w:t>
                  </w:r>
                </w:p>
              </w:tc>
            </w:tr>
          </w:tbl>
          <w:p>
            <w:pPr>
              <w:spacing w:before="120" w:beforeLines="50" w:line="360" w:lineRule="auto"/>
              <w:ind w:firstLine="480" w:firstLineChars="200"/>
              <w:jc w:val="left"/>
              <w:rPr>
                <w:sz w:val="24"/>
                <w:szCs w:val="22"/>
              </w:rPr>
            </w:pPr>
            <w:r>
              <w:rPr>
                <w:rFonts w:hint="eastAsia"/>
                <w:sz w:val="24"/>
                <w:szCs w:val="22"/>
              </w:rPr>
              <w:t>电厂</w:t>
            </w:r>
            <w:r>
              <w:rPr>
                <w:sz w:val="24"/>
                <w:szCs w:val="22"/>
              </w:rPr>
              <w:t>危险废物</w:t>
            </w:r>
            <w:r>
              <w:rPr>
                <w:rFonts w:hint="eastAsia"/>
                <w:sz w:val="24"/>
                <w:szCs w:val="22"/>
              </w:rPr>
              <w:t>在厂内危废暂存间暂存，最终全部交由</w:t>
            </w:r>
            <w:r>
              <w:rPr>
                <w:sz w:val="24"/>
                <w:szCs w:val="22"/>
              </w:rPr>
              <w:t>有资质单位处理，不外排。</w:t>
            </w:r>
          </w:p>
          <w:p>
            <w:pPr>
              <w:spacing w:line="360" w:lineRule="auto"/>
              <w:ind w:firstLine="482" w:firstLineChars="200"/>
              <w:jc w:val="left"/>
              <w:rPr>
                <w:b/>
                <w:sz w:val="24"/>
                <w:szCs w:val="22"/>
              </w:rPr>
            </w:pPr>
            <w:r>
              <w:rPr>
                <w:rFonts w:hint="eastAsia"/>
                <w:b/>
                <w:sz w:val="24"/>
                <w:szCs w:val="22"/>
              </w:rPr>
              <w:t>二</w:t>
            </w:r>
            <w:r>
              <w:rPr>
                <w:b/>
                <w:sz w:val="24"/>
                <w:szCs w:val="22"/>
              </w:rPr>
              <w:t>、主要环境问题</w:t>
            </w:r>
          </w:p>
          <w:p>
            <w:pPr>
              <w:spacing w:line="360" w:lineRule="auto"/>
              <w:ind w:firstLine="480" w:firstLineChars="200"/>
              <w:jc w:val="left"/>
              <w:rPr>
                <w:sz w:val="24"/>
                <w:szCs w:val="22"/>
              </w:rPr>
            </w:pPr>
            <w:r>
              <w:rPr>
                <w:rFonts w:hint="eastAsia"/>
                <w:sz w:val="24"/>
                <w:szCs w:val="22"/>
              </w:rPr>
              <w:t>根据</w:t>
            </w:r>
            <w:r>
              <w:rPr>
                <w:sz w:val="24"/>
                <w:szCs w:val="22"/>
              </w:rPr>
              <w:t>以上分析可知，渭河电厂现有工程</w:t>
            </w:r>
            <w:r>
              <w:rPr>
                <w:rFonts w:hint="eastAsia"/>
                <w:sz w:val="24"/>
                <w:szCs w:val="22"/>
              </w:rPr>
              <w:t>各</w:t>
            </w:r>
            <w:r>
              <w:rPr>
                <w:sz w:val="24"/>
                <w:szCs w:val="22"/>
              </w:rPr>
              <w:t>污染治理设施运行正常，污染物排放浓度满足相应标准要求，</w:t>
            </w:r>
            <w:r>
              <w:rPr>
                <w:rFonts w:hint="eastAsia"/>
                <w:sz w:val="24"/>
                <w:szCs w:val="22"/>
              </w:rPr>
              <w:t>现有</w:t>
            </w:r>
            <w:r>
              <w:rPr>
                <w:sz w:val="24"/>
                <w:szCs w:val="22"/>
              </w:rPr>
              <w:t>环境保护问题</w:t>
            </w:r>
            <w:r>
              <w:rPr>
                <w:rFonts w:hint="eastAsia"/>
                <w:sz w:val="24"/>
                <w:szCs w:val="22"/>
              </w:rPr>
              <w:t>主要为储煤场</w:t>
            </w:r>
            <w:r>
              <w:rPr>
                <w:sz w:val="24"/>
                <w:szCs w:val="22"/>
              </w:rPr>
              <w:t>为露天设置，扬尘产生量较大，不符合现行环保要求。</w:t>
            </w:r>
          </w:p>
          <w:p>
            <w:pPr>
              <w:spacing w:line="360" w:lineRule="auto"/>
              <w:ind w:firstLine="480" w:firstLineChars="200"/>
              <w:jc w:val="left"/>
              <w:rPr>
                <w:sz w:val="24"/>
                <w:szCs w:val="22"/>
              </w:rPr>
            </w:pPr>
          </w:p>
          <w:p>
            <w:pPr>
              <w:ind w:firstLine="480" w:firstLineChars="200"/>
              <w:jc w:val="left"/>
              <w:rPr>
                <w:sz w:val="24"/>
                <w:szCs w:val="22"/>
              </w:rPr>
            </w:pPr>
          </w:p>
          <w:p>
            <w:pPr>
              <w:ind w:firstLine="480" w:firstLineChars="200"/>
              <w:jc w:val="left"/>
              <w:rPr>
                <w:sz w:val="24"/>
                <w:szCs w:val="22"/>
              </w:rPr>
            </w:pPr>
          </w:p>
          <w:p>
            <w:pPr>
              <w:ind w:firstLine="480" w:firstLineChars="200"/>
              <w:jc w:val="left"/>
              <w:rPr>
                <w:sz w:val="24"/>
                <w:szCs w:val="22"/>
              </w:rPr>
            </w:pPr>
          </w:p>
          <w:p>
            <w:pPr>
              <w:ind w:firstLine="480" w:firstLineChars="200"/>
              <w:jc w:val="left"/>
              <w:rPr>
                <w:sz w:val="24"/>
                <w:szCs w:val="22"/>
              </w:rPr>
            </w:pPr>
          </w:p>
        </w:tc>
      </w:tr>
    </w:tbl>
    <w:p>
      <w:pPr>
        <w:snapToGrid w:val="0"/>
        <w:outlineLvl w:val="0"/>
        <w:rPr>
          <w:b/>
          <w:sz w:val="28"/>
          <w:szCs w:val="28"/>
        </w:rPr>
      </w:pPr>
      <w:bookmarkStart w:id="54" w:name="_Toc514340571"/>
      <w:bookmarkStart w:id="55" w:name="_Toc514340320"/>
      <w:r>
        <w:rPr>
          <w:b/>
          <w:sz w:val="28"/>
          <w:szCs w:val="28"/>
        </w:rPr>
        <w:t>建设项目所在地自然环境社会环境简况</w:t>
      </w:r>
      <w:bookmarkEnd w:id="54"/>
      <w:bookmarkEnd w:id="55"/>
    </w:p>
    <w:tbl>
      <w:tblPr>
        <w:tblStyle w:val="39"/>
        <w:tblW w:w="905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07" w:hRule="atLeast"/>
          <w:jc w:val="center"/>
        </w:trPr>
        <w:tc>
          <w:tcPr>
            <w:tcW w:w="9057" w:type="dxa"/>
          </w:tcPr>
          <w:p>
            <w:pPr>
              <w:spacing w:line="360" w:lineRule="auto"/>
              <w:textAlignment w:val="baseline"/>
              <w:rPr>
                <w:b/>
                <w:sz w:val="24"/>
              </w:rPr>
            </w:pPr>
            <w:r>
              <w:rPr>
                <w:b/>
                <w:sz w:val="24"/>
              </w:rPr>
              <w:t>自然环境简况(地形、地貌、地质、气候、气象、水文、植被、生物多样性等)：</w:t>
            </w:r>
          </w:p>
          <w:p>
            <w:pPr>
              <w:pStyle w:val="2"/>
              <w:ind w:firstLine="482" w:firstLineChars="200"/>
              <w:rPr>
                <w:rFonts w:ascii="Times New Roman"/>
                <w:kern w:val="2"/>
                <w:sz w:val="24"/>
                <w:szCs w:val="24"/>
              </w:rPr>
            </w:pPr>
            <w:bookmarkStart w:id="56" w:name="_Toc494203389"/>
            <w:bookmarkStart w:id="57" w:name="_Toc514340572"/>
            <w:bookmarkStart w:id="58" w:name="_Toc514340321"/>
            <w:bookmarkStart w:id="59" w:name="_Toc494203286"/>
            <w:bookmarkStart w:id="60" w:name="_Toc494203143"/>
            <w:bookmarkStart w:id="61" w:name="_Toc493776624"/>
            <w:bookmarkStart w:id="62" w:name="_Toc25434"/>
            <w:bookmarkStart w:id="63" w:name="_Toc477877248"/>
            <w:bookmarkStart w:id="64" w:name="_Toc477877323"/>
            <w:r>
              <w:rPr>
                <w:rFonts w:ascii="Times New Roman"/>
                <w:kern w:val="2"/>
                <w:sz w:val="24"/>
                <w:szCs w:val="24"/>
              </w:rPr>
              <w:t>一、</w:t>
            </w:r>
            <w:r>
              <w:rPr>
                <w:rFonts w:hint="eastAsia" w:ascii="Times New Roman"/>
                <w:kern w:val="2"/>
                <w:sz w:val="24"/>
                <w:szCs w:val="24"/>
              </w:rPr>
              <w:t>地理位置</w:t>
            </w:r>
          </w:p>
          <w:p>
            <w:pPr>
              <w:spacing w:line="360" w:lineRule="auto"/>
              <w:ind w:firstLine="480" w:firstLineChars="200"/>
              <w:rPr>
                <w:sz w:val="24"/>
              </w:rPr>
            </w:pPr>
            <w:r>
              <w:rPr>
                <w:sz w:val="24"/>
              </w:rPr>
              <w:t>西咸新区在西安、咸阳两市建成区之间，位于渭河地断陷地中部，地势西北高，东南低，构成台阶式现代河谷较为平坦开阔的地貌景观。南部属关中平原区，北部属黄土高原沟壑区，城市规划区位于渭河南北两岸二、三级阶地上，阶地上部覆盖黄土和亚粘士、亚砂士，下部为砂层及砾石、卵石层。</w:t>
            </w:r>
          </w:p>
          <w:p>
            <w:pPr>
              <w:spacing w:line="360" w:lineRule="auto"/>
              <w:ind w:firstLine="480" w:firstLineChars="200"/>
              <w:rPr>
                <w:sz w:val="24"/>
              </w:rPr>
            </w:pPr>
            <w:r>
              <w:rPr>
                <w:sz w:val="24"/>
              </w:rPr>
              <w:t>秦汉新城位于渭河地堑北缘中段，岐山至富平断裂带两侧。地势西北高、东南低。东西长约20km，南北宽约15km。</w:t>
            </w:r>
          </w:p>
          <w:p>
            <w:pPr>
              <w:spacing w:line="360" w:lineRule="auto"/>
              <w:ind w:firstLine="480" w:firstLineChars="200"/>
              <w:rPr>
                <w:sz w:val="24"/>
              </w:rPr>
            </w:pPr>
            <w:r>
              <w:rPr>
                <w:sz w:val="24"/>
              </w:rPr>
              <w:t>项目位于陕西省西咸新区秦汉新城</w:t>
            </w:r>
            <w:r>
              <w:rPr>
                <w:rFonts w:hint="eastAsia"/>
                <w:sz w:val="24"/>
              </w:rPr>
              <w:t>正阳镇</w:t>
            </w:r>
            <w:r>
              <w:rPr>
                <w:sz w:val="24"/>
              </w:rPr>
              <w:t>，场址中心地理坐标东经</w:t>
            </w:r>
            <w:r>
              <w:rPr>
                <w:rFonts w:hint="eastAsia"/>
                <w:sz w:val="24"/>
              </w:rPr>
              <w:t>108.</w:t>
            </w:r>
            <w:r>
              <w:rPr>
                <w:sz w:val="24"/>
              </w:rPr>
              <w:t>916875°，北纬34.424824°，交通方便，地理位置优越。</w:t>
            </w:r>
          </w:p>
          <w:p>
            <w:pPr>
              <w:pStyle w:val="2"/>
              <w:ind w:firstLine="482" w:firstLineChars="200"/>
              <w:rPr>
                <w:rFonts w:ascii="Times New Roman"/>
                <w:sz w:val="24"/>
                <w:szCs w:val="24"/>
              </w:rPr>
            </w:pPr>
            <w:r>
              <w:rPr>
                <w:rFonts w:hint="eastAsia" w:ascii="Times New Roman"/>
                <w:kern w:val="2"/>
                <w:sz w:val="24"/>
                <w:szCs w:val="24"/>
              </w:rPr>
              <w:t>二</w:t>
            </w:r>
            <w:r>
              <w:rPr>
                <w:rFonts w:ascii="Times New Roman"/>
                <w:kern w:val="2"/>
                <w:sz w:val="24"/>
                <w:szCs w:val="24"/>
              </w:rPr>
              <w:t>、地形地貌</w:t>
            </w:r>
            <w:bookmarkEnd w:id="56"/>
            <w:bookmarkEnd w:id="57"/>
            <w:bookmarkEnd w:id="58"/>
            <w:bookmarkEnd w:id="59"/>
            <w:bookmarkEnd w:id="60"/>
            <w:bookmarkEnd w:id="61"/>
            <w:bookmarkEnd w:id="62"/>
            <w:bookmarkEnd w:id="63"/>
            <w:bookmarkEnd w:id="64"/>
          </w:p>
          <w:p>
            <w:pPr>
              <w:spacing w:line="360" w:lineRule="auto"/>
              <w:ind w:firstLine="480" w:firstLineChars="200"/>
              <w:rPr>
                <w:sz w:val="24"/>
              </w:rPr>
            </w:pPr>
            <w:r>
              <w:rPr>
                <w:sz w:val="24"/>
              </w:rPr>
              <w:t>秦汉新城地貌类型由北向南划分为三类</w:t>
            </w:r>
            <w:r>
              <w:rPr>
                <w:rFonts w:hint="eastAsia"/>
                <w:sz w:val="24"/>
              </w:rPr>
              <w:t>：</w:t>
            </w:r>
            <w:r>
              <w:rPr>
                <w:sz w:val="24"/>
              </w:rPr>
              <w:t>北部为泾河冲积平原，中部黄土台塬，南部为渭河冲积平原。中部黄土台塬大致以宝鸡峡高千渠以及渭城区与泾阳县分界的台塬为界，根据地形高差又可分为一级台塬地和二级台塬地。区内地势中部高，南北两侧低，由南、北两侧向中部呈阶梯状倾斜。</w:t>
            </w:r>
          </w:p>
          <w:p>
            <w:pPr>
              <w:spacing w:line="360" w:lineRule="auto"/>
              <w:ind w:firstLine="480" w:firstLineChars="200"/>
              <w:rPr>
                <w:sz w:val="24"/>
              </w:rPr>
            </w:pPr>
            <w:r>
              <w:rPr>
                <w:sz w:val="24"/>
              </w:rPr>
              <w:t>项目区域地质构造上位于陕北台凹缘与渭河断凹相接的地带</w:t>
            </w:r>
            <w:r>
              <w:rPr>
                <w:rFonts w:hint="eastAsia"/>
                <w:sz w:val="24"/>
              </w:rPr>
              <w:t>；</w:t>
            </w:r>
            <w:r>
              <w:rPr>
                <w:sz w:val="24"/>
              </w:rPr>
              <w:t>在陕西省地层区划中，分属陕甘宁盆地分区和汾渭分区的渭河小区。项目地处渭河新生代断部盆地，活动断裂发育，新构造运动强烈，存在着发生破坏性地震的构造背景。根据《中国地震动参数区划图》（GB18306-2015）划分，该区地震烈度为VI度，地震动峰值加速度为0.15g。</w:t>
            </w:r>
          </w:p>
          <w:p>
            <w:pPr>
              <w:spacing w:line="360" w:lineRule="auto"/>
              <w:ind w:firstLine="480" w:firstLineChars="200"/>
              <w:rPr>
                <w:sz w:val="24"/>
              </w:rPr>
            </w:pPr>
            <w:r>
              <w:rPr>
                <w:sz w:val="24"/>
              </w:rPr>
              <w:t>经调查，项目区内</w:t>
            </w:r>
            <w:r>
              <w:rPr>
                <w:rFonts w:hint="eastAsia"/>
                <w:sz w:val="24"/>
              </w:rPr>
              <w:t>无</w:t>
            </w:r>
            <w:r>
              <w:rPr>
                <w:sz w:val="24"/>
              </w:rPr>
              <w:t>滑坡、崩塌、泥石流等不良地质现象。</w:t>
            </w:r>
          </w:p>
          <w:p>
            <w:pPr>
              <w:pStyle w:val="2"/>
              <w:ind w:firstLine="482" w:firstLineChars="200"/>
              <w:rPr>
                <w:rFonts w:ascii="Times New Roman"/>
                <w:sz w:val="24"/>
                <w:szCs w:val="24"/>
              </w:rPr>
            </w:pPr>
            <w:bookmarkStart w:id="65" w:name="_Toc514340573"/>
            <w:bookmarkStart w:id="66" w:name="_Toc514340322"/>
            <w:bookmarkStart w:id="67" w:name="_Toc494203390"/>
            <w:bookmarkStart w:id="68" w:name="_Toc494203287"/>
            <w:bookmarkStart w:id="69" w:name="_Toc1911"/>
            <w:bookmarkStart w:id="70" w:name="_Toc494203144"/>
            <w:bookmarkStart w:id="71" w:name="_Toc493776625"/>
            <w:bookmarkStart w:id="72" w:name="_Toc477877249"/>
            <w:bookmarkStart w:id="73" w:name="_Toc477877324"/>
            <w:r>
              <w:rPr>
                <w:rFonts w:ascii="Times New Roman"/>
                <w:kern w:val="2"/>
                <w:sz w:val="24"/>
                <w:szCs w:val="24"/>
              </w:rPr>
              <w:t>三、气候气象</w:t>
            </w:r>
            <w:bookmarkEnd w:id="65"/>
            <w:bookmarkEnd w:id="66"/>
            <w:bookmarkEnd w:id="67"/>
            <w:bookmarkEnd w:id="68"/>
            <w:bookmarkEnd w:id="69"/>
            <w:bookmarkEnd w:id="70"/>
            <w:bookmarkEnd w:id="71"/>
            <w:bookmarkEnd w:id="72"/>
            <w:bookmarkEnd w:id="73"/>
          </w:p>
          <w:p>
            <w:pPr>
              <w:spacing w:line="360" w:lineRule="auto"/>
              <w:ind w:firstLine="482" w:firstLineChars="200"/>
              <w:rPr>
                <w:b/>
                <w:sz w:val="24"/>
              </w:rPr>
            </w:pPr>
            <w:r>
              <w:rPr>
                <w:rFonts w:hint="eastAsia"/>
                <w:b/>
                <w:sz w:val="24"/>
              </w:rPr>
              <w:t>1、</w:t>
            </w:r>
            <w:r>
              <w:rPr>
                <w:b/>
                <w:sz w:val="24"/>
              </w:rPr>
              <w:t>气象概况</w:t>
            </w:r>
          </w:p>
          <w:p>
            <w:pPr>
              <w:spacing w:line="360" w:lineRule="auto"/>
              <w:ind w:firstLine="480" w:firstLineChars="200"/>
              <w:rPr>
                <w:sz w:val="24"/>
              </w:rPr>
            </w:pPr>
            <w:r>
              <w:rPr>
                <w:rFonts w:hint="eastAsia"/>
                <w:sz w:val="24"/>
              </w:rPr>
              <w:t>本次采用的气象资料为泾河气象站（5</w:t>
            </w:r>
            <w:r>
              <w:rPr>
                <w:sz w:val="24"/>
              </w:rPr>
              <w:t>7131</w:t>
            </w:r>
            <w:r>
              <w:rPr>
                <w:rFonts w:hint="eastAsia"/>
                <w:sz w:val="24"/>
              </w:rPr>
              <w:t>）资料，评价基准年为2</w:t>
            </w:r>
            <w:r>
              <w:rPr>
                <w:sz w:val="24"/>
              </w:rPr>
              <w:t>017年</w:t>
            </w:r>
            <w:r>
              <w:rPr>
                <w:rFonts w:hint="eastAsia"/>
                <w:sz w:val="24"/>
              </w:rPr>
              <w:t>，气象站位于陕西省西安市，地理坐标为东经1</w:t>
            </w:r>
            <w:r>
              <w:rPr>
                <w:sz w:val="24"/>
              </w:rPr>
              <w:t>08.9667</w:t>
            </w:r>
            <w:r>
              <w:rPr>
                <w:rFonts w:hint="eastAsia"/>
                <w:sz w:val="24"/>
              </w:rPr>
              <w:t>°，北纬</w:t>
            </w:r>
            <w:r>
              <w:rPr>
                <w:sz w:val="24"/>
              </w:rPr>
              <w:t>34.4333</w:t>
            </w:r>
            <w:r>
              <w:rPr>
                <w:rFonts w:hint="eastAsia"/>
                <w:sz w:val="24"/>
              </w:rPr>
              <w:t>°，海拔高度</w:t>
            </w:r>
            <w:r>
              <w:rPr>
                <w:sz w:val="24"/>
              </w:rPr>
              <w:t>410</w:t>
            </w:r>
            <w:r>
              <w:rPr>
                <w:rFonts w:hint="eastAsia"/>
                <w:sz w:val="24"/>
              </w:rPr>
              <w:t>m。气象站始建于</w:t>
            </w:r>
            <w:r>
              <w:rPr>
                <w:sz w:val="24"/>
              </w:rPr>
              <w:t>2005</w:t>
            </w:r>
            <w:r>
              <w:rPr>
                <w:rFonts w:hint="eastAsia"/>
                <w:sz w:val="24"/>
              </w:rPr>
              <w:t>年，</w:t>
            </w:r>
            <w:r>
              <w:rPr>
                <w:sz w:val="24"/>
              </w:rPr>
              <w:t>2005</w:t>
            </w:r>
            <w:r>
              <w:rPr>
                <w:rFonts w:hint="eastAsia"/>
                <w:sz w:val="24"/>
              </w:rPr>
              <w:t>年正式进行气象观测。</w:t>
            </w:r>
          </w:p>
          <w:p>
            <w:pPr>
              <w:spacing w:line="360" w:lineRule="auto"/>
              <w:ind w:firstLine="480" w:firstLineChars="200"/>
              <w:rPr>
                <w:b/>
                <w:szCs w:val="21"/>
              </w:rPr>
            </w:pPr>
            <w:r>
              <w:rPr>
                <w:rFonts w:hint="eastAsia"/>
                <w:sz w:val="24"/>
              </w:rPr>
              <w:t>泾河气象站距项目厂址5.8km，是距项目最近的国家气象站，拥有长期的气象观测资料，以下资料根据</w:t>
            </w:r>
            <w:r>
              <w:rPr>
                <w:sz w:val="24"/>
              </w:rPr>
              <w:t>2005</w:t>
            </w:r>
            <w:r>
              <w:rPr>
                <w:rFonts w:hint="eastAsia" w:ascii="宋体" w:hAnsi="宋体"/>
                <w:sz w:val="24"/>
              </w:rPr>
              <w:t>～</w:t>
            </w:r>
            <w:r>
              <w:rPr>
                <w:rFonts w:hint="eastAsia"/>
                <w:sz w:val="24"/>
              </w:rPr>
              <w:t>2017年气象数据统计分析。泾河气象站</w:t>
            </w:r>
            <w:r>
              <w:rPr>
                <w:sz w:val="24"/>
              </w:rPr>
              <w:t>资料整编表见表1</w:t>
            </w:r>
            <w:r>
              <w:rPr>
                <w:rFonts w:hint="eastAsia"/>
                <w:sz w:val="24"/>
              </w:rPr>
              <w:t>1。</w:t>
            </w:r>
          </w:p>
          <w:p>
            <w:pPr>
              <w:jc w:val="center"/>
              <w:rPr>
                <w:szCs w:val="21"/>
              </w:rPr>
            </w:pPr>
            <w:r>
              <w:rPr>
                <w:b/>
                <w:szCs w:val="21"/>
              </w:rPr>
              <w:t xml:space="preserve">表11   </w:t>
            </w:r>
            <w:r>
              <w:rPr>
                <w:rFonts w:hint="eastAsia"/>
                <w:b/>
                <w:szCs w:val="21"/>
              </w:rPr>
              <w:t xml:space="preserve"> 泾河气象站常规</w:t>
            </w:r>
            <w:r>
              <w:rPr>
                <w:b/>
                <w:szCs w:val="21"/>
              </w:rPr>
              <w:t>气象项目统计（2005</w:t>
            </w:r>
            <w:r>
              <w:rPr>
                <w:rFonts w:hint="eastAsia" w:ascii="宋体" w:hAnsi="宋体"/>
                <w:b/>
                <w:szCs w:val="21"/>
              </w:rPr>
              <w:t>～</w:t>
            </w:r>
            <w:r>
              <w:rPr>
                <w:rFonts w:hint="eastAsia"/>
                <w:b/>
                <w:szCs w:val="21"/>
              </w:rPr>
              <w:t>2017</w:t>
            </w:r>
            <w:r>
              <w:rPr>
                <w:b/>
                <w:szCs w:val="21"/>
              </w:rPr>
              <w:t>）</w:t>
            </w:r>
          </w:p>
          <w:tbl>
            <w:tblPr>
              <w:tblStyle w:val="39"/>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912"/>
              <w:gridCol w:w="1666"/>
              <w:gridCol w:w="1860"/>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统计</w:t>
                  </w:r>
                  <w:r>
                    <w:rPr>
                      <w:szCs w:val="21"/>
                    </w:rPr>
                    <w:t>项目</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统计值</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极</w:t>
                  </w:r>
                  <w:r>
                    <w:rPr>
                      <w:szCs w:val="21"/>
                    </w:rPr>
                    <w:t>值</w:t>
                  </w:r>
                  <w:r>
                    <w:rPr>
                      <w:rFonts w:hint="eastAsia"/>
                      <w:szCs w:val="21"/>
                    </w:rPr>
                    <w:t>出现</w:t>
                  </w:r>
                  <w:r>
                    <w:rPr>
                      <w:szCs w:val="21"/>
                    </w:rPr>
                    <w:t>时间</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极</w:t>
                  </w:r>
                  <w:r>
                    <w:rPr>
                      <w:szCs w:val="21"/>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平均气温（</w:t>
                  </w:r>
                  <w:r>
                    <w:rPr>
                      <w:rFonts w:hint="eastAsia"/>
                      <w:szCs w:val="21"/>
                    </w:rPr>
                    <w:t>℃</w:t>
                  </w:r>
                  <w:r>
                    <w:rPr>
                      <w:szCs w:val="21"/>
                    </w:rPr>
                    <w:t>）</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1</w:t>
                  </w:r>
                  <w:r>
                    <w:rPr>
                      <w:szCs w:val="21"/>
                    </w:rPr>
                    <w:t>4.9</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累</w:t>
                  </w:r>
                  <w:r>
                    <w:rPr>
                      <w:szCs w:val="21"/>
                    </w:rPr>
                    <w:t>年极端最高气温（</w:t>
                  </w:r>
                  <w:r>
                    <w:rPr>
                      <w:rFonts w:hint="eastAsia"/>
                      <w:szCs w:val="21"/>
                    </w:rPr>
                    <w:t>℃</w:t>
                  </w:r>
                  <w:r>
                    <w:rPr>
                      <w:szCs w:val="21"/>
                    </w:rPr>
                    <w:t>）</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3</w:t>
                  </w:r>
                  <w:r>
                    <w:rPr>
                      <w:szCs w:val="21"/>
                    </w:rPr>
                    <w:t>9.8</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2005-06-2</w:t>
                  </w:r>
                  <w:r>
                    <w:rPr>
                      <w:szCs w:val="21"/>
                    </w:rPr>
                    <w:t>3</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4</w:t>
                  </w:r>
                  <w:r>
                    <w:rPr>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累</w:t>
                  </w:r>
                  <w:r>
                    <w:rPr>
                      <w:szCs w:val="21"/>
                    </w:rPr>
                    <w:t>年极端最高</w:t>
                  </w:r>
                  <w:r>
                    <w:rPr>
                      <w:rFonts w:hint="eastAsia"/>
                      <w:szCs w:val="21"/>
                    </w:rPr>
                    <w:t>低</w:t>
                  </w:r>
                  <w:r>
                    <w:rPr>
                      <w:szCs w:val="21"/>
                    </w:rPr>
                    <w:t>温（</w:t>
                  </w:r>
                  <w:r>
                    <w:rPr>
                      <w:rFonts w:hint="eastAsia"/>
                      <w:szCs w:val="21"/>
                    </w:rPr>
                    <w:t>℃</w:t>
                  </w:r>
                  <w:r>
                    <w:rPr>
                      <w:szCs w:val="21"/>
                    </w:rPr>
                    <w:t>）</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r>
                    <w:rPr>
                      <w:szCs w:val="21"/>
                    </w:rPr>
                    <w:t>8.6</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20</w:t>
                  </w:r>
                  <w:r>
                    <w:rPr>
                      <w:szCs w:val="21"/>
                    </w:rPr>
                    <w:t>16</w:t>
                  </w:r>
                  <w:r>
                    <w:rPr>
                      <w:rFonts w:hint="eastAsia"/>
                      <w:szCs w:val="21"/>
                    </w:rPr>
                    <w:t>-</w:t>
                  </w:r>
                  <w:r>
                    <w:rPr>
                      <w:szCs w:val="21"/>
                    </w:rPr>
                    <w:t>01</w:t>
                  </w:r>
                  <w:r>
                    <w:rPr>
                      <w:rFonts w:hint="eastAsia"/>
                      <w:szCs w:val="21"/>
                    </w:rPr>
                    <w:t>-2</w:t>
                  </w:r>
                  <w:r>
                    <w:rPr>
                      <w:szCs w:val="21"/>
                    </w:rPr>
                    <w:t>5</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r>
                    <w:rPr>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w:t>
                  </w:r>
                  <w:r>
                    <w:rPr>
                      <w:rFonts w:hint="eastAsia"/>
                      <w:szCs w:val="21"/>
                    </w:rPr>
                    <w:t>气压</w:t>
                  </w:r>
                  <w:r>
                    <w:rPr>
                      <w:szCs w:val="21"/>
                    </w:rPr>
                    <w:t>（</w:t>
                  </w:r>
                  <w:r>
                    <w:rPr>
                      <w:rFonts w:hint="eastAsia"/>
                      <w:szCs w:val="21"/>
                    </w:rPr>
                    <w:t>hPa</w:t>
                  </w:r>
                  <w:r>
                    <w:rPr>
                      <w:szCs w:val="21"/>
                    </w:rPr>
                    <w:t>）</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9</w:t>
                  </w:r>
                  <w:r>
                    <w:rPr>
                      <w:szCs w:val="21"/>
                    </w:rPr>
                    <w:t>68.5</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平均水汽压（</w:t>
                  </w:r>
                  <w:r>
                    <w:rPr>
                      <w:rFonts w:hint="eastAsia"/>
                      <w:szCs w:val="21"/>
                    </w:rPr>
                    <w:t>hPa</w:t>
                  </w:r>
                  <w:r>
                    <w:rPr>
                      <w:szCs w:val="21"/>
                    </w:rPr>
                    <w:t>）</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1</w:t>
                  </w:r>
                  <w:r>
                    <w:rPr>
                      <w:szCs w:val="21"/>
                    </w:rPr>
                    <w:t>2.1</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平均相对湿度</w:t>
                  </w:r>
                  <w:r>
                    <w:rPr>
                      <w:rFonts w:hint="eastAsia"/>
                      <w:szCs w:val="21"/>
                    </w:rPr>
                    <w:t>（%）</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6</w:t>
                  </w:r>
                  <w:r>
                    <w:rPr>
                      <w:szCs w:val="21"/>
                    </w:rPr>
                    <w:t>2.7</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平均降雨量</w:t>
                  </w:r>
                  <w:r>
                    <w:rPr>
                      <w:rFonts w:hint="eastAsia"/>
                      <w:szCs w:val="21"/>
                    </w:rPr>
                    <w:t>（mm）</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5</w:t>
                  </w:r>
                  <w:r>
                    <w:rPr>
                      <w:szCs w:val="21"/>
                    </w:rPr>
                    <w:t>35.9</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20</w:t>
                  </w:r>
                  <w:r>
                    <w:rPr>
                      <w:szCs w:val="21"/>
                    </w:rPr>
                    <w:t>0</w:t>
                  </w:r>
                  <w:r>
                    <w:rPr>
                      <w:rFonts w:hint="eastAsia"/>
                      <w:szCs w:val="21"/>
                    </w:rPr>
                    <w:t>7-0</w:t>
                  </w:r>
                  <w:r>
                    <w:rPr>
                      <w:szCs w:val="21"/>
                    </w:rPr>
                    <w:t>8</w:t>
                  </w:r>
                  <w:r>
                    <w:rPr>
                      <w:rFonts w:hint="eastAsia"/>
                      <w:szCs w:val="21"/>
                    </w:rPr>
                    <w:t>-</w:t>
                  </w:r>
                  <w:r>
                    <w:rPr>
                      <w:szCs w:val="21"/>
                    </w:rPr>
                    <w:t>09</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117.3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71" w:type="dxa"/>
                  <w:vMerge w:val="restart"/>
                  <w:tcBorders>
                    <w:top w:val="single" w:color="auto" w:sz="4" w:space="0"/>
                    <w:left w:val="single" w:color="auto" w:sz="4" w:space="0"/>
                    <w:right w:val="single" w:color="auto" w:sz="4" w:space="0"/>
                  </w:tcBorders>
                  <w:vAlign w:val="center"/>
                </w:tcPr>
                <w:p>
                  <w:pPr>
                    <w:snapToGrid w:val="0"/>
                    <w:jc w:val="center"/>
                    <w:rPr>
                      <w:szCs w:val="21"/>
                    </w:rPr>
                  </w:pPr>
                  <w:r>
                    <w:rPr>
                      <w:rFonts w:hint="eastAsia"/>
                      <w:szCs w:val="21"/>
                    </w:rPr>
                    <w:t>灾害天气</w:t>
                  </w:r>
                  <w:r>
                    <w:rPr>
                      <w:szCs w:val="21"/>
                    </w:rPr>
                    <w:t>统计</w:t>
                  </w:r>
                </w:p>
              </w:tc>
              <w:tc>
                <w:tcPr>
                  <w:tcW w:w="291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平均沙暴日数</w:t>
                  </w:r>
                  <w:r>
                    <w:rPr>
                      <w:rFonts w:hint="eastAsia"/>
                      <w:szCs w:val="21"/>
                    </w:rPr>
                    <w:t>（d）</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0</w:t>
                  </w:r>
                  <w:r>
                    <w:rPr>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71" w:type="dxa"/>
                  <w:vMerge w:val="continue"/>
                  <w:tcBorders>
                    <w:left w:val="single" w:color="auto" w:sz="4" w:space="0"/>
                    <w:right w:val="single" w:color="auto" w:sz="4" w:space="0"/>
                  </w:tcBorders>
                  <w:vAlign w:val="center"/>
                </w:tcPr>
                <w:p>
                  <w:pPr>
                    <w:snapToGrid w:val="0"/>
                    <w:jc w:val="center"/>
                    <w:rPr>
                      <w:szCs w:val="21"/>
                    </w:rPr>
                  </w:pPr>
                </w:p>
              </w:tc>
              <w:tc>
                <w:tcPr>
                  <w:tcW w:w="291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平均雷暴日数</w:t>
                  </w:r>
                  <w:r>
                    <w:rPr>
                      <w:rFonts w:hint="eastAsia"/>
                      <w:szCs w:val="21"/>
                    </w:rPr>
                    <w:t>（d）</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5</w:t>
                  </w:r>
                  <w:r>
                    <w:rPr>
                      <w:szCs w:val="21"/>
                    </w:rPr>
                    <w:t>.5</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71" w:type="dxa"/>
                  <w:vMerge w:val="continue"/>
                  <w:tcBorders>
                    <w:left w:val="single" w:color="auto" w:sz="4" w:space="0"/>
                    <w:right w:val="single" w:color="auto" w:sz="4" w:space="0"/>
                  </w:tcBorders>
                  <w:vAlign w:val="center"/>
                </w:tcPr>
                <w:p>
                  <w:pPr>
                    <w:snapToGrid w:val="0"/>
                    <w:jc w:val="center"/>
                    <w:rPr>
                      <w:szCs w:val="21"/>
                    </w:rPr>
                  </w:pPr>
                </w:p>
              </w:tc>
              <w:tc>
                <w:tcPr>
                  <w:tcW w:w="291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平均冰雹日数</w:t>
                  </w:r>
                  <w:r>
                    <w:rPr>
                      <w:rFonts w:hint="eastAsia"/>
                      <w:szCs w:val="21"/>
                    </w:rPr>
                    <w:t>（d）</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0</w:t>
                  </w:r>
                  <w:r>
                    <w:rPr>
                      <w:szCs w:val="21"/>
                    </w:rPr>
                    <w:t>.2</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71" w:type="dxa"/>
                  <w:vMerge w:val="continue"/>
                  <w:tcBorders>
                    <w:left w:val="single" w:color="auto" w:sz="4" w:space="0"/>
                    <w:bottom w:val="single" w:color="auto" w:sz="4" w:space="0"/>
                    <w:right w:val="single" w:color="auto" w:sz="4" w:space="0"/>
                  </w:tcBorders>
                  <w:vAlign w:val="center"/>
                </w:tcPr>
                <w:p>
                  <w:pPr>
                    <w:snapToGrid w:val="0"/>
                    <w:jc w:val="center"/>
                    <w:rPr>
                      <w:szCs w:val="21"/>
                    </w:rPr>
                  </w:pPr>
                </w:p>
              </w:tc>
              <w:tc>
                <w:tcPr>
                  <w:tcW w:w="291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平均大风日数</w:t>
                  </w:r>
                  <w:r>
                    <w:rPr>
                      <w:rFonts w:hint="eastAsia"/>
                      <w:szCs w:val="21"/>
                    </w:rPr>
                    <w:t>（d）</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1</w:t>
                  </w:r>
                  <w:r>
                    <w:rPr>
                      <w:szCs w:val="21"/>
                    </w:rPr>
                    <w:t>.4</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实测极大风速（</w:t>
                  </w:r>
                  <w:r>
                    <w:rPr>
                      <w:rFonts w:hint="eastAsia"/>
                      <w:szCs w:val="21"/>
                    </w:rPr>
                    <w:t>m/s</w:t>
                  </w:r>
                  <w:r>
                    <w:rPr>
                      <w:szCs w:val="21"/>
                    </w:rPr>
                    <w:t>）</w:t>
                  </w:r>
                  <w:r>
                    <w:rPr>
                      <w:rFonts w:hint="eastAsia"/>
                      <w:szCs w:val="21"/>
                    </w:rPr>
                    <w:t>、</w:t>
                  </w:r>
                  <w:r>
                    <w:rPr>
                      <w:szCs w:val="21"/>
                    </w:rPr>
                    <w:t>相应风向</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7</w:t>
                  </w:r>
                  <w:r>
                    <w:rPr>
                      <w:szCs w:val="21"/>
                    </w:rPr>
                    <w:t>.7</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20</w:t>
                  </w:r>
                  <w:r>
                    <w:rPr>
                      <w:szCs w:val="21"/>
                    </w:rPr>
                    <w:t>08</w:t>
                  </w:r>
                  <w:r>
                    <w:rPr>
                      <w:rFonts w:hint="eastAsia"/>
                      <w:szCs w:val="21"/>
                    </w:rPr>
                    <w:t>-</w:t>
                  </w:r>
                  <w:r>
                    <w:rPr>
                      <w:szCs w:val="21"/>
                    </w:rPr>
                    <w:t>07</w:t>
                  </w:r>
                  <w:r>
                    <w:rPr>
                      <w:rFonts w:hint="eastAsia"/>
                      <w:szCs w:val="21"/>
                    </w:rPr>
                    <w:t>-</w:t>
                  </w:r>
                  <w:r>
                    <w:rPr>
                      <w:szCs w:val="21"/>
                    </w:rPr>
                    <w:t>20</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25.8N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平均风速（</w:t>
                  </w:r>
                  <w:r>
                    <w:rPr>
                      <w:rFonts w:hint="eastAsia"/>
                      <w:szCs w:val="21"/>
                    </w:rPr>
                    <w:t>m/s</w:t>
                  </w:r>
                  <w:r>
                    <w:rPr>
                      <w:szCs w:val="21"/>
                    </w:rPr>
                    <w:t>）</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2</w:t>
                  </w:r>
                  <w:r>
                    <w:rPr>
                      <w:szCs w:val="21"/>
                    </w:rPr>
                    <w:t>.5</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主导风向</w:t>
                  </w:r>
                  <w:r>
                    <w:rPr>
                      <w:rFonts w:hint="eastAsia"/>
                      <w:szCs w:val="21"/>
                    </w:rPr>
                    <w:t>/</w:t>
                  </w:r>
                  <w:r>
                    <w:rPr>
                      <w:szCs w:val="21"/>
                    </w:rPr>
                    <w:t>风向</w:t>
                  </w:r>
                  <w:r>
                    <w:rPr>
                      <w:rFonts w:hint="eastAsia"/>
                      <w:szCs w:val="21"/>
                    </w:rPr>
                    <w:t>频率</w:t>
                  </w:r>
                  <w:r>
                    <w:rPr>
                      <w:szCs w:val="21"/>
                    </w:rPr>
                    <w:t>（</w:t>
                  </w:r>
                  <w:r>
                    <w:rPr>
                      <w:rFonts w:hint="eastAsia"/>
                      <w:szCs w:val="21"/>
                    </w:rPr>
                    <w:t>%</w:t>
                  </w:r>
                  <w:r>
                    <w:rPr>
                      <w:szCs w:val="21"/>
                    </w:rPr>
                    <w:t>）</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N</w:t>
                  </w:r>
                  <w:r>
                    <w:rPr>
                      <w:szCs w:val="21"/>
                    </w:rPr>
                    <w:t>E16.2</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静风频率（</w:t>
                  </w:r>
                  <w:r>
                    <w:rPr>
                      <w:rFonts w:hint="eastAsia"/>
                      <w:szCs w:val="21"/>
                    </w:rPr>
                    <w:t>风速</w:t>
                  </w:r>
                  <w:r>
                    <w:rPr>
                      <w:szCs w:val="21"/>
                    </w:rPr>
                    <w:t>＜</w:t>
                  </w:r>
                  <w:r>
                    <w:rPr>
                      <w:rFonts w:hint="eastAsia"/>
                      <w:szCs w:val="21"/>
                    </w:rPr>
                    <w:t>0.2</w:t>
                  </w:r>
                  <w:r>
                    <w:rPr>
                      <w:szCs w:val="21"/>
                    </w:rPr>
                    <w:t>m/s）</w:t>
                  </w:r>
                  <w:r>
                    <w:rPr>
                      <w:rFonts w:hint="eastAsia"/>
                      <w:szCs w:val="21"/>
                    </w:rPr>
                    <w:t>（%）</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1</w:t>
                  </w:r>
                  <w:r>
                    <w:rPr>
                      <w:szCs w:val="21"/>
                    </w:rPr>
                    <w:t>.7</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bl>
          <w:p>
            <w:pPr>
              <w:spacing w:before="120" w:beforeLines="50" w:line="360" w:lineRule="auto"/>
              <w:ind w:firstLine="482" w:firstLineChars="200"/>
              <w:rPr>
                <w:b/>
                <w:sz w:val="24"/>
              </w:rPr>
            </w:pPr>
            <w:r>
              <w:rPr>
                <w:rFonts w:hint="eastAsia"/>
                <w:b/>
                <w:sz w:val="24"/>
              </w:rPr>
              <w:t>2、风向特征</w:t>
            </w:r>
          </w:p>
          <w:p>
            <w:pPr>
              <w:spacing w:line="360" w:lineRule="auto"/>
              <w:ind w:firstLine="480" w:firstLineChars="200"/>
              <w:rPr>
                <w:sz w:val="24"/>
              </w:rPr>
            </w:pPr>
            <w:r>
              <w:rPr>
                <w:rFonts w:hint="eastAsia"/>
                <w:sz w:val="24"/>
              </w:rPr>
              <w:t>泾河气象站</w:t>
            </w:r>
            <w:r>
              <w:rPr>
                <w:sz w:val="24"/>
              </w:rPr>
              <w:t>主要风向为</w:t>
            </w:r>
            <w:r>
              <w:rPr>
                <w:rFonts w:hint="eastAsia"/>
                <w:sz w:val="24"/>
              </w:rPr>
              <w:t>N</w:t>
            </w:r>
            <w:r>
              <w:rPr>
                <w:sz w:val="24"/>
              </w:rPr>
              <w:t>E和NNE、SW、ENE，占</w:t>
            </w:r>
            <w:r>
              <w:rPr>
                <w:rFonts w:hint="eastAsia"/>
                <w:sz w:val="24"/>
              </w:rPr>
              <w:t>5</w:t>
            </w:r>
            <w:r>
              <w:rPr>
                <w:sz w:val="24"/>
              </w:rPr>
              <w:t>2.1%，其中以NE</w:t>
            </w:r>
            <w:r>
              <w:rPr>
                <w:rFonts w:hint="eastAsia"/>
                <w:sz w:val="24"/>
              </w:rPr>
              <w:t>为</w:t>
            </w:r>
            <w:r>
              <w:rPr>
                <w:sz w:val="24"/>
              </w:rPr>
              <w:t>主</w:t>
            </w:r>
            <w:r>
              <w:rPr>
                <w:rFonts w:hint="eastAsia"/>
                <w:sz w:val="24"/>
              </w:rPr>
              <w:t>风向</w:t>
            </w:r>
            <w:r>
              <w:rPr>
                <w:sz w:val="24"/>
              </w:rPr>
              <w:t>，占到全年16.2%左右。</w:t>
            </w:r>
          </w:p>
          <w:p>
            <w:pPr>
              <w:pStyle w:val="2"/>
              <w:ind w:firstLine="482" w:firstLineChars="200"/>
              <w:rPr>
                <w:rFonts w:ascii="Times New Roman"/>
                <w:sz w:val="24"/>
                <w:szCs w:val="24"/>
              </w:rPr>
            </w:pPr>
            <w:bookmarkStart w:id="74" w:name="_Toc514340574"/>
            <w:bookmarkStart w:id="75" w:name="_Toc494203288"/>
            <w:bookmarkStart w:id="76" w:name="_Toc514340323"/>
            <w:bookmarkStart w:id="77" w:name="_Toc494203391"/>
            <w:bookmarkStart w:id="78" w:name="_Toc494203145"/>
            <w:bookmarkStart w:id="79" w:name="_Toc493776626"/>
            <w:bookmarkStart w:id="80" w:name="_Toc24372"/>
            <w:bookmarkStart w:id="81" w:name="_Toc477877326"/>
            <w:bookmarkStart w:id="82" w:name="_Toc477877251"/>
            <w:r>
              <w:rPr>
                <w:rFonts w:ascii="Times New Roman"/>
                <w:kern w:val="2"/>
                <w:sz w:val="24"/>
                <w:szCs w:val="24"/>
              </w:rPr>
              <w:t>四、水文</w:t>
            </w:r>
            <w:bookmarkEnd w:id="74"/>
            <w:bookmarkEnd w:id="75"/>
            <w:bookmarkEnd w:id="76"/>
            <w:bookmarkEnd w:id="77"/>
            <w:bookmarkEnd w:id="78"/>
            <w:bookmarkEnd w:id="79"/>
            <w:bookmarkEnd w:id="80"/>
            <w:bookmarkEnd w:id="81"/>
            <w:bookmarkEnd w:id="82"/>
          </w:p>
          <w:p>
            <w:pPr>
              <w:pStyle w:val="3"/>
              <w:ind w:firstLine="482" w:firstLineChars="200"/>
              <w:rPr>
                <w:rFonts w:ascii="Times New Roman" w:hAnsi="Times New Roman" w:eastAsia="宋体"/>
                <w:szCs w:val="24"/>
              </w:rPr>
            </w:pPr>
            <w:bookmarkStart w:id="83" w:name="_Toc514340575"/>
            <w:bookmarkStart w:id="84" w:name="_Toc514340324"/>
            <w:bookmarkStart w:id="85" w:name="_Toc494203289"/>
            <w:bookmarkStart w:id="86" w:name="_Toc494203392"/>
            <w:bookmarkStart w:id="87" w:name="_Toc494203146"/>
            <w:bookmarkStart w:id="88" w:name="_Toc493776627"/>
            <w:bookmarkStart w:id="89" w:name="_Toc15073"/>
            <w:bookmarkStart w:id="90" w:name="_Toc477877252"/>
            <w:bookmarkStart w:id="91" w:name="_Toc477877327"/>
            <w:r>
              <w:rPr>
                <w:rFonts w:ascii="Times New Roman" w:hAnsi="Times New Roman" w:eastAsia="宋体"/>
                <w:szCs w:val="24"/>
              </w:rPr>
              <w:t>1、地表水</w:t>
            </w:r>
            <w:bookmarkEnd w:id="83"/>
            <w:bookmarkEnd w:id="84"/>
            <w:bookmarkEnd w:id="85"/>
            <w:bookmarkEnd w:id="86"/>
            <w:bookmarkEnd w:id="87"/>
            <w:bookmarkEnd w:id="88"/>
            <w:bookmarkEnd w:id="89"/>
            <w:bookmarkEnd w:id="90"/>
            <w:bookmarkEnd w:id="91"/>
          </w:p>
          <w:p>
            <w:pPr>
              <w:spacing w:line="360" w:lineRule="auto"/>
              <w:ind w:firstLine="480" w:firstLineChars="200"/>
              <w:rPr>
                <w:sz w:val="24"/>
              </w:rPr>
            </w:pPr>
            <w:r>
              <w:rPr>
                <w:sz w:val="24"/>
              </w:rPr>
              <w:t>秦汉新城境内有泾河、渭河两条过境河流，均属渭河水系。</w:t>
            </w:r>
          </w:p>
          <w:p>
            <w:pPr>
              <w:spacing w:line="360" w:lineRule="auto"/>
              <w:ind w:firstLine="480" w:firstLineChars="200"/>
              <w:rPr>
                <w:sz w:val="24"/>
              </w:rPr>
            </w:pPr>
            <w:r>
              <w:rPr>
                <w:sz w:val="24"/>
              </w:rPr>
              <w:t>渭河为本区最大的地表水系。为黄河的一级支流，发源于甘肃渭源县，经甘肃陇西、天水流入陕西省，穿越宝鸡、咸阳、西安及渭南部分县(市)后在潼关县注入黄河，全长818km，流域面积46827km</w:t>
            </w:r>
            <w:r>
              <w:rPr>
                <w:sz w:val="24"/>
                <w:vertAlign w:val="superscript"/>
              </w:rPr>
              <w:t>2</w:t>
            </w:r>
            <w:r>
              <w:rPr>
                <w:sz w:val="24"/>
              </w:rPr>
              <w:t>。</w:t>
            </w:r>
          </w:p>
          <w:p>
            <w:pPr>
              <w:spacing w:line="360" w:lineRule="auto"/>
              <w:ind w:firstLine="480" w:firstLineChars="200"/>
              <w:rPr>
                <w:sz w:val="24"/>
              </w:rPr>
            </w:pPr>
            <w:r>
              <w:rPr>
                <w:sz w:val="24"/>
              </w:rPr>
              <w:t>渭河自西向东沿秦汉新城南缘流过，境内长度约10km。水量季节性变化大，最大流量6220m</w:t>
            </w:r>
            <w:r>
              <w:rPr>
                <w:rFonts w:hint="eastAsia"/>
                <w:sz w:val="24"/>
                <w:vertAlign w:val="superscript"/>
              </w:rPr>
              <w:t>3</w:t>
            </w:r>
            <w:r>
              <w:rPr>
                <w:sz w:val="24"/>
              </w:rPr>
              <w:t>/s，最小流量3.4m</w:t>
            </w:r>
            <w:r>
              <w:rPr>
                <w:rFonts w:hint="eastAsia"/>
                <w:sz w:val="24"/>
                <w:vertAlign w:val="superscript"/>
              </w:rPr>
              <w:t>3</w:t>
            </w:r>
            <w:r>
              <w:rPr>
                <w:sz w:val="24"/>
              </w:rPr>
              <w:t>/s，平均流量173m</w:t>
            </w:r>
            <w:r>
              <w:rPr>
                <w:rFonts w:hint="eastAsia"/>
                <w:sz w:val="24"/>
                <w:vertAlign w:val="superscript"/>
              </w:rPr>
              <w:t>3</w:t>
            </w:r>
            <w:r>
              <w:rPr>
                <w:sz w:val="24"/>
              </w:rPr>
              <w:t>/s。百年一遇洪水流量9920m</w:t>
            </w:r>
            <w:r>
              <w:rPr>
                <w:rFonts w:hint="eastAsia"/>
                <w:sz w:val="24"/>
                <w:vertAlign w:val="superscript"/>
              </w:rPr>
              <w:t>3</w:t>
            </w:r>
            <w:r>
              <w:rPr>
                <w:sz w:val="24"/>
              </w:rPr>
              <w:t>/s，相应水位386.5m</w:t>
            </w:r>
            <w:r>
              <w:rPr>
                <w:rFonts w:hint="eastAsia"/>
                <w:sz w:val="24"/>
              </w:rPr>
              <w:t>（</w:t>
            </w:r>
            <w:r>
              <w:rPr>
                <w:sz w:val="24"/>
              </w:rPr>
              <w:t>铁路桥处</w:t>
            </w:r>
            <w:r>
              <w:rPr>
                <w:rFonts w:hint="eastAsia"/>
                <w:sz w:val="24"/>
              </w:rPr>
              <w:t>），</w:t>
            </w:r>
            <w:r>
              <w:rPr>
                <w:sz w:val="24"/>
              </w:rPr>
              <w:t>河床宽浅，平水期水深3.0m，河床比降约1</w:t>
            </w:r>
            <w:r>
              <w:rPr>
                <w:rFonts w:ascii="Arial" w:hAnsi="Arial" w:cs="Arial"/>
                <w:sz w:val="24"/>
              </w:rPr>
              <w:t>‰</w:t>
            </w:r>
            <w:r>
              <w:rPr>
                <w:sz w:val="24"/>
              </w:rPr>
              <w:t>，河流南岸有沣河等支流汇入。</w:t>
            </w:r>
          </w:p>
          <w:p>
            <w:pPr>
              <w:spacing w:line="360" w:lineRule="auto"/>
              <w:ind w:firstLine="480" w:firstLineChars="200"/>
              <w:rPr>
                <w:sz w:val="24"/>
              </w:rPr>
            </w:pPr>
            <w:r>
              <w:rPr>
                <w:sz w:val="24"/>
              </w:rPr>
              <w:t>据区域水文地质资料，水位年变幅约1.5</w:t>
            </w:r>
            <w:r>
              <w:rPr>
                <w:rFonts w:hint="eastAsia"/>
                <w:sz w:val="24"/>
              </w:rPr>
              <w:t>m</w:t>
            </w:r>
            <w:r>
              <w:rPr>
                <w:sz w:val="24"/>
              </w:rPr>
              <w:t>左右。据现场调查访问，区的历史最高地下水位埋深可达10.0m。场地地下水对砼结构无腐蚀性</w:t>
            </w:r>
            <w:r>
              <w:rPr>
                <w:rFonts w:hint="eastAsia"/>
                <w:sz w:val="24"/>
              </w:rPr>
              <w:t>；</w:t>
            </w:r>
            <w:r>
              <w:rPr>
                <w:sz w:val="24"/>
              </w:rPr>
              <w:t>对钢筋全结构中的钢筋在干湿交替的情况下具有弱腐蚀性。</w:t>
            </w:r>
          </w:p>
          <w:p>
            <w:pPr>
              <w:spacing w:line="360" w:lineRule="auto"/>
              <w:ind w:firstLine="480" w:firstLineChars="200"/>
              <w:rPr>
                <w:sz w:val="24"/>
              </w:rPr>
            </w:pPr>
            <w:r>
              <w:rPr>
                <w:sz w:val="24"/>
              </w:rPr>
              <w:t>渭河位于项目南侧，与项目直线距离约1.7km。</w:t>
            </w:r>
          </w:p>
          <w:p>
            <w:pPr>
              <w:pStyle w:val="3"/>
              <w:ind w:firstLine="482" w:firstLineChars="200"/>
              <w:rPr>
                <w:rFonts w:ascii="Times New Roman" w:hAnsi="Times New Roman" w:eastAsia="宋体"/>
                <w:szCs w:val="24"/>
              </w:rPr>
            </w:pPr>
            <w:bookmarkStart w:id="92" w:name="_Toc514340576"/>
            <w:bookmarkStart w:id="93" w:name="_Toc514340325"/>
            <w:bookmarkStart w:id="94" w:name="_Toc494203393"/>
            <w:bookmarkStart w:id="95" w:name="_Toc494203290"/>
            <w:bookmarkStart w:id="96" w:name="_Toc494203147"/>
            <w:bookmarkStart w:id="97" w:name="_Toc493776628"/>
            <w:bookmarkStart w:id="98" w:name="_Toc243"/>
            <w:bookmarkStart w:id="99" w:name="_Toc477877253"/>
            <w:bookmarkStart w:id="100" w:name="_Toc477877328"/>
            <w:r>
              <w:rPr>
                <w:rFonts w:ascii="Times New Roman" w:hAnsi="Times New Roman" w:eastAsia="宋体"/>
                <w:szCs w:val="24"/>
              </w:rPr>
              <w:t>2、地下水</w:t>
            </w:r>
            <w:bookmarkEnd w:id="92"/>
            <w:bookmarkEnd w:id="93"/>
            <w:bookmarkEnd w:id="94"/>
            <w:bookmarkEnd w:id="95"/>
            <w:bookmarkEnd w:id="96"/>
            <w:bookmarkEnd w:id="97"/>
            <w:bookmarkEnd w:id="98"/>
            <w:bookmarkEnd w:id="99"/>
            <w:bookmarkEnd w:id="100"/>
          </w:p>
          <w:p>
            <w:pPr>
              <w:spacing w:line="360" w:lineRule="auto"/>
              <w:ind w:firstLine="480" w:firstLineChars="200"/>
              <w:rPr>
                <w:sz w:val="24"/>
              </w:rPr>
            </w:pPr>
            <w:r>
              <w:rPr>
                <w:sz w:val="24"/>
              </w:rPr>
              <w:t>本地区属于关中冲积、洪积平原，具有以松散岩类孔隙水为主的河谷盆地型水文地质特征，其动态主要受渭河的影响，补给主要依靠大气降水渗入和河流渗漏，含水层沿渭河呈条带状分布，面积广大，水量丰富。渭河平原区为强富水区，潜水总流向南东，埋深4～11m与19～40m之间，开采深度17～50m，单井涌水量10～20m</w:t>
            </w:r>
            <w:r>
              <w:rPr>
                <w:rFonts w:hint="eastAsia"/>
                <w:sz w:val="24"/>
                <w:vertAlign w:val="superscript"/>
              </w:rPr>
              <w:t>3</w:t>
            </w:r>
            <w:r>
              <w:rPr>
                <w:sz w:val="24"/>
              </w:rPr>
              <w:t>/h</w:t>
            </w:r>
            <w:r>
              <w:rPr>
                <w:rFonts w:hint="eastAsia"/>
                <w:sz w:val="24"/>
              </w:rPr>
              <w:t>；</w:t>
            </w:r>
            <w:r>
              <w:rPr>
                <w:sz w:val="24"/>
              </w:rPr>
              <w:t>承压水总流向南东，埋深200～250m。</w:t>
            </w:r>
          </w:p>
          <w:p>
            <w:pPr>
              <w:spacing w:line="360" w:lineRule="auto"/>
              <w:ind w:firstLine="480" w:firstLineChars="200"/>
              <w:rPr>
                <w:sz w:val="24"/>
              </w:rPr>
            </w:pPr>
            <w:r>
              <w:rPr>
                <w:sz w:val="24"/>
              </w:rPr>
              <w:t>秦汉新城处于渭河南北两岸阶地区，属于西安凹陷北部。新生代以来堆积了巨厚的松散沉积物，地下300m以内皆为第四纪松散堆积物，含水岩性为砂、砂砾卵石和部分黄土。各含水层在垂直方向与弱透水层成不等厚互层或夹层重叠。尤其是数十米的粗粒相冲积层，蕴藏着丰富的水资源。根据地下水的赋存条件和水力特征，分为潜水和承压水两类。</w:t>
            </w:r>
          </w:p>
          <w:p>
            <w:pPr>
              <w:spacing w:line="360" w:lineRule="auto"/>
              <w:ind w:firstLine="480" w:firstLineChars="200"/>
              <w:rPr>
                <w:sz w:val="24"/>
              </w:rPr>
            </w:pPr>
            <w:r>
              <w:rPr>
                <w:sz w:val="24"/>
              </w:rPr>
              <w:t>渭河河漫滩区属强富水区，潜水埋深一般小于10m</w:t>
            </w:r>
            <w:r>
              <w:rPr>
                <w:rFonts w:hint="eastAsia"/>
                <w:sz w:val="24"/>
              </w:rPr>
              <w:t>；</w:t>
            </w:r>
            <w:r>
              <w:rPr>
                <w:sz w:val="24"/>
              </w:rPr>
              <w:t>渭河一级阶地区为强富水区，潜水埋深一般在10～20m之间</w:t>
            </w:r>
            <w:r>
              <w:rPr>
                <w:rFonts w:hint="eastAsia"/>
                <w:sz w:val="24"/>
              </w:rPr>
              <w:t>；</w:t>
            </w:r>
            <w:r>
              <w:rPr>
                <w:sz w:val="24"/>
              </w:rPr>
              <w:t>渭河二级阶地区为较强富水区，从阶地前缘向后缘，富水性逐渐变弱，潜水埋深一般为10～20m</w:t>
            </w:r>
            <w:r>
              <w:rPr>
                <w:rFonts w:hint="eastAsia"/>
                <w:sz w:val="24"/>
              </w:rPr>
              <w:t>；</w:t>
            </w:r>
            <w:r>
              <w:rPr>
                <w:sz w:val="24"/>
              </w:rPr>
              <w:t>渭河三级阶地区为中等富水区，潜水埋深为30～60m</w:t>
            </w:r>
            <w:r>
              <w:rPr>
                <w:rFonts w:hint="eastAsia"/>
                <w:sz w:val="24"/>
              </w:rPr>
              <w:t>；</w:t>
            </w:r>
            <w:r>
              <w:rPr>
                <w:sz w:val="24"/>
              </w:rPr>
              <w:t>黄</w:t>
            </w:r>
            <w:r>
              <w:rPr>
                <w:rFonts w:hint="eastAsia"/>
                <w:sz w:val="24"/>
              </w:rPr>
              <w:t>土</w:t>
            </w:r>
            <w:r>
              <w:rPr>
                <w:sz w:val="24"/>
              </w:rPr>
              <w:t>塬区为极弱富水区，潜水埋深大于60m。</w:t>
            </w:r>
          </w:p>
          <w:p>
            <w:pPr>
              <w:spacing w:line="360" w:lineRule="auto"/>
              <w:ind w:firstLine="482" w:firstLineChars="200"/>
              <w:rPr>
                <w:b/>
                <w:bCs/>
                <w:sz w:val="24"/>
              </w:rPr>
            </w:pPr>
            <w:r>
              <w:rPr>
                <w:b/>
                <w:bCs/>
                <w:sz w:val="24"/>
              </w:rPr>
              <w:t>五、动、植物</w:t>
            </w:r>
          </w:p>
          <w:p>
            <w:pPr>
              <w:spacing w:line="360" w:lineRule="auto"/>
              <w:ind w:firstLine="480" w:firstLineChars="200"/>
              <w:rPr>
                <w:sz w:val="24"/>
              </w:rPr>
            </w:pPr>
            <w:r>
              <w:rPr>
                <w:sz w:val="24"/>
              </w:rPr>
              <w:t>项目所在地的地表植被属暖温带落叶阔叶林区，天然植被大多已被农作物小麦、玉米、蔬菜等所替代，人工栽培主要树种有杨树、泡桐、榆树、柳树、臭椿、松、柏等。灌木主要分布在地埂、河岸滩地上，种类有酸枣、悬钩子、杠柳，荆条等。草木植物主要有长芒草、阿尔泰紫苑、雀麦等。农作物主要有小麦、玉米、谷子、红薯、大豆等，经济作物主要有苹果、梨、花椒、油菜、花生、甜瓜等。</w:t>
            </w:r>
          </w:p>
          <w:p>
            <w:pPr>
              <w:widowControl/>
              <w:spacing w:line="360" w:lineRule="auto"/>
              <w:ind w:firstLine="480" w:firstLineChars="200"/>
              <w:rPr>
                <w:sz w:val="24"/>
              </w:rPr>
            </w:pPr>
            <w:r>
              <w:rPr>
                <w:sz w:val="24"/>
              </w:rPr>
              <w:t>本项目评价范围内人类活动频繁，项目区域无列入《国家重点保护野生植物名录》和《国家重点保护野生动物名录》的野生动植物</w:t>
            </w:r>
            <w:r>
              <w:rPr>
                <w:rFonts w:hint="eastAsia"/>
                <w:sz w:val="24"/>
              </w:rPr>
              <w:t>。</w:t>
            </w:r>
          </w:p>
          <w:p>
            <w:pPr>
              <w:snapToGrid w:val="0"/>
              <w:spacing w:line="360" w:lineRule="auto"/>
              <w:ind w:firstLine="482" w:firstLineChars="200"/>
              <w:rPr>
                <w:b/>
                <w:bCs/>
                <w:sz w:val="24"/>
              </w:rPr>
            </w:pPr>
            <w:r>
              <w:rPr>
                <w:rFonts w:hint="eastAsia"/>
                <w:b/>
                <w:bCs/>
                <w:sz w:val="24"/>
              </w:rPr>
              <w:t>六</w:t>
            </w:r>
            <w:r>
              <w:rPr>
                <w:b/>
                <w:bCs/>
                <w:sz w:val="24"/>
              </w:rPr>
              <w:t>、文物古迹</w:t>
            </w:r>
          </w:p>
          <w:p>
            <w:pPr>
              <w:snapToGrid w:val="0"/>
              <w:spacing w:line="360" w:lineRule="auto"/>
              <w:ind w:firstLine="480" w:firstLineChars="200"/>
              <w:rPr>
                <w:sz w:val="24"/>
              </w:rPr>
            </w:pPr>
            <w:r>
              <w:rPr>
                <w:sz w:val="24"/>
              </w:rPr>
              <w:t>经调查，项目拟建地周围</w:t>
            </w:r>
            <w:r>
              <w:rPr>
                <w:rFonts w:hint="eastAsia"/>
                <w:sz w:val="24"/>
              </w:rPr>
              <w:t>10</w:t>
            </w:r>
            <w:r>
              <w:rPr>
                <w:sz w:val="24"/>
              </w:rPr>
              <w:t>00m范围内无国家及地方重点保护文物、古迹。</w:t>
            </w:r>
          </w:p>
          <w:p>
            <w:pPr>
              <w:snapToGrid w:val="0"/>
              <w:spacing w:line="360" w:lineRule="auto"/>
              <w:ind w:firstLine="480" w:firstLineChars="200"/>
              <w:rPr>
                <w:sz w:val="24"/>
              </w:rPr>
            </w:pPr>
          </w:p>
          <w:p>
            <w:pPr>
              <w:snapToGrid w:val="0"/>
              <w:spacing w:line="360" w:lineRule="auto"/>
              <w:ind w:firstLine="480" w:firstLineChars="200"/>
              <w:rPr>
                <w:sz w:val="24"/>
              </w:rPr>
            </w:pPr>
          </w:p>
          <w:p>
            <w:pPr>
              <w:snapToGrid w:val="0"/>
              <w:spacing w:line="360" w:lineRule="auto"/>
              <w:ind w:firstLine="480" w:firstLineChars="200"/>
              <w:rPr>
                <w:sz w:val="24"/>
              </w:rPr>
            </w:pPr>
          </w:p>
          <w:p>
            <w:pPr>
              <w:snapToGrid w:val="0"/>
              <w:spacing w:line="360" w:lineRule="auto"/>
              <w:ind w:firstLine="480" w:firstLineChars="200"/>
              <w:rPr>
                <w:sz w:val="24"/>
              </w:rPr>
            </w:pPr>
          </w:p>
          <w:p>
            <w:pPr>
              <w:snapToGrid w:val="0"/>
              <w:spacing w:line="360" w:lineRule="auto"/>
              <w:ind w:firstLine="480" w:firstLineChars="200"/>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9057" w:type="dxa"/>
          </w:tcPr>
          <w:p>
            <w:pPr>
              <w:spacing w:line="360" w:lineRule="auto"/>
              <w:textAlignment w:val="baseline"/>
              <w:rPr>
                <w:b/>
                <w:sz w:val="24"/>
              </w:rPr>
            </w:pPr>
            <w:r>
              <w:rPr>
                <w:b/>
                <w:sz w:val="24"/>
              </w:rPr>
              <w:t>社会环境简况(社会经济结构、教育、文化、文物保护等)：</w:t>
            </w:r>
          </w:p>
          <w:p>
            <w:pPr>
              <w:spacing w:line="360" w:lineRule="auto"/>
              <w:ind w:firstLine="480" w:firstLineChars="200"/>
              <w:rPr>
                <w:sz w:val="24"/>
              </w:rPr>
            </w:pPr>
            <w:r>
              <w:rPr>
                <w:rFonts w:hint="eastAsia"/>
                <w:sz w:val="24"/>
              </w:rPr>
              <w:t>根据《建设项目环境影响评价技术导则 总纲》（HJ2.1-2016），“删除了社会环境现状调查与评价相关内容”，本报告不再对社会环境简况进行调查。</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bCs/>
                <w:sz w:val="24"/>
              </w:rPr>
            </w:pPr>
          </w:p>
        </w:tc>
      </w:tr>
    </w:tbl>
    <w:p>
      <w:pPr>
        <w:snapToGrid w:val="0"/>
        <w:outlineLvl w:val="0"/>
        <w:rPr>
          <w:b/>
          <w:sz w:val="28"/>
          <w:szCs w:val="28"/>
        </w:rPr>
      </w:pPr>
      <w:bookmarkStart w:id="101" w:name="_Toc514340327"/>
      <w:bookmarkStart w:id="102" w:name="_Toc514340578"/>
      <w:r>
        <w:rPr>
          <w:b/>
          <w:sz w:val="28"/>
          <w:szCs w:val="28"/>
        </w:rPr>
        <w:t>环境质量状况</w:t>
      </w:r>
      <w:bookmarkEnd w:id="101"/>
      <w:bookmarkEnd w:id="102"/>
    </w:p>
    <w:tbl>
      <w:tblPr>
        <w:tblStyle w:val="39"/>
        <w:tblW w:w="9057"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44" w:hRule="atLeast"/>
          <w:jc w:val="center"/>
        </w:trPr>
        <w:tc>
          <w:tcPr>
            <w:tcW w:w="9057" w:type="dxa"/>
          </w:tcPr>
          <w:p>
            <w:pPr>
              <w:spacing w:line="360" w:lineRule="auto"/>
              <w:textAlignment w:val="baseline"/>
              <w:rPr>
                <w:b/>
                <w:sz w:val="24"/>
              </w:rPr>
            </w:pPr>
            <w:r>
              <w:rPr>
                <w:b/>
                <w:sz w:val="24"/>
              </w:rPr>
              <w:t>建设项目所在地区域环境质量现状及主要环境问题(环境空气、地面水、地下水、声环境、生态环境等)</w:t>
            </w:r>
          </w:p>
          <w:p>
            <w:pPr>
              <w:pStyle w:val="2"/>
              <w:ind w:firstLine="472" w:firstLineChars="196"/>
              <w:rPr>
                <w:rFonts w:ascii="Times New Roman"/>
                <w:sz w:val="24"/>
                <w:szCs w:val="24"/>
              </w:rPr>
            </w:pPr>
            <w:bookmarkStart w:id="103" w:name="_Toc477877261"/>
            <w:bookmarkStart w:id="104" w:name="_Toc477877336"/>
            <w:bookmarkStart w:id="105" w:name="_Toc32532"/>
            <w:bookmarkStart w:id="106" w:name="_Toc493776636"/>
            <w:bookmarkStart w:id="107" w:name="_Toc494203155"/>
            <w:bookmarkStart w:id="108" w:name="_Toc494203298"/>
            <w:bookmarkStart w:id="109" w:name="_Toc494203401"/>
            <w:bookmarkStart w:id="110" w:name="_Toc514340328"/>
            <w:bookmarkStart w:id="111" w:name="_Toc514340579"/>
            <w:r>
              <w:rPr>
                <w:rFonts w:ascii="Times New Roman"/>
                <w:kern w:val="2"/>
                <w:sz w:val="24"/>
                <w:szCs w:val="24"/>
              </w:rPr>
              <w:t>一、环境空气质量现状</w:t>
            </w:r>
            <w:bookmarkEnd w:id="103"/>
            <w:bookmarkEnd w:id="104"/>
            <w:bookmarkEnd w:id="105"/>
            <w:bookmarkEnd w:id="106"/>
            <w:bookmarkEnd w:id="107"/>
            <w:bookmarkEnd w:id="108"/>
            <w:bookmarkEnd w:id="109"/>
            <w:bookmarkEnd w:id="110"/>
            <w:bookmarkEnd w:id="111"/>
          </w:p>
          <w:p>
            <w:pPr>
              <w:spacing w:line="360" w:lineRule="auto"/>
              <w:ind w:firstLine="482" w:firstLineChars="200"/>
              <w:rPr>
                <w:b/>
                <w:sz w:val="24"/>
              </w:rPr>
            </w:pPr>
            <w:r>
              <w:rPr>
                <w:rFonts w:hint="eastAsia"/>
                <w:b/>
                <w:sz w:val="24"/>
              </w:rPr>
              <w:t>1、项目所在区域空气质量达标判定</w:t>
            </w:r>
          </w:p>
          <w:p>
            <w:pPr>
              <w:spacing w:line="360" w:lineRule="auto"/>
              <w:ind w:firstLine="480" w:firstLineChars="200"/>
              <w:rPr>
                <w:sz w:val="24"/>
              </w:rPr>
            </w:pPr>
            <w:r>
              <w:rPr>
                <w:rFonts w:hint="eastAsia"/>
                <w:sz w:val="24"/>
              </w:rPr>
              <w:t>本项目位于西咸新区秦汉新城范围内。项目所在区域环境空气质量达标情况未发布。本次区域环境空气质量达标判定采用秦汉新城常规空气质量监测结果。根据陕西省环境保护厅《环保快报</w:t>
            </w:r>
            <w:r>
              <w:rPr>
                <w:sz w:val="24"/>
              </w:rPr>
              <w:t>2017</w:t>
            </w:r>
            <w:r>
              <w:rPr>
                <w:rFonts w:hint="eastAsia"/>
                <w:sz w:val="24"/>
              </w:rPr>
              <w:t>年</w:t>
            </w:r>
            <w:r>
              <w:rPr>
                <w:sz w:val="24"/>
              </w:rPr>
              <w:t>12</w:t>
            </w:r>
            <w:r>
              <w:rPr>
                <w:rFonts w:hint="eastAsia"/>
                <w:sz w:val="24"/>
              </w:rPr>
              <w:t>月及</w:t>
            </w:r>
            <w:r>
              <w:rPr>
                <w:sz w:val="24"/>
              </w:rPr>
              <w:t>1</w:t>
            </w:r>
            <w:r>
              <w:rPr>
                <w:rFonts w:hint="eastAsia"/>
                <w:sz w:val="24"/>
              </w:rPr>
              <w:t>~</w:t>
            </w:r>
            <w:r>
              <w:rPr>
                <w:sz w:val="24"/>
              </w:rPr>
              <w:t>12</w:t>
            </w:r>
            <w:r>
              <w:rPr>
                <w:rFonts w:hint="eastAsia"/>
                <w:sz w:val="24"/>
              </w:rPr>
              <w:t>月全省环境空气质量状况》（</w:t>
            </w:r>
            <w:r>
              <w:rPr>
                <w:sz w:val="24"/>
              </w:rPr>
              <w:t>2018</w:t>
            </w:r>
            <w:r>
              <w:rPr>
                <w:rFonts w:hint="eastAsia"/>
                <w:sz w:val="24"/>
              </w:rPr>
              <w:t>〔</w:t>
            </w:r>
            <w:r>
              <w:rPr>
                <w:sz w:val="24"/>
              </w:rPr>
              <w:t>3</w:t>
            </w:r>
            <w:r>
              <w:rPr>
                <w:rFonts w:hint="eastAsia"/>
                <w:sz w:val="24"/>
              </w:rPr>
              <w:t>〕号）附表</w:t>
            </w:r>
            <w:r>
              <w:rPr>
                <w:sz w:val="24"/>
              </w:rPr>
              <w:t>4</w:t>
            </w:r>
            <w:r>
              <w:rPr>
                <w:rFonts w:hint="eastAsia"/>
                <w:sz w:val="24"/>
              </w:rPr>
              <w:t>关中</w:t>
            </w:r>
            <w:r>
              <w:rPr>
                <w:sz w:val="24"/>
              </w:rPr>
              <w:t>67</w:t>
            </w:r>
            <w:r>
              <w:rPr>
                <w:rFonts w:hint="eastAsia"/>
                <w:sz w:val="24"/>
              </w:rPr>
              <w:t>个县区空气质量状况统计，秦汉新城</w:t>
            </w:r>
            <w:r>
              <w:rPr>
                <w:sz w:val="24"/>
              </w:rPr>
              <w:t>2017</w:t>
            </w:r>
            <w:r>
              <w:rPr>
                <w:rFonts w:hint="eastAsia"/>
                <w:sz w:val="24"/>
              </w:rPr>
              <w:t>年全年优良天数196天，重污染以上天数38天，空气质量综合指数6.70，关中</w:t>
            </w:r>
            <w:r>
              <w:rPr>
                <w:sz w:val="24"/>
              </w:rPr>
              <w:t>67</w:t>
            </w:r>
            <w:r>
              <w:rPr>
                <w:rFonts w:hint="eastAsia"/>
                <w:sz w:val="24"/>
              </w:rPr>
              <w:t>区县排行第35。</w:t>
            </w:r>
          </w:p>
          <w:p>
            <w:pPr>
              <w:spacing w:line="360" w:lineRule="auto"/>
              <w:ind w:firstLine="480" w:firstLineChars="200"/>
              <w:rPr>
                <w:sz w:val="24"/>
              </w:rPr>
            </w:pPr>
            <w:r>
              <w:rPr>
                <w:rFonts w:hint="eastAsia"/>
                <w:sz w:val="24"/>
              </w:rPr>
              <w:t>本次评价采用《快报》中</w:t>
            </w:r>
            <w:r>
              <w:rPr>
                <w:sz w:val="24"/>
              </w:rPr>
              <w:t>2017</w:t>
            </w:r>
            <w:r>
              <w:rPr>
                <w:rFonts w:hint="eastAsia"/>
                <w:sz w:val="24"/>
              </w:rPr>
              <w:t>年度秦汉新城空气质量状况统计结果进行区域环境质量达标判定。统计结果见表1</w:t>
            </w:r>
            <w:r>
              <w:rPr>
                <w:sz w:val="24"/>
              </w:rPr>
              <w:t>2</w:t>
            </w:r>
            <w:r>
              <w:rPr>
                <w:rFonts w:hint="eastAsia"/>
                <w:sz w:val="24"/>
              </w:rPr>
              <w:t>所示。</w:t>
            </w:r>
          </w:p>
          <w:p>
            <w:pPr>
              <w:ind w:firstLine="482"/>
              <w:jc w:val="center"/>
              <w:rPr>
                <w:b/>
                <w:szCs w:val="21"/>
              </w:rPr>
            </w:pPr>
            <w:r>
              <w:rPr>
                <w:rFonts w:hint="eastAsia"/>
                <w:b/>
                <w:szCs w:val="21"/>
              </w:rPr>
              <w:t>表1</w:t>
            </w:r>
            <w:r>
              <w:rPr>
                <w:b/>
                <w:szCs w:val="21"/>
              </w:rPr>
              <w:t xml:space="preserve">2  </w:t>
            </w:r>
            <w:r>
              <w:rPr>
                <w:rFonts w:hint="eastAsia"/>
                <w:b/>
                <w:szCs w:val="21"/>
              </w:rPr>
              <w:t xml:space="preserve">  </w:t>
            </w:r>
            <w:r>
              <w:rPr>
                <w:b/>
                <w:szCs w:val="21"/>
              </w:rPr>
              <w:t>2017</w:t>
            </w:r>
            <w:r>
              <w:rPr>
                <w:rFonts w:hint="eastAsia"/>
                <w:b/>
                <w:szCs w:val="21"/>
              </w:rPr>
              <w:t>年秦汉新城空气质量状况统计结果</w:t>
            </w:r>
          </w:p>
          <w:tbl>
            <w:tblPr>
              <w:tblStyle w:val="39"/>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922"/>
              <w:gridCol w:w="1080"/>
              <w:gridCol w:w="1080"/>
              <w:gridCol w:w="1210"/>
              <w:gridCol w:w="1212"/>
              <w:gridCol w:w="1080"/>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b/>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b/>
                      <w:szCs w:val="21"/>
                      <w:vertAlign w:val="subscript"/>
                    </w:rPr>
                  </w:pPr>
                  <w:r>
                    <w:rPr>
                      <w:b/>
                      <w:szCs w:val="21"/>
                    </w:rPr>
                    <w:t>SO</w:t>
                  </w:r>
                  <w:r>
                    <w:rPr>
                      <w:b/>
                      <w:szCs w:val="21"/>
                      <w:vertAlign w:val="subscript"/>
                    </w:rPr>
                    <w:t>2</w:t>
                  </w:r>
                </w:p>
                <w:p>
                  <w:pPr>
                    <w:adjustRightInd w:val="0"/>
                    <w:snapToGrid w:val="0"/>
                    <w:jc w:val="center"/>
                    <w:rPr>
                      <w:b/>
                      <w:szCs w:val="21"/>
                    </w:rPr>
                  </w:pPr>
                  <w:r>
                    <w:rPr>
                      <w:b/>
                      <w:szCs w:val="21"/>
                    </w:rPr>
                    <w:t>(μg/m³)</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b/>
                      <w:szCs w:val="21"/>
                      <w:vertAlign w:val="subscript"/>
                    </w:rPr>
                  </w:pPr>
                  <w:r>
                    <w:rPr>
                      <w:b/>
                      <w:szCs w:val="21"/>
                    </w:rPr>
                    <w:t>NO</w:t>
                  </w:r>
                  <w:r>
                    <w:rPr>
                      <w:b/>
                      <w:szCs w:val="21"/>
                      <w:vertAlign w:val="subscript"/>
                    </w:rPr>
                    <w:t>2</w:t>
                  </w:r>
                </w:p>
                <w:p>
                  <w:pPr>
                    <w:adjustRightInd w:val="0"/>
                    <w:snapToGrid w:val="0"/>
                    <w:jc w:val="center"/>
                    <w:rPr>
                      <w:b/>
                      <w:szCs w:val="21"/>
                    </w:rPr>
                  </w:pPr>
                  <w:r>
                    <w:rPr>
                      <w:b/>
                      <w:szCs w:val="21"/>
                    </w:rPr>
                    <w:t>(μg/m³)</w:t>
                  </w:r>
                </w:p>
              </w:tc>
              <w:tc>
                <w:tcPr>
                  <w:tcW w:w="121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b/>
                      <w:szCs w:val="21"/>
                      <w:vertAlign w:val="subscript"/>
                    </w:rPr>
                  </w:pPr>
                  <w:r>
                    <w:rPr>
                      <w:b/>
                      <w:szCs w:val="21"/>
                    </w:rPr>
                    <w:t>PM</w:t>
                  </w:r>
                  <w:r>
                    <w:rPr>
                      <w:b/>
                      <w:szCs w:val="21"/>
                      <w:vertAlign w:val="subscript"/>
                    </w:rPr>
                    <w:t>10</w:t>
                  </w:r>
                </w:p>
                <w:p>
                  <w:pPr>
                    <w:adjustRightInd w:val="0"/>
                    <w:snapToGrid w:val="0"/>
                    <w:jc w:val="center"/>
                    <w:rPr>
                      <w:b/>
                      <w:szCs w:val="21"/>
                    </w:rPr>
                  </w:pPr>
                  <w:r>
                    <w:rPr>
                      <w:b/>
                      <w:szCs w:val="21"/>
                    </w:rPr>
                    <w:t>(μg/m³)</w:t>
                  </w:r>
                </w:p>
              </w:tc>
              <w:tc>
                <w:tcPr>
                  <w:tcW w:w="121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b/>
                      <w:szCs w:val="21"/>
                      <w:vertAlign w:val="subscript"/>
                    </w:rPr>
                  </w:pPr>
                  <w:r>
                    <w:rPr>
                      <w:b/>
                      <w:szCs w:val="21"/>
                    </w:rPr>
                    <w:t>PM</w:t>
                  </w:r>
                  <w:r>
                    <w:rPr>
                      <w:b/>
                      <w:szCs w:val="21"/>
                      <w:vertAlign w:val="subscript"/>
                    </w:rPr>
                    <w:t>2.5</w:t>
                  </w:r>
                </w:p>
                <w:p>
                  <w:pPr>
                    <w:adjustRightInd w:val="0"/>
                    <w:snapToGrid w:val="0"/>
                    <w:jc w:val="center"/>
                    <w:rPr>
                      <w:b/>
                      <w:szCs w:val="21"/>
                    </w:rPr>
                  </w:pPr>
                  <w:r>
                    <w:rPr>
                      <w:b/>
                      <w:szCs w:val="21"/>
                    </w:rPr>
                    <w:t>(μg/m³)</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b/>
                      <w:szCs w:val="21"/>
                    </w:rPr>
                  </w:pPr>
                  <w:r>
                    <w:rPr>
                      <w:b/>
                      <w:szCs w:val="21"/>
                    </w:rPr>
                    <w:t>CO</w:t>
                  </w:r>
                </w:p>
                <w:p>
                  <w:pPr>
                    <w:adjustRightInd w:val="0"/>
                    <w:snapToGrid w:val="0"/>
                    <w:jc w:val="center"/>
                    <w:rPr>
                      <w:b/>
                      <w:szCs w:val="21"/>
                    </w:rPr>
                  </w:pPr>
                  <w:r>
                    <w:rPr>
                      <w:b/>
                      <w:szCs w:val="21"/>
                    </w:rPr>
                    <w:t>(mg/m³)</w:t>
                  </w:r>
                </w:p>
              </w:tc>
              <w:tc>
                <w:tcPr>
                  <w:tcW w:w="104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b/>
                      <w:szCs w:val="21"/>
                      <w:vertAlign w:val="subscript"/>
                    </w:rPr>
                  </w:pPr>
                  <w:r>
                    <w:rPr>
                      <w:b/>
                      <w:szCs w:val="21"/>
                    </w:rPr>
                    <w:t>O</w:t>
                  </w:r>
                  <w:r>
                    <w:rPr>
                      <w:b/>
                      <w:szCs w:val="21"/>
                      <w:vertAlign w:val="subscript"/>
                    </w:rPr>
                    <w:t>3</w:t>
                  </w:r>
                </w:p>
                <w:p>
                  <w:pPr>
                    <w:adjustRightInd w:val="0"/>
                    <w:snapToGrid w:val="0"/>
                    <w:jc w:val="center"/>
                    <w:rPr>
                      <w:b/>
                      <w:szCs w:val="21"/>
                    </w:rPr>
                  </w:pPr>
                  <w:r>
                    <w:rPr>
                      <w:b/>
                      <w:szCs w:val="21"/>
                    </w:rPr>
                    <w:t>(μg/m³)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年均值</w:t>
                  </w:r>
                </w:p>
              </w:tc>
              <w:tc>
                <w:tcPr>
                  <w:tcW w:w="9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监测值</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17</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38</w:t>
                  </w: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130</w:t>
                  </w:r>
                </w:p>
              </w:tc>
              <w:tc>
                <w:tcPr>
                  <w:tcW w:w="121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67</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标准值</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60</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40</w:t>
                  </w: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70</w:t>
                  </w:r>
                </w:p>
              </w:tc>
              <w:tc>
                <w:tcPr>
                  <w:tcW w:w="121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35</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相应百分位数24h均值或8h均值</w:t>
                  </w:r>
                </w:p>
              </w:tc>
              <w:tc>
                <w:tcPr>
                  <w:tcW w:w="9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监测值</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c>
                <w:tcPr>
                  <w:tcW w:w="121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标准值</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150</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80</w:t>
                  </w: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150</w:t>
                  </w:r>
                </w:p>
              </w:tc>
              <w:tc>
                <w:tcPr>
                  <w:tcW w:w="121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75</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达标情况</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达标</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达标</w:t>
                  </w: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未达标</w:t>
                  </w:r>
                </w:p>
              </w:tc>
              <w:tc>
                <w:tcPr>
                  <w:tcW w:w="121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未达标</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达标</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未达标</w:t>
                  </w:r>
                </w:p>
              </w:tc>
            </w:tr>
          </w:tbl>
          <w:p>
            <w:pPr>
              <w:spacing w:before="120" w:beforeLines="50" w:line="360" w:lineRule="auto"/>
              <w:ind w:firstLine="480" w:firstLineChars="200"/>
              <w:rPr>
                <w:sz w:val="24"/>
              </w:rPr>
            </w:pPr>
            <w:r>
              <w:rPr>
                <w:rFonts w:hint="eastAsia"/>
                <w:sz w:val="24"/>
              </w:rPr>
              <w:t>根据</w:t>
            </w:r>
            <w:r>
              <w:rPr>
                <w:sz w:val="24"/>
              </w:rPr>
              <w:t>2017</w:t>
            </w:r>
            <w:r>
              <w:rPr>
                <w:rFonts w:hint="eastAsia"/>
                <w:sz w:val="24"/>
              </w:rPr>
              <w:t>年秦汉新城空气自动监测站基本污染物常规监测结果，</w:t>
            </w:r>
            <w:r>
              <w:rPr>
                <w:sz w:val="24"/>
              </w:rPr>
              <w:t>PM</w:t>
            </w:r>
            <w:r>
              <w:rPr>
                <w:sz w:val="24"/>
                <w:vertAlign w:val="subscript"/>
              </w:rPr>
              <w:t>10</w:t>
            </w:r>
            <w:r>
              <w:rPr>
                <w:rFonts w:hint="eastAsia"/>
                <w:sz w:val="24"/>
              </w:rPr>
              <w:t>、</w:t>
            </w:r>
            <w:r>
              <w:rPr>
                <w:sz w:val="24"/>
              </w:rPr>
              <w:t>PM</w:t>
            </w:r>
            <w:r>
              <w:rPr>
                <w:sz w:val="24"/>
                <w:vertAlign w:val="subscript"/>
              </w:rPr>
              <w:t>2.5</w:t>
            </w:r>
            <w:r>
              <w:rPr>
                <w:rFonts w:hint="eastAsia"/>
                <w:sz w:val="24"/>
              </w:rPr>
              <w:t>年均浓度超标，相应百分位数</w:t>
            </w:r>
            <w:r>
              <w:rPr>
                <w:sz w:val="24"/>
              </w:rPr>
              <w:t>24</w:t>
            </w:r>
            <w:r>
              <w:rPr>
                <w:rFonts w:hint="eastAsia"/>
                <w:sz w:val="24"/>
              </w:rPr>
              <w:t>小时或</w:t>
            </w:r>
            <w:r>
              <w:rPr>
                <w:sz w:val="24"/>
              </w:rPr>
              <w:t>8</w:t>
            </w:r>
            <w:r>
              <w:rPr>
                <w:rFonts w:hint="eastAsia"/>
                <w:sz w:val="24"/>
              </w:rPr>
              <w:t>小时均值中</w:t>
            </w:r>
            <w:r>
              <w:rPr>
                <w:sz w:val="24"/>
              </w:rPr>
              <w:t>O</w:t>
            </w:r>
            <w:r>
              <w:rPr>
                <w:sz w:val="24"/>
                <w:vertAlign w:val="subscript"/>
              </w:rPr>
              <w:t>3</w:t>
            </w:r>
            <w:r>
              <w:rPr>
                <w:rFonts w:hint="eastAsia"/>
                <w:sz w:val="24"/>
              </w:rPr>
              <w:t>超标，根据《环境空气质量评价技术规范（试行）</w:t>
            </w:r>
            <w:r>
              <w:rPr>
                <w:sz w:val="24"/>
              </w:rPr>
              <w:t>HJ663-2013</w:t>
            </w:r>
            <w:r>
              <w:rPr>
                <w:rFonts w:hint="eastAsia"/>
                <w:sz w:val="24"/>
              </w:rPr>
              <w:t>》，判定项目所在区域为不达标区。</w:t>
            </w:r>
          </w:p>
          <w:p>
            <w:pPr>
              <w:spacing w:line="360" w:lineRule="auto"/>
              <w:ind w:firstLine="482" w:firstLineChars="200"/>
              <w:rPr>
                <w:b/>
                <w:sz w:val="24"/>
              </w:rPr>
            </w:pPr>
            <w:r>
              <w:rPr>
                <w:rFonts w:hint="eastAsia"/>
                <w:b/>
                <w:sz w:val="24"/>
              </w:rPr>
              <w:t>2、环境空气质量现状补充监测</w:t>
            </w:r>
          </w:p>
          <w:p>
            <w:pPr>
              <w:spacing w:line="360" w:lineRule="auto"/>
              <w:ind w:firstLine="480" w:firstLineChars="200"/>
              <w:rPr>
                <w:sz w:val="24"/>
              </w:rPr>
            </w:pPr>
            <w:r>
              <w:rPr>
                <w:rFonts w:hint="eastAsia"/>
                <w:sz w:val="24"/>
              </w:rPr>
              <w:t>陕西渭河发电有限公司委托陕西金盾工程检测有限公司于201</w:t>
            </w:r>
            <w:r>
              <w:rPr>
                <w:sz w:val="24"/>
              </w:rPr>
              <w:t>8</w:t>
            </w:r>
            <w:r>
              <w:rPr>
                <w:rFonts w:hint="eastAsia"/>
                <w:sz w:val="24"/>
              </w:rPr>
              <w:t>年</w:t>
            </w:r>
            <w:r>
              <w:rPr>
                <w:sz w:val="24"/>
              </w:rPr>
              <w:t>10</w:t>
            </w:r>
            <w:r>
              <w:rPr>
                <w:rFonts w:hint="eastAsia"/>
                <w:sz w:val="24"/>
              </w:rPr>
              <w:t>月</w:t>
            </w:r>
            <w:r>
              <w:rPr>
                <w:sz w:val="24"/>
              </w:rPr>
              <w:t>06</w:t>
            </w:r>
            <w:r>
              <w:rPr>
                <w:rFonts w:hint="eastAsia"/>
                <w:sz w:val="24"/>
              </w:rPr>
              <w:t>日～</w:t>
            </w:r>
            <w:r>
              <w:rPr>
                <w:sz w:val="24"/>
              </w:rPr>
              <w:t>10</w:t>
            </w:r>
            <w:r>
              <w:rPr>
                <w:rFonts w:hint="eastAsia"/>
                <w:sz w:val="24"/>
              </w:rPr>
              <w:t>月</w:t>
            </w:r>
            <w:r>
              <w:rPr>
                <w:sz w:val="24"/>
              </w:rPr>
              <w:t>12</w:t>
            </w:r>
            <w:r>
              <w:rPr>
                <w:rFonts w:hint="eastAsia"/>
                <w:sz w:val="24"/>
              </w:rPr>
              <w:t>日，按照《环境影响评价技术导则大气环境》（HJ</w:t>
            </w:r>
            <w:r>
              <w:rPr>
                <w:sz w:val="24"/>
              </w:rPr>
              <w:t>2.2</w:t>
            </w:r>
            <w:r>
              <w:rPr>
                <w:rFonts w:hint="eastAsia"/>
                <w:sz w:val="24"/>
              </w:rPr>
              <w:t>-20</w:t>
            </w:r>
            <w:r>
              <w:rPr>
                <w:sz w:val="24"/>
              </w:rPr>
              <w:t>08</w:t>
            </w:r>
            <w:r>
              <w:rPr>
                <w:rFonts w:hint="eastAsia"/>
                <w:sz w:val="24"/>
              </w:rPr>
              <w:t>）、《环境</w:t>
            </w:r>
            <w:r>
              <w:rPr>
                <w:sz w:val="24"/>
              </w:rPr>
              <w:t>空气质量标准</w:t>
            </w:r>
            <w:r>
              <w:rPr>
                <w:rFonts w:hint="eastAsia"/>
                <w:sz w:val="24"/>
              </w:rPr>
              <w:t>》（</w:t>
            </w:r>
            <w:r>
              <w:rPr>
                <w:sz w:val="24"/>
              </w:rPr>
              <w:t>GB3095-2012</w:t>
            </w:r>
            <w:r>
              <w:rPr>
                <w:rFonts w:hint="eastAsia"/>
                <w:sz w:val="24"/>
              </w:rPr>
              <w:t>）及</w:t>
            </w:r>
            <w:r>
              <w:rPr>
                <w:sz w:val="24"/>
              </w:rPr>
              <w:t>修改单</w:t>
            </w:r>
            <w:r>
              <w:rPr>
                <w:rFonts w:hint="eastAsia"/>
                <w:sz w:val="24"/>
              </w:rPr>
              <w:t>的有关规定，对本项目环境</w:t>
            </w:r>
            <w:r>
              <w:rPr>
                <w:sz w:val="24"/>
              </w:rPr>
              <w:t>空气质量现状</w:t>
            </w:r>
            <w:r>
              <w:rPr>
                <w:rFonts w:hint="eastAsia"/>
                <w:sz w:val="24"/>
              </w:rPr>
              <w:t>进行了实测。</w:t>
            </w:r>
          </w:p>
          <w:p>
            <w:pPr>
              <w:spacing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1 \* GB2</w:instrText>
            </w:r>
            <w:r>
              <w:rPr>
                <w:sz w:val="24"/>
              </w:rPr>
              <w:instrText xml:space="preserve"> </w:instrText>
            </w:r>
            <w:r>
              <w:rPr>
                <w:sz w:val="24"/>
              </w:rPr>
              <w:fldChar w:fldCharType="separate"/>
            </w:r>
            <w:r>
              <w:rPr>
                <w:rFonts w:hint="eastAsia"/>
                <w:sz w:val="24"/>
              </w:rPr>
              <w:t>⑴</w:t>
            </w:r>
            <w:r>
              <w:rPr>
                <w:sz w:val="24"/>
              </w:rPr>
              <w:fldChar w:fldCharType="end"/>
            </w:r>
            <w:r>
              <w:rPr>
                <w:rFonts w:hint="eastAsia"/>
                <w:sz w:val="24"/>
              </w:rPr>
              <w:t xml:space="preserve"> </w:t>
            </w:r>
            <w:r>
              <w:rPr>
                <w:sz w:val="24"/>
              </w:rPr>
              <w:t>监测点及监测项目</w:t>
            </w:r>
          </w:p>
          <w:p>
            <w:pPr>
              <w:spacing w:line="360" w:lineRule="auto"/>
              <w:ind w:firstLine="480" w:firstLineChars="200"/>
              <w:rPr>
                <w:sz w:val="24"/>
              </w:rPr>
            </w:pPr>
            <w:r>
              <w:rPr>
                <w:sz w:val="24"/>
              </w:rPr>
              <w:t>监测地点为</w:t>
            </w:r>
            <w:r>
              <w:rPr>
                <w:rFonts w:hint="eastAsia"/>
                <w:sz w:val="24"/>
              </w:rPr>
              <w:t>场址西</w:t>
            </w:r>
            <w:r>
              <w:rPr>
                <w:sz w:val="24"/>
              </w:rPr>
              <w:t>侧</w:t>
            </w:r>
            <w:r>
              <w:rPr>
                <w:rFonts w:hint="eastAsia"/>
                <w:sz w:val="24"/>
              </w:rPr>
              <w:t>柏家咀</w:t>
            </w:r>
            <w:r>
              <w:rPr>
                <w:sz w:val="24"/>
              </w:rPr>
              <w:t>村</w:t>
            </w:r>
            <w:r>
              <w:rPr>
                <w:rFonts w:hint="eastAsia"/>
                <w:sz w:val="24"/>
              </w:rPr>
              <w:t>、</w:t>
            </w:r>
            <w:r>
              <w:rPr>
                <w:sz w:val="24"/>
              </w:rPr>
              <w:t>场址</w:t>
            </w:r>
            <w:r>
              <w:rPr>
                <w:rFonts w:hint="eastAsia"/>
                <w:sz w:val="24"/>
              </w:rPr>
              <w:t>东</w:t>
            </w:r>
            <w:r>
              <w:rPr>
                <w:sz w:val="24"/>
              </w:rPr>
              <w:t>侧</w:t>
            </w:r>
            <w:r>
              <w:rPr>
                <w:rFonts w:hint="eastAsia"/>
                <w:sz w:val="24"/>
              </w:rPr>
              <w:t>岩张</w:t>
            </w:r>
            <w:r>
              <w:rPr>
                <w:sz w:val="24"/>
              </w:rPr>
              <w:t>村，具体监测点位置及监测项目见表13，监测点位见附图3。</w:t>
            </w:r>
          </w:p>
          <w:p>
            <w:pPr>
              <w:jc w:val="center"/>
              <w:rPr>
                <w:b/>
                <w:bCs/>
              </w:rPr>
            </w:pPr>
          </w:p>
          <w:p>
            <w:pPr>
              <w:jc w:val="center"/>
              <w:rPr>
                <w:b/>
                <w:bCs/>
              </w:rPr>
            </w:pPr>
          </w:p>
          <w:p>
            <w:pPr>
              <w:jc w:val="center"/>
              <w:rPr>
                <w:b/>
                <w:bCs/>
              </w:rPr>
            </w:pPr>
          </w:p>
          <w:p>
            <w:pPr>
              <w:jc w:val="center"/>
              <w:rPr>
                <w:b/>
                <w:bCs/>
              </w:rPr>
            </w:pPr>
            <w:r>
              <w:rPr>
                <w:b/>
                <w:bCs/>
              </w:rPr>
              <w:t>表13    环境空气监测点位置及监测项目</w:t>
            </w:r>
          </w:p>
          <w:tbl>
            <w:tblPr>
              <w:tblStyle w:val="39"/>
              <w:tblW w:w="8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2659"/>
              <w:gridCol w:w="2034"/>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306" w:type="dxa"/>
                  <w:vAlign w:val="center"/>
                </w:tcPr>
                <w:p>
                  <w:pPr>
                    <w:jc w:val="center"/>
                    <w:rPr>
                      <w:szCs w:val="21"/>
                    </w:rPr>
                  </w:pPr>
                  <w:r>
                    <w:rPr>
                      <w:szCs w:val="21"/>
                    </w:rPr>
                    <w:t>编号</w:t>
                  </w:r>
                </w:p>
              </w:tc>
              <w:tc>
                <w:tcPr>
                  <w:tcW w:w="2659" w:type="dxa"/>
                  <w:vAlign w:val="center"/>
                </w:tcPr>
                <w:p>
                  <w:pPr>
                    <w:jc w:val="center"/>
                    <w:rPr>
                      <w:szCs w:val="21"/>
                    </w:rPr>
                  </w:pPr>
                  <w:r>
                    <w:rPr>
                      <w:szCs w:val="21"/>
                    </w:rPr>
                    <w:t>监测点位置</w:t>
                  </w:r>
                </w:p>
              </w:tc>
              <w:tc>
                <w:tcPr>
                  <w:tcW w:w="2034" w:type="dxa"/>
                  <w:tcBorders>
                    <w:right w:val="single" w:color="auto" w:sz="2" w:space="0"/>
                  </w:tcBorders>
                  <w:vAlign w:val="center"/>
                </w:tcPr>
                <w:p>
                  <w:pPr>
                    <w:jc w:val="center"/>
                    <w:rPr>
                      <w:szCs w:val="21"/>
                    </w:rPr>
                  </w:pPr>
                  <w:r>
                    <w:rPr>
                      <w:szCs w:val="21"/>
                    </w:rPr>
                    <w:t>相对</w:t>
                  </w:r>
                  <w:r>
                    <w:rPr>
                      <w:rFonts w:hint="eastAsia"/>
                      <w:szCs w:val="21"/>
                    </w:rPr>
                    <w:t>项目</w:t>
                  </w:r>
                  <w:r>
                    <w:rPr>
                      <w:szCs w:val="21"/>
                    </w:rPr>
                    <w:t>煤棚位置</w:t>
                  </w:r>
                </w:p>
              </w:tc>
              <w:tc>
                <w:tcPr>
                  <w:tcW w:w="2771" w:type="dxa"/>
                  <w:tcBorders>
                    <w:left w:val="single" w:color="auto" w:sz="2" w:space="0"/>
                  </w:tcBorders>
                  <w:vAlign w:val="center"/>
                </w:tcPr>
                <w:p>
                  <w:pPr>
                    <w:jc w:val="center"/>
                    <w:rPr>
                      <w:szCs w:val="21"/>
                    </w:rPr>
                  </w:pPr>
                  <w:r>
                    <w:rPr>
                      <w:szCs w:val="21"/>
                    </w:rPr>
                    <w:t>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trPr>
              <w:tc>
                <w:tcPr>
                  <w:tcW w:w="1306" w:type="dxa"/>
                  <w:vAlign w:val="center"/>
                </w:tcPr>
                <w:p>
                  <w:pPr>
                    <w:jc w:val="center"/>
                    <w:rPr>
                      <w:szCs w:val="21"/>
                    </w:rPr>
                  </w:pPr>
                  <w:r>
                    <w:rPr>
                      <w:szCs w:val="21"/>
                    </w:rPr>
                    <w:t>1</w:t>
                  </w:r>
                </w:p>
              </w:tc>
              <w:tc>
                <w:tcPr>
                  <w:tcW w:w="2659" w:type="dxa"/>
                  <w:vAlign w:val="center"/>
                </w:tcPr>
                <w:p>
                  <w:pPr>
                    <w:jc w:val="center"/>
                    <w:rPr>
                      <w:szCs w:val="21"/>
                    </w:rPr>
                  </w:pPr>
                  <w:r>
                    <w:rPr>
                      <w:rFonts w:hint="eastAsia"/>
                      <w:szCs w:val="21"/>
                    </w:rPr>
                    <w:t>柏家咀</w:t>
                  </w:r>
                  <w:r>
                    <w:rPr>
                      <w:szCs w:val="21"/>
                    </w:rPr>
                    <w:t>村</w:t>
                  </w:r>
                </w:p>
              </w:tc>
              <w:tc>
                <w:tcPr>
                  <w:tcW w:w="2034" w:type="dxa"/>
                  <w:tcBorders>
                    <w:right w:val="single" w:color="auto" w:sz="2" w:space="0"/>
                  </w:tcBorders>
                  <w:vAlign w:val="center"/>
                </w:tcPr>
                <w:p>
                  <w:pPr>
                    <w:jc w:val="center"/>
                    <w:rPr>
                      <w:szCs w:val="21"/>
                    </w:rPr>
                  </w:pPr>
                  <w:r>
                    <w:rPr>
                      <w:szCs w:val="21"/>
                    </w:rPr>
                    <w:t>W，330m</w:t>
                  </w:r>
                </w:p>
              </w:tc>
              <w:tc>
                <w:tcPr>
                  <w:tcW w:w="2771" w:type="dxa"/>
                  <w:vMerge w:val="restart"/>
                  <w:tcBorders>
                    <w:left w:val="single" w:color="auto" w:sz="2" w:space="0"/>
                  </w:tcBorders>
                  <w:vAlign w:val="center"/>
                </w:tcPr>
                <w:p>
                  <w:pPr>
                    <w:jc w:val="center"/>
                    <w:rPr>
                      <w:szCs w:val="21"/>
                    </w:rPr>
                  </w:pPr>
                  <w:r>
                    <w:rPr>
                      <w:szCs w:val="21"/>
                    </w:rPr>
                    <w:t>PM</w:t>
                  </w:r>
                  <w:r>
                    <w:rPr>
                      <w:szCs w:val="21"/>
                      <w:vertAlign w:val="subscript"/>
                    </w:rPr>
                    <w:t>10</w:t>
                  </w:r>
                  <w:r>
                    <w:rPr>
                      <w:szCs w:val="21"/>
                    </w:rPr>
                    <w:t>、SO</w:t>
                  </w:r>
                  <w:r>
                    <w:rPr>
                      <w:szCs w:val="21"/>
                      <w:vertAlign w:val="subscript"/>
                    </w:rPr>
                    <w:t>2</w:t>
                  </w:r>
                  <w:r>
                    <w:rPr>
                      <w:szCs w:val="21"/>
                    </w:rPr>
                    <w:t>、NO</w:t>
                  </w:r>
                  <w:r>
                    <w:rPr>
                      <w:szCs w:val="21"/>
                      <w:vertAlign w:val="subscript"/>
                    </w:rPr>
                    <w:t>2</w:t>
                  </w:r>
                  <w:r>
                    <w:rPr>
                      <w:szCs w:val="21"/>
                    </w:rPr>
                    <w:t>、</w:t>
                  </w:r>
                  <w:r>
                    <w:rPr>
                      <w:rFonts w:hint="eastAsia"/>
                      <w:szCs w:val="21"/>
                    </w:rPr>
                    <w:t>Hg及其</w:t>
                  </w:r>
                  <w:r>
                    <w:rPr>
                      <w:szCs w:val="21"/>
                    </w:rPr>
                    <w:t>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trPr>
              <w:tc>
                <w:tcPr>
                  <w:tcW w:w="1306" w:type="dxa"/>
                  <w:vAlign w:val="center"/>
                </w:tcPr>
                <w:p>
                  <w:pPr>
                    <w:jc w:val="center"/>
                    <w:rPr>
                      <w:szCs w:val="21"/>
                    </w:rPr>
                  </w:pPr>
                  <w:r>
                    <w:rPr>
                      <w:szCs w:val="21"/>
                    </w:rPr>
                    <w:t>2</w:t>
                  </w:r>
                </w:p>
              </w:tc>
              <w:tc>
                <w:tcPr>
                  <w:tcW w:w="2659" w:type="dxa"/>
                  <w:vAlign w:val="center"/>
                </w:tcPr>
                <w:p>
                  <w:pPr>
                    <w:jc w:val="center"/>
                    <w:rPr>
                      <w:szCs w:val="21"/>
                    </w:rPr>
                  </w:pPr>
                  <w:r>
                    <w:rPr>
                      <w:rFonts w:hint="eastAsia"/>
                      <w:szCs w:val="21"/>
                    </w:rPr>
                    <w:t>岩张村</w:t>
                  </w:r>
                </w:p>
              </w:tc>
              <w:tc>
                <w:tcPr>
                  <w:tcW w:w="2034" w:type="dxa"/>
                  <w:tcBorders>
                    <w:right w:val="single" w:color="auto" w:sz="2" w:space="0"/>
                  </w:tcBorders>
                  <w:vAlign w:val="center"/>
                </w:tcPr>
                <w:p>
                  <w:pPr>
                    <w:jc w:val="center"/>
                    <w:rPr>
                      <w:szCs w:val="21"/>
                    </w:rPr>
                  </w:pPr>
                  <w:r>
                    <w:rPr>
                      <w:szCs w:val="21"/>
                    </w:rPr>
                    <w:t>NE，680m</w:t>
                  </w:r>
                </w:p>
              </w:tc>
              <w:tc>
                <w:tcPr>
                  <w:tcW w:w="2771" w:type="dxa"/>
                  <w:vMerge w:val="continue"/>
                  <w:tcBorders>
                    <w:left w:val="single" w:color="auto" w:sz="2" w:space="0"/>
                  </w:tcBorders>
                  <w:vAlign w:val="center"/>
                </w:tcPr>
                <w:p>
                  <w:pPr>
                    <w:jc w:val="center"/>
                    <w:rPr>
                      <w:szCs w:val="21"/>
                    </w:rPr>
                  </w:pPr>
                </w:p>
              </w:tc>
            </w:tr>
          </w:tbl>
          <w:p>
            <w:pPr>
              <w:spacing w:before="120" w:beforeLines="50"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2 \* GB2</w:instrText>
            </w:r>
            <w:r>
              <w:rPr>
                <w:sz w:val="24"/>
              </w:rPr>
              <w:instrText xml:space="preserve"> </w:instrText>
            </w:r>
            <w:r>
              <w:rPr>
                <w:sz w:val="24"/>
              </w:rPr>
              <w:fldChar w:fldCharType="separate"/>
            </w:r>
            <w:r>
              <w:rPr>
                <w:rFonts w:hint="eastAsia"/>
                <w:sz w:val="24"/>
              </w:rPr>
              <w:t>⑵</w:t>
            </w:r>
            <w:r>
              <w:rPr>
                <w:sz w:val="24"/>
              </w:rPr>
              <w:fldChar w:fldCharType="end"/>
            </w:r>
            <w:r>
              <w:rPr>
                <w:rFonts w:hint="eastAsia"/>
                <w:sz w:val="24"/>
              </w:rPr>
              <w:t xml:space="preserve"> </w:t>
            </w:r>
            <w:r>
              <w:rPr>
                <w:sz w:val="24"/>
              </w:rPr>
              <w:t>监测结果</w:t>
            </w:r>
          </w:p>
          <w:p>
            <w:pPr>
              <w:spacing w:line="360" w:lineRule="auto"/>
              <w:ind w:firstLine="480" w:firstLineChars="200"/>
              <w:rPr>
                <w:sz w:val="24"/>
              </w:rPr>
            </w:pPr>
            <w:r>
              <w:rPr>
                <w:sz w:val="24"/>
              </w:rPr>
              <w:t>监测结果见表14。</w:t>
            </w:r>
          </w:p>
          <w:p>
            <w:pPr>
              <w:jc w:val="center"/>
              <w:rPr>
                <w:b/>
                <w:bCs/>
                <w:szCs w:val="21"/>
              </w:rPr>
            </w:pPr>
            <w:r>
              <w:rPr>
                <w:b/>
                <w:bCs/>
                <w:szCs w:val="21"/>
              </w:rPr>
              <w:t xml:space="preserve">表14    </w:t>
            </w:r>
            <w:r>
              <w:rPr>
                <w:b/>
              </w:rPr>
              <w:t>PM</w:t>
            </w:r>
            <w:r>
              <w:rPr>
                <w:b/>
                <w:vertAlign w:val="subscript"/>
              </w:rPr>
              <w:t>10</w:t>
            </w:r>
            <w:r>
              <w:rPr>
                <w:b/>
                <w:szCs w:val="21"/>
              </w:rPr>
              <w:t>、SO</w:t>
            </w:r>
            <w:r>
              <w:rPr>
                <w:b/>
                <w:szCs w:val="21"/>
                <w:vertAlign w:val="subscript"/>
              </w:rPr>
              <w:t>2</w:t>
            </w:r>
            <w:r>
              <w:rPr>
                <w:b/>
                <w:szCs w:val="21"/>
              </w:rPr>
              <w:t>、NO</w:t>
            </w:r>
            <w:r>
              <w:rPr>
                <w:b/>
                <w:szCs w:val="21"/>
                <w:vertAlign w:val="subscript"/>
              </w:rPr>
              <w:t>2</w:t>
            </w:r>
            <w:r>
              <w:rPr>
                <w:b/>
                <w:szCs w:val="21"/>
              </w:rPr>
              <w:t>、</w:t>
            </w:r>
            <w:r>
              <w:rPr>
                <w:rFonts w:hint="eastAsia"/>
                <w:b/>
                <w:szCs w:val="21"/>
              </w:rPr>
              <w:t>Hg及其</w:t>
            </w:r>
            <w:r>
              <w:rPr>
                <w:b/>
                <w:szCs w:val="21"/>
              </w:rPr>
              <w:t>化合物</w:t>
            </w:r>
            <w:r>
              <w:rPr>
                <w:b/>
                <w:bCs/>
                <w:szCs w:val="21"/>
              </w:rPr>
              <w:t>监测结果统计表</w:t>
            </w:r>
          </w:p>
          <w:tbl>
            <w:tblPr>
              <w:tblStyle w:val="39"/>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550"/>
              <w:gridCol w:w="1338"/>
              <w:gridCol w:w="992"/>
              <w:gridCol w:w="992"/>
              <w:gridCol w:w="993"/>
              <w:gridCol w:w="992"/>
              <w:gridCol w:w="1560"/>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blHeader/>
                <w:jc w:val="center"/>
              </w:trPr>
              <w:tc>
                <w:tcPr>
                  <w:tcW w:w="550" w:type="dxa"/>
                  <w:vMerge w:val="restart"/>
                  <w:vAlign w:val="center"/>
                </w:tcPr>
                <w:p>
                  <w:pPr>
                    <w:spacing w:line="280" w:lineRule="exact"/>
                    <w:jc w:val="center"/>
                    <w:rPr>
                      <w:szCs w:val="21"/>
                    </w:rPr>
                  </w:pPr>
                  <w:r>
                    <w:rPr>
                      <w:szCs w:val="21"/>
                    </w:rPr>
                    <w:t>监测点位</w:t>
                  </w:r>
                </w:p>
              </w:tc>
              <w:tc>
                <w:tcPr>
                  <w:tcW w:w="1338" w:type="dxa"/>
                  <w:vMerge w:val="restart"/>
                  <w:vAlign w:val="center"/>
                </w:tcPr>
                <w:p>
                  <w:pPr>
                    <w:spacing w:line="280" w:lineRule="exact"/>
                    <w:jc w:val="center"/>
                    <w:rPr>
                      <w:szCs w:val="21"/>
                    </w:rPr>
                  </w:pPr>
                  <w:r>
                    <w:rPr>
                      <w:szCs w:val="21"/>
                    </w:rPr>
                    <w:t>监测日期</w:t>
                  </w:r>
                </w:p>
              </w:tc>
              <w:tc>
                <w:tcPr>
                  <w:tcW w:w="1984" w:type="dxa"/>
                  <w:gridSpan w:val="2"/>
                  <w:vAlign w:val="center"/>
                </w:tcPr>
                <w:p>
                  <w:pPr>
                    <w:ind w:firstLine="514" w:firstLineChars="245"/>
                    <w:jc w:val="center"/>
                    <w:rPr>
                      <w:bCs/>
                      <w:szCs w:val="21"/>
                    </w:rPr>
                  </w:pPr>
                  <w:r>
                    <w:rPr>
                      <w:bCs/>
                      <w:szCs w:val="21"/>
                    </w:rPr>
                    <w:t>SO</w:t>
                  </w:r>
                  <w:r>
                    <w:rPr>
                      <w:bCs/>
                      <w:szCs w:val="21"/>
                      <w:vertAlign w:val="subscript"/>
                    </w:rPr>
                    <w:t>2</w:t>
                  </w:r>
                  <w:r>
                    <w:rPr>
                      <w:bCs/>
                      <w:szCs w:val="21"/>
                    </w:rPr>
                    <w:t>（μg/m</w:t>
                  </w:r>
                  <w:r>
                    <w:rPr>
                      <w:bCs/>
                      <w:szCs w:val="21"/>
                      <w:vertAlign w:val="superscript"/>
                    </w:rPr>
                    <w:t>3</w:t>
                  </w:r>
                  <w:r>
                    <w:rPr>
                      <w:bCs/>
                      <w:szCs w:val="21"/>
                    </w:rPr>
                    <w:t>）</w:t>
                  </w:r>
                </w:p>
              </w:tc>
              <w:tc>
                <w:tcPr>
                  <w:tcW w:w="1985" w:type="dxa"/>
                  <w:gridSpan w:val="2"/>
                  <w:vAlign w:val="center"/>
                </w:tcPr>
                <w:p>
                  <w:pPr>
                    <w:spacing w:line="280" w:lineRule="exact"/>
                    <w:jc w:val="center"/>
                    <w:rPr>
                      <w:bCs/>
                      <w:szCs w:val="21"/>
                    </w:rPr>
                  </w:pPr>
                  <w:r>
                    <w:rPr>
                      <w:bCs/>
                      <w:szCs w:val="21"/>
                    </w:rPr>
                    <w:t>NO</w:t>
                  </w:r>
                  <w:r>
                    <w:rPr>
                      <w:bCs/>
                      <w:szCs w:val="21"/>
                      <w:vertAlign w:val="subscript"/>
                    </w:rPr>
                    <w:t>2</w:t>
                  </w:r>
                  <w:r>
                    <w:rPr>
                      <w:bCs/>
                      <w:szCs w:val="21"/>
                    </w:rPr>
                    <w:t>（μg/m</w:t>
                  </w:r>
                  <w:r>
                    <w:rPr>
                      <w:bCs/>
                      <w:szCs w:val="21"/>
                      <w:vertAlign w:val="superscript"/>
                    </w:rPr>
                    <w:t>3</w:t>
                  </w:r>
                  <w:r>
                    <w:rPr>
                      <w:bCs/>
                      <w:szCs w:val="21"/>
                    </w:rPr>
                    <w:t>）</w:t>
                  </w:r>
                </w:p>
              </w:tc>
              <w:tc>
                <w:tcPr>
                  <w:tcW w:w="1560" w:type="dxa"/>
                  <w:vAlign w:val="center"/>
                </w:tcPr>
                <w:p>
                  <w:pPr>
                    <w:spacing w:line="280" w:lineRule="exact"/>
                    <w:jc w:val="center"/>
                    <w:rPr>
                      <w:bCs/>
                      <w:szCs w:val="21"/>
                    </w:rPr>
                  </w:pPr>
                  <w:r>
                    <w:rPr>
                      <w:bCs/>
                      <w:szCs w:val="21"/>
                    </w:rPr>
                    <w:t>PM</w:t>
                  </w:r>
                  <w:r>
                    <w:rPr>
                      <w:bCs/>
                      <w:szCs w:val="21"/>
                      <w:vertAlign w:val="subscript"/>
                    </w:rPr>
                    <w:t>10</w:t>
                  </w:r>
                  <w:r>
                    <w:rPr>
                      <w:bCs/>
                      <w:szCs w:val="21"/>
                    </w:rPr>
                    <w:t>（μg/m</w:t>
                  </w:r>
                  <w:r>
                    <w:rPr>
                      <w:bCs/>
                      <w:szCs w:val="21"/>
                      <w:vertAlign w:val="superscript"/>
                    </w:rPr>
                    <w:t>3</w:t>
                  </w:r>
                  <w:r>
                    <w:rPr>
                      <w:bCs/>
                      <w:szCs w:val="21"/>
                    </w:rPr>
                    <w:t>）</w:t>
                  </w:r>
                </w:p>
              </w:tc>
              <w:tc>
                <w:tcPr>
                  <w:tcW w:w="1414" w:type="dxa"/>
                  <w:vAlign w:val="center"/>
                </w:tcPr>
                <w:p>
                  <w:pPr>
                    <w:spacing w:line="280" w:lineRule="exact"/>
                    <w:jc w:val="center"/>
                    <w:rPr>
                      <w:bCs/>
                      <w:szCs w:val="21"/>
                    </w:rPr>
                  </w:pPr>
                  <w:r>
                    <w:rPr>
                      <w:rFonts w:hint="eastAsia"/>
                      <w:bCs/>
                      <w:szCs w:val="21"/>
                    </w:rPr>
                    <w:t>Hg及其化合物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continue"/>
                  <w:vAlign w:val="center"/>
                </w:tcPr>
                <w:p>
                  <w:pPr>
                    <w:spacing w:line="280" w:lineRule="exact"/>
                    <w:jc w:val="center"/>
                    <w:rPr>
                      <w:szCs w:val="21"/>
                    </w:rPr>
                  </w:pPr>
                </w:p>
              </w:tc>
              <w:tc>
                <w:tcPr>
                  <w:tcW w:w="1338" w:type="dxa"/>
                  <w:vMerge w:val="continue"/>
                  <w:vAlign w:val="center"/>
                </w:tcPr>
                <w:p>
                  <w:pPr>
                    <w:spacing w:line="280" w:lineRule="exact"/>
                    <w:jc w:val="center"/>
                    <w:rPr>
                      <w:szCs w:val="21"/>
                    </w:rPr>
                  </w:pPr>
                </w:p>
              </w:tc>
              <w:tc>
                <w:tcPr>
                  <w:tcW w:w="992" w:type="dxa"/>
                  <w:vAlign w:val="center"/>
                </w:tcPr>
                <w:p>
                  <w:pPr>
                    <w:spacing w:line="280" w:lineRule="exact"/>
                    <w:jc w:val="center"/>
                    <w:rPr>
                      <w:szCs w:val="21"/>
                    </w:rPr>
                  </w:pPr>
                  <w:r>
                    <w:rPr>
                      <w:bCs/>
                      <w:szCs w:val="21"/>
                    </w:rPr>
                    <w:t>1小时浓度范围</w:t>
                  </w:r>
                </w:p>
              </w:tc>
              <w:tc>
                <w:tcPr>
                  <w:tcW w:w="992" w:type="dxa"/>
                  <w:vAlign w:val="center"/>
                </w:tcPr>
                <w:p>
                  <w:pPr>
                    <w:spacing w:line="280" w:lineRule="exact"/>
                    <w:jc w:val="center"/>
                    <w:rPr>
                      <w:szCs w:val="21"/>
                    </w:rPr>
                  </w:pPr>
                  <w:r>
                    <w:rPr>
                      <w:szCs w:val="21"/>
                    </w:rPr>
                    <w:t>24小时平均值</w:t>
                  </w:r>
                </w:p>
              </w:tc>
              <w:tc>
                <w:tcPr>
                  <w:tcW w:w="993" w:type="dxa"/>
                  <w:vAlign w:val="center"/>
                </w:tcPr>
                <w:p>
                  <w:pPr>
                    <w:spacing w:line="280" w:lineRule="exact"/>
                    <w:jc w:val="center"/>
                    <w:rPr>
                      <w:szCs w:val="21"/>
                    </w:rPr>
                  </w:pPr>
                  <w:r>
                    <w:rPr>
                      <w:bCs/>
                      <w:szCs w:val="21"/>
                    </w:rPr>
                    <w:t>1小时浓度范围</w:t>
                  </w:r>
                </w:p>
              </w:tc>
              <w:tc>
                <w:tcPr>
                  <w:tcW w:w="992" w:type="dxa"/>
                  <w:vAlign w:val="center"/>
                </w:tcPr>
                <w:p>
                  <w:pPr>
                    <w:spacing w:line="280" w:lineRule="exact"/>
                    <w:jc w:val="center"/>
                    <w:rPr>
                      <w:szCs w:val="21"/>
                    </w:rPr>
                  </w:pPr>
                  <w:r>
                    <w:rPr>
                      <w:szCs w:val="21"/>
                    </w:rPr>
                    <w:t>24小时平均值</w:t>
                  </w:r>
                </w:p>
              </w:tc>
              <w:tc>
                <w:tcPr>
                  <w:tcW w:w="1560" w:type="dxa"/>
                  <w:vAlign w:val="center"/>
                </w:tcPr>
                <w:p>
                  <w:pPr>
                    <w:spacing w:line="280" w:lineRule="exact"/>
                    <w:jc w:val="center"/>
                    <w:rPr>
                      <w:szCs w:val="21"/>
                    </w:rPr>
                  </w:pPr>
                  <w:r>
                    <w:rPr>
                      <w:szCs w:val="21"/>
                    </w:rPr>
                    <w:t>24小时平均值</w:t>
                  </w:r>
                </w:p>
              </w:tc>
              <w:tc>
                <w:tcPr>
                  <w:tcW w:w="1414" w:type="dxa"/>
                  <w:vAlign w:val="center"/>
                </w:tcPr>
                <w:p>
                  <w:pPr>
                    <w:spacing w:line="280" w:lineRule="exact"/>
                    <w:jc w:val="center"/>
                    <w:rPr>
                      <w:szCs w:val="21"/>
                    </w:rPr>
                  </w:pPr>
                  <w:r>
                    <w:rPr>
                      <w:szCs w:val="21"/>
                    </w:rPr>
                    <w:t>24小时平均值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restart"/>
                  <w:vAlign w:val="center"/>
                </w:tcPr>
                <w:p>
                  <w:pPr>
                    <w:spacing w:line="280" w:lineRule="exact"/>
                    <w:jc w:val="center"/>
                    <w:rPr>
                      <w:szCs w:val="21"/>
                    </w:rPr>
                  </w:pPr>
                  <w:r>
                    <w:rPr>
                      <w:rFonts w:hint="eastAsia"/>
                      <w:szCs w:val="21"/>
                    </w:rPr>
                    <w:t>电厂西侧柏家咀</w:t>
                  </w:r>
                  <w:r>
                    <w:rPr>
                      <w:szCs w:val="21"/>
                    </w:rPr>
                    <w:t>村</w:t>
                  </w:r>
                </w:p>
              </w:tc>
              <w:tc>
                <w:tcPr>
                  <w:tcW w:w="1338" w:type="dxa"/>
                  <w:vAlign w:val="center"/>
                </w:tcPr>
                <w:p>
                  <w:pPr>
                    <w:jc w:val="center"/>
                    <w:rPr>
                      <w:szCs w:val="21"/>
                    </w:rPr>
                  </w:pPr>
                  <w:r>
                    <w:rPr>
                      <w:szCs w:val="21"/>
                    </w:rPr>
                    <w:t>2018.10.6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8～10</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8</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35～75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54</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103</w:t>
                  </w: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6.6×10</w:t>
                  </w:r>
                  <w:r>
                    <w:rPr>
                      <w:rFonts w:hint="eastAsia"/>
                      <w:bCs/>
                      <w:szCs w:val="21"/>
                      <w:vertAlign w:val="superscript"/>
                    </w:rPr>
                    <w:t>-6</w:t>
                  </w:r>
                  <w:r>
                    <w:rPr>
                      <w:rFonts w:hint="eastAsia"/>
                      <w:bCs/>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continue"/>
                  <w:vAlign w:val="center"/>
                </w:tcPr>
                <w:p>
                  <w:pPr>
                    <w:spacing w:line="280" w:lineRule="exact"/>
                    <w:jc w:val="center"/>
                    <w:rPr>
                      <w:szCs w:val="21"/>
                    </w:rPr>
                  </w:pPr>
                </w:p>
              </w:tc>
              <w:tc>
                <w:tcPr>
                  <w:tcW w:w="1338" w:type="dxa"/>
                  <w:vAlign w:val="center"/>
                </w:tcPr>
                <w:p>
                  <w:pPr>
                    <w:jc w:val="center"/>
                    <w:rPr>
                      <w:szCs w:val="21"/>
                    </w:rPr>
                  </w:pPr>
                  <w:r>
                    <w:rPr>
                      <w:szCs w:val="21"/>
                    </w:rPr>
                    <w:t>2018.10.7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7～10</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8</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42～86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60</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94</w:t>
                  </w: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6.6×10</w:t>
                  </w:r>
                  <w:r>
                    <w:rPr>
                      <w:rFonts w:hint="eastAsia"/>
                      <w:bCs/>
                      <w:szCs w:val="21"/>
                      <w:vertAlign w:val="superscript"/>
                    </w:rPr>
                    <w:t>-6</w:t>
                  </w:r>
                  <w:r>
                    <w:rPr>
                      <w:rFonts w:hint="eastAsia"/>
                      <w:bCs/>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continue"/>
                  <w:vAlign w:val="center"/>
                </w:tcPr>
                <w:p>
                  <w:pPr>
                    <w:spacing w:line="280" w:lineRule="exact"/>
                    <w:jc w:val="center"/>
                    <w:rPr>
                      <w:szCs w:val="21"/>
                    </w:rPr>
                  </w:pPr>
                </w:p>
              </w:tc>
              <w:tc>
                <w:tcPr>
                  <w:tcW w:w="1338" w:type="dxa"/>
                  <w:vAlign w:val="center"/>
                </w:tcPr>
                <w:p>
                  <w:pPr>
                    <w:jc w:val="center"/>
                  </w:pPr>
                  <w:r>
                    <w:rPr>
                      <w:szCs w:val="21"/>
                    </w:rPr>
                    <w:t>2018.10.8</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9～12</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9</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46～76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63</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108</w:t>
                  </w: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6.6×10</w:t>
                  </w:r>
                  <w:r>
                    <w:rPr>
                      <w:rFonts w:hint="eastAsia"/>
                      <w:bCs/>
                      <w:szCs w:val="21"/>
                      <w:vertAlign w:val="superscript"/>
                    </w:rPr>
                    <w:t>-6</w:t>
                  </w:r>
                  <w:r>
                    <w:rPr>
                      <w:rFonts w:hint="eastAsia"/>
                      <w:bCs/>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196" w:hRule="atLeast"/>
                <w:jc w:val="center"/>
              </w:trPr>
              <w:tc>
                <w:tcPr>
                  <w:tcW w:w="550" w:type="dxa"/>
                  <w:vMerge w:val="continue"/>
                  <w:vAlign w:val="center"/>
                </w:tcPr>
                <w:p>
                  <w:pPr>
                    <w:spacing w:line="280" w:lineRule="exact"/>
                    <w:jc w:val="center"/>
                    <w:rPr>
                      <w:szCs w:val="21"/>
                    </w:rPr>
                  </w:pPr>
                </w:p>
              </w:tc>
              <w:tc>
                <w:tcPr>
                  <w:tcW w:w="1338" w:type="dxa"/>
                  <w:vAlign w:val="center"/>
                </w:tcPr>
                <w:p>
                  <w:pPr>
                    <w:jc w:val="center"/>
                  </w:pPr>
                  <w:r>
                    <w:rPr>
                      <w:szCs w:val="21"/>
                    </w:rPr>
                    <w:t>2018.10.9</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8～12</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10</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27～71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47</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67</w:t>
                  </w: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6.6×10</w:t>
                  </w:r>
                  <w:r>
                    <w:rPr>
                      <w:rFonts w:hint="eastAsia"/>
                      <w:bCs/>
                      <w:szCs w:val="21"/>
                      <w:vertAlign w:val="superscript"/>
                    </w:rPr>
                    <w:t>-6</w:t>
                  </w:r>
                  <w:r>
                    <w:rPr>
                      <w:rFonts w:hint="eastAsia"/>
                      <w:bCs/>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continue"/>
                  <w:vAlign w:val="center"/>
                </w:tcPr>
                <w:p>
                  <w:pPr>
                    <w:spacing w:line="280" w:lineRule="exact"/>
                    <w:jc w:val="center"/>
                    <w:rPr>
                      <w:szCs w:val="21"/>
                    </w:rPr>
                  </w:pPr>
                </w:p>
              </w:tc>
              <w:tc>
                <w:tcPr>
                  <w:tcW w:w="1338" w:type="dxa"/>
                  <w:vAlign w:val="center"/>
                </w:tcPr>
                <w:p>
                  <w:pPr>
                    <w:jc w:val="center"/>
                  </w:pPr>
                  <w:r>
                    <w:rPr>
                      <w:szCs w:val="21"/>
                    </w:rPr>
                    <w:t>2018.10.10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8～11</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10</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31～</w:t>
                  </w:r>
                  <w:r>
                    <w:rPr>
                      <w:rFonts w:hint="eastAsia"/>
                      <w:bCs/>
                      <w:szCs w:val="21"/>
                    </w:rPr>
                    <w:t>7</w:t>
                  </w:r>
                  <w:r>
                    <w:rPr>
                      <w:bCs/>
                      <w:szCs w:val="21"/>
                    </w:rPr>
                    <w:t>8</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60</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72</w:t>
                  </w: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6.6×10</w:t>
                  </w:r>
                  <w:r>
                    <w:rPr>
                      <w:rFonts w:hint="eastAsia"/>
                      <w:bCs/>
                      <w:szCs w:val="21"/>
                      <w:vertAlign w:val="superscript"/>
                    </w:rPr>
                    <w:t>-6</w:t>
                  </w:r>
                  <w:r>
                    <w:rPr>
                      <w:rFonts w:hint="eastAsia"/>
                      <w:bCs/>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continue"/>
                  <w:vAlign w:val="center"/>
                </w:tcPr>
                <w:p>
                  <w:pPr>
                    <w:spacing w:line="280" w:lineRule="exact"/>
                    <w:jc w:val="center"/>
                    <w:rPr>
                      <w:szCs w:val="21"/>
                    </w:rPr>
                  </w:pPr>
                </w:p>
              </w:tc>
              <w:tc>
                <w:tcPr>
                  <w:tcW w:w="1338" w:type="dxa"/>
                  <w:vAlign w:val="center"/>
                </w:tcPr>
                <w:p>
                  <w:pPr>
                    <w:jc w:val="center"/>
                  </w:pPr>
                  <w:r>
                    <w:rPr>
                      <w:szCs w:val="21"/>
                    </w:rPr>
                    <w:t>2018.10.11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10～16</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13</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40～84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65</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110</w:t>
                  </w: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6.6×10</w:t>
                  </w:r>
                  <w:r>
                    <w:rPr>
                      <w:rFonts w:hint="eastAsia"/>
                      <w:bCs/>
                      <w:szCs w:val="21"/>
                      <w:vertAlign w:val="superscript"/>
                    </w:rPr>
                    <w:t>-6</w:t>
                  </w:r>
                  <w:r>
                    <w:rPr>
                      <w:rFonts w:hint="eastAsia"/>
                      <w:bCs/>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continue"/>
                  <w:vAlign w:val="center"/>
                </w:tcPr>
                <w:p>
                  <w:pPr>
                    <w:spacing w:line="280" w:lineRule="exact"/>
                    <w:jc w:val="center"/>
                    <w:rPr>
                      <w:szCs w:val="21"/>
                    </w:rPr>
                  </w:pPr>
                </w:p>
              </w:tc>
              <w:tc>
                <w:tcPr>
                  <w:tcW w:w="1338" w:type="dxa"/>
                  <w:vAlign w:val="center"/>
                </w:tcPr>
                <w:p>
                  <w:pPr>
                    <w:jc w:val="center"/>
                  </w:pPr>
                  <w:r>
                    <w:rPr>
                      <w:rFonts w:hint="eastAsia"/>
                    </w:rPr>
                    <w:t>2018.10.12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10～16</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13</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37～87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75</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117</w:t>
                  </w: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6.6×10</w:t>
                  </w:r>
                  <w:r>
                    <w:rPr>
                      <w:rFonts w:hint="eastAsia"/>
                      <w:bCs/>
                      <w:szCs w:val="21"/>
                      <w:vertAlign w:val="superscript"/>
                    </w:rPr>
                    <w:t>-6</w:t>
                  </w:r>
                  <w:r>
                    <w:rPr>
                      <w:rFonts w:hint="eastAsia"/>
                      <w:bCs/>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continue"/>
                  <w:vAlign w:val="center"/>
                </w:tcPr>
                <w:p>
                  <w:pPr>
                    <w:spacing w:line="280" w:lineRule="exact"/>
                    <w:jc w:val="center"/>
                    <w:rPr>
                      <w:szCs w:val="21"/>
                    </w:rPr>
                  </w:pPr>
                </w:p>
              </w:tc>
              <w:tc>
                <w:tcPr>
                  <w:tcW w:w="1338" w:type="dxa"/>
                  <w:vAlign w:val="center"/>
                </w:tcPr>
                <w:p>
                  <w:pPr>
                    <w:spacing w:line="280" w:lineRule="exact"/>
                    <w:jc w:val="center"/>
                    <w:rPr>
                      <w:szCs w:val="21"/>
                    </w:rPr>
                  </w:pPr>
                  <w:r>
                    <w:rPr>
                      <w:szCs w:val="21"/>
                    </w:rPr>
                    <w:t>二级标准限值</w:t>
                  </w:r>
                </w:p>
              </w:tc>
              <w:tc>
                <w:tcPr>
                  <w:tcW w:w="992" w:type="dxa"/>
                  <w:vAlign w:val="center"/>
                </w:tcPr>
                <w:p>
                  <w:pPr>
                    <w:spacing w:line="280" w:lineRule="exact"/>
                    <w:jc w:val="center"/>
                    <w:rPr>
                      <w:szCs w:val="21"/>
                    </w:rPr>
                  </w:pPr>
                  <w:r>
                    <w:rPr>
                      <w:szCs w:val="21"/>
                    </w:rPr>
                    <w:t>500</w:t>
                  </w:r>
                </w:p>
              </w:tc>
              <w:tc>
                <w:tcPr>
                  <w:tcW w:w="992" w:type="dxa"/>
                  <w:vAlign w:val="center"/>
                </w:tcPr>
                <w:p>
                  <w:pPr>
                    <w:spacing w:line="280" w:lineRule="exact"/>
                    <w:jc w:val="center"/>
                    <w:rPr>
                      <w:szCs w:val="21"/>
                    </w:rPr>
                  </w:pPr>
                  <w:r>
                    <w:rPr>
                      <w:szCs w:val="21"/>
                    </w:rPr>
                    <w:t>150</w:t>
                  </w:r>
                </w:p>
              </w:tc>
              <w:tc>
                <w:tcPr>
                  <w:tcW w:w="993" w:type="dxa"/>
                  <w:vAlign w:val="center"/>
                </w:tcPr>
                <w:p>
                  <w:pPr>
                    <w:spacing w:line="280" w:lineRule="exact"/>
                    <w:jc w:val="center"/>
                    <w:rPr>
                      <w:szCs w:val="21"/>
                    </w:rPr>
                  </w:pPr>
                  <w:r>
                    <w:rPr>
                      <w:szCs w:val="21"/>
                    </w:rPr>
                    <w:t>200</w:t>
                  </w:r>
                </w:p>
              </w:tc>
              <w:tc>
                <w:tcPr>
                  <w:tcW w:w="992" w:type="dxa"/>
                  <w:vAlign w:val="center"/>
                </w:tcPr>
                <w:p>
                  <w:pPr>
                    <w:spacing w:line="280" w:lineRule="exact"/>
                    <w:jc w:val="center"/>
                    <w:rPr>
                      <w:szCs w:val="21"/>
                    </w:rPr>
                  </w:pPr>
                  <w:r>
                    <w:rPr>
                      <w:szCs w:val="21"/>
                    </w:rPr>
                    <w:t>80</w:t>
                  </w:r>
                </w:p>
              </w:tc>
              <w:tc>
                <w:tcPr>
                  <w:tcW w:w="1560" w:type="dxa"/>
                  <w:vAlign w:val="center"/>
                </w:tcPr>
                <w:p>
                  <w:pPr>
                    <w:jc w:val="center"/>
                    <w:rPr>
                      <w:bCs/>
                      <w:szCs w:val="21"/>
                    </w:rPr>
                  </w:pPr>
                  <w:r>
                    <w:rPr>
                      <w:bCs/>
                      <w:szCs w:val="21"/>
                    </w:rPr>
                    <w:t>150</w:t>
                  </w:r>
                </w:p>
              </w:tc>
              <w:tc>
                <w:tcPr>
                  <w:tcW w:w="1414" w:type="dxa"/>
                  <w:vAlign w:val="center"/>
                </w:tcPr>
                <w:p>
                  <w:pPr>
                    <w:jc w:val="center"/>
                    <w:rPr>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continue"/>
                  <w:vAlign w:val="center"/>
                </w:tcPr>
                <w:p>
                  <w:pPr>
                    <w:spacing w:line="280" w:lineRule="exact"/>
                    <w:jc w:val="center"/>
                    <w:rPr>
                      <w:szCs w:val="21"/>
                    </w:rPr>
                  </w:pPr>
                </w:p>
              </w:tc>
              <w:tc>
                <w:tcPr>
                  <w:tcW w:w="1338" w:type="dxa"/>
                  <w:vAlign w:val="center"/>
                </w:tcPr>
                <w:p>
                  <w:pPr>
                    <w:spacing w:line="280" w:lineRule="exact"/>
                    <w:jc w:val="center"/>
                    <w:rPr>
                      <w:szCs w:val="21"/>
                    </w:rPr>
                  </w:pPr>
                  <w:r>
                    <w:rPr>
                      <w:szCs w:val="21"/>
                    </w:rPr>
                    <w:t>超标率%</w:t>
                  </w:r>
                </w:p>
              </w:tc>
              <w:tc>
                <w:tcPr>
                  <w:tcW w:w="992" w:type="dxa"/>
                  <w:vAlign w:val="center"/>
                </w:tcPr>
                <w:p>
                  <w:pPr>
                    <w:spacing w:line="280" w:lineRule="exact"/>
                    <w:jc w:val="center"/>
                    <w:rPr>
                      <w:szCs w:val="21"/>
                    </w:rPr>
                  </w:pPr>
                  <w:r>
                    <w:rPr>
                      <w:szCs w:val="21"/>
                    </w:rPr>
                    <w:t>0</w:t>
                  </w:r>
                </w:p>
              </w:tc>
              <w:tc>
                <w:tcPr>
                  <w:tcW w:w="992" w:type="dxa"/>
                  <w:vAlign w:val="center"/>
                </w:tcPr>
                <w:p>
                  <w:pPr>
                    <w:spacing w:line="280" w:lineRule="exact"/>
                    <w:jc w:val="center"/>
                    <w:rPr>
                      <w:szCs w:val="21"/>
                    </w:rPr>
                  </w:pPr>
                  <w:r>
                    <w:rPr>
                      <w:szCs w:val="21"/>
                    </w:rPr>
                    <w:t>0</w:t>
                  </w:r>
                </w:p>
              </w:tc>
              <w:tc>
                <w:tcPr>
                  <w:tcW w:w="993" w:type="dxa"/>
                  <w:vAlign w:val="center"/>
                </w:tcPr>
                <w:p>
                  <w:pPr>
                    <w:spacing w:line="280" w:lineRule="exact"/>
                    <w:jc w:val="center"/>
                    <w:rPr>
                      <w:szCs w:val="21"/>
                    </w:rPr>
                  </w:pPr>
                  <w:r>
                    <w:rPr>
                      <w:szCs w:val="21"/>
                    </w:rPr>
                    <w:t>0</w:t>
                  </w:r>
                </w:p>
              </w:tc>
              <w:tc>
                <w:tcPr>
                  <w:tcW w:w="992" w:type="dxa"/>
                  <w:vAlign w:val="center"/>
                </w:tcPr>
                <w:p>
                  <w:pPr>
                    <w:spacing w:line="280" w:lineRule="exact"/>
                    <w:jc w:val="center"/>
                    <w:rPr>
                      <w:szCs w:val="21"/>
                    </w:rPr>
                  </w:pPr>
                  <w:r>
                    <w:rPr>
                      <w:szCs w:val="21"/>
                    </w:rPr>
                    <w:t>0</w:t>
                  </w:r>
                </w:p>
              </w:tc>
              <w:tc>
                <w:tcPr>
                  <w:tcW w:w="1560" w:type="dxa"/>
                  <w:vAlign w:val="center"/>
                </w:tcPr>
                <w:p>
                  <w:pPr>
                    <w:spacing w:line="280" w:lineRule="exact"/>
                    <w:jc w:val="center"/>
                    <w:rPr>
                      <w:szCs w:val="21"/>
                    </w:rPr>
                  </w:pPr>
                  <w:r>
                    <w:rPr>
                      <w:szCs w:val="21"/>
                    </w:rPr>
                    <w:t>0</w:t>
                  </w:r>
                </w:p>
              </w:tc>
              <w:tc>
                <w:tcPr>
                  <w:tcW w:w="1414" w:type="dxa"/>
                  <w:vAlign w:val="center"/>
                </w:tcPr>
                <w:p>
                  <w:pPr>
                    <w:spacing w:line="280" w:lineRule="exact"/>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continue"/>
                  <w:vAlign w:val="center"/>
                </w:tcPr>
                <w:p>
                  <w:pPr>
                    <w:spacing w:line="280" w:lineRule="exact"/>
                    <w:jc w:val="center"/>
                    <w:rPr>
                      <w:szCs w:val="21"/>
                    </w:rPr>
                  </w:pPr>
                </w:p>
              </w:tc>
              <w:tc>
                <w:tcPr>
                  <w:tcW w:w="1338" w:type="dxa"/>
                  <w:vAlign w:val="center"/>
                </w:tcPr>
                <w:p>
                  <w:pPr>
                    <w:spacing w:line="280" w:lineRule="exact"/>
                    <w:jc w:val="center"/>
                    <w:rPr>
                      <w:szCs w:val="21"/>
                    </w:rPr>
                  </w:pPr>
                  <w:r>
                    <w:rPr>
                      <w:szCs w:val="21"/>
                    </w:rPr>
                    <w:t>最大超标倍数</w:t>
                  </w:r>
                </w:p>
              </w:tc>
              <w:tc>
                <w:tcPr>
                  <w:tcW w:w="992" w:type="dxa"/>
                  <w:vAlign w:val="center"/>
                </w:tcPr>
                <w:p>
                  <w:pPr>
                    <w:spacing w:line="280" w:lineRule="exact"/>
                    <w:jc w:val="center"/>
                    <w:rPr>
                      <w:szCs w:val="21"/>
                    </w:rPr>
                  </w:pPr>
                  <w:r>
                    <w:rPr>
                      <w:szCs w:val="21"/>
                    </w:rPr>
                    <w:t>0</w:t>
                  </w:r>
                </w:p>
              </w:tc>
              <w:tc>
                <w:tcPr>
                  <w:tcW w:w="992" w:type="dxa"/>
                  <w:vAlign w:val="center"/>
                </w:tcPr>
                <w:p>
                  <w:pPr>
                    <w:spacing w:line="280" w:lineRule="exact"/>
                    <w:jc w:val="center"/>
                    <w:rPr>
                      <w:szCs w:val="21"/>
                    </w:rPr>
                  </w:pPr>
                  <w:r>
                    <w:rPr>
                      <w:szCs w:val="21"/>
                    </w:rPr>
                    <w:t>0</w:t>
                  </w:r>
                </w:p>
              </w:tc>
              <w:tc>
                <w:tcPr>
                  <w:tcW w:w="993" w:type="dxa"/>
                  <w:vAlign w:val="center"/>
                </w:tcPr>
                <w:p>
                  <w:pPr>
                    <w:spacing w:line="280" w:lineRule="exact"/>
                    <w:jc w:val="center"/>
                    <w:rPr>
                      <w:szCs w:val="21"/>
                    </w:rPr>
                  </w:pPr>
                  <w:r>
                    <w:rPr>
                      <w:szCs w:val="21"/>
                    </w:rPr>
                    <w:t>0</w:t>
                  </w:r>
                </w:p>
              </w:tc>
              <w:tc>
                <w:tcPr>
                  <w:tcW w:w="992" w:type="dxa"/>
                  <w:vAlign w:val="center"/>
                </w:tcPr>
                <w:p>
                  <w:pPr>
                    <w:spacing w:line="280" w:lineRule="exact"/>
                    <w:jc w:val="center"/>
                    <w:rPr>
                      <w:szCs w:val="21"/>
                    </w:rPr>
                  </w:pPr>
                  <w:r>
                    <w:rPr>
                      <w:szCs w:val="21"/>
                    </w:rPr>
                    <w:t>0</w:t>
                  </w:r>
                </w:p>
              </w:tc>
              <w:tc>
                <w:tcPr>
                  <w:tcW w:w="1560" w:type="dxa"/>
                  <w:vAlign w:val="center"/>
                </w:tcPr>
                <w:p>
                  <w:pPr>
                    <w:spacing w:line="280" w:lineRule="exact"/>
                    <w:jc w:val="center"/>
                    <w:rPr>
                      <w:szCs w:val="21"/>
                    </w:rPr>
                  </w:pPr>
                  <w:r>
                    <w:rPr>
                      <w:szCs w:val="21"/>
                    </w:rPr>
                    <w:t>0</w:t>
                  </w:r>
                </w:p>
              </w:tc>
              <w:tc>
                <w:tcPr>
                  <w:tcW w:w="1414" w:type="dxa"/>
                  <w:vAlign w:val="center"/>
                </w:tcPr>
                <w:p>
                  <w:pPr>
                    <w:spacing w:line="280" w:lineRule="exact"/>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continue"/>
                  <w:vAlign w:val="center"/>
                </w:tcPr>
                <w:p>
                  <w:pPr>
                    <w:spacing w:line="280" w:lineRule="exact"/>
                    <w:jc w:val="center"/>
                    <w:rPr>
                      <w:szCs w:val="21"/>
                    </w:rPr>
                  </w:pPr>
                </w:p>
              </w:tc>
              <w:tc>
                <w:tcPr>
                  <w:tcW w:w="1338" w:type="dxa"/>
                  <w:vAlign w:val="center"/>
                </w:tcPr>
                <w:p>
                  <w:pPr>
                    <w:spacing w:line="280" w:lineRule="exact"/>
                    <w:jc w:val="center"/>
                    <w:rPr>
                      <w:szCs w:val="21"/>
                    </w:rPr>
                  </w:pPr>
                  <w:r>
                    <w:rPr>
                      <w:szCs w:val="21"/>
                    </w:rPr>
                    <w:t>最大值占标率%</w:t>
                  </w:r>
                </w:p>
              </w:tc>
              <w:tc>
                <w:tcPr>
                  <w:tcW w:w="992" w:type="dxa"/>
                  <w:vAlign w:val="center"/>
                </w:tcPr>
                <w:p>
                  <w:pPr>
                    <w:spacing w:line="280" w:lineRule="exact"/>
                    <w:jc w:val="center"/>
                    <w:rPr>
                      <w:szCs w:val="21"/>
                    </w:rPr>
                  </w:pPr>
                  <w:r>
                    <w:rPr>
                      <w:szCs w:val="21"/>
                    </w:rPr>
                    <w:t>3.20</w:t>
                  </w:r>
                </w:p>
              </w:tc>
              <w:tc>
                <w:tcPr>
                  <w:tcW w:w="992" w:type="dxa"/>
                  <w:vAlign w:val="center"/>
                </w:tcPr>
                <w:p>
                  <w:pPr>
                    <w:spacing w:line="280" w:lineRule="exact"/>
                    <w:jc w:val="center"/>
                    <w:rPr>
                      <w:szCs w:val="21"/>
                    </w:rPr>
                  </w:pPr>
                  <w:r>
                    <w:rPr>
                      <w:szCs w:val="21"/>
                    </w:rPr>
                    <w:t>8.67</w:t>
                  </w:r>
                </w:p>
              </w:tc>
              <w:tc>
                <w:tcPr>
                  <w:tcW w:w="993" w:type="dxa"/>
                  <w:vAlign w:val="center"/>
                </w:tcPr>
                <w:p>
                  <w:pPr>
                    <w:spacing w:line="280" w:lineRule="exact"/>
                    <w:jc w:val="center"/>
                    <w:rPr>
                      <w:szCs w:val="21"/>
                    </w:rPr>
                  </w:pPr>
                  <w:r>
                    <w:rPr>
                      <w:szCs w:val="21"/>
                    </w:rPr>
                    <w:t>43.50</w:t>
                  </w:r>
                </w:p>
              </w:tc>
              <w:tc>
                <w:tcPr>
                  <w:tcW w:w="992" w:type="dxa"/>
                  <w:vAlign w:val="center"/>
                </w:tcPr>
                <w:p>
                  <w:pPr>
                    <w:spacing w:line="280" w:lineRule="exact"/>
                    <w:jc w:val="center"/>
                    <w:rPr>
                      <w:szCs w:val="21"/>
                    </w:rPr>
                  </w:pPr>
                  <w:r>
                    <w:rPr>
                      <w:szCs w:val="21"/>
                    </w:rPr>
                    <w:t>93.75</w:t>
                  </w:r>
                </w:p>
              </w:tc>
              <w:tc>
                <w:tcPr>
                  <w:tcW w:w="1560" w:type="dxa"/>
                  <w:vAlign w:val="center"/>
                </w:tcPr>
                <w:p>
                  <w:pPr>
                    <w:spacing w:line="280" w:lineRule="exact"/>
                    <w:jc w:val="center"/>
                    <w:rPr>
                      <w:szCs w:val="21"/>
                    </w:rPr>
                  </w:pPr>
                  <w:r>
                    <w:rPr>
                      <w:szCs w:val="21"/>
                    </w:rPr>
                    <w:t>78.00</w:t>
                  </w:r>
                </w:p>
              </w:tc>
              <w:tc>
                <w:tcPr>
                  <w:tcW w:w="1414" w:type="dxa"/>
                  <w:vAlign w:val="center"/>
                </w:tcPr>
                <w:p>
                  <w:pPr>
                    <w:spacing w:line="280" w:lineRule="exact"/>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187" w:hRule="atLeast"/>
                <w:jc w:val="center"/>
              </w:trPr>
              <w:tc>
                <w:tcPr>
                  <w:tcW w:w="550" w:type="dxa"/>
                  <w:vMerge w:val="restart"/>
                  <w:vAlign w:val="center"/>
                </w:tcPr>
                <w:p>
                  <w:pPr>
                    <w:spacing w:line="280" w:lineRule="exact"/>
                    <w:jc w:val="center"/>
                    <w:rPr>
                      <w:szCs w:val="21"/>
                    </w:rPr>
                  </w:pPr>
                  <w:r>
                    <w:rPr>
                      <w:rFonts w:hint="eastAsia"/>
                      <w:szCs w:val="21"/>
                    </w:rPr>
                    <w:t>电厂东侧岩张村</w:t>
                  </w:r>
                </w:p>
              </w:tc>
              <w:tc>
                <w:tcPr>
                  <w:tcW w:w="1338" w:type="dxa"/>
                  <w:vAlign w:val="center"/>
                </w:tcPr>
                <w:p>
                  <w:pPr>
                    <w:jc w:val="center"/>
                    <w:rPr>
                      <w:szCs w:val="21"/>
                    </w:rPr>
                  </w:pPr>
                  <w:r>
                    <w:rPr>
                      <w:szCs w:val="21"/>
                    </w:rPr>
                    <w:t>2018.10.6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9～11</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9</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37～76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56</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105</w:t>
                  </w: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6.6×10</w:t>
                  </w:r>
                  <w:r>
                    <w:rPr>
                      <w:rFonts w:hint="eastAsia"/>
                      <w:bCs/>
                      <w:szCs w:val="21"/>
                      <w:vertAlign w:val="superscript"/>
                    </w:rPr>
                    <w:t>-6</w:t>
                  </w:r>
                  <w:r>
                    <w:rPr>
                      <w:rFonts w:hint="eastAsia"/>
                      <w:bCs/>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continue"/>
                  <w:vAlign w:val="center"/>
                </w:tcPr>
                <w:p>
                  <w:pPr>
                    <w:spacing w:line="280" w:lineRule="exact"/>
                    <w:jc w:val="center"/>
                    <w:rPr>
                      <w:szCs w:val="21"/>
                    </w:rPr>
                  </w:pPr>
                </w:p>
              </w:tc>
              <w:tc>
                <w:tcPr>
                  <w:tcW w:w="1338" w:type="dxa"/>
                  <w:vAlign w:val="center"/>
                </w:tcPr>
                <w:p>
                  <w:pPr>
                    <w:jc w:val="center"/>
                    <w:rPr>
                      <w:szCs w:val="21"/>
                    </w:rPr>
                  </w:pPr>
                  <w:r>
                    <w:rPr>
                      <w:szCs w:val="21"/>
                    </w:rPr>
                    <w:t>2018.10.7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8～11</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8</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44～88</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62</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96</w:t>
                  </w: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6.6×10</w:t>
                  </w:r>
                  <w:r>
                    <w:rPr>
                      <w:rFonts w:hint="eastAsia"/>
                      <w:bCs/>
                      <w:szCs w:val="21"/>
                      <w:vertAlign w:val="superscript"/>
                    </w:rPr>
                    <w:t>-6</w:t>
                  </w:r>
                  <w:r>
                    <w:rPr>
                      <w:rFonts w:hint="eastAsia"/>
                      <w:bCs/>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continue"/>
                  <w:vAlign w:val="center"/>
                </w:tcPr>
                <w:p>
                  <w:pPr>
                    <w:spacing w:line="280" w:lineRule="exact"/>
                    <w:jc w:val="center"/>
                    <w:rPr>
                      <w:szCs w:val="21"/>
                    </w:rPr>
                  </w:pPr>
                </w:p>
              </w:tc>
              <w:tc>
                <w:tcPr>
                  <w:tcW w:w="1338" w:type="dxa"/>
                  <w:vAlign w:val="center"/>
                </w:tcPr>
                <w:p>
                  <w:pPr>
                    <w:jc w:val="center"/>
                  </w:pPr>
                  <w:r>
                    <w:rPr>
                      <w:szCs w:val="21"/>
                    </w:rPr>
                    <w:t>2018.10.8</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10～13</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9</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47～78</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65</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106</w:t>
                  </w: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6.6×10</w:t>
                  </w:r>
                  <w:r>
                    <w:rPr>
                      <w:rFonts w:hint="eastAsia"/>
                      <w:bCs/>
                      <w:szCs w:val="21"/>
                      <w:vertAlign w:val="superscript"/>
                    </w:rPr>
                    <w:t>-6</w:t>
                  </w:r>
                  <w:r>
                    <w:rPr>
                      <w:rFonts w:hint="eastAsia"/>
                      <w:bCs/>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196" w:hRule="atLeast"/>
                <w:jc w:val="center"/>
              </w:trPr>
              <w:tc>
                <w:tcPr>
                  <w:tcW w:w="550" w:type="dxa"/>
                  <w:vMerge w:val="continue"/>
                  <w:vAlign w:val="center"/>
                </w:tcPr>
                <w:p>
                  <w:pPr>
                    <w:spacing w:line="280" w:lineRule="exact"/>
                    <w:jc w:val="center"/>
                    <w:rPr>
                      <w:szCs w:val="21"/>
                    </w:rPr>
                  </w:pPr>
                </w:p>
              </w:tc>
              <w:tc>
                <w:tcPr>
                  <w:tcW w:w="1338" w:type="dxa"/>
                  <w:vAlign w:val="center"/>
                </w:tcPr>
                <w:p>
                  <w:pPr>
                    <w:jc w:val="center"/>
                  </w:pPr>
                  <w:r>
                    <w:rPr>
                      <w:szCs w:val="21"/>
                    </w:rPr>
                    <w:t>2018.10.9</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9～12</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11</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28～74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49</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69</w:t>
                  </w: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6.6×10</w:t>
                  </w:r>
                  <w:r>
                    <w:rPr>
                      <w:rFonts w:hint="eastAsia"/>
                      <w:bCs/>
                      <w:szCs w:val="21"/>
                      <w:vertAlign w:val="superscript"/>
                    </w:rPr>
                    <w:t>-6</w:t>
                  </w:r>
                  <w:r>
                    <w:rPr>
                      <w:rFonts w:hint="eastAsia"/>
                      <w:bCs/>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continue"/>
                  <w:vAlign w:val="center"/>
                </w:tcPr>
                <w:p>
                  <w:pPr>
                    <w:spacing w:line="280" w:lineRule="exact"/>
                    <w:jc w:val="center"/>
                    <w:rPr>
                      <w:szCs w:val="21"/>
                    </w:rPr>
                  </w:pPr>
                </w:p>
              </w:tc>
              <w:tc>
                <w:tcPr>
                  <w:tcW w:w="1338" w:type="dxa"/>
                  <w:vAlign w:val="center"/>
                </w:tcPr>
                <w:p>
                  <w:pPr>
                    <w:jc w:val="center"/>
                  </w:pPr>
                  <w:r>
                    <w:rPr>
                      <w:szCs w:val="21"/>
                    </w:rPr>
                    <w:t>2018.10.10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9～12</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10</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33～79</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62</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74</w:t>
                  </w: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6.6×10</w:t>
                  </w:r>
                  <w:r>
                    <w:rPr>
                      <w:rFonts w:hint="eastAsia"/>
                      <w:bCs/>
                      <w:szCs w:val="21"/>
                      <w:vertAlign w:val="superscript"/>
                    </w:rPr>
                    <w:t>-6</w:t>
                  </w:r>
                  <w:r>
                    <w:rPr>
                      <w:rFonts w:hint="eastAsia"/>
                      <w:bCs/>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continue"/>
                  <w:vAlign w:val="center"/>
                </w:tcPr>
                <w:p>
                  <w:pPr>
                    <w:spacing w:line="280" w:lineRule="exact"/>
                    <w:jc w:val="center"/>
                    <w:rPr>
                      <w:szCs w:val="21"/>
                    </w:rPr>
                  </w:pPr>
                </w:p>
              </w:tc>
              <w:tc>
                <w:tcPr>
                  <w:tcW w:w="1338" w:type="dxa"/>
                  <w:vAlign w:val="center"/>
                </w:tcPr>
                <w:p>
                  <w:pPr>
                    <w:jc w:val="center"/>
                  </w:pPr>
                  <w:r>
                    <w:rPr>
                      <w:szCs w:val="21"/>
                    </w:rPr>
                    <w:t>2018.10.11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10～16</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14</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42～86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66</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112</w:t>
                  </w: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6.6×10</w:t>
                  </w:r>
                  <w:r>
                    <w:rPr>
                      <w:rFonts w:hint="eastAsia"/>
                      <w:bCs/>
                      <w:szCs w:val="21"/>
                      <w:vertAlign w:val="superscript"/>
                    </w:rPr>
                    <w:t>-6</w:t>
                  </w:r>
                  <w:r>
                    <w:rPr>
                      <w:rFonts w:hint="eastAsia"/>
                      <w:bCs/>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continue"/>
                  <w:vAlign w:val="center"/>
                </w:tcPr>
                <w:p>
                  <w:pPr>
                    <w:spacing w:line="280" w:lineRule="exact"/>
                    <w:jc w:val="center"/>
                    <w:rPr>
                      <w:szCs w:val="21"/>
                    </w:rPr>
                  </w:pPr>
                </w:p>
              </w:tc>
              <w:tc>
                <w:tcPr>
                  <w:tcW w:w="1338" w:type="dxa"/>
                  <w:vAlign w:val="center"/>
                </w:tcPr>
                <w:p>
                  <w:pPr>
                    <w:jc w:val="center"/>
                  </w:pPr>
                  <w:r>
                    <w:rPr>
                      <w:rFonts w:hint="eastAsia"/>
                    </w:rPr>
                    <w:t>2018.10.12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11～15</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13</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39～89</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77</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114</w:t>
                  </w: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6.6×10</w:t>
                  </w:r>
                  <w:r>
                    <w:rPr>
                      <w:rFonts w:hint="eastAsia"/>
                      <w:bCs/>
                      <w:szCs w:val="21"/>
                      <w:vertAlign w:val="superscript"/>
                    </w:rPr>
                    <w:t>-6</w:t>
                  </w:r>
                  <w:r>
                    <w:rPr>
                      <w:rFonts w:hint="eastAsia"/>
                      <w:bCs/>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continue"/>
                  <w:vAlign w:val="center"/>
                </w:tcPr>
                <w:p>
                  <w:pPr>
                    <w:spacing w:line="280" w:lineRule="exact"/>
                    <w:jc w:val="center"/>
                    <w:rPr>
                      <w:szCs w:val="21"/>
                    </w:rPr>
                  </w:pPr>
                </w:p>
              </w:tc>
              <w:tc>
                <w:tcPr>
                  <w:tcW w:w="1338" w:type="dxa"/>
                  <w:vAlign w:val="center"/>
                </w:tcPr>
                <w:p>
                  <w:pPr>
                    <w:spacing w:line="280" w:lineRule="exact"/>
                    <w:jc w:val="center"/>
                    <w:rPr>
                      <w:szCs w:val="21"/>
                    </w:rPr>
                  </w:pPr>
                  <w:r>
                    <w:rPr>
                      <w:szCs w:val="21"/>
                    </w:rPr>
                    <w:t>二级标准限值</w:t>
                  </w:r>
                </w:p>
              </w:tc>
              <w:tc>
                <w:tcPr>
                  <w:tcW w:w="992" w:type="dxa"/>
                  <w:vAlign w:val="center"/>
                </w:tcPr>
                <w:p>
                  <w:pPr>
                    <w:spacing w:line="280" w:lineRule="exact"/>
                    <w:jc w:val="center"/>
                    <w:rPr>
                      <w:szCs w:val="21"/>
                    </w:rPr>
                  </w:pPr>
                  <w:r>
                    <w:rPr>
                      <w:szCs w:val="21"/>
                    </w:rPr>
                    <w:t>500</w:t>
                  </w:r>
                </w:p>
              </w:tc>
              <w:tc>
                <w:tcPr>
                  <w:tcW w:w="992" w:type="dxa"/>
                  <w:vAlign w:val="center"/>
                </w:tcPr>
                <w:p>
                  <w:pPr>
                    <w:spacing w:line="280" w:lineRule="exact"/>
                    <w:jc w:val="center"/>
                    <w:rPr>
                      <w:szCs w:val="21"/>
                    </w:rPr>
                  </w:pPr>
                  <w:r>
                    <w:rPr>
                      <w:szCs w:val="21"/>
                    </w:rPr>
                    <w:t>150</w:t>
                  </w:r>
                </w:p>
              </w:tc>
              <w:tc>
                <w:tcPr>
                  <w:tcW w:w="993" w:type="dxa"/>
                  <w:vAlign w:val="center"/>
                </w:tcPr>
                <w:p>
                  <w:pPr>
                    <w:spacing w:line="280" w:lineRule="exact"/>
                    <w:jc w:val="center"/>
                    <w:rPr>
                      <w:szCs w:val="21"/>
                    </w:rPr>
                  </w:pPr>
                  <w:r>
                    <w:rPr>
                      <w:szCs w:val="21"/>
                    </w:rPr>
                    <w:t>200</w:t>
                  </w:r>
                </w:p>
              </w:tc>
              <w:tc>
                <w:tcPr>
                  <w:tcW w:w="992" w:type="dxa"/>
                  <w:vAlign w:val="center"/>
                </w:tcPr>
                <w:p>
                  <w:pPr>
                    <w:spacing w:line="280" w:lineRule="exact"/>
                    <w:jc w:val="center"/>
                    <w:rPr>
                      <w:szCs w:val="21"/>
                    </w:rPr>
                  </w:pPr>
                  <w:r>
                    <w:rPr>
                      <w:szCs w:val="21"/>
                    </w:rPr>
                    <w:t>80</w:t>
                  </w:r>
                </w:p>
              </w:tc>
              <w:tc>
                <w:tcPr>
                  <w:tcW w:w="1560" w:type="dxa"/>
                  <w:vAlign w:val="center"/>
                </w:tcPr>
                <w:p>
                  <w:pPr>
                    <w:jc w:val="center"/>
                    <w:rPr>
                      <w:bCs/>
                      <w:szCs w:val="21"/>
                    </w:rPr>
                  </w:pPr>
                  <w:r>
                    <w:rPr>
                      <w:bCs/>
                      <w:szCs w:val="21"/>
                    </w:rPr>
                    <w:t>150</w:t>
                  </w:r>
                </w:p>
              </w:tc>
              <w:tc>
                <w:tcPr>
                  <w:tcW w:w="1414" w:type="dxa"/>
                  <w:vAlign w:val="center"/>
                </w:tcPr>
                <w:p>
                  <w:pPr>
                    <w:jc w:val="center"/>
                    <w:rPr>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continue"/>
                  <w:vAlign w:val="center"/>
                </w:tcPr>
                <w:p>
                  <w:pPr>
                    <w:spacing w:line="280" w:lineRule="exact"/>
                    <w:jc w:val="center"/>
                    <w:rPr>
                      <w:szCs w:val="21"/>
                    </w:rPr>
                  </w:pPr>
                </w:p>
              </w:tc>
              <w:tc>
                <w:tcPr>
                  <w:tcW w:w="1338" w:type="dxa"/>
                  <w:vAlign w:val="center"/>
                </w:tcPr>
                <w:p>
                  <w:pPr>
                    <w:spacing w:line="280" w:lineRule="exact"/>
                    <w:jc w:val="center"/>
                    <w:rPr>
                      <w:szCs w:val="21"/>
                    </w:rPr>
                  </w:pPr>
                  <w:r>
                    <w:rPr>
                      <w:szCs w:val="21"/>
                    </w:rPr>
                    <w:t>超标率%</w:t>
                  </w:r>
                </w:p>
              </w:tc>
              <w:tc>
                <w:tcPr>
                  <w:tcW w:w="992" w:type="dxa"/>
                  <w:vAlign w:val="center"/>
                </w:tcPr>
                <w:p>
                  <w:pPr>
                    <w:spacing w:line="280" w:lineRule="exact"/>
                    <w:jc w:val="center"/>
                    <w:rPr>
                      <w:szCs w:val="21"/>
                    </w:rPr>
                  </w:pPr>
                  <w:r>
                    <w:rPr>
                      <w:szCs w:val="21"/>
                    </w:rPr>
                    <w:t>0</w:t>
                  </w:r>
                </w:p>
              </w:tc>
              <w:tc>
                <w:tcPr>
                  <w:tcW w:w="992" w:type="dxa"/>
                  <w:vAlign w:val="center"/>
                </w:tcPr>
                <w:p>
                  <w:pPr>
                    <w:spacing w:line="280" w:lineRule="exact"/>
                    <w:jc w:val="center"/>
                    <w:rPr>
                      <w:szCs w:val="21"/>
                    </w:rPr>
                  </w:pPr>
                  <w:r>
                    <w:rPr>
                      <w:szCs w:val="21"/>
                    </w:rPr>
                    <w:t>0</w:t>
                  </w:r>
                </w:p>
              </w:tc>
              <w:tc>
                <w:tcPr>
                  <w:tcW w:w="993" w:type="dxa"/>
                  <w:vAlign w:val="center"/>
                </w:tcPr>
                <w:p>
                  <w:pPr>
                    <w:spacing w:line="280" w:lineRule="exact"/>
                    <w:jc w:val="center"/>
                    <w:rPr>
                      <w:szCs w:val="21"/>
                    </w:rPr>
                  </w:pPr>
                  <w:r>
                    <w:rPr>
                      <w:szCs w:val="21"/>
                    </w:rPr>
                    <w:t>0</w:t>
                  </w:r>
                </w:p>
              </w:tc>
              <w:tc>
                <w:tcPr>
                  <w:tcW w:w="992" w:type="dxa"/>
                  <w:vAlign w:val="center"/>
                </w:tcPr>
                <w:p>
                  <w:pPr>
                    <w:spacing w:line="280" w:lineRule="exact"/>
                    <w:jc w:val="center"/>
                    <w:rPr>
                      <w:szCs w:val="21"/>
                    </w:rPr>
                  </w:pPr>
                  <w:r>
                    <w:rPr>
                      <w:szCs w:val="21"/>
                    </w:rPr>
                    <w:t>0</w:t>
                  </w:r>
                </w:p>
              </w:tc>
              <w:tc>
                <w:tcPr>
                  <w:tcW w:w="1560" w:type="dxa"/>
                  <w:vAlign w:val="center"/>
                </w:tcPr>
                <w:p>
                  <w:pPr>
                    <w:spacing w:line="280" w:lineRule="exact"/>
                    <w:jc w:val="center"/>
                    <w:rPr>
                      <w:szCs w:val="21"/>
                    </w:rPr>
                  </w:pPr>
                  <w:r>
                    <w:rPr>
                      <w:szCs w:val="21"/>
                    </w:rPr>
                    <w:t>0</w:t>
                  </w:r>
                </w:p>
              </w:tc>
              <w:tc>
                <w:tcPr>
                  <w:tcW w:w="1414" w:type="dxa"/>
                  <w:vAlign w:val="center"/>
                </w:tcPr>
                <w:p>
                  <w:pPr>
                    <w:spacing w:line="280" w:lineRule="exact"/>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continue"/>
                  <w:vAlign w:val="center"/>
                </w:tcPr>
                <w:p>
                  <w:pPr>
                    <w:spacing w:line="280" w:lineRule="exact"/>
                    <w:jc w:val="center"/>
                    <w:rPr>
                      <w:szCs w:val="21"/>
                    </w:rPr>
                  </w:pPr>
                </w:p>
              </w:tc>
              <w:tc>
                <w:tcPr>
                  <w:tcW w:w="1338" w:type="dxa"/>
                  <w:vAlign w:val="center"/>
                </w:tcPr>
                <w:p>
                  <w:pPr>
                    <w:spacing w:line="280" w:lineRule="exact"/>
                    <w:jc w:val="center"/>
                    <w:rPr>
                      <w:szCs w:val="21"/>
                    </w:rPr>
                  </w:pPr>
                  <w:r>
                    <w:rPr>
                      <w:szCs w:val="21"/>
                    </w:rPr>
                    <w:t>最大超标倍数</w:t>
                  </w:r>
                </w:p>
              </w:tc>
              <w:tc>
                <w:tcPr>
                  <w:tcW w:w="992" w:type="dxa"/>
                  <w:vAlign w:val="center"/>
                </w:tcPr>
                <w:p>
                  <w:pPr>
                    <w:spacing w:line="280" w:lineRule="exact"/>
                    <w:jc w:val="center"/>
                    <w:rPr>
                      <w:szCs w:val="21"/>
                    </w:rPr>
                  </w:pPr>
                  <w:r>
                    <w:rPr>
                      <w:szCs w:val="21"/>
                    </w:rPr>
                    <w:t>0</w:t>
                  </w:r>
                </w:p>
              </w:tc>
              <w:tc>
                <w:tcPr>
                  <w:tcW w:w="992" w:type="dxa"/>
                  <w:vAlign w:val="center"/>
                </w:tcPr>
                <w:p>
                  <w:pPr>
                    <w:spacing w:line="280" w:lineRule="exact"/>
                    <w:jc w:val="center"/>
                    <w:rPr>
                      <w:szCs w:val="21"/>
                    </w:rPr>
                  </w:pPr>
                  <w:r>
                    <w:rPr>
                      <w:szCs w:val="21"/>
                    </w:rPr>
                    <w:t>0</w:t>
                  </w:r>
                </w:p>
              </w:tc>
              <w:tc>
                <w:tcPr>
                  <w:tcW w:w="993" w:type="dxa"/>
                  <w:vAlign w:val="center"/>
                </w:tcPr>
                <w:p>
                  <w:pPr>
                    <w:spacing w:line="280" w:lineRule="exact"/>
                    <w:jc w:val="center"/>
                    <w:rPr>
                      <w:szCs w:val="21"/>
                    </w:rPr>
                  </w:pPr>
                  <w:r>
                    <w:rPr>
                      <w:szCs w:val="21"/>
                    </w:rPr>
                    <w:t>0</w:t>
                  </w:r>
                </w:p>
              </w:tc>
              <w:tc>
                <w:tcPr>
                  <w:tcW w:w="992" w:type="dxa"/>
                  <w:vAlign w:val="center"/>
                </w:tcPr>
                <w:p>
                  <w:pPr>
                    <w:spacing w:line="280" w:lineRule="exact"/>
                    <w:jc w:val="center"/>
                    <w:rPr>
                      <w:szCs w:val="21"/>
                    </w:rPr>
                  </w:pPr>
                  <w:r>
                    <w:rPr>
                      <w:szCs w:val="21"/>
                    </w:rPr>
                    <w:t>0</w:t>
                  </w:r>
                </w:p>
              </w:tc>
              <w:tc>
                <w:tcPr>
                  <w:tcW w:w="1560" w:type="dxa"/>
                  <w:vAlign w:val="center"/>
                </w:tcPr>
                <w:p>
                  <w:pPr>
                    <w:spacing w:line="280" w:lineRule="exact"/>
                    <w:jc w:val="center"/>
                    <w:rPr>
                      <w:szCs w:val="21"/>
                    </w:rPr>
                  </w:pPr>
                  <w:r>
                    <w:rPr>
                      <w:szCs w:val="21"/>
                    </w:rPr>
                    <w:t>0</w:t>
                  </w:r>
                </w:p>
              </w:tc>
              <w:tc>
                <w:tcPr>
                  <w:tcW w:w="1414" w:type="dxa"/>
                  <w:vAlign w:val="center"/>
                </w:tcPr>
                <w:p>
                  <w:pPr>
                    <w:spacing w:line="280" w:lineRule="exact"/>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550" w:type="dxa"/>
                  <w:vMerge w:val="continue"/>
                  <w:vAlign w:val="center"/>
                </w:tcPr>
                <w:p>
                  <w:pPr>
                    <w:spacing w:line="280" w:lineRule="exact"/>
                    <w:jc w:val="center"/>
                    <w:rPr>
                      <w:szCs w:val="21"/>
                    </w:rPr>
                  </w:pPr>
                </w:p>
              </w:tc>
              <w:tc>
                <w:tcPr>
                  <w:tcW w:w="1338" w:type="dxa"/>
                  <w:vAlign w:val="center"/>
                </w:tcPr>
                <w:p>
                  <w:pPr>
                    <w:spacing w:line="280" w:lineRule="exact"/>
                    <w:jc w:val="center"/>
                    <w:rPr>
                      <w:szCs w:val="21"/>
                    </w:rPr>
                  </w:pPr>
                  <w:r>
                    <w:rPr>
                      <w:szCs w:val="21"/>
                    </w:rPr>
                    <w:t>最大值占标率%</w:t>
                  </w:r>
                </w:p>
              </w:tc>
              <w:tc>
                <w:tcPr>
                  <w:tcW w:w="992" w:type="dxa"/>
                  <w:vAlign w:val="center"/>
                </w:tcPr>
                <w:p>
                  <w:pPr>
                    <w:spacing w:line="280" w:lineRule="exact"/>
                    <w:jc w:val="center"/>
                    <w:rPr>
                      <w:szCs w:val="21"/>
                    </w:rPr>
                  </w:pPr>
                  <w:r>
                    <w:rPr>
                      <w:szCs w:val="21"/>
                    </w:rPr>
                    <w:t>3.20</w:t>
                  </w:r>
                </w:p>
              </w:tc>
              <w:tc>
                <w:tcPr>
                  <w:tcW w:w="992" w:type="dxa"/>
                  <w:vAlign w:val="center"/>
                </w:tcPr>
                <w:p>
                  <w:pPr>
                    <w:spacing w:line="280" w:lineRule="exact"/>
                    <w:jc w:val="center"/>
                    <w:rPr>
                      <w:szCs w:val="21"/>
                    </w:rPr>
                  </w:pPr>
                  <w:r>
                    <w:rPr>
                      <w:szCs w:val="21"/>
                    </w:rPr>
                    <w:t>9.33</w:t>
                  </w:r>
                </w:p>
              </w:tc>
              <w:tc>
                <w:tcPr>
                  <w:tcW w:w="993" w:type="dxa"/>
                  <w:vAlign w:val="center"/>
                </w:tcPr>
                <w:p>
                  <w:pPr>
                    <w:spacing w:line="280" w:lineRule="exact"/>
                    <w:jc w:val="center"/>
                    <w:rPr>
                      <w:szCs w:val="21"/>
                    </w:rPr>
                  </w:pPr>
                  <w:r>
                    <w:rPr>
                      <w:szCs w:val="21"/>
                    </w:rPr>
                    <w:t>44.50</w:t>
                  </w:r>
                </w:p>
              </w:tc>
              <w:tc>
                <w:tcPr>
                  <w:tcW w:w="992" w:type="dxa"/>
                  <w:vAlign w:val="center"/>
                </w:tcPr>
                <w:p>
                  <w:pPr>
                    <w:spacing w:line="280" w:lineRule="exact"/>
                    <w:jc w:val="center"/>
                    <w:rPr>
                      <w:szCs w:val="21"/>
                    </w:rPr>
                  </w:pPr>
                  <w:r>
                    <w:rPr>
                      <w:szCs w:val="21"/>
                    </w:rPr>
                    <w:t>96.25</w:t>
                  </w:r>
                </w:p>
              </w:tc>
              <w:tc>
                <w:tcPr>
                  <w:tcW w:w="1560" w:type="dxa"/>
                  <w:vAlign w:val="center"/>
                </w:tcPr>
                <w:p>
                  <w:pPr>
                    <w:spacing w:line="280" w:lineRule="exact"/>
                    <w:jc w:val="center"/>
                    <w:rPr>
                      <w:szCs w:val="21"/>
                    </w:rPr>
                  </w:pPr>
                  <w:r>
                    <w:rPr>
                      <w:szCs w:val="21"/>
                    </w:rPr>
                    <w:t>76.00</w:t>
                  </w:r>
                </w:p>
              </w:tc>
              <w:tc>
                <w:tcPr>
                  <w:tcW w:w="1414" w:type="dxa"/>
                  <w:vAlign w:val="center"/>
                </w:tcPr>
                <w:p>
                  <w:pPr>
                    <w:spacing w:line="280" w:lineRule="exact"/>
                    <w:jc w:val="center"/>
                    <w:rPr>
                      <w:szCs w:val="21"/>
                    </w:rPr>
                  </w:pPr>
                  <w:r>
                    <w:rPr>
                      <w:rFonts w:hint="eastAsia"/>
                      <w:szCs w:val="21"/>
                    </w:rPr>
                    <w:t>/</w:t>
                  </w:r>
                </w:p>
              </w:tc>
            </w:tr>
          </w:tbl>
          <w:p>
            <w:pPr>
              <w:spacing w:before="120" w:beforeLines="50" w:line="360" w:lineRule="auto"/>
              <w:ind w:firstLine="480" w:firstLineChars="200"/>
              <w:rPr>
                <w:bCs/>
                <w:sz w:val="24"/>
              </w:rPr>
            </w:pPr>
            <w:r>
              <w:rPr>
                <w:sz w:val="24"/>
              </w:rPr>
              <w:t>由表14可知，评价区大气污染物SO</w:t>
            </w:r>
            <w:r>
              <w:rPr>
                <w:sz w:val="24"/>
                <w:vertAlign w:val="subscript"/>
              </w:rPr>
              <w:t>2</w:t>
            </w:r>
            <w:r>
              <w:rPr>
                <w:sz w:val="24"/>
              </w:rPr>
              <w:t>、NO</w:t>
            </w:r>
            <w:r>
              <w:rPr>
                <w:sz w:val="24"/>
                <w:vertAlign w:val="subscript"/>
              </w:rPr>
              <w:t>2</w:t>
            </w:r>
            <w:r>
              <w:rPr>
                <w:sz w:val="24"/>
              </w:rPr>
              <w:t>1</w:t>
            </w:r>
            <w:r>
              <w:rPr>
                <w:rFonts w:hint="eastAsia"/>
                <w:sz w:val="24"/>
              </w:rPr>
              <w:t>小时</w:t>
            </w:r>
            <w:r>
              <w:rPr>
                <w:sz w:val="24"/>
              </w:rPr>
              <w:t>平均浓度值、24</w:t>
            </w:r>
            <w:r>
              <w:rPr>
                <w:rFonts w:hint="eastAsia"/>
                <w:sz w:val="24"/>
              </w:rPr>
              <w:t>小时</w:t>
            </w:r>
            <w:r>
              <w:rPr>
                <w:sz w:val="24"/>
              </w:rPr>
              <w:t>平均浓度值及</w:t>
            </w:r>
            <w:r>
              <w:rPr>
                <w:bCs/>
                <w:sz w:val="24"/>
              </w:rPr>
              <w:t>PM</w:t>
            </w:r>
            <w:r>
              <w:rPr>
                <w:bCs/>
                <w:sz w:val="24"/>
                <w:vertAlign w:val="subscript"/>
              </w:rPr>
              <w:t>10</w:t>
            </w:r>
            <w:r>
              <w:rPr>
                <w:sz w:val="24"/>
              </w:rPr>
              <w:t>24</w:t>
            </w:r>
            <w:r>
              <w:rPr>
                <w:rFonts w:hint="eastAsia"/>
                <w:sz w:val="24"/>
              </w:rPr>
              <w:t>小时</w:t>
            </w:r>
            <w:r>
              <w:rPr>
                <w:sz w:val="24"/>
              </w:rPr>
              <w:t>平均浓度值均满足《环境空气质量标准》（GB3095-2012）二级标准</w:t>
            </w:r>
            <w:r>
              <w:rPr>
                <w:bCs/>
                <w:sz w:val="24"/>
              </w:rPr>
              <w:t>。</w:t>
            </w:r>
          </w:p>
          <w:p>
            <w:pPr>
              <w:spacing w:line="360" w:lineRule="auto"/>
              <w:ind w:firstLine="482" w:firstLineChars="200"/>
              <w:jc w:val="left"/>
              <w:rPr>
                <w:b/>
                <w:sz w:val="24"/>
              </w:rPr>
            </w:pPr>
            <w:r>
              <w:rPr>
                <w:rFonts w:hint="eastAsia"/>
                <w:b/>
                <w:sz w:val="24"/>
              </w:rPr>
              <w:t>二</w:t>
            </w:r>
            <w:r>
              <w:rPr>
                <w:b/>
                <w:sz w:val="24"/>
              </w:rPr>
              <w:t>、声环境现状</w:t>
            </w:r>
          </w:p>
          <w:p>
            <w:pPr>
              <w:autoSpaceDE w:val="0"/>
              <w:autoSpaceDN w:val="0"/>
              <w:adjustRightInd w:val="0"/>
              <w:spacing w:line="360" w:lineRule="auto"/>
              <w:ind w:firstLine="480" w:firstLineChars="200"/>
              <w:rPr>
                <w:sz w:val="24"/>
              </w:rPr>
            </w:pPr>
            <w:r>
              <w:rPr>
                <w:sz w:val="24"/>
              </w:rPr>
              <w:t>为了调查项目所处区域的声环境质量现状，</w:t>
            </w:r>
            <w:r>
              <w:rPr>
                <w:rFonts w:hint="eastAsia"/>
                <w:sz w:val="24"/>
              </w:rPr>
              <w:t>陕西渭河发电有限公司委托陕西金盾工程检测有限公司</w:t>
            </w:r>
            <w:r>
              <w:rPr>
                <w:sz w:val="24"/>
              </w:rPr>
              <w:t>于2018年10</w:t>
            </w:r>
            <w:r>
              <w:rPr>
                <w:rFonts w:hint="eastAsia"/>
                <w:sz w:val="24"/>
              </w:rPr>
              <w:t>月</w:t>
            </w:r>
            <w:r>
              <w:rPr>
                <w:sz w:val="24"/>
              </w:rPr>
              <w:t>6</w:t>
            </w:r>
            <w:r>
              <w:rPr>
                <w:rFonts w:hint="eastAsia"/>
                <w:sz w:val="24"/>
              </w:rPr>
              <w:t>日～</w:t>
            </w:r>
            <w:r>
              <w:rPr>
                <w:sz w:val="24"/>
              </w:rPr>
              <w:t>10</w:t>
            </w:r>
            <w:r>
              <w:rPr>
                <w:rFonts w:hint="eastAsia"/>
                <w:sz w:val="24"/>
              </w:rPr>
              <w:t>月</w:t>
            </w:r>
            <w:r>
              <w:rPr>
                <w:sz w:val="24"/>
              </w:rPr>
              <w:t>7</w:t>
            </w:r>
            <w:r>
              <w:rPr>
                <w:rFonts w:hint="eastAsia"/>
                <w:sz w:val="24"/>
              </w:rPr>
              <w:t>日，</w:t>
            </w:r>
            <w:r>
              <w:rPr>
                <w:sz w:val="24"/>
              </w:rPr>
              <w:t>按照《环境影响评价技术导则 声环境》（HJ2.4-2009）、《声环境质量标准》（GB3096-2008）的有关规定，对项目区域声环境质量现状进行了实测。</w:t>
            </w:r>
          </w:p>
          <w:p>
            <w:pPr>
              <w:autoSpaceDE w:val="0"/>
              <w:autoSpaceDN w:val="0"/>
              <w:adjustRightInd w:val="0"/>
              <w:spacing w:line="360" w:lineRule="auto"/>
              <w:ind w:firstLine="482" w:firstLineChars="200"/>
              <w:rPr>
                <w:b/>
                <w:sz w:val="24"/>
              </w:rPr>
            </w:pPr>
            <w:r>
              <w:rPr>
                <w:b/>
                <w:sz w:val="24"/>
              </w:rPr>
              <w:t>1、监测点布置及监测因子</w:t>
            </w:r>
          </w:p>
          <w:p>
            <w:pPr>
              <w:autoSpaceDE w:val="0"/>
              <w:autoSpaceDN w:val="0"/>
              <w:adjustRightInd w:val="0"/>
              <w:spacing w:line="360" w:lineRule="auto"/>
              <w:ind w:firstLine="480" w:firstLineChars="200"/>
              <w:rPr>
                <w:sz w:val="24"/>
              </w:rPr>
            </w:pPr>
            <w:r>
              <w:rPr>
                <w:sz w:val="24"/>
              </w:rPr>
              <w:fldChar w:fldCharType="begin"/>
            </w:r>
            <w:r>
              <w:rPr>
                <w:sz w:val="24"/>
              </w:rPr>
              <w:instrText xml:space="preserve"> = 1 \* GB2 </w:instrText>
            </w:r>
            <w:r>
              <w:rPr>
                <w:sz w:val="24"/>
              </w:rPr>
              <w:fldChar w:fldCharType="separate"/>
            </w:r>
            <w:r>
              <w:rPr>
                <w:rFonts w:hint="eastAsia" w:ascii="宋体" w:hAnsi="宋体" w:cs="宋体"/>
                <w:sz w:val="24"/>
              </w:rPr>
              <w:t>⑴</w:t>
            </w:r>
            <w:r>
              <w:rPr>
                <w:sz w:val="24"/>
              </w:rPr>
              <w:fldChar w:fldCharType="end"/>
            </w:r>
            <w:r>
              <w:rPr>
                <w:sz w:val="24"/>
              </w:rPr>
              <w:t xml:space="preserve"> 监测因子：等效连续A声级。</w:t>
            </w:r>
          </w:p>
          <w:p>
            <w:pPr>
              <w:autoSpaceDE w:val="0"/>
              <w:autoSpaceDN w:val="0"/>
              <w:adjustRightInd w:val="0"/>
              <w:spacing w:line="360" w:lineRule="auto"/>
              <w:ind w:firstLine="480" w:firstLineChars="200"/>
              <w:rPr>
                <w:sz w:val="24"/>
              </w:rPr>
            </w:pPr>
            <w:r>
              <w:rPr>
                <w:sz w:val="24"/>
              </w:rPr>
              <w:fldChar w:fldCharType="begin"/>
            </w:r>
            <w:r>
              <w:rPr>
                <w:sz w:val="24"/>
              </w:rPr>
              <w:instrText xml:space="preserve"> = 2 \* GB2 </w:instrText>
            </w:r>
            <w:r>
              <w:rPr>
                <w:sz w:val="24"/>
              </w:rPr>
              <w:fldChar w:fldCharType="separate"/>
            </w:r>
            <w:r>
              <w:rPr>
                <w:rFonts w:hint="eastAsia" w:ascii="宋体" w:hAnsi="宋体" w:cs="宋体"/>
                <w:sz w:val="24"/>
              </w:rPr>
              <w:t>⑵</w:t>
            </w:r>
            <w:r>
              <w:rPr>
                <w:sz w:val="24"/>
              </w:rPr>
              <w:fldChar w:fldCharType="end"/>
            </w:r>
            <w:r>
              <w:rPr>
                <w:sz w:val="24"/>
              </w:rPr>
              <w:t xml:space="preserve"> 监测点位：</w:t>
            </w:r>
            <w:r>
              <w:rPr>
                <w:rFonts w:hint="eastAsia"/>
                <w:sz w:val="24"/>
              </w:rPr>
              <w:t>渭河电厂厂界、柏家咀村、岩张</w:t>
            </w:r>
            <w:r>
              <w:rPr>
                <w:sz w:val="24"/>
              </w:rPr>
              <w:t>村</w:t>
            </w:r>
            <w:r>
              <w:rPr>
                <w:rFonts w:hint="eastAsia"/>
                <w:sz w:val="24"/>
              </w:rPr>
              <w:t>、</w:t>
            </w:r>
            <w:r>
              <w:rPr>
                <w:sz w:val="24"/>
              </w:rPr>
              <w:t>毛庞村，声环境监测点位见附图3。</w:t>
            </w:r>
          </w:p>
          <w:p>
            <w:pPr>
              <w:autoSpaceDE w:val="0"/>
              <w:autoSpaceDN w:val="0"/>
              <w:adjustRightInd w:val="0"/>
              <w:spacing w:line="360" w:lineRule="auto"/>
              <w:ind w:firstLine="482" w:firstLineChars="200"/>
              <w:jc w:val="left"/>
              <w:rPr>
                <w:b/>
                <w:sz w:val="24"/>
              </w:rPr>
            </w:pPr>
            <w:r>
              <w:rPr>
                <w:b/>
                <w:sz w:val="24"/>
              </w:rPr>
              <w:t>2、监测结果</w:t>
            </w:r>
          </w:p>
          <w:p>
            <w:pPr>
              <w:autoSpaceDE w:val="0"/>
              <w:autoSpaceDN w:val="0"/>
              <w:adjustRightInd w:val="0"/>
              <w:spacing w:line="360" w:lineRule="auto"/>
              <w:ind w:firstLine="480" w:firstLineChars="200"/>
              <w:jc w:val="left"/>
              <w:rPr>
                <w:sz w:val="24"/>
              </w:rPr>
            </w:pPr>
            <w:r>
              <w:rPr>
                <w:sz w:val="24"/>
              </w:rPr>
              <w:t>声环境质量现状监测结果见表15。</w:t>
            </w:r>
          </w:p>
          <w:p>
            <w:pPr>
              <w:pStyle w:val="70"/>
              <w:jc w:val="center"/>
              <w:rPr>
                <w:kern w:val="2"/>
                <w:sz w:val="24"/>
                <w:szCs w:val="22"/>
              </w:rPr>
            </w:pPr>
            <w:r>
              <w:rPr>
                <w:b/>
                <w:kern w:val="2"/>
                <w:sz w:val="21"/>
                <w:szCs w:val="21"/>
              </w:rPr>
              <w:t>表15</w:t>
            </w:r>
            <w:r>
              <w:rPr>
                <w:rFonts w:hint="eastAsia"/>
                <w:b/>
                <w:kern w:val="2"/>
                <w:sz w:val="21"/>
                <w:szCs w:val="21"/>
              </w:rPr>
              <w:t xml:space="preserve">    </w:t>
            </w:r>
            <w:r>
              <w:rPr>
                <w:b/>
                <w:kern w:val="2"/>
                <w:sz w:val="21"/>
                <w:szCs w:val="21"/>
              </w:rPr>
              <w:t>声环境质量现状单位：dB(A)</w:t>
            </w:r>
          </w:p>
          <w:tbl>
            <w:tblPr>
              <w:tblStyle w:val="39"/>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843"/>
              <w:gridCol w:w="1275"/>
              <w:gridCol w:w="851"/>
              <w:gridCol w:w="850"/>
              <w:gridCol w:w="851"/>
              <w:gridCol w:w="850"/>
              <w:gridCol w:w="851"/>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54" w:type="dxa"/>
                  <w:vMerge w:val="restart"/>
                  <w:vAlign w:val="center"/>
                </w:tcPr>
                <w:p>
                  <w:pPr>
                    <w:jc w:val="center"/>
                    <w:rPr>
                      <w:szCs w:val="21"/>
                    </w:rPr>
                  </w:pPr>
                  <w:r>
                    <w:rPr>
                      <w:szCs w:val="21"/>
                    </w:rPr>
                    <w:t>序号</w:t>
                  </w:r>
                </w:p>
              </w:tc>
              <w:tc>
                <w:tcPr>
                  <w:tcW w:w="1843" w:type="dxa"/>
                  <w:vMerge w:val="restart"/>
                  <w:vAlign w:val="center"/>
                </w:tcPr>
                <w:p>
                  <w:pPr>
                    <w:jc w:val="center"/>
                    <w:rPr>
                      <w:szCs w:val="21"/>
                    </w:rPr>
                  </w:pPr>
                  <w:r>
                    <w:rPr>
                      <w:szCs w:val="21"/>
                    </w:rPr>
                    <w:t>监测点位</w:t>
                  </w:r>
                </w:p>
              </w:tc>
              <w:tc>
                <w:tcPr>
                  <w:tcW w:w="1275" w:type="dxa"/>
                  <w:vMerge w:val="restart"/>
                  <w:vAlign w:val="center"/>
                </w:tcPr>
                <w:p>
                  <w:pPr>
                    <w:jc w:val="center"/>
                    <w:rPr>
                      <w:szCs w:val="21"/>
                    </w:rPr>
                  </w:pPr>
                  <w:r>
                    <w:rPr>
                      <w:rFonts w:hint="eastAsia"/>
                      <w:szCs w:val="21"/>
                    </w:rPr>
                    <w:t>监测</w:t>
                  </w:r>
                  <w:r>
                    <w:rPr>
                      <w:szCs w:val="21"/>
                    </w:rPr>
                    <w:t>日期</w:t>
                  </w:r>
                </w:p>
              </w:tc>
              <w:tc>
                <w:tcPr>
                  <w:tcW w:w="1701" w:type="dxa"/>
                  <w:gridSpan w:val="2"/>
                  <w:vAlign w:val="center"/>
                </w:tcPr>
                <w:p>
                  <w:pPr>
                    <w:jc w:val="center"/>
                    <w:rPr>
                      <w:szCs w:val="21"/>
                    </w:rPr>
                  </w:pPr>
                  <w:r>
                    <w:rPr>
                      <w:szCs w:val="21"/>
                    </w:rPr>
                    <w:t>监测值</w:t>
                  </w:r>
                </w:p>
              </w:tc>
              <w:tc>
                <w:tcPr>
                  <w:tcW w:w="1701" w:type="dxa"/>
                  <w:gridSpan w:val="2"/>
                  <w:vAlign w:val="center"/>
                </w:tcPr>
                <w:p>
                  <w:pPr>
                    <w:jc w:val="center"/>
                    <w:rPr>
                      <w:szCs w:val="21"/>
                    </w:rPr>
                  </w:pPr>
                  <w:r>
                    <w:rPr>
                      <w:szCs w:val="21"/>
                    </w:rPr>
                    <w:t>标准值</w:t>
                  </w:r>
                </w:p>
              </w:tc>
              <w:tc>
                <w:tcPr>
                  <w:tcW w:w="1557" w:type="dxa"/>
                  <w:gridSpan w:val="2"/>
                  <w:vAlign w:val="center"/>
                </w:tcPr>
                <w:p>
                  <w:pPr>
                    <w:jc w:val="center"/>
                    <w:rPr>
                      <w:szCs w:val="21"/>
                    </w:rPr>
                  </w:pPr>
                  <w:r>
                    <w:rPr>
                      <w:szCs w:val="21"/>
                    </w:rPr>
                    <w:t>超标量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Merge w:val="continue"/>
                  <w:vAlign w:val="center"/>
                </w:tcPr>
                <w:p>
                  <w:pPr>
                    <w:jc w:val="center"/>
                    <w:rPr>
                      <w:szCs w:val="21"/>
                    </w:rPr>
                  </w:pPr>
                </w:p>
              </w:tc>
              <w:tc>
                <w:tcPr>
                  <w:tcW w:w="851" w:type="dxa"/>
                  <w:vAlign w:val="center"/>
                </w:tcPr>
                <w:p>
                  <w:pPr>
                    <w:jc w:val="center"/>
                    <w:rPr>
                      <w:szCs w:val="21"/>
                    </w:rPr>
                  </w:pPr>
                  <w:r>
                    <w:rPr>
                      <w:szCs w:val="21"/>
                    </w:rPr>
                    <w:t>昼间</w:t>
                  </w:r>
                </w:p>
              </w:tc>
              <w:tc>
                <w:tcPr>
                  <w:tcW w:w="850" w:type="dxa"/>
                  <w:vAlign w:val="center"/>
                </w:tcPr>
                <w:p>
                  <w:pPr>
                    <w:jc w:val="center"/>
                    <w:rPr>
                      <w:szCs w:val="21"/>
                    </w:rPr>
                  </w:pPr>
                  <w:r>
                    <w:rPr>
                      <w:szCs w:val="21"/>
                    </w:rPr>
                    <w:t>夜间</w:t>
                  </w:r>
                </w:p>
              </w:tc>
              <w:tc>
                <w:tcPr>
                  <w:tcW w:w="851" w:type="dxa"/>
                  <w:vAlign w:val="center"/>
                </w:tcPr>
                <w:p>
                  <w:pPr>
                    <w:jc w:val="center"/>
                    <w:rPr>
                      <w:szCs w:val="21"/>
                    </w:rPr>
                  </w:pPr>
                  <w:r>
                    <w:rPr>
                      <w:szCs w:val="21"/>
                    </w:rPr>
                    <w:t>昼间</w:t>
                  </w:r>
                </w:p>
              </w:tc>
              <w:tc>
                <w:tcPr>
                  <w:tcW w:w="850" w:type="dxa"/>
                  <w:vAlign w:val="center"/>
                </w:tcPr>
                <w:p>
                  <w:pPr>
                    <w:jc w:val="center"/>
                    <w:rPr>
                      <w:szCs w:val="21"/>
                    </w:rPr>
                  </w:pPr>
                  <w:r>
                    <w:rPr>
                      <w:szCs w:val="21"/>
                    </w:rPr>
                    <w:t>夜间</w:t>
                  </w:r>
                </w:p>
              </w:tc>
              <w:tc>
                <w:tcPr>
                  <w:tcW w:w="851" w:type="dxa"/>
                  <w:vAlign w:val="center"/>
                </w:tcPr>
                <w:p>
                  <w:pPr>
                    <w:jc w:val="center"/>
                    <w:rPr>
                      <w:szCs w:val="21"/>
                    </w:rPr>
                  </w:pPr>
                  <w:r>
                    <w:rPr>
                      <w:szCs w:val="21"/>
                    </w:rPr>
                    <w:t>昼间</w:t>
                  </w:r>
                </w:p>
              </w:tc>
              <w:tc>
                <w:tcPr>
                  <w:tcW w:w="706" w:type="dxa"/>
                  <w:vAlign w:val="center"/>
                </w:tcPr>
                <w:p>
                  <w:pPr>
                    <w:jc w:val="center"/>
                    <w:rPr>
                      <w:szCs w:val="21"/>
                    </w:rPr>
                  </w:pPr>
                  <w:r>
                    <w:rPr>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szCs w:val="21"/>
                    </w:rPr>
                    <w:t>1</w:t>
                  </w:r>
                </w:p>
              </w:tc>
              <w:tc>
                <w:tcPr>
                  <w:tcW w:w="1843" w:type="dxa"/>
                  <w:vMerge w:val="restart"/>
                  <w:vAlign w:val="center"/>
                </w:tcPr>
                <w:p>
                  <w:pPr>
                    <w:jc w:val="center"/>
                    <w:rPr>
                      <w:szCs w:val="21"/>
                    </w:rPr>
                  </w:pPr>
                  <w:r>
                    <w:rPr>
                      <w:rFonts w:hint="eastAsia"/>
                      <w:szCs w:val="21"/>
                    </w:rPr>
                    <w:t>电厂南厂界1</w:t>
                  </w:r>
                </w:p>
              </w:tc>
              <w:tc>
                <w:tcPr>
                  <w:tcW w:w="1275" w:type="dxa"/>
                  <w:vAlign w:val="center"/>
                </w:tcPr>
                <w:p>
                  <w:pPr>
                    <w:jc w:val="center"/>
                    <w:rPr>
                      <w:szCs w:val="21"/>
                    </w:rPr>
                  </w:pPr>
                  <w:r>
                    <w:rPr>
                      <w:rFonts w:hint="eastAsia"/>
                      <w:szCs w:val="21"/>
                    </w:rPr>
                    <w:t>2018.10.6</w:t>
                  </w:r>
                </w:p>
              </w:tc>
              <w:tc>
                <w:tcPr>
                  <w:tcW w:w="851" w:type="dxa"/>
                </w:tcPr>
                <w:p>
                  <w:pPr>
                    <w:jc w:val="center"/>
                  </w:pPr>
                  <w:r>
                    <w:t>54.3</w:t>
                  </w:r>
                </w:p>
              </w:tc>
              <w:tc>
                <w:tcPr>
                  <w:tcW w:w="850" w:type="dxa"/>
                </w:tcPr>
                <w:p>
                  <w:pPr>
                    <w:jc w:val="center"/>
                  </w:pPr>
                  <w:r>
                    <w:t>44.1</w:t>
                  </w:r>
                </w:p>
              </w:tc>
              <w:tc>
                <w:tcPr>
                  <w:tcW w:w="851" w:type="dxa"/>
                  <w:vMerge w:val="restart"/>
                  <w:vAlign w:val="center"/>
                </w:tcPr>
                <w:p>
                  <w:pPr>
                    <w:jc w:val="center"/>
                    <w:rPr>
                      <w:szCs w:val="21"/>
                    </w:rPr>
                  </w:pPr>
                  <w:r>
                    <w:rPr>
                      <w:szCs w:val="21"/>
                    </w:rPr>
                    <w:t>65</w:t>
                  </w:r>
                </w:p>
              </w:tc>
              <w:tc>
                <w:tcPr>
                  <w:tcW w:w="850" w:type="dxa"/>
                  <w:vMerge w:val="restart"/>
                  <w:vAlign w:val="center"/>
                </w:tcPr>
                <w:p>
                  <w:pPr>
                    <w:jc w:val="center"/>
                    <w:rPr>
                      <w:szCs w:val="21"/>
                    </w:rPr>
                  </w:pPr>
                  <w:r>
                    <w:rPr>
                      <w:szCs w:val="21"/>
                    </w:rPr>
                    <w:t>55</w:t>
                  </w:r>
                </w:p>
              </w:tc>
              <w:tc>
                <w:tcPr>
                  <w:tcW w:w="851" w:type="dxa"/>
                  <w:vAlign w:val="center"/>
                </w:tcPr>
                <w:p>
                  <w:pPr>
                    <w:jc w:val="center"/>
                    <w:rPr>
                      <w:szCs w:val="21"/>
                    </w:rPr>
                  </w:pPr>
                  <w:r>
                    <w:rPr>
                      <w:szCs w:val="21"/>
                    </w:rPr>
                    <w:t>0</w:t>
                  </w:r>
                </w:p>
              </w:tc>
              <w:tc>
                <w:tcPr>
                  <w:tcW w:w="706" w:type="dxa"/>
                  <w:vAlign w:val="center"/>
                </w:tcPr>
                <w:p>
                  <w:pPr>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pPr>
                  <w:r>
                    <w:rPr>
                      <w:rFonts w:hint="eastAsia"/>
                    </w:rPr>
                    <w:t>54.0</w:t>
                  </w:r>
                </w:p>
              </w:tc>
              <w:tc>
                <w:tcPr>
                  <w:tcW w:w="850" w:type="dxa"/>
                  <w:vAlign w:val="center"/>
                </w:tcPr>
                <w:p>
                  <w:pPr>
                    <w:jc w:val="center"/>
                  </w:pPr>
                  <w:r>
                    <w:rPr>
                      <w:rFonts w:hint="eastAsia"/>
                    </w:rPr>
                    <w:t>43.9</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szCs w:val="21"/>
                    </w:rPr>
                    <w:t>2</w:t>
                  </w:r>
                </w:p>
              </w:tc>
              <w:tc>
                <w:tcPr>
                  <w:tcW w:w="1843" w:type="dxa"/>
                  <w:vMerge w:val="restart"/>
                  <w:vAlign w:val="center"/>
                </w:tcPr>
                <w:p>
                  <w:pPr>
                    <w:jc w:val="center"/>
                    <w:rPr>
                      <w:szCs w:val="21"/>
                    </w:rPr>
                  </w:pPr>
                  <w:r>
                    <w:rPr>
                      <w:rFonts w:hint="eastAsia"/>
                      <w:szCs w:val="21"/>
                    </w:rPr>
                    <w:t>电厂</w:t>
                  </w:r>
                  <w:r>
                    <w:rPr>
                      <w:szCs w:val="21"/>
                    </w:rPr>
                    <w:t>南厂界</w:t>
                  </w:r>
                  <w:r>
                    <w:rPr>
                      <w:rFonts w:hint="eastAsia"/>
                      <w:szCs w:val="21"/>
                    </w:rPr>
                    <w:t>2</w:t>
                  </w:r>
                </w:p>
              </w:tc>
              <w:tc>
                <w:tcPr>
                  <w:tcW w:w="1275" w:type="dxa"/>
                  <w:vAlign w:val="center"/>
                </w:tcPr>
                <w:p>
                  <w:pPr>
                    <w:jc w:val="center"/>
                    <w:rPr>
                      <w:szCs w:val="21"/>
                    </w:rPr>
                  </w:pPr>
                  <w:r>
                    <w:rPr>
                      <w:rFonts w:hint="eastAsia"/>
                      <w:szCs w:val="21"/>
                    </w:rPr>
                    <w:t>2018.10.6</w:t>
                  </w:r>
                </w:p>
              </w:tc>
              <w:tc>
                <w:tcPr>
                  <w:tcW w:w="851" w:type="dxa"/>
                  <w:vAlign w:val="center"/>
                </w:tcPr>
                <w:p>
                  <w:pPr>
                    <w:jc w:val="center"/>
                  </w:pPr>
                  <w:r>
                    <w:rPr>
                      <w:rFonts w:hint="eastAsia"/>
                    </w:rPr>
                    <w:t>54.1</w:t>
                  </w:r>
                </w:p>
              </w:tc>
              <w:tc>
                <w:tcPr>
                  <w:tcW w:w="850" w:type="dxa"/>
                  <w:vAlign w:val="center"/>
                </w:tcPr>
                <w:p>
                  <w:pPr>
                    <w:jc w:val="center"/>
                  </w:pPr>
                  <w:r>
                    <w:rPr>
                      <w:rFonts w:hint="eastAsia"/>
                    </w:rPr>
                    <w:t>43.8</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pPr>
                  <w:r>
                    <w:rPr>
                      <w:rFonts w:hint="eastAsia"/>
                    </w:rPr>
                    <w:t>53.8</w:t>
                  </w:r>
                </w:p>
              </w:tc>
              <w:tc>
                <w:tcPr>
                  <w:tcW w:w="850" w:type="dxa"/>
                  <w:vAlign w:val="center"/>
                </w:tcPr>
                <w:p>
                  <w:pPr>
                    <w:jc w:val="center"/>
                  </w:pPr>
                  <w:r>
                    <w:rPr>
                      <w:rFonts w:hint="eastAsia"/>
                    </w:rPr>
                    <w:t>43.6</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rFonts w:hint="eastAsia"/>
                      <w:szCs w:val="21"/>
                    </w:rPr>
                    <w:t>3</w:t>
                  </w:r>
                </w:p>
              </w:tc>
              <w:tc>
                <w:tcPr>
                  <w:tcW w:w="1843" w:type="dxa"/>
                  <w:vMerge w:val="restart"/>
                  <w:vAlign w:val="center"/>
                </w:tcPr>
                <w:p>
                  <w:pPr>
                    <w:jc w:val="center"/>
                    <w:rPr>
                      <w:szCs w:val="21"/>
                    </w:rPr>
                  </w:pPr>
                  <w:r>
                    <w:rPr>
                      <w:rFonts w:hint="eastAsia"/>
                      <w:szCs w:val="21"/>
                    </w:rPr>
                    <w:t>电厂东厂界1</w:t>
                  </w:r>
                </w:p>
              </w:tc>
              <w:tc>
                <w:tcPr>
                  <w:tcW w:w="1275" w:type="dxa"/>
                  <w:vAlign w:val="center"/>
                </w:tcPr>
                <w:p>
                  <w:pPr>
                    <w:jc w:val="center"/>
                    <w:rPr>
                      <w:szCs w:val="21"/>
                    </w:rPr>
                  </w:pPr>
                  <w:r>
                    <w:rPr>
                      <w:rFonts w:hint="eastAsia"/>
                      <w:szCs w:val="21"/>
                    </w:rPr>
                    <w:t>2018.10.6</w:t>
                  </w:r>
                </w:p>
              </w:tc>
              <w:tc>
                <w:tcPr>
                  <w:tcW w:w="851" w:type="dxa"/>
                  <w:vAlign w:val="center"/>
                </w:tcPr>
                <w:p>
                  <w:pPr>
                    <w:jc w:val="center"/>
                  </w:pPr>
                  <w:r>
                    <w:rPr>
                      <w:rFonts w:hint="eastAsia"/>
                    </w:rPr>
                    <w:t>53.8</w:t>
                  </w:r>
                </w:p>
              </w:tc>
              <w:tc>
                <w:tcPr>
                  <w:tcW w:w="850" w:type="dxa"/>
                  <w:vAlign w:val="center"/>
                </w:tcPr>
                <w:p>
                  <w:pPr>
                    <w:jc w:val="center"/>
                  </w:pPr>
                  <w:r>
                    <w:rPr>
                      <w:rFonts w:hint="eastAsia"/>
                    </w:rPr>
                    <w:t>43.6</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szCs w:val="21"/>
                    </w:rPr>
                    <w:t>0</w:t>
                  </w:r>
                </w:p>
              </w:tc>
              <w:tc>
                <w:tcPr>
                  <w:tcW w:w="706" w:type="dxa"/>
                  <w:vAlign w:val="center"/>
                </w:tcPr>
                <w:p>
                  <w:pPr>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pPr>
                  <w:r>
                    <w:rPr>
                      <w:rFonts w:hint="eastAsia"/>
                    </w:rPr>
                    <w:t>53.6</w:t>
                  </w:r>
                </w:p>
              </w:tc>
              <w:tc>
                <w:tcPr>
                  <w:tcW w:w="850" w:type="dxa"/>
                  <w:vAlign w:val="center"/>
                </w:tcPr>
                <w:p>
                  <w:pPr>
                    <w:jc w:val="center"/>
                  </w:pPr>
                  <w:r>
                    <w:rPr>
                      <w:rFonts w:hint="eastAsia"/>
                    </w:rPr>
                    <w:t>43.8</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rFonts w:hint="eastAsia"/>
                      <w:szCs w:val="21"/>
                    </w:rPr>
                    <w:t>4</w:t>
                  </w:r>
                </w:p>
              </w:tc>
              <w:tc>
                <w:tcPr>
                  <w:tcW w:w="1843" w:type="dxa"/>
                  <w:vMerge w:val="restart"/>
                  <w:vAlign w:val="center"/>
                </w:tcPr>
                <w:p>
                  <w:pPr>
                    <w:jc w:val="center"/>
                    <w:rPr>
                      <w:szCs w:val="21"/>
                    </w:rPr>
                  </w:pPr>
                  <w:r>
                    <w:rPr>
                      <w:rFonts w:hint="eastAsia"/>
                      <w:szCs w:val="21"/>
                    </w:rPr>
                    <w:t>电厂</w:t>
                  </w:r>
                  <w:r>
                    <w:rPr>
                      <w:szCs w:val="21"/>
                    </w:rPr>
                    <w:t>东</w:t>
                  </w:r>
                  <w:r>
                    <w:rPr>
                      <w:rFonts w:hint="eastAsia"/>
                      <w:szCs w:val="21"/>
                    </w:rPr>
                    <w:t>厂界2</w:t>
                  </w:r>
                </w:p>
              </w:tc>
              <w:tc>
                <w:tcPr>
                  <w:tcW w:w="1275" w:type="dxa"/>
                  <w:vAlign w:val="center"/>
                </w:tcPr>
                <w:p>
                  <w:pPr>
                    <w:jc w:val="center"/>
                    <w:rPr>
                      <w:szCs w:val="21"/>
                    </w:rPr>
                  </w:pPr>
                  <w:r>
                    <w:rPr>
                      <w:rFonts w:hint="eastAsia"/>
                      <w:szCs w:val="21"/>
                    </w:rPr>
                    <w:t>2018.10.6</w:t>
                  </w:r>
                </w:p>
              </w:tc>
              <w:tc>
                <w:tcPr>
                  <w:tcW w:w="851" w:type="dxa"/>
                  <w:vAlign w:val="center"/>
                </w:tcPr>
                <w:p>
                  <w:pPr>
                    <w:jc w:val="center"/>
                  </w:pPr>
                  <w:r>
                    <w:rPr>
                      <w:rFonts w:hint="eastAsia"/>
                    </w:rPr>
                    <w:t>54.2</w:t>
                  </w:r>
                </w:p>
              </w:tc>
              <w:tc>
                <w:tcPr>
                  <w:tcW w:w="850" w:type="dxa"/>
                  <w:vAlign w:val="center"/>
                </w:tcPr>
                <w:p>
                  <w:pPr>
                    <w:jc w:val="center"/>
                  </w:pPr>
                  <w:r>
                    <w:rPr>
                      <w:rFonts w:hint="eastAsia"/>
                    </w:rPr>
                    <w:t>44.0</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pPr>
                  <w:r>
                    <w:rPr>
                      <w:rFonts w:hint="eastAsia"/>
                    </w:rPr>
                    <w:t>54.4</w:t>
                  </w:r>
                </w:p>
              </w:tc>
              <w:tc>
                <w:tcPr>
                  <w:tcW w:w="850" w:type="dxa"/>
                  <w:vAlign w:val="center"/>
                </w:tcPr>
                <w:p>
                  <w:pPr>
                    <w:jc w:val="center"/>
                  </w:pPr>
                  <w:r>
                    <w:rPr>
                      <w:rFonts w:hint="eastAsia"/>
                    </w:rPr>
                    <w:t>44.2</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rFonts w:hint="eastAsia"/>
                      <w:szCs w:val="21"/>
                    </w:rPr>
                    <w:t>5</w:t>
                  </w:r>
                </w:p>
              </w:tc>
              <w:tc>
                <w:tcPr>
                  <w:tcW w:w="1843" w:type="dxa"/>
                  <w:vMerge w:val="restart"/>
                  <w:vAlign w:val="center"/>
                </w:tcPr>
                <w:p>
                  <w:pPr>
                    <w:jc w:val="center"/>
                    <w:rPr>
                      <w:szCs w:val="21"/>
                    </w:rPr>
                  </w:pPr>
                  <w:r>
                    <w:rPr>
                      <w:rFonts w:hint="eastAsia"/>
                      <w:szCs w:val="21"/>
                    </w:rPr>
                    <w:t>电厂北厂界1</w:t>
                  </w:r>
                </w:p>
              </w:tc>
              <w:tc>
                <w:tcPr>
                  <w:tcW w:w="1275" w:type="dxa"/>
                  <w:vAlign w:val="center"/>
                </w:tcPr>
                <w:p>
                  <w:pPr>
                    <w:jc w:val="center"/>
                    <w:rPr>
                      <w:szCs w:val="21"/>
                    </w:rPr>
                  </w:pPr>
                  <w:r>
                    <w:rPr>
                      <w:rFonts w:hint="eastAsia"/>
                      <w:szCs w:val="21"/>
                    </w:rPr>
                    <w:t>2018.10.6</w:t>
                  </w:r>
                </w:p>
              </w:tc>
              <w:tc>
                <w:tcPr>
                  <w:tcW w:w="851" w:type="dxa"/>
                  <w:vAlign w:val="center"/>
                </w:tcPr>
                <w:p>
                  <w:pPr>
                    <w:jc w:val="center"/>
                  </w:pPr>
                  <w:r>
                    <w:rPr>
                      <w:rFonts w:hint="eastAsia"/>
                    </w:rPr>
                    <w:t>54.5</w:t>
                  </w:r>
                </w:p>
              </w:tc>
              <w:tc>
                <w:tcPr>
                  <w:tcW w:w="850" w:type="dxa"/>
                  <w:vAlign w:val="center"/>
                </w:tcPr>
                <w:p>
                  <w:pPr>
                    <w:jc w:val="center"/>
                  </w:pPr>
                  <w:r>
                    <w:rPr>
                      <w:rFonts w:hint="eastAsia"/>
                    </w:rPr>
                    <w:t>44.3</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szCs w:val="21"/>
                    </w:rPr>
                    <w:t>0</w:t>
                  </w:r>
                </w:p>
              </w:tc>
              <w:tc>
                <w:tcPr>
                  <w:tcW w:w="706" w:type="dxa"/>
                  <w:vAlign w:val="center"/>
                </w:tcPr>
                <w:p>
                  <w:pPr>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pPr>
                  <w:r>
                    <w:rPr>
                      <w:rFonts w:hint="eastAsia"/>
                    </w:rPr>
                    <w:t>54.3</w:t>
                  </w:r>
                </w:p>
              </w:tc>
              <w:tc>
                <w:tcPr>
                  <w:tcW w:w="850" w:type="dxa"/>
                  <w:vAlign w:val="center"/>
                </w:tcPr>
                <w:p>
                  <w:pPr>
                    <w:jc w:val="center"/>
                  </w:pPr>
                  <w:r>
                    <w:rPr>
                      <w:rFonts w:hint="eastAsia"/>
                    </w:rPr>
                    <w:t>44.5</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rFonts w:hint="eastAsia"/>
                      <w:szCs w:val="21"/>
                    </w:rPr>
                    <w:t>6</w:t>
                  </w:r>
                </w:p>
              </w:tc>
              <w:tc>
                <w:tcPr>
                  <w:tcW w:w="1843" w:type="dxa"/>
                  <w:vMerge w:val="restart"/>
                  <w:vAlign w:val="center"/>
                </w:tcPr>
                <w:p>
                  <w:pPr>
                    <w:jc w:val="center"/>
                    <w:rPr>
                      <w:szCs w:val="21"/>
                    </w:rPr>
                  </w:pPr>
                  <w:r>
                    <w:rPr>
                      <w:rFonts w:hint="eastAsia"/>
                      <w:szCs w:val="21"/>
                    </w:rPr>
                    <w:t>电厂</w:t>
                  </w:r>
                  <w:r>
                    <w:rPr>
                      <w:szCs w:val="21"/>
                    </w:rPr>
                    <w:t>北厂界</w:t>
                  </w:r>
                  <w:r>
                    <w:rPr>
                      <w:rFonts w:hint="eastAsia"/>
                      <w:szCs w:val="21"/>
                    </w:rPr>
                    <w:t>2</w:t>
                  </w:r>
                </w:p>
              </w:tc>
              <w:tc>
                <w:tcPr>
                  <w:tcW w:w="1275" w:type="dxa"/>
                  <w:vAlign w:val="center"/>
                </w:tcPr>
                <w:p>
                  <w:pPr>
                    <w:jc w:val="center"/>
                    <w:rPr>
                      <w:szCs w:val="21"/>
                    </w:rPr>
                  </w:pPr>
                  <w:r>
                    <w:rPr>
                      <w:rFonts w:hint="eastAsia"/>
                      <w:szCs w:val="21"/>
                    </w:rPr>
                    <w:t>2018.10.6</w:t>
                  </w:r>
                </w:p>
              </w:tc>
              <w:tc>
                <w:tcPr>
                  <w:tcW w:w="851" w:type="dxa"/>
                  <w:vAlign w:val="center"/>
                </w:tcPr>
                <w:p>
                  <w:pPr>
                    <w:jc w:val="center"/>
                  </w:pPr>
                  <w:r>
                    <w:rPr>
                      <w:rFonts w:hint="eastAsia"/>
                    </w:rPr>
                    <w:t>54.7</w:t>
                  </w:r>
                </w:p>
              </w:tc>
              <w:tc>
                <w:tcPr>
                  <w:tcW w:w="850" w:type="dxa"/>
                  <w:vAlign w:val="center"/>
                </w:tcPr>
                <w:p>
                  <w:pPr>
                    <w:jc w:val="center"/>
                  </w:pPr>
                  <w:r>
                    <w:rPr>
                      <w:rFonts w:hint="eastAsia"/>
                    </w:rPr>
                    <w:t>44.7</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pPr>
                  <w:r>
                    <w:rPr>
                      <w:rFonts w:hint="eastAsia"/>
                    </w:rPr>
                    <w:t>54.8</w:t>
                  </w:r>
                </w:p>
              </w:tc>
              <w:tc>
                <w:tcPr>
                  <w:tcW w:w="850" w:type="dxa"/>
                  <w:vAlign w:val="center"/>
                </w:tcPr>
                <w:p>
                  <w:pPr>
                    <w:jc w:val="center"/>
                  </w:pPr>
                  <w:r>
                    <w:rPr>
                      <w:rFonts w:hint="eastAsia"/>
                    </w:rPr>
                    <w:t>44.5</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szCs w:val="21"/>
                    </w:rPr>
                    <w:t>7</w:t>
                  </w:r>
                </w:p>
              </w:tc>
              <w:tc>
                <w:tcPr>
                  <w:tcW w:w="1843" w:type="dxa"/>
                  <w:vMerge w:val="restart"/>
                  <w:vAlign w:val="center"/>
                </w:tcPr>
                <w:p>
                  <w:pPr>
                    <w:jc w:val="center"/>
                    <w:rPr>
                      <w:szCs w:val="21"/>
                    </w:rPr>
                  </w:pPr>
                  <w:r>
                    <w:rPr>
                      <w:rFonts w:hint="eastAsia"/>
                      <w:szCs w:val="21"/>
                    </w:rPr>
                    <w:t>电厂西厂界1</w:t>
                  </w:r>
                </w:p>
              </w:tc>
              <w:tc>
                <w:tcPr>
                  <w:tcW w:w="1275" w:type="dxa"/>
                  <w:vAlign w:val="center"/>
                </w:tcPr>
                <w:p>
                  <w:pPr>
                    <w:jc w:val="center"/>
                    <w:rPr>
                      <w:szCs w:val="21"/>
                    </w:rPr>
                  </w:pPr>
                  <w:r>
                    <w:rPr>
                      <w:rFonts w:hint="eastAsia"/>
                      <w:szCs w:val="21"/>
                    </w:rPr>
                    <w:t>2018.10.6</w:t>
                  </w:r>
                </w:p>
              </w:tc>
              <w:tc>
                <w:tcPr>
                  <w:tcW w:w="851" w:type="dxa"/>
                  <w:vAlign w:val="center"/>
                </w:tcPr>
                <w:p>
                  <w:pPr>
                    <w:jc w:val="center"/>
                  </w:pPr>
                  <w:r>
                    <w:rPr>
                      <w:rFonts w:hint="eastAsia"/>
                    </w:rPr>
                    <w:t>54.4</w:t>
                  </w:r>
                </w:p>
              </w:tc>
              <w:tc>
                <w:tcPr>
                  <w:tcW w:w="850" w:type="dxa"/>
                  <w:vAlign w:val="center"/>
                </w:tcPr>
                <w:p>
                  <w:pPr>
                    <w:jc w:val="center"/>
                  </w:pPr>
                  <w:r>
                    <w:rPr>
                      <w:rFonts w:hint="eastAsia"/>
                    </w:rPr>
                    <w:t>44.2</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szCs w:val="21"/>
                    </w:rPr>
                    <w:t>0</w:t>
                  </w:r>
                </w:p>
              </w:tc>
              <w:tc>
                <w:tcPr>
                  <w:tcW w:w="706" w:type="dxa"/>
                  <w:vAlign w:val="center"/>
                </w:tcPr>
                <w:p>
                  <w:pPr>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pPr>
                  <w:r>
                    <w:rPr>
                      <w:rFonts w:hint="eastAsia"/>
                    </w:rPr>
                    <w:t>54.6</w:t>
                  </w:r>
                </w:p>
              </w:tc>
              <w:tc>
                <w:tcPr>
                  <w:tcW w:w="850" w:type="dxa"/>
                  <w:vAlign w:val="center"/>
                </w:tcPr>
                <w:p>
                  <w:pPr>
                    <w:jc w:val="center"/>
                  </w:pPr>
                  <w:r>
                    <w:rPr>
                      <w:rFonts w:hint="eastAsia"/>
                    </w:rPr>
                    <w:t>44.3</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rFonts w:hint="eastAsia"/>
                      <w:szCs w:val="21"/>
                    </w:rPr>
                    <w:t>8</w:t>
                  </w:r>
                </w:p>
              </w:tc>
              <w:tc>
                <w:tcPr>
                  <w:tcW w:w="1843" w:type="dxa"/>
                  <w:vMerge w:val="restart"/>
                  <w:vAlign w:val="center"/>
                </w:tcPr>
                <w:p>
                  <w:pPr>
                    <w:jc w:val="center"/>
                    <w:rPr>
                      <w:szCs w:val="21"/>
                    </w:rPr>
                  </w:pPr>
                  <w:r>
                    <w:rPr>
                      <w:rFonts w:hint="eastAsia"/>
                      <w:szCs w:val="21"/>
                    </w:rPr>
                    <w:t>电厂</w:t>
                  </w:r>
                  <w:r>
                    <w:rPr>
                      <w:szCs w:val="21"/>
                    </w:rPr>
                    <w:t>西厂界</w:t>
                  </w:r>
                  <w:r>
                    <w:rPr>
                      <w:rFonts w:hint="eastAsia"/>
                      <w:szCs w:val="21"/>
                    </w:rPr>
                    <w:t>2</w:t>
                  </w:r>
                </w:p>
              </w:tc>
              <w:tc>
                <w:tcPr>
                  <w:tcW w:w="1275" w:type="dxa"/>
                  <w:vAlign w:val="center"/>
                </w:tcPr>
                <w:p>
                  <w:pPr>
                    <w:jc w:val="center"/>
                    <w:rPr>
                      <w:szCs w:val="21"/>
                    </w:rPr>
                  </w:pPr>
                  <w:r>
                    <w:rPr>
                      <w:rFonts w:hint="eastAsia"/>
                      <w:szCs w:val="21"/>
                    </w:rPr>
                    <w:t>2018.10.6</w:t>
                  </w:r>
                </w:p>
              </w:tc>
              <w:tc>
                <w:tcPr>
                  <w:tcW w:w="851" w:type="dxa"/>
                  <w:vAlign w:val="center"/>
                </w:tcPr>
                <w:p>
                  <w:pPr>
                    <w:jc w:val="center"/>
                  </w:pPr>
                  <w:r>
                    <w:rPr>
                      <w:rFonts w:hint="eastAsia"/>
                    </w:rPr>
                    <w:t>53.7</w:t>
                  </w:r>
                </w:p>
              </w:tc>
              <w:tc>
                <w:tcPr>
                  <w:tcW w:w="850" w:type="dxa"/>
                  <w:vAlign w:val="center"/>
                </w:tcPr>
                <w:p>
                  <w:pPr>
                    <w:jc w:val="center"/>
                  </w:pPr>
                  <w:r>
                    <w:rPr>
                      <w:rFonts w:hint="eastAsia"/>
                    </w:rPr>
                    <w:t>43.8</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pPr>
                  <w:r>
                    <w:rPr>
                      <w:rFonts w:hint="eastAsia"/>
                    </w:rPr>
                    <w:t>53.9</w:t>
                  </w:r>
                </w:p>
              </w:tc>
              <w:tc>
                <w:tcPr>
                  <w:tcW w:w="850" w:type="dxa"/>
                  <w:vAlign w:val="center"/>
                </w:tcPr>
                <w:p>
                  <w:pPr>
                    <w:jc w:val="center"/>
                  </w:pPr>
                  <w:r>
                    <w:rPr>
                      <w:rFonts w:hint="eastAsia"/>
                    </w:rPr>
                    <w:t>43.6</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szCs w:val="21"/>
                    </w:rPr>
                    <w:t>9</w:t>
                  </w:r>
                </w:p>
              </w:tc>
              <w:tc>
                <w:tcPr>
                  <w:tcW w:w="1843" w:type="dxa"/>
                  <w:vMerge w:val="restart"/>
                  <w:vAlign w:val="center"/>
                </w:tcPr>
                <w:p>
                  <w:pPr>
                    <w:jc w:val="center"/>
                    <w:rPr>
                      <w:szCs w:val="21"/>
                    </w:rPr>
                  </w:pPr>
                  <w:r>
                    <w:rPr>
                      <w:rFonts w:hint="eastAsia"/>
                      <w:szCs w:val="21"/>
                    </w:rPr>
                    <w:t>柏家咀村</w:t>
                  </w:r>
                </w:p>
              </w:tc>
              <w:tc>
                <w:tcPr>
                  <w:tcW w:w="1275" w:type="dxa"/>
                  <w:vAlign w:val="center"/>
                </w:tcPr>
                <w:p>
                  <w:pPr>
                    <w:jc w:val="center"/>
                    <w:rPr>
                      <w:szCs w:val="21"/>
                    </w:rPr>
                  </w:pPr>
                  <w:r>
                    <w:rPr>
                      <w:rFonts w:hint="eastAsia"/>
                      <w:szCs w:val="21"/>
                    </w:rPr>
                    <w:t>2018.10.6</w:t>
                  </w:r>
                </w:p>
              </w:tc>
              <w:tc>
                <w:tcPr>
                  <w:tcW w:w="851" w:type="dxa"/>
                  <w:vAlign w:val="center"/>
                </w:tcPr>
                <w:p>
                  <w:pPr>
                    <w:jc w:val="center"/>
                    <w:rPr>
                      <w:szCs w:val="21"/>
                    </w:rPr>
                  </w:pPr>
                  <w:r>
                    <w:rPr>
                      <w:rFonts w:hint="eastAsia"/>
                      <w:szCs w:val="21"/>
                    </w:rPr>
                    <w:t>51.2</w:t>
                  </w:r>
                </w:p>
              </w:tc>
              <w:tc>
                <w:tcPr>
                  <w:tcW w:w="850" w:type="dxa"/>
                  <w:vAlign w:val="center"/>
                </w:tcPr>
                <w:p>
                  <w:pPr>
                    <w:jc w:val="center"/>
                    <w:rPr>
                      <w:szCs w:val="21"/>
                    </w:rPr>
                  </w:pPr>
                  <w:r>
                    <w:rPr>
                      <w:rFonts w:hint="eastAsia"/>
                      <w:szCs w:val="21"/>
                    </w:rPr>
                    <w:t>41.5</w:t>
                  </w:r>
                </w:p>
              </w:tc>
              <w:tc>
                <w:tcPr>
                  <w:tcW w:w="851" w:type="dxa"/>
                  <w:vMerge w:val="restart"/>
                  <w:vAlign w:val="center"/>
                </w:tcPr>
                <w:p>
                  <w:pPr>
                    <w:jc w:val="center"/>
                    <w:rPr>
                      <w:szCs w:val="21"/>
                    </w:rPr>
                  </w:pPr>
                  <w:r>
                    <w:rPr>
                      <w:rFonts w:hint="eastAsia"/>
                      <w:szCs w:val="21"/>
                    </w:rPr>
                    <w:t>60</w:t>
                  </w:r>
                </w:p>
              </w:tc>
              <w:tc>
                <w:tcPr>
                  <w:tcW w:w="850" w:type="dxa"/>
                  <w:vMerge w:val="restart"/>
                  <w:vAlign w:val="center"/>
                </w:tcPr>
                <w:p>
                  <w:pPr>
                    <w:jc w:val="center"/>
                    <w:rPr>
                      <w:szCs w:val="21"/>
                    </w:rPr>
                  </w:pPr>
                  <w:r>
                    <w:rPr>
                      <w:rFonts w:hint="eastAsia"/>
                      <w:szCs w:val="21"/>
                    </w:rPr>
                    <w:t>50</w:t>
                  </w: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rPr>
                      <w:szCs w:val="21"/>
                    </w:rPr>
                  </w:pPr>
                  <w:r>
                    <w:rPr>
                      <w:rFonts w:hint="eastAsia"/>
                      <w:szCs w:val="21"/>
                    </w:rPr>
                    <w:t>51.0</w:t>
                  </w:r>
                </w:p>
              </w:tc>
              <w:tc>
                <w:tcPr>
                  <w:tcW w:w="850" w:type="dxa"/>
                  <w:vAlign w:val="center"/>
                </w:tcPr>
                <w:p>
                  <w:pPr>
                    <w:jc w:val="center"/>
                    <w:rPr>
                      <w:szCs w:val="21"/>
                    </w:rPr>
                  </w:pPr>
                  <w:r>
                    <w:rPr>
                      <w:rFonts w:hint="eastAsia"/>
                      <w:szCs w:val="21"/>
                    </w:rPr>
                    <w:t>41.3</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szCs w:val="21"/>
                    </w:rPr>
                    <w:t>10</w:t>
                  </w:r>
                </w:p>
              </w:tc>
              <w:tc>
                <w:tcPr>
                  <w:tcW w:w="1843" w:type="dxa"/>
                  <w:vMerge w:val="restart"/>
                  <w:vAlign w:val="center"/>
                </w:tcPr>
                <w:p>
                  <w:pPr>
                    <w:jc w:val="center"/>
                    <w:rPr>
                      <w:szCs w:val="21"/>
                    </w:rPr>
                  </w:pPr>
                  <w:r>
                    <w:rPr>
                      <w:rFonts w:hint="eastAsia"/>
                      <w:szCs w:val="21"/>
                    </w:rPr>
                    <w:t>岩张</w:t>
                  </w:r>
                  <w:r>
                    <w:rPr>
                      <w:szCs w:val="21"/>
                    </w:rPr>
                    <w:t>村</w:t>
                  </w:r>
                </w:p>
              </w:tc>
              <w:tc>
                <w:tcPr>
                  <w:tcW w:w="1275" w:type="dxa"/>
                  <w:vAlign w:val="center"/>
                </w:tcPr>
                <w:p>
                  <w:pPr>
                    <w:jc w:val="center"/>
                    <w:rPr>
                      <w:szCs w:val="21"/>
                    </w:rPr>
                  </w:pPr>
                  <w:r>
                    <w:rPr>
                      <w:rFonts w:hint="eastAsia"/>
                      <w:szCs w:val="21"/>
                    </w:rPr>
                    <w:t>2018.10.6</w:t>
                  </w:r>
                </w:p>
              </w:tc>
              <w:tc>
                <w:tcPr>
                  <w:tcW w:w="851" w:type="dxa"/>
                  <w:vAlign w:val="center"/>
                </w:tcPr>
                <w:p>
                  <w:pPr>
                    <w:jc w:val="center"/>
                    <w:rPr>
                      <w:szCs w:val="21"/>
                    </w:rPr>
                  </w:pPr>
                  <w:r>
                    <w:rPr>
                      <w:rFonts w:hint="eastAsia"/>
                      <w:szCs w:val="21"/>
                    </w:rPr>
                    <w:t>50.7</w:t>
                  </w:r>
                </w:p>
              </w:tc>
              <w:tc>
                <w:tcPr>
                  <w:tcW w:w="850" w:type="dxa"/>
                  <w:vAlign w:val="center"/>
                </w:tcPr>
                <w:p>
                  <w:pPr>
                    <w:jc w:val="center"/>
                    <w:rPr>
                      <w:szCs w:val="21"/>
                    </w:rPr>
                  </w:pPr>
                  <w:r>
                    <w:rPr>
                      <w:rFonts w:hint="eastAsia"/>
                      <w:szCs w:val="21"/>
                    </w:rPr>
                    <w:t>40.8</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szCs w:val="21"/>
                    </w:rPr>
                    <w:t>0</w:t>
                  </w:r>
                </w:p>
              </w:tc>
              <w:tc>
                <w:tcPr>
                  <w:tcW w:w="706" w:type="dxa"/>
                  <w:vAlign w:val="center"/>
                </w:tcPr>
                <w:p>
                  <w:pPr>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rPr>
                      <w:szCs w:val="21"/>
                    </w:rPr>
                  </w:pPr>
                  <w:r>
                    <w:rPr>
                      <w:rFonts w:hint="eastAsia"/>
                      <w:szCs w:val="21"/>
                    </w:rPr>
                    <w:t>50.8</w:t>
                  </w:r>
                </w:p>
              </w:tc>
              <w:tc>
                <w:tcPr>
                  <w:tcW w:w="850" w:type="dxa"/>
                  <w:vAlign w:val="center"/>
                </w:tcPr>
                <w:p>
                  <w:pPr>
                    <w:jc w:val="center"/>
                    <w:rPr>
                      <w:szCs w:val="21"/>
                    </w:rPr>
                  </w:pPr>
                  <w:r>
                    <w:rPr>
                      <w:rFonts w:hint="eastAsia"/>
                      <w:szCs w:val="21"/>
                    </w:rPr>
                    <w:t>40.5</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szCs w:val="21"/>
                    </w:rPr>
                    <w:t>11</w:t>
                  </w:r>
                </w:p>
              </w:tc>
              <w:tc>
                <w:tcPr>
                  <w:tcW w:w="1843" w:type="dxa"/>
                  <w:vMerge w:val="restart"/>
                  <w:vAlign w:val="center"/>
                </w:tcPr>
                <w:p>
                  <w:pPr>
                    <w:jc w:val="center"/>
                    <w:rPr>
                      <w:szCs w:val="21"/>
                    </w:rPr>
                  </w:pPr>
                  <w:r>
                    <w:rPr>
                      <w:rFonts w:hint="eastAsia"/>
                      <w:szCs w:val="21"/>
                    </w:rPr>
                    <w:t>毛庞村</w:t>
                  </w:r>
                </w:p>
              </w:tc>
              <w:tc>
                <w:tcPr>
                  <w:tcW w:w="1275" w:type="dxa"/>
                  <w:vAlign w:val="center"/>
                </w:tcPr>
                <w:p>
                  <w:pPr>
                    <w:jc w:val="center"/>
                    <w:rPr>
                      <w:szCs w:val="21"/>
                    </w:rPr>
                  </w:pPr>
                  <w:r>
                    <w:rPr>
                      <w:rFonts w:hint="eastAsia"/>
                      <w:szCs w:val="21"/>
                    </w:rPr>
                    <w:t>2018.10.6</w:t>
                  </w:r>
                </w:p>
              </w:tc>
              <w:tc>
                <w:tcPr>
                  <w:tcW w:w="851" w:type="dxa"/>
                  <w:vAlign w:val="center"/>
                </w:tcPr>
                <w:p>
                  <w:pPr>
                    <w:jc w:val="center"/>
                    <w:rPr>
                      <w:szCs w:val="21"/>
                    </w:rPr>
                  </w:pPr>
                  <w:r>
                    <w:rPr>
                      <w:rFonts w:hint="eastAsia"/>
                      <w:szCs w:val="21"/>
                    </w:rPr>
                    <w:t>51.0</w:t>
                  </w:r>
                </w:p>
              </w:tc>
              <w:tc>
                <w:tcPr>
                  <w:tcW w:w="850" w:type="dxa"/>
                  <w:vAlign w:val="center"/>
                </w:tcPr>
                <w:p>
                  <w:pPr>
                    <w:jc w:val="center"/>
                    <w:rPr>
                      <w:szCs w:val="21"/>
                    </w:rPr>
                  </w:pPr>
                  <w:r>
                    <w:rPr>
                      <w:rFonts w:hint="eastAsia"/>
                      <w:szCs w:val="21"/>
                    </w:rPr>
                    <w:t>41.3</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rPr>
                      <w:szCs w:val="21"/>
                    </w:rPr>
                  </w:pPr>
                  <w:r>
                    <w:rPr>
                      <w:rFonts w:hint="eastAsia"/>
                      <w:szCs w:val="21"/>
                    </w:rPr>
                    <w:t>41.1</w:t>
                  </w:r>
                </w:p>
              </w:tc>
              <w:tc>
                <w:tcPr>
                  <w:tcW w:w="850" w:type="dxa"/>
                  <w:vAlign w:val="center"/>
                </w:tcPr>
                <w:p>
                  <w:pPr>
                    <w:jc w:val="center"/>
                    <w:rPr>
                      <w:szCs w:val="21"/>
                    </w:rPr>
                  </w:pPr>
                  <w:r>
                    <w:rPr>
                      <w:rFonts w:hint="eastAsia"/>
                      <w:szCs w:val="21"/>
                    </w:rPr>
                    <w:t>41.1</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bl>
          <w:p>
            <w:pPr>
              <w:spacing w:before="120" w:beforeLines="50" w:line="360" w:lineRule="auto"/>
              <w:ind w:firstLine="480" w:firstLineChars="200"/>
              <w:rPr>
                <w:sz w:val="24"/>
              </w:rPr>
            </w:pPr>
            <w:r>
              <w:rPr>
                <w:sz w:val="24"/>
              </w:rPr>
              <w:t>由表15可知，</w:t>
            </w:r>
            <w:r>
              <w:rPr>
                <w:rFonts w:hint="eastAsia"/>
                <w:sz w:val="24"/>
              </w:rPr>
              <w:t>渭河</w:t>
            </w:r>
            <w:r>
              <w:rPr>
                <w:sz w:val="24"/>
              </w:rPr>
              <w:t>电厂</w:t>
            </w:r>
            <w:r>
              <w:rPr>
                <w:rFonts w:hint="eastAsia"/>
                <w:sz w:val="24"/>
              </w:rPr>
              <w:t>厂界、</w:t>
            </w:r>
            <w:r>
              <w:rPr>
                <w:sz w:val="24"/>
              </w:rPr>
              <w:t>敏感点昼夜间噪声值均能满足《声环境质量标准》（GB3096-2008）中标准限值</w:t>
            </w:r>
            <w:r>
              <w:rPr>
                <w:rFonts w:hint="eastAsia"/>
                <w:sz w:val="24"/>
              </w:rPr>
              <w:t>要求</w:t>
            </w:r>
            <w:r>
              <w:rPr>
                <w:sz w:val="24"/>
              </w:rPr>
              <w:t>，说明建设项目所在区域声环境质量现状较好。</w:t>
            </w:r>
          </w:p>
          <w:p>
            <w:pPr>
              <w:spacing w:before="120" w:beforeLines="50" w:line="360" w:lineRule="auto"/>
              <w:ind w:firstLine="480" w:firstLineChars="200"/>
              <w:rPr>
                <w:sz w:val="24"/>
                <w:szCs w:val="22"/>
              </w:rPr>
            </w:pPr>
          </w:p>
          <w:p>
            <w:pPr>
              <w:spacing w:before="120" w:beforeLines="50" w:line="360" w:lineRule="auto"/>
              <w:ind w:firstLine="480" w:firstLineChars="200"/>
              <w:rPr>
                <w:sz w:val="24"/>
                <w:szCs w:val="22"/>
              </w:rPr>
            </w:pPr>
          </w:p>
          <w:p>
            <w:pPr>
              <w:spacing w:before="120" w:beforeLines="50" w:line="360" w:lineRule="auto"/>
              <w:ind w:firstLine="480" w:firstLineChars="200"/>
              <w:rPr>
                <w:sz w:val="24"/>
                <w:szCs w:val="22"/>
              </w:rPr>
            </w:pPr>
          </w:p>
          <w:p>
            <w:pPr>
              <w:spacing w:before="120" w:beforeLines="50" w:line="360" w:lineRule="auto"/>
              <w:ind w:firstLine="480" w:firstLineChars="200"/>
              <w:rPr>
                <w:sz w:val="24"/>
                <w:szCs w:val="22"/>
              </w:rPr>
            </w:pPr>
          </w:p>
          <w:p>
            <w:pPr>
              <w:spacing w:before="120" w:beforeLines="50" w:line="360" w:lineRule="auto"/>
              <w:ind w:firstLine="480" w:firstLineChars="200"/>
              <w:rPr>
                <w:sz w:val="24"/>
                <w:szCs w:val="22"/>
              </w:rPr>
            </w:pPr>
          </w:p>
          <w:p>
            <w:pPr>
              <w:spacing w:before="120" w:beforeLines="50" w:line="360" w:lineRule="auto"/>
              <w:ind w:firstLine="480" w:firstLineChars="200"/>
              <w:rPr>
                <w:sz w:val="24"/>
                <w:szCs w:val="22"/>
              </w:rPr>
            </w:pPr>
          </w:p>
          <w:p>
            <w:pPr>
              <w:spacing w:before="120" w:beforeLines="50" w:line="360" w:lineRule="auto"/>
              <w:ind w:firstLine="480" w:firstLineChars="200"/>
              <w:rPr>
                <w:sz w:val="24"/>
                <w:szCs w:val="2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932" w:hRule="atLeast"/>
          <w:jc w:val="center"/>
        </w:trPr>
        <w:tc>
          <w:tcPr>
            <w:tcW w:w="9057" w:type="dxa"/>
          </w:tcPr>
          <w:p>
            <w:pPr>
              <w:spacing w:line="360" w:lineRule="auto"/>
              <w:textAlignment w:val="baseline"/>
              <w:rPr>
                <w:b/>
                <w:sz w:val="24"/>
              </w:rPr>
            </w:pPr>
            <w:r>
              <w:rPr>
                <w:b/>
                <w:sz w:val="24"/>
              </w:rPr>
              <w:t>主要环境保护目标(列出名单及保护级别)：</w:t>
            </w:r>
          </w:p>
          <w:p>
            <w:pPr>
              <w:spacing w:line="360" w:lineRule="auto"/>
              <w:ind w:firstLine="480" w:firstLineChars="200"/>
              <w:rPr>
                <w:sz w:val="24"/>
                <w:szCs w:val="22"/>
              </w:rPr>
            </w:pPr>
            <w:r>
              <w:rPr>
                <w:sz w:val="24"/>
                <w:szCs w:val="22"/>
              </w:rPr>
              <w:t>项目不涉及自然保护区、</w:t>
            </w:r>
            <w:r>
              <w:rPr>
                <w:rFonts w:hint="eastAsia"/>
                <w:sz w:val="24"/>
                <w:szCs w:val="22"/>
              </w:rPr>
              <w:t>饮用水</w:t>
            </w:r>
            <w:r>
              <w:rPr>
                <w:sz w:val="24"/>
                <w:szCs w:val="22"/>
              </w:rPr>
              <w:t>水源保护区、风景名胜区等环境敏感区</w:t>
            </w:r>
            <w:r>
              <w:rPr>
                <w:rFonts w:hint="eastAsia"/>
                <w:sz w:val="24"/>
                <w:szCs w:val="22"/>
              </w:rPr>
              <w:t>。</w:t>
            </w:r>
            <w:r>
              <w:rPr>
                <w:sz w:val="24"/>
                <w:szCs w:val="22"/>
              </w:rPr>
              <w:t>项目主要环境保护目标详细情况见表16</w:t>
            </w:r>
            <w:r>
              <w:rPr>
                <w:rFonts w:hint="eastAsia"/>
                <w:sz w:val="24"/>
                <w:szCs w:val="22"/>
              </w:rPr>
              <w:t>、</w:t>
            </w:r>
            <w:r>
              <w:rPr>
                <w:sz w:val="24"/>
                <w:szCs w:val="22"/>
              </w:rPr>
              <w:t>附图3。</w:t>
            </w:r>
          </w:p>
          <w:p>
            <w:pPr>
              <w:pStyle w:val="4"/>
              <w:jc w:val="center"/>
              <w:rPr>
                <w:b/>
                <w:sz w:val="21"/>
                <w:szCs w:val="21"/>
              </w:rPr>
            </w:pPr>
            <w:r>
              <w:rPr>
                <w:b/>
                <w:sz w:val="21"/>
                <w:szCs w:val="21"/>
              </w:rPr>
              <w:t>表16    项目主要环境保护目标</w:t>
            </w:r>
          </w:p>
          <w:tbl>
            <w:tblPr>
              <w:tblStyle w:val="39"/>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722"/>
              <w:gridCol w:w="1337"/>
              <w:gridCol w:w="1060"/>
              <w:gridCol w:w="1066"/>
              <w:gridCol w:w="992"/>
              <w:gridCol w:w="796"/>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 w:type="dxa"/>
                  <w:vMerge w:val="restart"/>
                  <w:tcBorders>
                    <w:top w:val="single" w:color="auto" w:sz="4" w:space="0"/>
                    <w:left w:val="single" w:color="auto" w:sz="4" w:space="0"/>
                    <w:right w:val="single" w:color="auto" w:sz="4" w:space="0"/>
                  </w:tcBorders>
                  <w:vAlign w:val="center"/>
                </w:tcPr>
                <w:p>
                  <w:pPr>
                    <w:jc w:val="center"/>
                    <w:rPr>
                      <w:szCs w:val="21"/>
                    </w:rPr>
                  </w:pPr>
                  <w:r>
                    <w:rPr>
                      <w:szCs w:val="21"/>
                    </w:rPr>
                    <w:t>序号</w:t>
                  </w:r>
                </w:p>
              </w:tc>
              <w:tc>
                <w:tcPr>
                  <w:tcW w:w="722" w:type="dxa"/>
                  <w:vMerge w:val="restart"/>
                  <w:tcBorders>
                    <w:top w:val="single" w:color="auto" w:sz="4" w:space="0"/>
                    <w:left w:val="single" w:color="auto" w:sz="4" w:space="0"/>
                    <w:right w:val="single" w:color="auto" w:sz="4" w:space="0"/>
                  </w:tcBorders>
                  <w:vAlign w:val="center"/>
                </w:tcPr>
                <w:p>
                  <w:pPr>
                    <w:jc w:val="center"/>
                    <w:rPr>
                      <w:szCs w:val="21"/>
                    </w:rPr>
                  </w:pPr>
                  <w:r>
                    <w:rPr>
                      <w:szCs w:val="21"/>
                    </w:rPr>
                    <w:t>环境要素</w:t>
                  </w:r>
                </w:p>
              </w:tc>
              <w:tc>
                <w:tcPr>
                  <w:tcW w:w="34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保护对象</w:t>
                  </w:r>
                </w:p>
              </w:tc>
              <w:tc>
                <w:tcPr>
                  <w:tcW w:w="992" w:type="dxa"/>
                  <w:vMerge w:val="restart"/>
                  <w:tcBorders>
                    <w:top w:val="single" w:color="auto" w:sz="4" w:space="0"/>
                    <w:left w:val="single" w:color="auto" w:sz="4" w:space="0"/>
                    <w:right w:val="single" w:color="auto" w:sz="4" w:space="0"/>
                  </w:tcBorders>
                  <w:vAlign w:val="center"/>
                </w:tcPr>
                <w:p>
                  <w:pPr>
                    <w:jc w:val="center"/>
                    <w:rPr>
                      <w:szCs w:val="21"/>
                    </w:rPr>
                  </w:pPr>
                  <w:r>
                    <w:rPr>
                      <w:szCs w:val="21"/>
                    </w:rPr>
                    <w:t>方位</w:t>
                  </w:r>
                </w:p>
              </w:tc>
              <w:tc>
                <w:tcPr>
                  <w:tcW w:w="796" w:type="dxa"/>
                  <w:vMerge w:val="restart"/>
                  <w:tcBorders>
                    <w:top w:val="single" w:color="auto" w:sz="4" w:space="0"/>
                    <w:left w:val="single" w:color="auto" w:sz="4" w:space="0"/>
                    <w:right w:val="single" w:color="auto" w:sz="4" w:space="0"/>
                  </w:tcBorders>
                  <w:vAlign w:val="center"/>
                </w:tcPr>
                <w:p>
                  <w:pPr>
                    <w:jc w:val="center"/>
                    <w:rPr>
                      <w:szCs w:val="21"/>
                    </w:rPr>
                  </w:pPr>
                  <w:r>
                    <w:rPr>
                      <w:szCs w:val="21"/>
                    </w:rPr>
                    <w:t>距离</w:t>
                  </w:r>
                </w:p>
                <w:p>
                  <w:pPr>
                    <w:jc w:val="center"/>
                    <w:rPr>
                      <w:szCs w:val="21"/>
                    </w:rPr>
                  </w:pPr>
                  <w:r>
                    <w:rPr>
                      <w:szCs w:val="21"/>
                    </w:rPr>
                    <w:t>（m）</w:t>
                  </w:r>
                </w:p>
              </w:tc>
              <w:tc>
                <w:tcPr>
                  <w:tcW w:w="2462" w:type="dxa"/>
                  <w:vMerge w:val="restart"/>
                  <w:tcBorders>
                    <w:top w:val="single" w:color="auto" w:sz="4" w:space="0"/>
                    <w:left w:val="single" w:color="auto" w:sz="4" w:space="0"/>
                    <w:right w:val="single" w:color="auto" w:sz="4" w:space="0"/>
                  </w:tcBorders>
                  <w:vAlign w:val="center"/>
                </w:tcPr>
                <w:p>
                  <w:pPr>
                    <w:jc w:val="center"/>
                    <w:rPr>
                      <w:szCs w:val="21"/>
                    </w:rPr>
                  </w:pPr>
                  <w:r>
                    <w:t>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 w:type="dxa"/>
                  <w:vMerge w:val="continue"/>
                  <w:tcBorders>
                    <w:left w:val="single" w:color="auto" w:sz="4" w:space="0"/>
                    <w:bottom w:val="single" w:color="auto" w:sz="4" w:space="0"/>
                    <w:right w:val="single" w:color="auto" w:sz="4" w:space="0"/>
                  </w:tcBorders>
                  <w:vAlign w:val="center"/>
                </w:tcPr>
                <w:p>
                  <w:pPr>
                    <w:jc w:val="center"/>
                    <w:rPr>
                      <w:szCs w:val="21"/>
                    </w:rPr>
                  </w:pPr>
                </w:p>
              </w:tc>
              <w:tc>
                <w:tcPr>
                  <w:tcW w:w="722" w:type="dxa"/>
                  <w:vMerge w:val="continue"/>
                  <w:tcBorders>
                    <w:left w:val="single" w:color="auto" w:sz="4" w:space="0"/>
                    <w:bottom w:val="single" w:color="auto" w:sz="4" w:space="0"/>
                    <w:right w:val="single" w:color="auto" w:sz="4" w:space="0"/>
                  </w:tcBorders>
                  <w:vAlign w:val="center"/>
                </w:tcPr>
                <w:p>
                  <w:pPr>
                    <w:jc w:val="center"/>
                    <w:rPr>
                      <w:szCs w:val="21"/>
                    </w:rPr>
                  </w:pPr>
                </w:p>
              </w:tc>
              <w:tc>
                <w:tcPr>
                  <w:tcW w:w="133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kern w:val="0"/>
                      <w:szCs w:val="21"/>
                    </w:rPr>
                  </w:pPr>
                  <w:r>
                    <w:rPr>
                      <w:rFonts w:hint="eastAsia"/>
                      <w:kern w:val="0"/>
                      <w:szCs w:val="21"/>
                    </w:rPr>
                    <w:t>村名</w:t>
                  </w: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kern w:val="0"/>
                      <w:szCs w:val="21"/>
                    </w:rPr>
                  </w:pPr>
                  <w:r>
                    <w:rPr>
                      <w:kern w:val="0"/>
                      <w:szCs w:val="21"/>
                    </w:rPr>
                    <w:t>户数</w:t>
                  </w:r>
                </w:p>
              </w:tc>
              <w:tc>
                <w:tcPr>
                  <w:tcW w:w="106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kern w:val="0"/>
                      <w:szCs w:val="21"/>
                    </w:rPr>
                  </w:pPr>
                  <w:r>
                    <w:rPr>
                      <w:kern w:val="0"/>
                      <w:szCs w:val="21"/>
                    </w:rPr>
                    <w:t>人口</w:t>
                  </w:r>
                </w:p>
              </w:tc>
              <w:tc>
                <w:tcPr>
                  <w:tcW w:w="992" w:type="dxa"/>
                  <w:vMerge w:val="continue"/>
                  <w:tcBorders>
                    <w:left w:val="single" w:color="auto" w:sz="4" w:space="0"/>
                    <w:bottom w:val="single" w:color="auto" w:sz="4" w:space="0"/>
                    <w:right w:val="single" w:color="auto" w:sz="4" w:space="0"/>
                  </w:tcBorders>
                  <w:vAlign w:val="center"/>
                </w:tcPr>
                <w:p>
                  <w:pPr>
                    <w:jc w:val="center"/>
                    <w:rPr>
                      <w:szCs w:val="21"/>
                    </w:rPr>
                  </w:pPr>
                </w:p>
              </w:tc>
              <w:tc>
                <w:tcPr>
                  <w:tcW w:w="796" w:type="dxa"/>
                  <w:vMerge w:val="continue"/>
                  <w:tcBorders>
                    <w:left w:val="single" w:color="auto" w:sz="4" w:space="0"/>
                    <w:bottom w:val="single" w:color="auto" w:sz="4" w:space="0"/>
                    <w:right w:val="single" w:color="auto" w:sz="4" w:space="0"/>
                  </w:tcBorders>
                  <w:vAlign w:val="center"/>
                </w:tcPr>
                <w:p>
                  <w:pPr>
                    <w:jc w:val="center"/>
                    <w:rPr>
                      <w:szCs w:val="21"/>
                    </w:rPr>
                  </w:pPr>
                </w:p>
              </w:tc>
              <w:tc>
                <w:tcPr>
                  <w:tcW w:w="2462" w:type="dxa"/>
                  <w:vMerge w:val="continue"/>
                  <w:tcBorders>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96" w:type="dxa"/>
                  <w:vMerge w:val="restart"/>
                  <w:tcBorders>
                    <w:left w:val="single" w:color="auto" w:sz="4" w:space="0"/>
                    <w:right w:val="single" w:color="auto" w:sz="4" w:space="0"/>
                  </w:tcBorders>
                  <w:vAlign w:val="center"/>
                </w:tcPr>
                <w:p>
                  <w:pPr>
                    <w:jc w:val="center"/>
                    <w:rPr>
                      <w:szCs w:val="21"/>
                    </w:rPr>
                  </w:pPr>
                  <w:r>
                    <w:rPr>
                      <w:szCs w:val="21"/>
                    </w:rPr>
                    <w:t>1</w:t>
                  </w:r>
                </w:p>
              </w:tc>
              <w:tc>
                <w:tcPr>
                  <w:tcW w:w="722" w:type="dxa"/>
                  <w:vMerge w:val="restart"/>
                  <w:tcBorders>
                    <w:left w:val="single" w:color="auto" w:sz="4" w:space="0"/>
                    <w:right w:val="single" w:color="auto" w:sz="4" w:space="0"/>
                  </w:tcBorders>
                  <w:vAlign w:val="center"/>
                </w:tcPr>
                <w:p>
                  <w:pPr>
                    <w:jc w:val="center"/>
                    <w:rPr>
                      <w:szCs w:val="21"/>
                    </w:rPr>
                  </w:pPr>
                  <w:r>
                    <w:rPr>
                      <w:szCs w:val="21"/>
                    </w:rPr>
                    <w:t>环境空气</w:t>
                  </w:r>
                </w:p>
              </w:tc>
              <w:tc>
                <w:tcPr>
                  <w:tcW w:w="1337"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柏家咀</w:t>
                  </w:r>
                  <w:r>
                    <w:rPr>
                      <w:szCs w:val="21"/>
                    </w:rPr>
                    <w:t>村</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91</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305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330</w:t>
                  </w:r>
                </w:p>
              </w:tc>
              <w:tc>
                <w:tcPr>
                  <w:tcW w:w="2462" w:type="dxa"/>
                  <w:vMerge w:val="restart"/>
                  <w:tcBorders>
                    <w:left w:val="single" w:color="auto" w:sz="4" w:space="0"/>
                    <w:right w:val="single" w:color="auto" w:sz="4" w:space="0"/>
                  </w:tcBorders>
                  <w:vAlign w:val="center"/>
                </w:tcPr>
                <w:p>
                  <w:pPr>
                    <w:jc w:val="center"/>
                  </w:pPr>
                  <w:r>
                    <w:t>《环境空气质量标准》</w:t>
                  </w:r>
                </w:p>
                <w:p>
                  <w:pPr>
                    <w:jc w:val="center"/>
                  </w:pPr>
                  <w:r>
                    <w:t>（GB3095-2012）中的二级标准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96" w:type="dxa"/>
                  <w:vMerge w:val="continue"/>
                  <w:tcBorders>
                    <w:left w:val="single" w:color="auto" w:sz="4" w:space="0"/>
                    <w:right w:val="single" w:color="auto" w:sz="4" w:space="0"/>
                  </w:tcBorders>
                  <w:vAlign w:val="center"/>
                </w:tcPr>
                <w:p>
                  <w:pPr>
                    <w:jc w:val="center"/>
                    <w:rPr>
                      <w:szCs w:val="21"/>
                    </w:rPr>
                  </w:pPr>
                </w:p>
              </w:tc>
              <w:tc>
                <w:tcPr>
                  <w:tcW w:w="722" w:type="dxa"/>
                  <w:vMerge w:val="continue"/>
                  <w:tcBorders>
                    <w:left w:val="single" w:color="auto" w:sz="4" w:space="0"/>
                    <w:right w:val="single" w:color="auto" w:sz="4" w:space="0"/>
                  </w:tcBorders>
                  <w:vAlign w:val="center"/>
                </w:tcPr>
                <w:p>
                  <w:pPr>
                    <w:jc w:val="center"/>
                    <w:rPr>
                      <w:szCs w:val="21"/>
                    </w:rPr>
                  </w:pPr>
                </w:p>
              </w:tc>
              <w:tc>
                <w:tcPr>
                  <w:tcW w:w="1337" w:type="dxa"/>
                  <w:tcBorders>
                    <w:left w:val="single" w:color="auto" w:sz="4" w:space="0"/>
                    <w:right w:val="single" w:color="auto" w:sz="4" w:space="0"/>
                  </w:tcBorders>
                  <w:vAlign w:val="center"/>
                </w:tcPr>
                <w:p>
                  <w:pPr>
                    <w:jc w:val="center"/>
                    <w:rPr>
                      <w:szCs w:val="21"/>
                    </w:rPr>
                  </w:pPr>
                  <w:r>
                    <w:rPr>
                      <w:rFonts w:hint="eastAsia"/>
                      <w:szCs w:val="21"/>
                    </w:rPr>
                    <w:t>毛庞村</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127</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419</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SE</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690</w:t>
                  </w:r>
                </w:p>
              </w:tc>
              <w:tc>
                <w:tcPr>
                  <w:tcW w:w="2462" w:type="dxa"/>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96" w:type="dxa"/>
                  <w:vMerge w:val="continue"/>
                  <w:tcBorders>
                    <w:left w:val="single" w:color="auto" w:sz="4" w:space="0"/>
                    <w:right w:val="single" w:color="auto" w:sz="4" w:space="0"/>
                  </w:tcBorders>
                  <w:vAlign w:val="center"/>
                </w:tcPr>
                <w:p>
                  <w:pPr>
                    <w:jc w:val="center"/>
                    <w:rPr>
                      <w:szCs w:val="21"/>
                    </w:rPr>
                  </w:pPr>
                </w:p>
              </w:tc>
              <w:tc>
                <w:tcPr>
                  <w:tcW w:w="722" w:type="dxa"/>
                  <w:vMerge w:val="continue"/>
                  <w:tcBorders>
                    <w:left w:val="single" w:color="auto" w:sz="4" w:space="0"/>
                    <w:right w:val="single" w:color="auto" w:sz="4" w:space="0"/>
                  </w:tcBorders>
                  <w:vAlign w:val="center"/>
                </w:tcPr>
                <w:p>
                  <w:pPr>
                    <w:jc w:val="center"/>
                    <w:rPr>
                      <w:szCs w:val="21"/>
                    </w:rPr>
                  </w:pPr>
                </w:p>
              </w:tc>
              <w:tc>
                <w:tcPr>
                  <w:tcW w:w="1337" w:type="dxa"/>
                  <w:tcBorders>
                    <w:left w:val="single" w:color="auto" w:sz="4" w:space="0"/>
                    <w:right w:val="single" w:color="auto" w:sz="4" w:space="0"/>
                  </w:tcBorders>
                  <w:vAlign w:val="center"/>
                </w:tcPr>
                <w:p>
                  <w:pPr>
                    <w:jc w:val="center"/>
                  </w:pPr>
                  <w:r>
                    <w:rPr>
                      <w:rFonts w:hint="eastAsia"/>
                    </w:rPr>
                    <w:t>任家沟村</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27</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89</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NE</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pPr>
                  <w:r>
                    <w:t>861</w:t>
                  </w:r>
                </w:p>
              </w:tc>
              <w:tc>
                <w:tcPr>
                  <w:tcW w:w="2462" w:type="dxa"/>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96" w:type="dxa"/>
                  <w:vMerge w:val="continue"/>
                  <w:tcBorders>
                    <w:left w:val="single" w:color="auto" w:sz="4" w:space="0"/>
                    <w:right w:val="single" w:color="auto" w:sz="4" w:space="0"/>
                  </w:tcBorders>
                  <w:vAlign w:val="center"/>
                </w:tcPr>
                <w:p>
                  <w:pPr>
                    <w:jc w:val="center"/>
                    <w:rPr>
                      <w:szCs w:val="21"/>
                    </w:rPr>
                  </w:pPr>
                </w:p>
              </w:tc>
              <w:tc>
                <w:tcPr>
                  <w:tcW w:w="722" w:type="dxa"/>
                  <w:vMerge w:val="continue"/>
                  <w:tcBorders>
                    <w:left w:val="single" w:color="auto" w:sz="4" w:space="0"/>
                    <w:right w:val="single" w:color="auto" w:sz="4" w:space="0"/>
                  </w:tcBorders>
                  <w:vAlign w:val="center"/>
                </w:tcPr>
                <w:p>
                  <w:pPr>
                    <w:jc w:val="center"/>
                    <w:rPr>
                      <w:szCs w:val="21"/>
                    </w:rPr>
                  </w:pPr>
                </w:p>
              </w:tc>
              <w:tc>
                <w:tcPr>
                  <w:tcW w:w="1337" w:type="dxa"/>
                  <w:tcBorders>
                    <w:left w:val="single" w:color="auto" w:sz="4" w:space="0"/>
                    <w:right w:val="single" w:color="auto" w:sz="4" w:space="0"/>
                  </w:tcBorders>
                  <w:vAlign w:val="center"/>
                </w:tcPr>
                <w:p>
                  <w:pPr>
                    <w:jc w:val="center"/>
                  </w:pPr>
                  <w:r>
                    <w:rPr>
                      <w:rFonts w:hint="eastAsia"/>
                    </w:rPr>
                    <w:t>岩张村</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117</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386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NE</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pPr>
                  <w:r>
                    <w:t>680</w:t>
                  </w:r>
                </w:p>
              </w:tc>
              <w:tc>
                <w:tcPr>
                  <w:tcW w:w="2462" w:type="dxa"/>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96" w:type="dxa"/>
                  <w:vMerge w:val="continue"/>
                  <w:tcBorders>
                    <w:left w:val="single" w:color="auto" w:sz="4" w:space="0"/>
                    <w:right w:val="single" w:color="auto" w:sz="4" w:space="0"/>
                  </w:tcBorders>
                  <w:vAlign w:val="center"/>
                </w:tcPr>
                <w:p>
                  <w:pPr>
                    <w:jc w:val="center"/>
                    <w:rPr>
                      <w:szCs w:val="21"/>
                    </w:rPr>
                  </w:pPr>
                </w:p>
              </w:tc>
              <w:tc>
                <w:tcPr>
                  <w:tcW w:w="722" w:type="dxa"/>
                  <w:vMerge w:val="continue"/>
                  <w:tcBorders>
                    <w:left w:val="single" w:color="auto" w:sz="4" w:space="0"/>
                    <w:right w:val="single" w:color="auto" w:sz="4" w:space="0"/>
                  </w:tcBorders>
                  <w:vAlign w:val="center"/>
                </w:tcPr>
                <w:p>
                  <w:pPr>
                    <w:jc w:val="center"/>
                    <w:rPr>
                      <w:szCs w:val="21"/>
                    </w:rPr>
                  </w:pPr>
                </w:p>
              </w:tc>
              <w:tc>
                <w:tcPr>
                  <w:tcW w:w="1337" w:type="dxa"/>
                  <w:tcBorders>
                    <w:left w:val="single" w:color="auto" w:sz="4" w:space="0"/>
                    <w:right w:val="single" w:color="auto" w:sz="4" w:space="0"/>
                  </w:tcBorders>
                  <w:vAlign w:val="center"/>
                </w:tcPr>
                <w:p>
                  <w:pPr>
                    <w:jc w:val="center"/>
                  </w:pPr>
                  <w:r>
                    <w:rPr>
                      <w:rFonts w:hint="eastAsia"/>
                    </w:rPr>
                    <w:t>九张村</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90</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295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E</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pPr>
                  <w:r>
                    <w:t>940</w:t>
                  </w:r>
                </w:p>
              </w:tc>
              <w:tc>
                <w:tcPr>
                  <w:tcW w:w="2462" w:type="dxa"/>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96" w:type="dxa"/>
                  <w:vMerge w:val="continue"/>
                  <w:tcBorders>
                    <w:left w:val="single" w:color="auto" w:sz="4" w:space="0"/>
                    <w:right w:val="single" w:color="auto" w:sz="4" w:space="0"/>
                  </w:tcBorders>
                  <w:vAlign w:val="center"/>
                </w:tcPr>
                <w:p>
                  <w:pPr>
                    <w:jc w:val="center"/>
                    <w:rPr>
                      <w:szCs w:val="21"/>
                    </w:rPr>
                  </w:pPr>
                </w:p>
              </w:tc>
              <w:tc>
                <w:tcPr>
                  <w:tcW w:w="722" w:type="dxa"/>
                  <w:vMerge w:val="continue"/>
                  <w:tcBorders>
                    <w:left w:val="single" w:color="auto" w:sz="4" w:space="0"/>
                    <w:right w:val="single" w:color="auto" w:sz="4" w:space="0"/>
                  </w:tcBorders>
                  <w:vAlign w:val="center"/>
                </w:tcPr>
                <w:p>
                  <w:pPr>
                    <w:jc w:val="center"/>
                    <w:rPr>
                      <w:szCs w:val="21"/>
                    </w:rPr>
                  </w:pPr>
                </w:p>
              </w:tc>
              <w:tc>
                <w:tcPr>
                  <w:tcW w:w="1337" w:type="dxa"/>
                  <w:tcBorders>
                    <w:left w:val="single" w:color="auto" w:sz="4" w:space="0"/>
                    <w:right w:val="single" w:color="auto" w:sz="4" w:space="0"/>
                  </w:tcBorders>
                  <w:vAlign w:val="center"/>
                </w:tcPr>
                <w:p>
                  <w:pPr>
                    <w:jc w:val="center"/>
                  </w:pPr>
                  <w:r>
                    <w:rPr>
                      <w:rFonts w:hint="eastAsia"/>
                    </w:rPr>
                    <w:t>马神庙村</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110</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363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S</w:t>
                  </w:r>
                  <w:r>
                    <w:rPr>
                      <w:szCs w:val="21"/>
                    </w:rPr>
                    <w:t>E</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pPr>
                  <w:r>
                    <w:t>435</w:t>
                  </w:r>
                </w:p>
              </w:tc>
              <w:tc>
                <w:tcPr>
                  <w:tcW w:w="2462" w:type="dxa"/>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96" w:type="dxa"/>
                  <w:vMerge w:val="continue"/>
                  <w:tcBorders>
                    <w:left w:val="single" w:color="auto" w:sz="4" w:space="0"/>
                    <w:right w:val="single" w:color="auto" w:sz="4" w:space="0"/>
                  </w:tcBorders>
                  <w:vAlign w:val="center"/>
                </w:tcPr>
                <w:p>
                  <w:pPr>
                    <w:jc w:val="center"/>
                    <w:rPr>
                      <w:szCs w:val="21"/>
                    </w:rPr>
                  </w:pPr>
                </w:p>
              </w:tc>
              <w:tc>
                <w:tcPr>
                  <w:tcW w:w="722" w:type="dxa"/>
                  <w:vMerge w:val="continue"/>
                  <w:tcBorders>
                    <w:left w:val="single" w:color="auto" w:sz="4" w:space="0"/>
                    <w:right w:val="single" w:color="auto" w:sz="4" w:space="0"/>
                  </w:tcBorders>
                  <w:vAlign w:val="center"/>
                </w:tcPr>
                <w:p>
                  <w:pPr>
                    <w:jc w:val="center"/>
                    <w:rPr>
                      <w:szCs w:val="21"/>
                    </w:rPr>
                  </w:pPr>
                </w:p>
              </w:tc>
              <w:tc>
                <w:tcPr>
                  <w:tcW w:w="1337" w:type="dxa"/>
                  <w:tcBorders>
                    <w:left w:val="single" w:color="auto" w:sz="4" w:space="0"/>
                    <w:right w:val="single" w:color="auto" w:sz="4" w:space="0"/>
                  </w:tcBorders>
                  <w:vAlign w:val="center"/>
                </w:tcPr>
                <w:p>
                  <w:pPr>
                    <w:jc w:val="center"/>
                  </w:pPr>
                  <w:r>
                    <w:rPr>
                      <w:rFonts w:hint="eastAsia"/>
                    </w:rPr>
                    <w:t>东杨村</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18</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59</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SW</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431</w:t>
                  </w:r>
                </w:p>
              </w:tc>
              <w:tc>
                <w:tcPr>
                  <w:tcW w:w="2462" w:type="dxa"/>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96" w:type="dxa"/>
                  <w:vMerge w:val="continue"/>
                  <w:tcBorders>
                    <w:left w:val="single" w:color="auto" w:sz="4" w:space="0"/>
                    <w:right w:val="single" w:color="auto" w:sz="4" w:space="0"/>
                  </w:tcBorders>
                  <w:vAlign w:val="center"/>
                </w:tcPr>
                <w:p>
                  <w:pPr>
                    <w:jc w:val="center"/>
                    <w:rPr>
                      <w:szCs w:val="21"/>
                    </w:rPr>
                  </w:pPr>
                </w:p>
              </w:tc>
              <w:tc>
                <w:tcPr>
                  <w:tcW w:w="722" w:type="dxa"/>
                  <w:vMerge w:val="continue"/>
                  <w:tcBorders>
                    <w:left w:val="single" w:color="auto" w:sz="4" w:space="0"/>
                    <w:right w:val="single" w:color="auto" w:sz="4" w:space="0"/>
                  </w:tcBorders>
                  <w:vAlign w:val="center"/>
                </w:tcPr>
                <w:p>
                  <w:pPr>
                    <w:jc w:val="center"/>
                    <w:rPr>
                      <w:szCs w:val="21"/>
                    </w:rPr>
                  </w:pPr>
                </w:p>
              </w:tc>
              <w:tc>
                <w:tcPr>
                  <w:tcW w:w="1337" w:type="dxa"/>
                  <w:tcBorders>
                    <w:left w:val="single" w:color="auto" w:sz="4" w:space="0"/>
                    <w:right w:val="single" w:color="auto" w:sz="4" w:space="0"/>
                  </w:tcBorders>
                  <w:vAlign w:val="center"/>
                </w:tcPr>
                <w:p>
                  <w:pPr>
                    <w:jc w:val="center"/>
                  </w:pPr>
                  <w:r>
                    <w:rPr>
                      <w:rFonts w:hint="eastAsia"/>
                    </w:rPr>
                    <w:t>兰池佳苑</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8</w:t>
                  </w:r>
                  <w:r>
                    <w:t>1</w:t>
                  </w:r>
                  <w:r>
                    <w:rPr>
                      <w:rFonts w:hint="eastAsia"/>
                    </w:rPr>
                    <w:t>0</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2511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SW</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760</w:t>
                  </w:r>
                </w:p>
              </w:tc>
              <w:tc>
                <w:tcPr>
                  <w:tcW w:w="2462" w:type="dxa"/>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96" w:type="dxa"/>
                  <w:vMerge w:val="continue"/>
                  <w:tcBorders>
                    <w:left w:val="single" w:color="auto" w:sz="4" w:space="0"/>
                    <w:right w:val="single" w:color="auto" w:sz="4" w:space="0"/>
                  </w:tcBorders>
                  <w:vAlign w:val="center"/>
                </w:tcPr>
                <w:p>
                  <w:pPr>
                    <w:jc w:val="center"/>
                    <w:rPr>
                      <w:szCs w:val="21"/>
                    </w:rPr>
                  </w:pPr>
                </w:p>
              </w:tc>
              <w:tc>
                <w:tcPr>
                  <w:tcW w:w="722" w:type="dxa"/>
                  <w:vMerge w:val="continue"/>
                  <w:tcBorders>
                    <w:left w:val="single" w:color="auto" w:sz="4" w:space="0"/>
                    <w:right w:val="single" w:color="auto" w:sz="4" w:space="0"/>
                  </w:tcBorders>
                  <w:vAlign w:val="center"/>
                </w:tcPr>
                <w:p>
                  <w:pPr>
                    <w:jc w:val="center"/>
                    <w:rPr>
                      <w:szCs w:val="21"/>
                    </w:rPr>
                  </w:pPr>
                </w:p>
              </w:tc>
              <w:tc>
                <w:tcPr>
                  <w:tcW w:w="1337" w:type="dxa"/>
                  <w:tcBorders>
                    <w:left w:val="single" w:color="auto" w:sz="4" w:space="0"/>
                    <w:right w:val="single" w:color="auto" w:sz="4" w:space="0"/>
                  </w:tcBorders>
                  <w:vAlign w:val="center"/>
                </w:tcPr>
                <w:p>
                  <w:pPr>
                    <w:jc w:val="center"/>
                  </w:pPr>
                  <w:r>
                    <w:rPr>
                      <w:rFonts w:hint="eastAsia"/>
                    </w:rPr>
                    <w:t>正阳中学</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w:t>
                  </w:r>
                  <w:r>
                    <w:t>10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S</w:t>
                  </w:r>
                  <w:r>
                    <w:rPr>
                      <w:szCs w:val="21"/>
                    </w:rPr>
                    <w:t>W</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510</w:t>
                  </w:r>
                </w:p>
              </w:tc>
              <w:tc>
                <w:tcPr>
                  <w:tcW w:w="2462" w:type="dxa"/>
                  <w:vMerge w:val="continue"/>
                  <w:tcBorders>
                    <w:left w:val="single" w:color="auto" w:sz="4" w:space="0"/>
                    <w:right w:val="single" w:color="auto" w:sz="4" w:space="0"/>
                  </w:tcBorders>
                  <w:vAlign w:val="center"/>
                </w:tcPr>
                <w:p>
                  <w:pPr>
                    <w:jc w:val="center"/>
                  </w:pPr>
                </w:p>
              </w:tc>
            </w:tr>
          </w:tbl>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tc>
      </w:tr>
    </w:tbl>
    <w:p>
      <w:pPr>
        <w:snapToGrid w:val="0"/>
        <w:outlineLvl w:val="0"/>
        <w:rPr>
          <w:b/>
          <w:sz w:val="28"/>
          <w:szCs w:val="28"/>
        </w:rPr>
      </w:pPr>
      <w:bookmarkStart w:id="112" w:name="_Toc514340580"/>
      <w:bookmarkStart w:id="113" w:name="_Toc514340329"/>
      <w:r>
        <w:rPr>
          <w:b/>
          <w:sz w:val="28"/>
          <w:szCs w:val="28"/>
        </w:rPr>
        <w:t>评价适用标准</w:t>
      </w:r>
      <w:bookmarkEnd w:id="112"/>
      <w:bookmarkEnd w:id="113"/>
    </w:p>
    <w:tbl>
      <w:tblPr>
        <w:tblStyle w:val="39"/>
        <w:tblW w:w="905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7"/>
        <w:gridCol w:w="85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507" w:type="dxa"/>
            <w:vAlign w:val="center"/>
          </w:tcPr>
          <w:p>
            <w:pPr>
              <w:adjustRightInd w:val="0"/>
              <w:snapToGrid w:val="0"/>
              <w:jc w:val="center"/>
              <w:rPr>
                <w:b/>
                <w:sz w:val="24"/>
              </w:rPr>
            </w:pPr>
            <w:r>
              <w:rPr>
                <w:b/>
                <w:sz w:val="24"/>
              </w:rPr>
              <w:t>环</w:t>
            </w:r>
          </w:p>
          <w:p>
            <w:pPr>
              <w:adjustRightInd w:val="0"/>
              <w:snapToGrid w:val="0"/>
              <w:jc w:val="center"/>
              <w:rPr>
                <w:b/>
                <w:sz w:val="24"/>
              </w:rPr>
            </w:pPr>
            <w:r>
              <w:rPr>
                <w:b/>
                <w:sz w:val="24"/>
              </w:rPr>
              <w:t>境</w:t>
            </w:r>
          </w:p>
          <w:p>
            <w:pPr>
              <w:adjustRightInd w:val="0"/>
              <w:snapToGrid w:val="0"/>
              <w:jc w:val="center"/>
              <w:rPr>
                <w:b/>
                <w:sz w:val="24"/>
              </w:rPr>
            </w:pPr>
            <w:r>
              <w:rPr>
                <w:b/>
                <w:sz w:val="24"/>
              </w:rPr>
              <w:t>质</w:t>
            </w:r>
          </w:p>
          <w:p>
            <w:pPr>
              <w:adjustRightInd w:val="0"/>
              <w:snapToGrid w:val="0"/>
              <w:jc w:val="center"/>
              <w:rPr>
                <w:b/>
                <w:sz w:val="24"/>
              </w:rPr>
            </w:pPr>
            <w:r>
              <w:rPr>
                <w:b/>
                <w:sz w:val="24"/>
              </w:rPr>
              <w:t>量</w:t>
            </w:r>
          </w:p>
          <w:p>
            <w:pPr>
              <w:adjustRightInd w:val="0"/>
              <w:snapToGrid w:val="0"/>
              <w:jc w:val="center"/>
              <w:rPr>
                <w:b/>
                <w:sz w:val="24"/>
              </w:rPr>
            </w:pPr>
            <w:r>
              <w:rPr>
                <w:b/>
                <w:sz w:val="24"/>
              </w:rPr>
              <w:t>标</w:t>
            </w:r>
          </w:p>
          <w:p>
            <w:pPr>
              <w:adjustRightInd w:val="0"/>
              <w:snapToGrid w:val="0"/>
              <w:jc w:val="center"/>
              <w:rPr>
                <w:b/>
                <w:sz w:val="24"/>
              </w:rPr>
            </w:pPr>
            <w:r>
              <w:rPr>
                <w:b/>
                <w:sz w:val="24"/>
              </w:rPr>
              <w:t>准</w:t>
            </w:r>
          </w:p>
        </w:tc>
        <w:tc>
          <w:tcPr>
            <w:tcW w:w="8550" w:type="dxa"/>
            <w:vAlign w:val="center"/>
          </w:tcPr>
          <w:p>
            <w:pPr>
              <w:spacing w:line="360" w:lineRule="auto"/>
              <w:ind w:firstLine="482" w:firstLineChars="200"/>
              <w:rPr>
                <w:b/>
                <w:kern w:val="0"/>
                <w:sz w:val="24"/>
              </w:rPr>
            </w:pPr>
            <w:r>
              <w:rPr>
                <w:b/>
                <w:kern w:val="0"/>
                <w:sz w:val="24"/>
              </w:rPr>
              <w:t>1、环境空气</w:t>
            </w:r>
          </w:p>
          <w:p>
            <w:pPr>
              <w:spacing w:line="360" w:lineRule="auto"/>
              <w:ind w:firstLine="480" w:firstLineChars="200"/>
              <w:rPr>
                <w:bCs/>
                <w:sz w:val="24"/>
              </w:rPr>
            </w:pPr>
            <w:r>
              <w:rPr>
                <w:sz w:val="24"/>
              </w:rPr>
              <w:t>SO</w:t>
            </w:r>
            <w:r>
              <w:rPr>
                <w:sz w:val="24"/>
                <w:vertAlign w:val="subscript"/>
              </w:rPr>
              <w:t>2</w:t>
            </w:r>
            <w:r>
              <w:rPr>
                <w:sz w:val="24"/>
              </w:rPr>
              <w:t>、NO</w:t>
            </w:r>
            <w:r>
              <w:rPr>
                <w:sz w:val="24"/>
                <w:vertAlign w:val="subscript"/>
              </w:rPr>
              <w:t>2</w:t>
            </w:r>
            <w:r>
              <w:rPr>
                <w:sz w:val="24"/>
              </w:rPr>
              <w:t>、PM</w:t>
            </w:r>
            <w:r>
              <w:rPr>
                <w:sz w:val="24"/>
                <w:vertAlign w:val="subscript"/>
              </w:rPr>
              <w:t>10</w:t>
            </w:r>
            <w:r>
              <w:rPr>
                <w:kern w:val="0"/>
                <w:sz w:val="24"/>
              </w:rPr>
              <w:t>执行《环境空气质量标准》（GB3095-2012）</w:t>
            </w:r>
            <w:r>
              <w:rPr>
                <w:rFonts w:hint="eastAsia"/>
                <w:kern w:val="0"/>
                <w:sz w:val="24"/>
              </w:rPr>
              <w:t>及其</w:t>
            </w:r>
            <w:r>
              <w:rPr>
                <w:kern w:val="0"/>
                <w:sz w:val="24"/>
              </w:rPr>
              <w:t>中的二级标准（见表17）；</w:t>
            </w:r>
          </w:p>
          <w:p>
            <w:pPr>
              <w:adjustRightInd w:val="0"/>
              <w:snapToGrid w:val="0"/>
              <w:jc w:val="center"/>
              <w:rPr>
                <w:b/>
                <w:bCs/>
                <w:szCs w:val="21"/>
              </w:rPr>
            </w:pPr>
            <w:r>
              <w:rPr>
                <w:b/>
                <w:bCs/>
                <w:szCs w:val="21"/>
              </w:rPr>
              <w:t>表17    环境空气质量执行标准</w:t>
            </w:r>
          </w:p>
          <w:tbl>
            <w:tblPr>
              <w:tblStyle w:val="39"/>
              <w:tblW w:w="83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2957"/>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24" w:type="dxa"/>
                  <w:gridSpan w:val="3"/>
                  <w:shd w:val="clear" w:color="auto" w:fill="auto"/>
                  <w:vAlign w:val="center"/>
                </w:tcPr>
                <w:p>
                  <w:pPr>
                    <w:rPr>
                      <w:szCs w:val="21"/>
                    </w:rPr>
                  </w:pPr>
                  <w:r>
                    <w:rPr>
                      <w:szCs w:val="21"/>
                    </w:rPr>
                    <w:t>《环境空气质量标准》（GB3095-2012）二级标准主要污染物限值（单位：μg/m</w:t>
                  </w:r>
                  <w:r>
                    <w:rPr>
                      <w:szCs w:val="21"/>
                      <w:vertAlign w:val="superscript"/>
                    </w:rPr>
                    <w:t>3</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36" w:type="dxa"/>
                  <w:shd w:val="clear" w:color="auto" w:fill="auto"/>
                  <w:vAlign w:val="center"/>
                </w:tcPr>
                <w:p>
                  <w:pPr>
                    <w:jc w:val="center"/>
                    <w:rPr>
                      <w:szCs w:val="21"/>
                    </w:rPr>
                  </w:pPr>
                  <w:r>
                    <w:rPr>
                      <w:szCs w:val="21"/>
                    </w:rPr>
                    <w:t>污染因子</w:t>
                  </w:r>
                </w:p>
              </w:tc>
              <w:tc>
                <w:tcPr>
                  <w:tcW w:w="2957" w:type="dxa"/>
                  <w:shd w:val="clear" w:color="auto" w:fill="auto"/>
                  <w:vAlign w:val="center"/>
                </w:tcPr>
                <w:p>
                  <w:pPr>
                    <w:jc w:val="center"/>
                    <w:rPr>
                      <w:szCs w:val="21"/>
                    </w:rPr>
                  </w:pPr>
                  <w:r>
                    <w:rPr>
                      <w:szCs w:val="21"/>
                    </w:rPr>
                    <w:t>平均时间</w:t>
                  </w:r>
                </w:p>
              </w:tc>
              <w:tc>
                <w:tcPr>
                  <w:tcW w:w="2731" w:type="dxa"/>
                  <w:shd w:val="clear" w:color="auto" w:fill="auto"/>
                  <w:vAlign w:val="center"/>
                </w:tcPr>
                <w:p>
                  <w:pPr>
                    <w:jc w:val="center"/>
                    <w:rPr>
                      <w:szCs w:val="21"/>
                    </w:rPr>
                  </w:pPr>
                  <w:r>
                    <w:rPr>
                      <w:rFonts w:hint="eastAsia"/>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36" w:type="dxa"/>
                  <w:shd w:val="clear" w:color="auto" w:fill="auto"/>
                  <w:vAlign w:val="center"/>
                </w:tcPr>
                <w:p>
                  <w:pPr>
                    <w:jc w:val="center"/>
                    <w:rPr>
                      <w:b/>
                      <w:szCs w:val="21"/>
                    </w:rPr>
                  </w:pPr>
                  <w:r>
                    <w:rPr>
                      <w:szCs w:val="21"/>
                    </w:rPr>
                    <w:t>PM</w:t>
                  </w:r>
                  <w:r>
                    <w:rPr>
                      <w:szCs w:val="21"/>
                      <w:vertAlign w:val="subscript"/>
                    </w:rPr>
                    <w:t>10</w:t>
                  </w:r>
                </w:p>
              </w:tc>
              <w:tc>
                <w:tcPr>
                  <w:tcW w:w="2957" w:type="dxa"/>
                  <w:shd w:val="clear" w:color="auto" w:fill="auto"/>
                  <w:vAlign w:val="center"/>
                </w:tcPr>
                <w:p>
                  <w:pPr>
                    <w:jc w:val="center"/>
                    <w:rPr>
                      <w:b/>
                      <w:szCs w:val="21"/>
                    </w:rPr>
                  </w:pPr>
                  <w:r>
                    <w:rPr>
                      <w:szCs w:val="21"/>
                    </w:rPr>
                    <w:t>24</w:t>
                  </w:r>
                  <w:r>
                    <w:rPr>
                      <w:rFonts w:hint="eastAsia"/>
                      <w:szCs w:val="21"/>
                    </w:rPr>
                    <w:t>小时</w:t>
                  </w:r>
                  <w:r>
                    <w:rPr>
                      <w:szCs w:val="21"/>
                    </w:rPr>
                    <w:t>平均</w:t>
                  </w:r>
                </w:p>
              </w:tc>
              <w:tc>
                <w:tcPr>
                  <w:tcW w:w="2731" w:type="dxa"/>
                  <w:shd w:val="clear" w:color="auto" w:fill="auto"/>
                  <w:vAlign w:val="center"/>
                </w:tcPr>
                <w:p>
                  <w:pPr>
                    <w:jc w:val="center"/>
                    <w:rPr>
                      <w:b/>
                      <w:szCs w:val="21"/>
                    </w:rPr>
                  </w:pPr>
                  <w:r>
                    <w:rPr>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36" w:type="dxa"/>
                  <w:vMerge w:val="restart"/>
                  <w:shd w:val="clear" w:color="auto" w:fill="auto"/>
                  <w:vAlign w:val="center"/>
                </w:tcPr>
                <w:p>
                  <w:pPr>
                    <w:jc w:val="center"/>
                    <w:rPr>
                      <w:b/>
                      <w:szCs w:val="21"/>
                    </w:rPr>
                  </w:pPr>
                  <w:r>
                    <w:rPr>
                      <w:szCs w:val="21"/>
                    </w:rPr>
                    <w:t>SO</w:t>
                  </w:r>
                  <w:r>
                    <w:rPr>
                      <w:szCs w:val="21"/>
                      <w:vertAlign w:val="subscript"/>
                    </w:rPr>
                    <w:t>2</w:t>
                  </w:r>
                </w:p>
              </w:tc>
              <w:tc>
                <w:tcPr>
                  <w:tcW w:w="2957" w:type="dxa"/>
                  <w:shd w:val="clear" w:color="auto" w:fill="auto"/>
                  <w:vAlign w:val="center"/>
                </w:tcPr>
                <w:p>
                  <w:pPr>
                    <w:jc w:val="center"/>
                    <w:rPr>
                      <w:b/>
                      <w:szCs w:val="21"/>
                    </w:rPr>
                  </w:pPr>
                  <w:r>
                    <w:rPr>
                      <w:szCs w:val="21"/>
                    </w:rPr>
                    <w:t>24</w:t>
                  </w:r>
                  <w:r>
                    <w:rPr>
                      <w:rFonts w:hint="eastAsia"/>
                      <w:szCs w:val="21"/>
                    </w:rPr>
                    <w:t>小时</w:t>
                  </w:r>
                  <w:r>
                    <w:rPr>
                      <w:szCs w:val="21"/>
                    </w:rPr>
                    <w:t>平均</w:t>
                  </w:r>
                </w:p>
              </w:tc>
              <w:tc>
                <w:tcPr>
                  <w:tcW w:w="2731" w:type="dxa"/>
                  <w:shd w:val="clear" w:color="auto" w:fill="auto"/>
                  <w:vAlign w:val="center"/>
                </w:tcPr>
                <w:p>
                  <w:pPr>
                    <w:jc w:val="center"/>
                    <w:rPr>
                      <w:b/>
                      <w:szCs w:val="21"/>
                    </w:rPr>
                  </w:pPr>
                  <w:r>
                    <w:rPr>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36" w:type="dxa"/>
                  <w:vMerge w:val="continue"/>
                  <w:shd w:val="clear" w:color="auto" w:fill="auto"/>
                  <w:vAlign w:val="center"/>
                </w:tcPr>
                <w:p>
                  <w:pPr>
                    <w:jc w:val="center"/>
                    <w:rPr>
                      <w:b/>
                      <w:szCs w:val="21"/>
                    </w:rPr>
                  </w:pPr>
                </w:p>
              </w:tc>
              <w:tc>
                <w:tcPr>
                  <w:tcW w:w="2957" w:type="dxa"/>
                  <w:shd w:val="clear" w:color="auto" w:fill="auto"/>
                  <w:vAlign w:val="center"/>
                </w:tcPr>
                <w:p>
                  <w:pPr>
                    <w:jc w:val="center"/>
                    <w:rPr>
                      <w:b/>
                      <w:szCs w:val="21"/>
                    </w:rPr>
                  </w:pPr>
                  <w:r>
                    <w:rPr>
                      <w:szCs w:val="21"/>
                    </w:rPr>
                    <w:t>1</w:t>
                  </w:r>
                  <w:r>
                    <w:rPr>
                      <w:rFonts w:hint="eastAsia"/>
                      <w:szCs w:val="21"/>
                    </w:rPr>
                    <w:t>小时</w:t>
                  </w:r>
                  <w:r>
                    <w:rPr>
                      <w:szCs w:val="21"/>
                    </w:rPr>
                    <w:t>平均</w:t>
                  </w:r>
                </w:p>
              </w:tc>
              <w:tc>
                <w:tcPr>
                  <w:tcW w:w="2731" w:type="dxa"/>
                  <w:shd w:val="clear" w:color="auto" w:fill="auto"/>
                  <w:vAlign w:val="center"/>
                </w:tcPr>
                <w:p>
                  <w:pPr>
                    <w:jc w:val="center"/>
                    <w:rPr>
                      <w:b/>
                      <w:szCs w:val="21"/>
                    </w:rPr>
                  </w:pPr>
                  <w:r>
                    <w:rPr>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36" w:type="dxa"/>
                  <w:vMerge w:val="restart"/>
                  <w:shd w:val="clear" w:color="auto" w:fill="auto"/>
                  <w:vAlign w:val="center"/>
                </w:tcPr>
                <w:p>
                  <w:pPr>
                    <w:jc w:val="center"/>
                    <w:rPr>
                      <w:b/>
                      <w:szCs w:val="21"/>
                    </w:rPr>
                  </w:pPr>
                  <w:r>
                    <w:rPr>
                      <w:szCs w:val="21"/>
                    </w:rPr>
                    <w:t>NO</w:t>
                  </w:r>
                  <w:r>
                    <w:rPr>
                      <w:szCs w:val="21"/>
                      <w:vertAlign w:val="subscript"/>
                    </w:rPr>
                    <w:t>2</w:t>
                  </w:r>
                </w:p>
              </w:tc>
              <w:tc>
                <w:tcPr>
                  <w:tcW w:w="2957" w:type="dxa"/>
                  <w:shd w:val="clear" w:color="auto" w:fill="auto"/>
                  <w:vAlign w:val="center"/>
                </w:tcPr>
                <w:p>
                  <w:pPr>
                    <w:jc w:val="center"/>
                    <w:rPr>
                      <w:b/>
                      <w:szCs w:val="21"/>
                    </w:rPr>
                  </w:pPr>
                  <w:r>
                    <w:rPr>
                      <w:szCs w:val="21"/>
                    </w:rPr>
                    <w:t>24</w:t>
                  </w:r>
                  <w:r>
                    <w:rPr>
                      <w:rFonts w:hint="eastAsia"/>
                      <w:szCs w:val="21"/>
                    </w:rPr>
                    <w:t>小时</w:t>
                  </w:r>
                  <w:r>
                    <w:rPr>
                      <w:szCs w:val="21"/>
                    </w:rPr>
                    <w:t>平均</w:t>
                  </w:r>
                </w:p>
              </w:tc>
              <w:tc>
                <w:tcPr>
                  <w:tcW w:w="2731" w:type="dxa"/>
                  <w:shd w:val="clear" w:color="auto" w:fill="auto"/>
                  <w:vAlign w:val="center"/>
                </w:tcPr>
                <w:p>
                  <w:pPr>
                    <w:jc w:val="center"/>
                    <w:rPr>
                      <w:b/>
                      <w:szCs w:val="21"/>
                    </w:rPr>
                  </w:pPr>
                  <w:r>
                    <w:rPr>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36" w:type="dxa"/>
                  <w:vMerge w:val="continue"/>
                  <w:shd w:val="clear" w:color="auto" w:fill="auto"/>
                  <w:vAlign w:val="center"/>
                </w:tcPr>
                <w:p>
                  <w:pPr>
                    <w:jc w:val="center"/>
                    <w:rPr>
                      <w:b/>
                      <w:szCs w:val="21"/>
                    </w:rPr>
                  </w:pPr>
                </w:p>
              </w:tc>
              <w:tc>
                <w:tcPr>
                  <w:tcW w:w="2957" w:type="dxa"/>
                  <w:shd w:val="clear" w:color="auto" w:fill="auto"/>
                  <w:vAlign w:val="center"/>
                </w:tcPr>
                <w:p>
                  <w:pPr>
                    <w:jc w:val="center"/>
                    <w:rPr>
                      <w:b/>
                      <w:szCs w:val="21"/>
                    </w:rPr>
                  </w:pPr>
                  <w:r>
                    <w:rPr>
                      <w:szCs w:val="21"/>
                    </w:rPr>
                    <w:t>1</w:t>
                  </w:r>
                  <w:r>
                    <w:rPr>
                      <w:rFonts w:hint="eastAsia"/>
                      <w:szCs w:val="21"/>
                    </w:rPr>
                    <w:t>小时</w:t>
                  </w:r>
                  <w:r>
                    <w:rPr>
                      <w:szCs w:val="21"/>
                    </w:rPr>
                    <w:t>平均</w:t>
                  </w:r>
                </w:p>
              </w:tc>
              <w:tc>
                <w:tcPr>
                  <w:tcW w:w="2731" w:type="dxa"/>
                  <w:shd w:val="clear" w:color="auto" w:fill="auto"/>
                  <w:vAlign w:val="center"/>
                </w:tcPr>
                <w:p>
                  <w:pPr>
                    <w:jc w:val="center"/>
                    <w:rPr>
                      <w:b/>
                      <w:szCs w:val="21"/>
                    </w:rPr>
                  </w:pPr>
                  <w:r>
                    <w:rPr>
                      <w:szCs w:val="21"/>
                    </w:rPr>
                    <w:t>200</w:t>
                  </w:r>
                </w:p>
              </w:tc>
            </w:tr>
          </w:tbl>
          <w:p>
            <w:pPr>
              <w:adjustRightInd w:val="0"/>
              <w:snapToGrid w:val="0"/>
              <w:spacing w:before="120" w:beforeLines="50" w:line="360" w:lineRule="auto"/>
              <w:ind w:firstLine="482" w:firstLineChars="200"/>
              <w:rPr>
                <w:b/>
                <w:sz w:val="24"/>
              </w:rPr>
            </w:pPr>
            <w:r>
              <w:rPr>
                <w:b/>
                <w:sz w:val="24"/>
              </w:rPr>
              <w:t>2、声环境</w:t>
            </w:r>
          </w:p>
          <w:p>
            <w:pPr>
              <w:adjustRightInd w:val="0"/>
              <w:snapToGrid w:val="0"/>
              <w:spacing w:line="360" w:lineRule="auto"/>
              <w:ind w:firstLine="480" w:firstLineChars="200"/>
              <w:rPr>
                <w:sz w:val="24"/>
              </w:rPr>
            </w:pPr>
            <w:r>
              <w:rPr>
                <w:sz w:val="24"/>
              </w:rPr>
              <w:t>执行《声环境质量标准》（GB3096-2008）中的3类标准（见表18）。</w:t>
            </w:r>
          </w:p>
          <w:p>
            <w:pPr>
              <w:jc w:val="center"/>
              <w:rPr>
                <w:b/>
                <w:bCs/>
              </w:rPr>
            </w:pPr>
            <w:r>
              <w:rPr>
                <w:b/>
                <w:bCs/>
              </w:rPr>
              <w:t>表18    《声环境质量标准》（GB3096-2008）</w:t>
            </w:r>
          </w:p>
          <w:tbl>
            <w:tblPr>
              <w:tblStyle w:val="39"/>
              <w:tblW w:w="83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2046"/>
              <w:gridCol w:w="1969"/>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2183" w:type="dxa"/>
                  <w:vMerge w:val="restart"/>
                  <w:vAlign w:val="center"/>
                </w:tcPr>
                <w:p>
                  <w:pPr>
                    <w:jc w:val="center"/>
                    <w:rPr>
                      <w:szCs w:val="21"/>
                    </w:rPr>
                  </w:pPr>
                  <w:r>
                    <w:rPr>
                      <w:szCs w:val="21"/>
                    </w:rPr>
                    <w:t>声环境功能区类别</w:t>
                  </w:r>
                </w:p>
              </w:tc>
              <w:tc>
                <w:tcPr>
                  <w:tcW w:w="4015" w:type="dxa"/>
                  <w:gridSpan w:val="2"/>
                  <w:vAlign w:val="center"/>
                </w:tcPr>
                <w:p>
                  <w:pPr>
                    <w:jc w:val="center"/>
                    <w:rPr>
                      <w:szCs w:val="21"/>
                    </w:rPr>
                  </w:pPr>
                  <w:r>
                    <w:rPr>
                      <w:szCs w:val="21"/>
                    </w:rPr>
                    <w:t>时段</w:t>
                  </w:r>
                </w:p>
              </w:tc>
              <w:tc>
                <w:tcPr>
                  <w:tcW w:w="2126" w:type="dxa"/>
                  <w:vMerge w:val="restart"/>
                  <w:vAlign w:val="center"/>
                </w:tcPr>
                <w:p>
                  <w:pPr>
                    <w:jc w:val="center"/>
                    <w:rPr>
                      <w:szCs w:val="21"/>
                    </w:rPr>
                  </w:pPr>
                  <w:r>
                    <w:rPr>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2183" w:type="dxa"/>
                  <w:vMerge w:val="continue"/>
                  <w:vAlign w:val="center"/>
                </w:tcPr>
                <w:p>
                  <w:pPr>
                    <w:widowControl/>
                    <w:jc w:val="left"/>
                    <w:rPr>
                      <w:szCs w:val="21"/>
                    </w:rPr>
                  </w:pPr>
                </w:p>
              </w:tc>
              <w:tc>
                <w:tcPr>
                  <w:tcW w:w="2046" w:type="dxa"/>
                  <w:vAlign w:val="center"/>
                </w:tcPr>
                <w:p>
                  <w:pPr>
                    <w:jc w:val="center"/>
                    <w:rPr>
                      <w:szCs w:val="21"/>
                    </w:rPr>
                  </w:pPr>
                  <w:r>
                    <w:rPr>
                      <w:szCs w:val="21"/>
                    </w:rPr>
                    <w:t>昼间</w:t>
                  </w:r>
                </w:p>
              </w:tc>
              <w:tc>
                <w:tcPr>
                  <w:tcW w:w="1969" w:type="dxa"/>
                  <w:vAlign w:val="center"/>
                </w:tcPr>
                <w:p>
                  <w:pPr>
                    <w:jc w:val="center"/>
                    <w:rPr>
                      <w:szCs w:val="21"/>
                    </w:rPr>
                  </w:pPr>
                  <w:r>
                    <w:rPr>
                      <w:szCs w:val="21"/>
                    </w:rPr>
                    <w:t>夜间</w:t>
                  </w:r>
                </w:p>
              </w:tc>
              <w:tc>
                <w:tcPr>
                  <w:tcW w:w="2126"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2183" w:type="dxa"/>
                  <w:vAlign w:val="center"/>
                </w:tcPr>
                <w:p>
                  <w:pPr>
                    <w:jc w:val="center"/>
                    <w:rPr>
                      <w:szCs w:val="21"/>
                    </w:rPr>
                  </w:pPr>
                  <w:r>
                    <w:rPr>
                      <w:rFonts w:hint="eastAsia"/>
                      <w:szCs w:val="21"/>
                    </w:rPr>
                    <w:t>2</w:t>
                  </w:r>
                  <w:r>
                    <w:rPr>
                      <w:szCs w:val="21"/>
                    </w:rPr>
                    <w:t>类</w:t>
                  </w:r>
                </w:p>
              </w:tc>
              <w:tc>
                <w:tcPr>
                  <w:tcW w:w="2046" w:type="dxa"/>
                  <w:vAlign w:val="center"/>
                </w:tcPr>
                <w:p>
                  <w:pPr>
                    <w:jc w:val="center"/>
                    <w:rPr>
                      <w:szCs w:val="21"/>
                    </w:rPr>
                  </w:pPr>
                  <w:r>
                    <w:rPr>
                      <w:rFonts w:hint="eastAsia"/>
                      <w:szCs w:val="21"/>
                    </w:rPr>
                    <w:t>60</w:t>
                  </w:r>
                </w:p>
              </w:tc>
              <w:tc>
                <w:tcPr>
                  <w:tcW w:w="1969" w:type="dxa"/>
                  <w:vAlign w:val="center"/>
                </w:tcPr>
                <w:p>
                  <w:pPr>
                    <w:jc w:val="center"/>
                    <w:rPr>
                      <w:szCs w:val="21"/>
                    </w:rPr>
                  </w:pPr>
                  <w:r>
                    <w:rPr>
                      <w:rFonts w:hint="eastAsia"/>
                      <w:szCs w:val="21"/>
                    </w:rPr>
                    <w:t>50</w:t>
                  </w:r>
                </w:p>
              </w:tc>
              <w:tc>
                <w:tcPr>
                  <w:tcW w:w="2126" w:type="dxa"/>
                  <w:vAlign w:val="center"/>
                </w:tcPr>
                <w:p>
                  <w:pPr>
                    <w:jc w:val="center"/>
                    <w:rPr>
                      <w:szCs w:val="21"/>
                    </w:rPr>
                  </w:pPr>
                  <w:r>
                    <w:rPr>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2183" w:type="dxa"/>
                  <w:vAlign w:val="center"/>
                </w:tcPr>
                <w:p>
                  <w:pPr>
                    <w:jc w:val="center"/>
                    <w:rPr>
                      <w:szCs w:val="21"/>
                    </w:rPr>
                  </w:pPr>
                  <w:r>
                    <w:rPr>
                      <w:szCs w:val="21"/>
                    </w:rPr>
                    <w:t>3类</w:t>
                  </w:r>
                </w:p>
              </w:tc>
              <w:tc>
                <w:tcPr>
                  <w:tcW w:w="2046" w:type="dxa"/>
                  <w:vAlign w:val="center"/>
                </w:tcPr>
                <w:p>
                  <w:pPr>
                    <w:jc w:val="center"/>
                    <w:rPr>
                      <w:szCs w:val="21"/>
                    </w:rPr>
                  </w:pPr>
                  <w:r>
                    <w:rPr>
                      <w:szCs w:val="21"/>
                    </w:rPr>
                    <w:t>65</w:t>
                  </w:r>
                </w:p>
              </w:tc>
              <w:tc>
                <w:tcPr>
                  <w:tcW w:w="1969" w:type="dxa"/>
                  <w:vAlign w:val="center"/>
                </w:tcPr>
                <w:p>
                  <w:pPr>
                    <w:jc w:val="center"/>
                    <w:rPr>
                      <w:szCs w:val="21"/>
                    </w:rPr>
                  </w:pPr>
                  <w:r>
                    <w:rPr>
                      <w:szCs w:val="21"/>
                    </w:rPr>
                    <w:t>55</w:t>
                  </w:r>
                </w:p>
              </w:tc>
              <w:tc>
                <w:tcPr>
                  <w:tcW w:w="2126" w:type="dxa"/>
                  <w:vAlign w:val="center"/>
                </w:tcPr>
                <w:p>
                  <w:pPr>
                    <w:jc w:val="center"/>
                    <w:rPr>
                      <w:szCs w:val="21"/>
                    </w:rPr>
                  </w:pPr>
                  <w:r>
                    <w:rPr>
                      <w:szCs w:val="21"/>
                    </w:rPr>
                    <w:t>dB（A）</w:t>
                  </w:r>
                </w:p>
              </w:tc>
            </w:tr>
          </w:tbl>
          <w:p>
            <w:pPr>
              <w:adjustRightInd w:val="0"/>
              <w:snapToGrid w:val="0"/>
              <w:spacing w:before="120" w:beforeLines="50" w:line="360" w:lineRule="auto"/>
              <w:ind w:firstLine="482" w:firstLineChars="200"/>
              <w:rPr>
                <w:b/>
                <w:sz w:val="24"/>
              </w:rPr>
            </w:pPr>
          </w:p>
          <w:p>
            <w:pPr>
              <w:adjustRightInd w:val="0"/>
              <w:snapToGrid w:val="0"/>
              <w:spacing w:line="360" w:lineRule="auto"/>
              <w:ind w:firstLine="480" w:firstLineChars="200"/>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507" w:type="dxa"/>
            <w:vAlign w:val="center"/>
          </w:tcPr>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r>
              <w:rPr>
                <w:b/>
                <w:sz w:val="24"/>
              </w:rPr>
              <w:t>污</w:t>
            </w:r>
          </w:p>
          <w:p>
            <w:pPr>
              <w:adjustRightInd w:val="0"/>
              <w:snapToGrid w:val="0"/>
              <w:jc w:val="center"/>
              <w:rPr>
                <w:b/>
                <w:sz w:val="24"/>
              </w:rPr>
            </w:pPr>
            <w:r>
              <w:rPr>
                <w:b/>
                <w:sz w:val="24"/>
              </w:rPr>
              <w:t>染</w:t>
            </w:r>
          </w:p>
          <w:p>
            <w:pPr>
              <w:adjustRightInd w:val="0"/>
              <w:snapToGrid w:val="0"/>
              <w:jc w:val="center"/>
              <w:rPr>
                <w:b/>
                <w:sz w:val="24"/>
              </w:rPr>
            </w:pPr>
            <w:r>
              <w:rPr>
                <w:b/>
                <w:sz w:val="24"/>
              </w:rPr>
              <w:t>物</w:t>
            </w:r>
          </w:p>
          <w:p>
            <w:pPr>
              <w:adjustRightInd w:val="0"/>
              <w:snapToGrid w:val="0"/>
              <w:jc w:val="center"/>
              <w:rPr>
                <w:b/>
                <w:sz w:val="24"/>
              </w:rPr>
            </w:pPr>
            <w:r>
              <w:rPr>
                <w:b/>
                <w:sz w:val="24"/>
              </w:rPr>
              <w:t>排</w:t>
            </w:r>
          </w:p>
          <w:p>
            <w:pPr>
              <w:adjustRightInd w:val="0"/>
              <w:snapToGrid w:val="0"/>
              <w:jc w:val="center"/>
              <w:rPr>
                <w:b/>
                <w:sz w:val="24"/>
              </w:rPr>
            </w:pPr>
            <w:r>
              <w:rPr>
                <w:b/>
                <w:sz w:val="24"/>
              </w:rPr>
              <w:t>放</w:t>
            </w:r>
          </w:p>
          <w:p>
            <w:pPr>
              <w:adjustRightInd w:val="0"/>
              <w:snapToGrid w:val="0"/>
              <w:jc w:val="center"/>
              <w:rPr>
                <w:b/>
                <w:sz w:val="24"/>
              </w:rPr>
            </w:pPr>
            <w:r>
              <w:rPr>
                <w:b/>
                <w:sz w:val="24"/>
              </w:rPr>
              <w:t>标</w:t>
            </w:r>
          </w:p>
          <w:p>
            <w:pPr>
              <w:adjustRightInd w:val="0"/>
              <w:snapToGrid w:val="0"/>
              <w:jc w:val="center"/>
              <w:rPr>
                <w:b/>
                <w:sz w:val="24"/>
              </w:rPr>
            </w:pPr>
            <w:r>
              <w:rPr>
                <w:b/>
                <w:sz w:val="24"/>
              </w:rPr>
              <w:t>准</w:t>
            </w: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8"/>
                <w:szCs w:val="22"/>
              </w:rPr>
            </w:pPr>
          </w:p>
          <w:p>
            <w:pPr>
              <w:adjustRightInd w:val="0"/>
              <w:snapToGrid w:val="0"/>
              <w:jc w:val="center"/>
              <w:rPr>
                <w:b/>
                <w:sz w:val="24"/>
              </w:rPr>
            </w:pPr>
            <w:r>
              <w:rPr>
                <w:b/>
                <w:sz w:val="24"/>
              </w:rPr>
              <w:t>污</w:t>
            </w:r>
          </w:p>
          <w:p>
            <w:pPr>
              <w:adjustRightInd w:val="0"/>
              <w:snapToGrid w:val="0"/>
              <w:jc w:val="center"/>
              <w:rPr>
                <w:b/>
                <w:sz w:val="24"/>
              </w:rPr>
            </w:pPr>
            <w:r>
              <w:rPr>
                <w:b/>
                <w:sz w:val="24"/>
              </w:rPr>
              <w:t>染</w:t>
            </w:r>
          </w:p>
          <w:p>
            <w:pPr>
              <w:adjustRightInd w:val="0"/>
              <w:snapToGrid w:val="0"/>
              <w:jc w:val="center"/>
              <w:rPr>
                <w:b/>
                <w:sz w:val="24"/>
              </w:rPr>
            </w:pPr>
            <w:r>
              <w:rPr>
                <w:b/>
                <w:sz w:val="24"/>
              </w:rPr>
              <w:t>物</w:t>
            </w:r>
          </w:p>
          <w:p>
            <w:pPr>
              <w:adjustRightInd w:val="0"/>
              <w:snapToGrid w:val="0"/>
              <w:jc w:val="center"/>
              <w:rPr>
                <w:b/>
                <w:sz w:val="24"/>
              </w:rPr>
            </w:pPr>
            <w:r>
              <w:rPr>
                <w:b/>
                <w:sz w:val="24"/>
              </w:rPr>
              <w:t>排</w:t>
            </w:r>
          </w:p>
          <w:p>
            <w:pPr>
              <w:adjustRightInd w:val="0"/>
              <w:snapToGrid w:val="0"/>
              <w:jc w:val="center"/>
              <w:rPr>
                <w:b/>
                <w:sz w:val="24"/>
              </w:rPr>
            </w:pPr>
            <w:r>
              <w:rPr>
                <w:b/>
                <w:sz w:val="24"/>
              </w:rPr>
              <w:t>放</w:t>
            </w:r>
          </w:p>
          <w:p>
            <w:pPr>
              <w:adjustRightInd w:val="0"/>
              <w:snapToGrid w:val="0"/>
              <w:jc w:val="center"/>
              <w:rPr>
                <w:b/>
                <w:sz w:val="24"/>
              </w:rPr>
            </w:pPr>
            <w:r>
              <w:rPr>
                <w:b/>
                <w:sz w:val="24"/>
              </w:rPr>
              <w:t>标</w:t>
            </w:r>
          </w:p>
          <w:p>
            <w:pPr>
              <w:adjustRightInd w:val="0"/>
              <w:snapToGrid w:val="0"/>
              <w:jc w:val="center"/>
              <w:rPr>
                <w:b/>
                <w:sz w:val="24"/>
              </w:rPr>
            </w:pPr>
            <w:r>
              <w:rPr>
                <w:b/>
                <w:sz w:val="24"/>
              </w:rPr>
              <w:t>准</w:t>
            </w:r>
          </w:p>
          <w:p>
            <w:pPr>
              <w:adjustRightInd w:val="0"/>
              <w:snapToGrid w:val="0"/>
              <w:jc w:val="center"/>
              <w:rPr>
                <w:b/>
                <w:sz w:val="28"/>
                <w:szCs w:val="22"/>
              </w:rPr>
            </w:pPr>
          </w:p>
          <w:p>
            <w:pPr>
              <w:adjustRightInd w:val="0"/>
              <w:snapToGrid w:val="0"/>
              <w:jc w:val="center"/>
              <w:rPr>
                <w:b/>
                <w:sz w:val="28"/>
                <w:szCs w:val="22"/>
              </w:rPr>
            </w:pPr>
          </w:p>
          <w:p>
            <w:pPr>
              <w:adjustRightInd w:val="0"/>
              <w:snapToGrid w:val="0"/>
              <w:jc w:val="center"/>
              <w:rPr>
                <w:b/>
                <w:sz w:val="28"/>
                <w:szCs w:val="22"/>
              </w:rPr>
            </w:pPr>
          </w:p>
          <w:p>
            <w:pPr>
              <w:adjustRightInd w:val="0"/>
              <w:snapToGrid w:val="0"/>
              <w:jc w:val="center"/>
              <w:rPr>
                <w:b/>
                <w:sz w:val="28"/>
                <w:szCs w:val="22"/>
              </w:rPr>
            </w:pPr>
          </w:p>
          <w:p>
            <w:pPr>
              <w:adjustRightInd w:val="0"/>
              <w:snapToGrid w:val="0"/>
              <w:jc w:val="center"/>
              <w:rPr>
                <w:b/>
                <w:sz w:val="28"/>
                <w:szCs w:val="22"/>
              </w:rPr>
            </w:pPr>
          </w:p>
          <w:p>
            <w:pPr>
              <w:adjustRightInd w:val="0"/>
              <w:snapToGrid w:val="0"/>
              <w:jc w:val="center"/>
              <w:rPr>
                <w:b/>
                <w:sz w:val="28"/>
                <w:szCs w:val="22"/>
              </w:rPr>
            </w:pPr>
          </w:p>
          <w:p>
            <w:pPr>
              <w:adjustRightInd w:val="0"/>
              <w:snapToGrid w:val="0"/>
              <w:jc w:val="center"/>
              <w:rPr>
                <w:b/>
                <w:sz w:val="28"/>
                <w:szCs w:val="22"/>
              </w:rPr>
            </w:pPr>
          </w:p>
          <w:p>
            <w:pPr>
              <w:adjustRightInd w:val="0"/>
              <w:snapToGrid w:val="0"/>
              <w:jc w:val="center"/>
              <w:rPr>
                <w:b/>
                <w:sz w:val="28"/>
                <w:szCs w:val="22"/>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8"/>
                <w:szCs w:val="22"/>
              </w:rPr>
            </w:pPr>
          </w:p>
        </w:tc>
        <w:tc>
          <w:tcPr>
            <w:tcW w:w="8550" w:type="dxa"/>
            <w:vAlign w:val="center"/>
          </w:tcPr>
          <w:p>
            <w:pPr>
              <w:widowControl/>
              <w:spacing w:before="120" w:beforeLines="50" w:line="360" w:lineRule="auto"/>
              <w:ind w:firstLine="482" w:firstLineChars="200"/>
              <w:rPr>
                <w:b/>
                <w:sz w:val="24"/>
              </w:rPr>
            </w:pPr>
            <w:r>
              <w:rPr>
                <w:b/>
                <w:sz w:val="24"/>
              </w:rPr>
              <w:t>1、环境空气</w:t>
            </w:r>
          </w:p>
          <w:p>
            <w:pPr>
              <w:widowControl/>
              <w:spacing w:line="360" w:lineRule="auto"/>
              <w:ind w:firstLine="480" w:firstLineChars="200"/>
              <w:rPr>
                <w:sz w:val="24"/>
              </w:rPr>
            </w:pPr>
            <w:r>
              <w:rPr>
                <w:sz w:val="24"/>
              </w:rPr>
              <w:t>施工扬尘执行《施工场界扬尘排放限值》（DB61/1078-2017）中表1标准；施工机械排放尾气执行《非道路移动机械用柴油机排气污染物排放限值及测量方法（中国第三、四阶段）》（GB20891-2014）表2第三阶段污染物排放限值（见表19）。</w:t>
            </w:r>
          </w:p>
          <w:p>
            <w:pPr>
              <w:widowControl/>
              <w:spacing w:line="360" w:lineRule="auto"/>
              <w:ind w:firstLine="480" w:firstLineChars="200"/>
              <w:rPr>
                <w:sz w:val="24"/>
              </w:rPr>
            </w:pPr>
            <w:r>
              <w:rPr>
                <w:sz w:val="24"/>
              </w:rPr>
              <w:t>项目</w:t>
            </w:r>
            <w:r>
              <w:rPr>
                <w:rFonts w:hint="eastAsia"/>
                <w:sz w:val="24"/>
              </w:rPr>
              <w:t>运行</w:t>
            </w:r>
            <w:r>
              <w:rPr>
                <w:sz w:val="24"/>
              </w:rPr>
              <w:t>期大气污染物排放执行《大气污染物排放标准》</w:t>
            </w:r>
            <w:r>
              <w:rPr>
                <w:rFonts w:hint="eastAsia"/>
                <w:sz w:val="24"/>
              </w:rPr>
              <w:t>（</w:t>
            </w:r>
            <w:r>
              <w:rPr>
                <w:sz w:val="24"/>
              </w:rPr>
              <w:t>GB16297-1996</w:t>
            </w:r>
            <w:r>
              <w:rPr>
                <w:rFonts w:hint="eastAsia"/>
                <w:sz w:val="24"/>
              </w:rPr>
              <w:t>）</w:t>
            </w:r>
            <w:r>
              <w:rPr>
                <w:sz w:val="24"/>
              </w:rPr>
              <w:t>表2标准</w:t>
            </w:r>
            <w:r>
              <w:rPr>
                <w:rFonts w:hint="eastAsia"/>
                <w:sz w:val="24"/>
              </w:rPr>
              <w:t>。</w:t>
            </w:r>
          </w:p>
          <w:p>
            <w:pPr>
              <w:contextualSpacing/>
              <w:jc w:val="center"/>
              <w:rPr>
                <w:b/>
                <w:bCs/>
                <w:szCs w:val="20"/>
              </w:rPr>
            </w:pPr>
            <w:r>
              <w:rPr>
                <w:b/>
                <w:bCs/>
                <w:szCs w:val="20"/>
              </w:rPr>
              <w:t xml:space="preserve">表19    </w:t>
            </w:r>
            <w:r>
              <w:rPr>
                <w:rFonts w:hint="eastAsia"/>
                <w:b/>
                <w:bCs/>
                <w:szCs w:val="20"/>
              </w:rPr>
              <w:t>施工</w:t>
            </w:r>
            <w:r>
              <w:rPr>
                <w:b/>
                <w:bCs/>
                <w:szCs w:val="20"/>
              </w:rPr>
              <w:t>废气排放标准</w:t>
            </w:r>
          </w:p>
          <w:tbl>
            <w:tblPr>
              <w:tblStyle w:val="39"/>
              <w:tblW w:w="8324"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2"/>
              <w:gridCol w:w="2631"/>
              <w:gridCol w:w="1413"/>
              <w:gridCol w:w="578"/>
              <w:gridCol w:w="774"/>
              <w:gridCol w:w="1164"/>
              <w:gridCol w:w="10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97" w:hRule="atLeast"/>
                <w:jc w:val="center"/>
              </w:trPr>
              <w:tc>
                <w:tcPr>
                  <w:tcW w:w="672" w:type="dxa"/>
                  <w:vMerge w:val="restart"/>
                  <w:vAlign w:val="center"/>
                </w:tcPr>
                <w:p>
                  <w:pPr>
                    <w:adjustRightInd w:val="0"/>
                    <w:snapToGrid w:val="0"/>
                    <w:spacing w:line="200" w:lineRule="atLeast"/>
                    <w:jc w:val="center"/>
                    <w:rPr>
                      <w:szCs w:val="21"/>
                    </w:rPr>
                  </w:pPr>
                  <w:r>
                    <w:rPr>
                      <w:szCs w:val="21"/>
                    </w:rPr>
                    <w:t>污染物</w:t>
                  </w:r>
                </w:p>
              </w:tc>
              <w:tc>
                <w:tcPr>
                  <w:tcW w:w="2631" w:type="dxa"/>
                  <w:vMerge w:val="restart"/>
                  <w:vAlign w:val="center"/>
                </w:tcPr>
                <w:p>
                  <w:pPr>
                    <w:adjustRightInd w:val="0"/>
                    <w:snapToGrid w:val="0"/>
                    <w:spacing w:line="220" w:lineRule="atLeast"/>
                    <w:jc w:val="center"/>
                    <w:rPr>
                      <w:szCs w:val="21"/>
                    </w:rPr>
                  </w:pPr>
                  <w:r>
                    <w:rPr>
                      <w:szCs w:val="21"/>
                    </w:rPr>
                    <w:t>标准名称</w:t>
                  </w:r>
                </w:p>
              </w:tc>
              <w:tc>
                <w:tcPr>
                  <w:tcW w:w="2765" w:type="dxa"/>
                  <w:gridSpan w:val="3"/>
                  <w:vMerge w:val="restart"/>
                  <w:vAlign w:val="center"/>
                </w:tcPr>
                <w:p>
                  <w:pPr>
                    <w:adjustRightInd w:val="0"/>
                    <w:snapToGrid w:val="0"/>
                    <w:spacing w:line="220" w:lineRule="atLeast"/>
                    <w:jc w:val="center"/>
                    <w:rPr>
                      <w:szCs w:val="21"/>
                    </w:rPr>
                  </w:pPr>
                  <w:r>
                    <w:rPr>
                      <w:szCs w:val="21"/>
                    </w:rPr>
                    <w:t>执行标准</w:t>
                  </w:r>
                </w:p>
              </w:tc>
              <w:tc>
                <w:tcPr>
                  <w:tcW w:w="2256" w:type="dxa"/>
                  <w:gridSpan w:val="2"/>
                  <w:vAlign w:val="center"/>
                </w:tcPr>
                <w:p>
                  <w:pPr>
                    <w:adjustRightInd w:val="0"/>
                    <w:snapToGrid w:val="0"/>
                    <w:spacing w:line="220" w:lineRule="atLeast"/>
                    <w:jc w:val="center"/>
                    <w:rPr>
                      <w:szCs w:val="21"/>
                    </w:rPr>
                  </w:pPr>
                  <w:r>
                    <w:rPr>
                      <w:szCs w:val="21"/>
                    </w:rPr>
                    <w:t>标准值（mg/m</w:t>
                  </w:r>
                  <w:r>
                    <w:rPr>
                      <w:szCs w:val="21"/>
                      <w:vertAlign w:val="superscript"/>
                    </w:rPr>
                    <w:t>3</w:t>
                  </w:r>
                  <w:r>
                    <w:rPr>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54" w:hRule="atLeast"/>
                <w:jc w:val="center"/>
              </w:trPr>
              <w:tc>
                <w:tcPr>
                  <w:tcW w:w="672" w:type="dxa"/>
                  <w:vMerge w:val="continue"/>
                  <w:vAlign w:val="center"/>
                </w:tcPr>
                <w:p>
                  <w:pPr>
                    <w:adjustRightInd w:val="0"/>
                    <w:snapToGrid w:val="0"/>
                    <w:spacing w:line="220" w:lineRule="atLeast"/>
                    <w:jc w:val="center"/>
                    <w:rPr>
                      <w:szCs w:val="21"/>
                    </w:rPr>
                  </w:pPr>
                </w:p>
              </w:tc>
              <w:tc>
                <w:tcPr>
                  <w:tcW w:w="2631" w:type="dxa"/>
                  <w:vMerge w:val="continue"/>
                  <w:vAlign w:val="center"/>
                </w:tcPr>
                <w:p>
                  <w:pPr>
                    <w:widowControl/>
                    <w:adjustRightInd w:val="0"/>
                    <w:snapToGrid w:val="0"/>
                    <w:spacing w:line="220" w:lineRule="atLeast"/>
                    <w:jc w:val="center"/>
                    <w:rPr>
                      <w:szCs w:val="21"/>
                    </w:rPr>
                  </w:pPr>
                </w:p>
              </w:tc>
              <w:tc>
                <w:tcPr>
                  <w:tcW w:w="2765" w:type="dxa"/>
                  <w:gridSpan w:val="3"/>
                  <w:vMerge w:val="continue"/>
                  <w:vAlign w:val="center"/>
                </w:tcPr>
                <w:p>
                  <w:pPr>
                    <w:widowControl/>
                    <w:adjustRightInd w:val="0"/>
                    <w:snapToGrid w:val="0"/>
                    <w:spacing w:line="220" w:lineRule="atLeast"/>
                    <w:jc w:val="center"/>
                    <w:rPr>
                      <w:szCs w:val="21"/>
                    </w:rPr>
                  </w:pPr>
                </w:p>
              </w:tc>
              <w:tc>
                <w:tcPr>
                  <w:tcW w:w="1164" w:type="dxa"/>
                  <w:vAlign w:val="center"/>
                </w:tcPr>
                <w:p>
                  <w:pPr>
                    <w:adjustRightInd w:val="0"/>
                    <w:snapToGrid w:val="0"/>
                    <w:spacing w:line="220" w:lineRule="atLeast"/>
                    <w:jc w:val="center"/>
                    <w:rPr>
                      <w:szCs w:val="21"/>
                    </w:rPr>
                  </w:pPr>
                  <w:r>
                    <w:rPr>
                      <w:szCs w:val="21"/>
                    </w:rPr>
                    <w:t>项目</w:t>
                  </w:r>
                </w:p>
              </w:tc>
              <w:tc>
                <w:tcPr>
                  <w:tcW w:w="1092" w:type="dxa"/>
                  <w:vAlign w:val="center"/>
                </w:tcPr>
                <w:p>
                  <w:pPr>
                    <w:adjustRightInd w:val="0"/>
                    <w:snapToGrid w:val="0"/>
                    <w:spacing w:line="220" w:lineRule="atLeast"/>
                    <w:jc w:val="center"/>
                    <w:rPr>
                      <w:szCs w:val="21"/>
                    </w:rPr>
                  </w:pPr>
                  <w:r>
                    <w:rPr>
                      <w:szCs w:val="21"/>
                    </w:rPr>
                    <w:t>限值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46" w:hRule="atLeast"/>
                <w:jc w:val="center"/>
              </w:trPr>
              <w:tc>
                <w:tcPr>
                  <w:tcW w:w="672" w:type="dxa"/>
                  <w:vMerge w:val="restart"/>
                  <w:vAlign w:val="center"/>
                </w:tcPr>
                <w:p>
                  <w:pPr>
                    <w:adjustRightInd w:val="0"/>
                    <w:snapToGrid w:val="0"/>
                    <w:jc w:val="center"/>
                    <w:rPr>
                      <w:szCs w:val="21"/>
                    </w:rPr>
                  </w:pPr>
                  <w:r>
                    <w:rPr>
                      <w:szCs w:val="21"/>
                    </w:rPr>
                    <w:t>废气</w:t>
                  </w:r>
                </w:p>
              </w:tc>
              <w:tc>
                <w:tcPr>
                  <w:tcW w:w="2631" w:type="dxa"/>
                  <w:vMerge w:val="restart"/>
                  <w:vAlign w:val="center"/>
                </w:tcPr>
                <w:p>
                  <w:pPr>
                    <w:adjustRightInd w:val="0"/>
                    <w:snapToGrid w:val="0"/>
                    <w:jc w:val="center"/>
                    <w:rPr>
                      <w:szCs w:val="21"/>
                    </w:rPr>
                  </w:pPr>
                  <w:r>
                    <w:rPr>
                      <w:szCs w:val="21"/>
                    </w:rPr>
                    <w:t>《施工场界扬尘排放限值》DB61/1078-2017</w:t>
                  </w:r>
                </w:p>
              </w:tc>
              <w:tc>
                <w:tcPr>
                  <w:tcW w:w="2765" w:type="dxa"/>
                  <w:gridSpan w:val="3"/>
                  <w:vAlign w:val="center"/>
                </w:tcPr>
                <w:p>
                  <w:pPr>
                    <w:adjustRightInd w:val="0"/>
                    <w:snapToGrid w:val="0"/>
                    <w:jc w:val="center"/>
                    <w:rPr>
                      <w:szCs w:val="21"/>
                    </w:rPr>
                  </w:pPr>
                  <w:r>
                    <w:rPr>
                      <w:szCs w:val="21"/>
                    </w:rPr>
                    <w:t>拆除、土方及地基处理工程</w:t>
                  </w:r>
                </w:p>
              </w:tc>
              <w:tc>
                <w:tcPr>
                  <w:tcW w:w="1164" w:type="dxa"/>
                  <w:vMerge w:val="restart"/>
                  <w:vAlign w:val="center"/>
                </w:tcPr>
                <w:p>
                  <w:pPr>
                    <w:adjustRightInd w:val="0"/>
                    <w:snapToGrid w:val="0"/>
                    <w:jc w:val="center"/>
                    <w:rPr>
                      <w:szCs w:val="21"/>
                    </w:rPr>
                  </w:pPr>
                  <w:r>
                    <w:rPr>
                      <w:szCs w:val="21"/>
                    </w:rPr>
                    <w:t>TSP</w:t>
                  </w:r>
                </w:p>
              </w:tc>
              <w:tc>
                <w:tcPr>
                  <w:tcW w:w="1092" w:type="dxa"/>
                  <w:vAlign w:val="center"/>
                </w:tcPr>
                <w:p>
                  <w:pPr>
                    <w:widowControl/>
                    <w:adjustRightInd w:val="0"/>
                    <w:snapToGrid w:val="0"/>
                    <w:jc w:val="center"/>
                    <w:rPr>
                      <w:szCs w:val="21"/>
                    </w:rPr>
                  </w:pPr>
                  <w:r>
                    <w:rPr>
                      <w:szCs w:val="21"/>
                    </w:rPr>
                    <w:t>≤0.8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62" w:hRule="atLeast"/>
                <w:jc w:val="center"/>
              </w:trPr>
              <w:tc>
                <w:tcPr>
                  <w:tcW w:w="672" w:type="dxa"/>
                  <w:vMerge w:val="continue"/>
                  <w:vAlign w:val="center"/>
                </w:tcPr>
                <w:p>
                  <w:pPr>
                    <w:adjustRightInd w:val="0"/>
                    <w:snapToGrid w:val="0"/>
                    <w:jc w:val="center"/>
                    <w:rPr>
                      <w:szCs w:val="21"/>
                    </w:rPr>
                  </w:pPr>
                </w:p>
              </w:tc>
              <w:tc>
                <w:tcPr>
                  <w:tcW w:w="2631" w:type="dxa"/>
                  <w:vMerge w:val="continue"/>
                  <w:vAlign w:val="center"/>
                </w:tcPr>
                <w:p>
                  <w:pPr>
                    <w:adjustRightInd w:val="0"/>
                    <w:snapToGrid w:val="0"/>
                    <w:jc w:val="center"/>
                    <w:rPr>
                      <w:szCs w:val="21"/>
                    </w:rPr>
                  </w:pPr>
                </w:p>
              </w:tc>
              <w:tc>
                <w:tcPr>
                  <w:tcW w:w="2765" w:type="dxa"/>
                  <w:gridSpan w:val="3"/>
                  <w:vAlign w:val="center"/>
                </w:tcPr>
                <w:p>
                  <w:pPr>
                    <w:adjustRightInd w:val="0"/>
                    <w:snapToGrid w:val="0"/>
                    <w:jc w:val="center"/>
                    <w:rPr>
                      <w:szCs w:val="21"/>
                    </w:rPr>
                  </w:pPr>
                  <w:r>
                    <w:rPr>
                      <w:szCs w:val="21"/>
                    </w:rPr>
                    <w:t>基础、主体结构及装饰工程</w:t>
                  </w:r>
                </w:p>
              </w:tc>
              <w:tc>
                <w:tcPr>
                  <w:tcW w:w="1164" w:type="dxa"/>
                  <w:vMerge w:val="continue"/>
                  <w:vAlign w:val="center"/>
                </w:tcPr>
                <w:p>
                  <w:pPr>
                    <w:adjustRightInd w:val="0"/>
                    <w:snapToGrid w:val="0"/>
                    <w:jc w:val="center"/>
                    <w:rPr>
                      <w:szCs w:val="21"/>
                    </w:rPr>
                  </w:pPr>
                </w:p>
              </w:tc>
              <w:tc>
                <w:tcPr>
                  <w:tcW w:w="1092" w:type="dxa"/>
                  <w:vAlign w:val="center"/>
                </w:tcPr>
                <w:p>
                  <w:pPr>
                    <w:widowControl/>
                    <w:adjustRightInd w:val="0"/>
                    <w:snapToGrid w:val="0"/>
                    <w:jc w:val="center"/>
                    <w:rPr>
                      <w:szCs w:val="21"/>
                    </w:rPr>
                  </w:pPr>
                  <w:r>
                    <w:rPr>
                      <w:szCs w:val="21"/>
                    </w:rPr>
                    <w:t>≤0.7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46" w:hRule="atLeast"/>
                <w:jc w:val="center"/>
              </w:trPr>
              <w:tc>
                <w:tcPr>
                  <w:tcW w:w="672" w:type="dxa"/>
                  <w:vMerge w:val="continue"/>
                  <w:vAlign w:val="center"/>
                </w:tcPr>
                <w:p>
                  <w:pPr>
                    <w:adjustRightInd w:val="0"/>
                    <w:snapToGrid w:val="0"/>
                    <w:jc w:val="center"/>
                    <w:rPr>
                      <w:szCs w:val="21"/>
                    </w:rPr>
                  </w:pPr>
                </w:p>
              </w:tc>
              <w:tc>
                <w:tcPr>
                  <w:tcW w:w="2631" w:type="dxa"/>
                  <w:vMerge w:val="restart"/>
                  <w:vAlign w:val="center"/>
                </w:tcPr>
                <w:p>
                  <w:pPr>
                    <w:wordWrap w:val="0"/>
                    <w:adjustRightInd w:val="0"/>
                    <w:snapToGrid w:val="0"/>
                    <w:jc w:val="center"/>
                    <w:rPr>
                      <w:szCs w:val="21"/>
                    </w:rPr>
                  </w:pPr>
                  <w:r>
                    <w:rPr>
                      <w:szCs w:val="21"/>
                    </w:rPr>
                    <w:t>《非道路移动机械用柴油机排气污染物排放限值及测方法》GB20891-2014</w:t>
                  </w:r>
                </w:p>
              </w:tc>
              <w:tc>
                <w:tcPr>
                  <w:tcW w:w="1413" w:type="dxa"/>
                  <w:vMerge w:val="restart"/>
                  <w:vAlign w:val="center"/>
                </w:tcPr>
                <w:p>
                  <w:pPr>
                    <w:adjustRightInd w:val="0"/>
                    <w:snapToGrid w:val="0"/>
                    <w:jc w:val="center"/>
                    <w:rPr>
                      <w:szCs w:val="21"/>
                    </w:rPr>
                  </w:pPr>
                  <w:r>
                    <w:rPr>
                      <w:szCs w:val="21"/>
                    </w:rPr>
                    <w:t>第三阶段</w:t>
                  </w:r>
                </w:p>
              </w:tc>
              <w:tc>
                <w:tcPr>
                  <w:tcW w:w="578" w:type="dxa"/>
                  <w:vMerge w:val="restart"/>
                  <w:tcBorders>
                    <w:right w:val="single" w:color="auto" w:sz="4" w:space="0"/>
                  </w:tcBorders>
                  <w:vAlign w:val="center"/>
                </w:tcPr>
                <w:p>
                  <w:pPr>
                    <w:adjustRightInd w:val="0"/>
                    <w:snapToGrid w:val="0"/>
                    <w:jc w:val="center"/>
                    <w:rPr>
                      <w:szCs w:val="21"/>
                    </w:rPr>
                  </w:pPr>
                  <w:r>
                    <w:rPr>
                      <w:szCs w:val="21"/>
                    </w:rPr>
                    <w:t>130≤P≤560</w:t>
                  </w:r>
                </w:p>
              </w:tc>
              <w:tc>
                <w:tcPr>
                  <w:tcW w:w="774" w:type="dxa"/>
                  <w:tcBorders>
                    <w:top w:val="single" w:color="auto" w:sz="4" w:space="0"/>
                    <w:left w:val="single" w:color="auto" w:sz="4" w:space="0"/>
                    <w:right w:val="single" w:color="auto" w:sz="4" w:space="0"/>
                  </w:tcBorders>
                  <w:vAlign w:val="center"/>
                </w:tcPr>
                <w:p>
                  <w:pPr>
                    <w:adjustRightInd w:val="0"/>
                    <w:snapToGrid w:val="0"/>
                    <w:jc w:val="center"/>
                    <w:rPr>
                      <w:szCs w:val="21"/>
                    </w:rPr>
                  </w:pPr>
                  <w:r>
                    <w:rPr>
                      <w:szCs w:val="21"/>
                    </w:rPr>
                    <w:t>CO</w:t>
                  </w:r>
                </w:p>
              </w:tc>
              <w:tc>
                <w:tcPr>
                  <w:tcW w:w="1164" w:type="dxa"/>
                  <w:tcBorders>
                    <w:left w:val="single" w:color="auto" w:sz="4" w:space="0"/>
                  </w:tcBorders>
                  <w:vAlign w:val="center"/>
                </w:tcPr>
                <w:p>
                  <w:pPr>
                    <w:adjustRightInd w:val="0"/>
                    <w:snapToGrid w:val="0"/>
                    <w:jc w:val="center"/>
                    <w:rPr>
                      <w:szCs w:val="21"/>
                    </w:rPr>
                  </w:pPr>
                  <w:r>
                    <w:rPr>
                      <w:szCs w:val="21"/>
                    </w:rPr>
                    <w:t>3.5</w:t>
                  </w:r>
                </w:p>
              </w:tc>
              <w:tc>
                <w:tcPr>
                  <w:tcW w:w="1092" w:type="dxa"/>
                  <w:vMerge w:val="restart"/>
                  <w:vAlign w:val="center"/>
                </w:tcPr>
                <w:p>
                  <w:pPr>
                    <w:adjustRightInd w:val="0"/>
                    <w:snapToGrid w:val="0"/>
                    <w:jc w:val="center"/>
                    <w:rPr>
                      <w:szCs w:val="21"/>
                    </w:rPr>
                  </w:pPr>
                  <w:r>
                    <w:rPr>
                      <w:szCs w:val="21"/>
                    </w:rPr>
                    <w:t>g/KWh</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78" w:hRule="atLeast"/>
                <w:jc w:val="center"/>
              </w:trPr>
              <w:tc>
                <w:tcPr>
                  <w:tcW w:w="672" w:type="dxa"/>
                  <w:vMerge w:val="continue"/>
                  <w:vAlign w:val="center"/>
                </w:tcPr>
                <w:p>
                  <w:pPr>
                    <w:adjustRightInd w:val="0"/>
                    <w:snapToGrid w:val="0"/>
                    <w:jc w:val="center"/>
                    <w:rPr>
                      <w:szCs w:val="21"/>
                    </w:rPr>
                  </w:pPr>
                </w:p>
              </w:tc>
              <w:tc>
                <w:tcPr>
                  <w:tcW w:w="2631" w:type="dxa"/>
                  <w:vMerge w:val="continue"/>
                  <w:vAlign w:val="center"/>
                </w:tcPr>
                <w:p>
                  <w:pPr>
                    <w:adjustRightInd w:val="0"/>
                    <w:snapToGrid w:val="0"/>
                    <w:jc w:val="center"/>
                    <w:rPr>
                      <w:szCs w:val="21"/>
                    </w:rPr>
                  </w:pPr>
                </w:p>
              </w:tc>
              <w:tc>
                <w:tcPr>
                  <w:tcW w:w="1413" w:type="dxa"/>
                  <w:vMerge w:val="continue"/>
                  <w:vAlign w:val="center"/>
                </w:tcPr>
                <w:p>
                  <w:pPr>
                    <w:adjustRightInd w:val="0"/>
                    <w:snapToGrid w:val="0"/>
                    <w:jc w:val="center"/>
                    <w:rPr>
                      <w:szCs w:val="21"/>
                    </w:rPr>
                  </w:pPr>
                </w:p>
              </w:tc>
              <w:tc>
                <w:tcPr>
                  <w:tcW w:w="578" w:type="dxa"/>
                  <w:vMerge w:val="continue"/>
                  <w:tcBorders>
                    <w:right w:val="single" w:color="auto" w:sz="4" w:space="0"/>
                  </w:tcBorders>
                  <w:vAlign w:val="center"/>
                </w:tcPr>
                <w:p>
                  <w:pPr>
                    <w:adjustRightInd w:val="0"/>
                    <w:snapToGrid w:val="0"/>
                    <w:jc w:val="center"/>
                    <w:rPr>
                      <w:szCs w:val="21"/>
                    </w:rPr>
                  </w:pPr>
                </w:p>
              </w:tc>
              <w:tc>
                <w:tcPr>
                  <w:tcW w:w="774" w:type="dxa"/>
                  <w:tcBorders>
                    <w:left w:val="single" w:color="auto" w:sz="4" w:space="0"/>
                    <w:right w:val="single" w:color="auto" w:sz="4" w:space="0"/>
                  </w:tcBorders>
                  <w:vAlign w:val="center"/>
                </w:tcPr>
                <w:p>
                  <w:pPr>
                    <w:adjustRightInd w:val="0"/>
                    <w:snapToGrid w:val="0"/>
                    <w:jc w:val="center"/>
                    <w:rPr>
                      <w:szCs w:val="21"/>
                    </w:rPr>
                  </w:pPr>
                  <w:r>
                    <w:rPr>
                      <w:szCs w:val="21"/>
                    </w:rPr>
                    <w:t>HC</w:t>
                  </w:r>
                </w:p>
              </w:tc>
              <w:tc>
                <w:tcPr>
                  <w:tcW w:w="1164" w:type="dxa"/>
                  <w:tcBorders>
                    <w:left w:val="single" w:color="auto" w:sz="4" w:space="0"/>
                  </w:tcBorders>
                  <w:vAlign w:val="center"/>
                </w:tcPr>
                <w:p>
                  <w:pPr>
                    <w:adjustRightInd w:val="0"/>
                    <w:snapToGrid w:val="0"/>
                    <w:jc w:val="center"/>
                    <w:rPr>
                      <w:szCs w:val="21"/>
                    </w:rPr>
                  </w:pPr>
                  <w:r>
                    <w:rPr>
                      <w:szCs w:val="21"/>
                    </w:rPr>
                    <w:t>/</w:t>
                  </w:r>
                </w:p>
              </w:tc>
              <w:tc>
                <w:tcPr>
                  <w:tcW w:w="1092"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96" w:hRule="atLeast"/>
                <w:jc w:val="center"/>
              </w:trPr>
              <w:tc>
                <w:tcPr>
                  <w:tcW w:w="672" w:type="dxa"/>
                  <w:vMerge w:val="continue"/>
                  <w:vAlign w:val="center"/>
                </w:tcPr>
                <w:p>
                  <w:pPr>
                    <w:adjustRightInd w:val="0"/>
                    <w:snapToGrid w:val="0"/>
                    <w:jc w:val="center"/>
                    <w:rPr>
                      <w:szCs w:val="21"/>
                    </w:rPr>
                  </w:pPr>
                </w:p>
              </w:tc>
              <w:tc>
                <w:tcPr>
                  <w:tcW w:w="2631" w:type="dxa"/>
                  <w:vMerge w:val="continue"/>
                  <w:vAlign w:val="center"/>
                </w:tcPr>
                <w:p>
                  <w:pPr>
                    <w:adjustRightInd w:val="0"/>
                    <w:snapToGrid w:val="0"/>
                    <w:jc w:val="center"/>
                    <w:rPr>
                      <w:szCs w:val="21"/>
                    </w:rPr>
                  </w:pPr>
                </w:p>
              </w:tc>
              <w:tc>
                <w:tcPr>
                  <w:tcW w:w="1413" w:type="dxa"/>
                  <w:vMerge w:val="continue"/>
                  <w:vAlign w:val="center"/>
                </w:tcPr>
                <w:p>
                  <w:pPr>
                    <w:adjustRightInd w:val="0"/>
                    <w:snapToGrid w:val="0"/>
                    <w:jc w:val="center"/>
                    <w:rPr>
                      <w:szCs w:val="21"/>
                    </w:rPr>
                  </w:pPr>
                </w:p>
              </w:tc>
              <w:tc>
                <w:tcPr>
                  <w:tcW w:w="578" w:type="dxa"/>
                  <w:vMerge w:val="continue"/>
                  <w:tcBorders>
                    <w:right w:val="single" w:color="auto" w:sz="4" w:space="0"/>
                  </w:tcBorders>
                  <w:vAlign w:val="center"/>
                </w:tcPr>
                <w:p>
                  <w:pPr>
                    <w:adjustRightInd w:val="0"/>
                    <w:snapToGrid w:val="0"/>
                    <w:jc w:val="center"/>
                    <w:rPr>
                      <w:szCs w:val="21"/>
                    </w:rPr>
                  </w:pPr>
                </w:p>
              </w:tc>
              <w:tc>
                <w:tcPr>
                  <w:tcW w:w="774" w:type="dxa"/>
                  <w:tcBorders>
                    <w:left w:val="single" w:color="auto" w:sz="4" w:space="0"/>
                    <w:right w:val="single" w:color="auto" w:sz="4" w:space="0"/>
                  </w:tcBorders>
                  <w:vAlign w:val="center"/>
                </w:tcPr>
                <w:p>
                  <w:pPr>
                    <w:adjustRightInd w:val="0"/>
                    <w:snapToGrid w:val="0"/>
                    <w:jc w:val="center"/>
                    <w:rPr>
                      <w:szCs w:val="21"/>
                    </w:rPr>
                  </w:pPr>
                  <w:r>
                    <w:rPr>
                      <w:szCs w:val="21"/>
                    </w:rPr>
                    <w:t>NO</w:t>
                  </w:r>
                  <w:r>
                    <w:rPr>
                      <w:szCs w:val="21"/>
                      <w:vertAlign w:val="subscript"/>
                    </w:rPr>
                    <w:t>X</w:t>
                  </w:r>
                </w:p>
              </w:tc>
              <w:tc>
                <w:tcPr>
                  <w:tcW w:w="1164" w:type="dxa"/>
                  <w:tcBorders>
                    <w:left w:val="single" w:color="auto" w:sz="4" w:space="0"/>
                  </w:tcBorders>
                  <w:vAlign w:val="center"/>
                </w:tcPr>
                <w:p>
                  <w:pPr>
                    <w:adjustRightInd w:val="0"/>
                    <w:snapToGrid w:val="0"/>
                    <w:jc w:val="center"/>
                    <w:rPr>
                      <w:szCs w:val="21"/>
                    </w:rPr>
                  </w:pPr>
                  <w:r>
                    <w:rPr>
                      <w:szCs w:val="21"/>
                    </w:rPr>
                    <w:t>/</w:t>
                  </w:r>
                </w:p>
              </w:tc>
              <w:tc>
                <w:tcPr>
                  <w:tcW w:w="1092"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20" w:hRule="atLeast"/>
                <w:jc w:val="center"/>
              </w:trPr>
              <w:tc>
                <w:tcPr>
                  <w:tcW w:w="672" w:type="dxa"/>
                  <w:vMerge w:val="continue"/>
                  <w:vAlign w:val="center"/>
                </w:tcPr>
                <w:p>
                  <w:pPr>
                    <w:adjustRightInd w:val="0"/>
                    <w:snapToGrid w:val="0"/>
                    <w:jc w:val="center"/>
                    <w:rPr>
                      <w:szCs w:val="21"/>
                    </w:rPr>
                  </w:pPr>
                </w:p>
              </w:tc>
              <w:tc>
                <w:tcPr>
                  <w:tcW w:w="2631" w:type="dxa"/>
                  <w:vMerge w:val="continue"/>
                  <w:vAlign w:val="center"/>
                </w:tcPr>
                <w:p>
                  <w:pPr>
                    <w:adjustRightInd w:val="0"/>
                    <w:snapToGrid w:val="0"/>
                    <w:jc w:val="center"/>
                    <w:rPr>
                      <w:szCs w:val="21"/>
                    </w:rPr>
                  </w:pPr>
                </w:p>
              </w:tc>
              <w:tc>
                <w:tcPr>
                  <w:tcW w:w="1413" w:type="dxa"/>
                  <w:vMerge w:val="continue"/>
                  <w:vAlign w:val="center"/>
                </w:tcPr>
                <w:p>
                  <w:pPr>
                    <w:adjustRightInd w:val="0"/>
                    <w:snapToGrid w:val="0"/>
                    <w:jc w:val="center"/>
                    <w:rPr>
                      <w:szCs w:val="21"/>
                    </w:rPr>
                  </w:pPr>
                </w:p>
              </w:tc>
              <w:tc>
                <w:tcPr>
                  <w:tcW w:w="578" w:type="dxa"/>
                  <w:vMerge w:val="continue"/>
                  <w:tcBorders>
                    <w:right w:val="single" w:color="auto" w:sz="4" w:space="0"/>
                  </w:tcBorders>
                  <w:vAlign w:val="center"/>
                </w:tcPr>
                <w:p>
                  <w:pPr>
                    <w:adjustRightInd w:val="0"/>
                    <w:snapToGrid w:val="0"/>
                    <w:jc w:val="center"/>
                    <w:rPr>
                      <w:szCs w:val="21"/>
                    </w:rPr>
                  </w:pPr>
                </w:p>
              </w:tc>
              <w:tc>
                <w:tcPr>
                  <w:tcW w:w="774" w:type="dxa"/>
                  <w:tcBorders>
                    <w:left w:val="single" w:color="auto" w:sz="4" w:space="0"/>
                    <w:right w:val="single" w:color="auto" w:sz="4" w:space="0"/>
                  </w:tcBorders>
                  <w:vAlign w:val="center"/>
                </w:tcPr>
                <w:p>
                  <w:pPr>
                    <w:adjustRightInd w:val="0"/>
                    <w:snapToGrid w:val="0"/>
                    <w:jc w:val="center"/>
                    <w:rPr>
                      <w:szCs w:val="21"/>
                    </w:rPr>
                  </w:pPr>
                  <w:r>
                    <w:rPr>
                      <w:szCs w:val="21"/>
                    </w:rPr>
                    <w:t>PM</w:t>
                  </w:r>
                </w:p>
              </w:tc>
              <w:tc>
                <w:tcPr>
                  <w:tcW w:w="1164" w:type="dxa"/>
                  <w:tcBorders>
                    <w:left w:val="single" w:color="auto" w:sz="4" w:space="0"/>
                  </w:tcBorders>
                  <w:vAlign w:val="center"/>
                </w:tcPr>
                <w:p>
                  <w:pPr>
                    <w:adjustRightInd w:val="0"/>
                    <w:snapToGrid w:val="0"/>
                    <w:jc w:val="center"/>
                    <w:rPr>
                      <w:szCs w:val="21"/>
                    </w:rPr>
                  </w:pPr>
                  <w:r>
                    <w:rPr>
                      <w:szCs w:val="21"/>
                    </w:rPr>
                    <w:t>0.2</w:t>
                  </w:r>
                </w:p>
              </w:tc>
              <w:tc>
                <w:tcPr>
                  <w:tcW w:w="1092" w:type="dxa"/>
                  <w:vMerge w:val="continue"/>
                  <w:vAlign w:val="center"/>
                </w:tcPr>
                <w:p>
                  <w:pPr>
                    <w:adjustRightInd w:val="0"/>
                    <w:snapToGrid w:val="0"/>
                    <w:jc w:val="center"/>
                    <w:rPr>
                      <w:szCs w:val="21"/>
                    </w:rPr>
                  </w:pPr>
                </w:p>
              </w:tc>
            </w:tr>
          </w:tbl>
          <w:p>
            <w:pPr>
              <w:widowControl/>
              <w:spacing w:before="120" w:beforeLines="50" w:line="360" w:lineRule="auto"/>
              <w:ind w:firstLine="482" w:firstLineChars="200"/>
              <w:rPr>
                <w:b/>
                <w:sz w:val="24"/>
              </w:rPr>
            </w:pPr>
            <w:r>
              <w:rPr>
                <w:b/>
                <w:sz w:val="24"/>
              </w:rPr>
              <w:t>2、水环境</w:t>
            </w:r>
          </w:p>
          <w:p>
            <w:pPr>
              <w:widowControl/>
              <w:spacing w:line="360" w:lineRule="auto"/>
              <w:ind w:firstLine="480" w:firstLineChars="200"/>
              <w:rPr>
                <w:sz w:val="24"/>
              </w:rPr>
            </w:pPr>
            <w:r>
              <w:rPr>
                <w:rFonts w:hint="eastAsia"/>
                <w:sz w:val="24"/>
              </w:rPr>
              <w:t>项目运行期间不新增污水排放。</w:t>
            </w:r>
          </w:p>
          <w:p>
            <w:pPr>
              <w:spacing w:line="360" w:lineRule="auto"/>
              <w:ind w:firstLine="482" w:firstLineChars="200"/>
              <w:rPr>
                <w:b/>
                <w:sz w:val="24"/>
              </w:rPr>
            </w:pPr>
            <w:r>
              <w:rPr>
                <w:b/>
                <w:sz w:val="24"/>
              </w:rPr>
              <w:t>3、声环境</w:t>
            </w:r>
          </w:p>
          <w:p>
            <w:pPr>
              <w:spacing w:line="360" w:lineRule="auto"/>
              <w:ind w:firstLine="480" w:firstLineChars="200"/>
              <w:rPr>
                <w:sz w:val="24"/>
              </w:rPr>
            </w:pPr>
            <w:r>
              <w:rPr>
                <w:sz w:val="24"/>
              </w:rPr>
              <w:t>施工噪声执行《建筑施工场界环境噪声排放标准》（GB12523-2011）（见表</w:t>
            </w:r>
            <w:r>
              <w:rPr>
                <w:rFonts w:hint="eastAsia"/>
                <w:sz w:val="24"/>
              </w:rPr>
              <w:t>2</w:t>
            </w:r>
            <w:r>
              <w:rPr>
                <w:sz w:val="24"/>
              </w:rPr>
              <w:t>0）；运行期场界环境噪声执行《工业企业厂界环境噪声排放标准》（GB12348-2008）中3类标准。</w:t>
            </w:r>
          </w:p>
          <w:p>
            <w:pPr>
              <w:jc w:val="center"/>
              <w:rPr>
                <w:b/>
                <w:szCs w:val="21"/>
              </w:rPr>
            </w:pPr>
            <w:r>
              <w:rPr>
                <w:b/>
                <w:szCs w:val="21"/>
              </w:rPr>
              <w:t>表</w:t>
            </w:r>
            <w:r>
              <w:rPr>
                <w:rFonts w:hint="eastAsia"/>
                <w:b/>
                <w:szCs w:val="21"/>
              </w:rPr>
              <w:t>2</w:t>
            </w:r>
            <w:r>
              <w:rPr>
                <w:b/>
                <w:szCs w:val="21"/>
              </w:rPr>
              <w:t xml:space="preserve">0   </w:t>
            </w:r>
            <w:r>
              <w:rPr>
                <w:rFonts w:hint="eastAsia"/>
                <w:b/>
                <w:szCs w:val="21"/>
              </w:rPr>
              <w:t xml:space="preserve"> </w:t>
            </w:r>
            <w:r>
              <w:rPr>
                <w:b/>
                <w:szCs w:val="21"/>
              </w:rPr>
              <w:t>噪声排放标准</w:t>
            </w:r>
          </w:p>
          <w:tbl>
            <w:tblPr>
              <w:tblStyle w:val="39"/>
              <w:tblW w:w="83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7"/>
              <w:gridCol w:w="2225"/>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117" w:type="dxa"/>
                  <w:vMerge w:val="restart"/>
                  <w:vAlign w:val="center"/>
                </w:tcPr>
                <w:p>
                  <w:pPr>
                    <w:adjustRightInd w:val="0"/>
                    <w:snapToGrid w:val="0"/>
                    <w:jc w:val="center"/>
                    <w:rPr>
                      <w:szCs w:val="21"/>
                    </w:rPr>
                  </w:pPr>
                  <w:r>
                    <w:rPr>
                      <w:szCs w:val="21"/>
                    </w:rPr>
                    <w:t>标准</w:t>
                  </w:r>
                </w:p>
              </w:tc>
              <w:tc>
                <w:tcPr>
                  <w:tcW w:w="4207" w:type="dxa"/>
                  <w:gridSpan w:val="2"/>
                  <w:vAlign w:val="center"/>
                </w:tcPr>
                <w:p>
                  <w:pPr>
                    <w:adjustRightInd w:val="0"/>
                    <w:snapToGrid w:val="0"/>
                    <w:jc w:val="center"/>
                    <w:rPr>
                      <w:szCs w:val="21"/>
                    </w:rPr>
                  </w:pPr>
                  <w:r>
                    <w:rPr>
                      <w:szCs w:val="21"/>
                    </w:rPr>
                    <w:t>标准值（dB（A））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117" w:type="dxa"/>
                  <w:vMerge w:val="continue"/>
                  <w:vAlign w:val="center"/>
                </w:tcPr>
                <w:p>
                  <w:pPr>
                    <w:adjustRightInd w:val="0"/>
                    <w:snapToGrid w:val="0"/>
                    <w:jc w:val="center"/>
                    <w:rPr>
                      <w:szCs w:val="21"/>
                    </w:rPr>
                  </w:pPr>
                </w:p>
              </w:tc>
              <w:tc>
                <w:tcPr>
                  <w:tcW w:w="2225" w:type="dxa"/>
                  <w:vAlign w:val="center"/>
                </w:tcPr>
                <w:p>
                  <w:pPr>
                    <w:adjustRightInd w:val="0"/>
                    <w:snapToGrid w:val="0"/>
                    <w:jc w:val="center"/>
                    <w:rPr>
                      <w:szCs w:val="21"/>
                    </w:rPr>
                  </w:pPr>
                  <w:r>
                    <w:rPr>
                      <w:szCs w:val="21"/>
                    </w:rPr>
                    <w:t>昼间</w:t>
                  </w:r>
                </w:p>
              </w:tc>
              <w:tc>
                <w:tcPr>
                  <w:tcW w:w="1982" w:type="dxa"/>
                  <w:vAlign w:val="center"/>
                </w:tcPr>
                <w:p>
                  <w:pPr>
                    <w:adjustRightInd w:val="0"/>
                    <w:snapToGrid w:val="0"/>
                    <w:jc w:val="center"/>
                    <w:rPr>
                      <w:szCs w:val="21"/>
                    </w:rPr>
                  </w:pPr>
                  <w:r>
                    <w:rPr>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jc w:val="center"/>
              </w:trPr>
              <w:tc>
                <w:tcPr>
                  <w:tcW w:w="4117" w:type="dxa"/>
                  <w:vAlign w:val="center"/>
                </w:tcPr>
                <w:p>
                  <w:pPr>
                    <w:adjustRightInd w:val="0"/>
                    <w:snapToGrid w:val="0"/>
                    <w:jc w:val="center"/>
                    <w:rPr>
                      <w:szCs w:val="21"/>
                    </w:rPr>
                  </w:pPr>
                  <w:r>
                    <w:rPr>
                      <w:szCs w:val="21"/>
                    </w:rPr>
                    <w:t>《建筑施工场界环境噪声排放标准》（GB12523-2011）</w:t>
                  </w:r>
                </w:p>
              </w:tc>
              <w:tc>
                <w:tcPr>
                  <w:tcW w:w="2225" w:type="dxa"/>
                  <w:vAlign w:val="center"/>
                </w:tcPr>
                <w:p>
                  <w:pPr>
                    <w:adjustRightInd w:val="0"/>
                    <w:snapToGrid w:val="0"/>
                    <w:jc w:val="center"/>
                    <w:rPr>
                      <w:szCs w:val="21"/>
                    </w:rPr>
                  </w:pPr>
                  <w:r>
                    <w:rPr>
                      <w:szCs w:val="21"/>
                    </w:rPr>
                    <w:t>70</w:t>
                  </w:r>
                </w:p>
              </w:tc>
              <w:tc>
                <w:tcPr>
                  <w:tcW w:w="1982" w:type="dxa"/>
                  <w:vAlign w:val="center"/>
                </w:tcPr>
                <w:p>
                  <w:pPr>
                    <w:adjustRightInd w:val="0"/>
                    <w:snapToGrid w:val="0"/>
                    <w:jc w:val="center"/>
                    <w:rPr>
                      <w:szCs w:val="21"/>
                    </w:rPr>
                  </w:pPr>
                  <w:r>
                    <w:rPr>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117" w:type="dxa"/>
                  <w:vAlign w:val="center"/>
                </w:tcPr>
                <w:p>
                  <w:pPr>
                    <w:adjustRightInd w:val="0"/>
                    <w:snapToGrid w:val="0"/>
                    <w:jc w:val="center"/>
                    <w:rPr>
                      <w:szCs w:val="21"/>
                    </w:rPr>
                  </w:pPr>
                  <w:r>
                    <w:rPr>
                      <w:szCs w:val="21"/>
                    </w:rPr>
                    <w:t>《工业企业厂界环境噪声排放标准》（GB12348-2008）中3类标准</w:t>
                  </w:r>
                </w:p>
              </w:tc>
              <w:tc>
                <w:tcPr>
                  <w:tcW w:w="2225" w:type="dxa"/>
                  <w:vAlign w:val="center"/>
                </w:tcPr>
                <w:p>
                  <w:pPr>
                    <w:adjustRightInd w:val="0"/>
                    <w:snapToGrid w:val="0"/>
                    <w:jc w:val="center"/>
                    <w:rPr>
                      <w:szCs w:val="21"/>
                    </w:rPr>
                  </w:pPr>
                  <w:r>
                    <w:rPr>
                      <w:szCs w:val="21"/>
                    </w:rPr>
                    <w:t>65</w:t>
                  </w:r>
                </w:p>
              </w:tc>
              <w:tc>
                <w:tcPr>
                  <w:tcW w:w="1982" w:type="dxa"/>
                  <w:vAlign w:val="center"/>
                </w:tcPr>
                <w:p>
                  <w:pPr>
                    <w:adjustRightInd w:val="0"/>
                    <w:snapToGrid w:val="0"/>
                    <w:jc w:val="center"/>
                    <w:rPr>
                      <w:szCs w:val="21"/>
                    </w:rPr>
                  </w:pPr>
                  <w:r>
                    <w:rPr>
                      <w:szCs w:val="21"/>
                    </w:rPr>
                    <w:t>55</w:t>
                  </w:r>
                </w:p>
              </w:tc>
            </w:tr>
          </w:tbl>
          <w:p>
            <w:pPr>
              <w:spacing w:before="120" w:beforeLines="50" w:line="360" w:lineRule="auto"/>
              <w:ind w:firstLine="482" w:firstLineChars="200"/>
              <w:rPr>
                <w:b/>
                <w:sz w:val="24"/>
              </w:rPr>
            </w:pPr>
            <w:r>
              <w:rPr>
                <w:b/>
                <w:sz w:val="24"/>
              </w:rPr>
              <w:t>4、固体废物</w:t>
            </w:r>
          </w:p>
          <w:p>
            <w:pPr>
              <w:spacing w:line="360" w:lineRule="auto"/>
              <w:ind w:firstLine="480" w:firstLineChars="200"/>
              <w:rPr>
                <w:sz w:val="24"/>
              </w:rPr>
            </w:pPr>
            <w:r>
              <w:rPr>
                <w:sz w:val="24"/>
              </w:rPr>
              <w:t>一般工业固废执行《一般工业固体废物贮存、处置场污染控制标准》（GB 18599-2001）及修改单；</w:t>
            </w:r>
            <w:r>
              <w:rPr>
                <w:rFonts w:hint="eastAsia"/>
                <w:sz w:val="24"/>
              </w:rPr>
              <w:t>危险废物</w:t>
            </w:r>
            <w:r>
              <w:rPr>
                <w:sz w:val="24"/>
              </w:rPr>
              <w:t>排放执行《</w:t>
            </w:r>
            <w:r>
              <w:rPr>
                <w:rFonts w:hint="eastAsia"/>
                <w:sz w:val="24"/>
              </w:rPr>
              <w:t>危险废物</w:t>
            </w:r>
            <w:r>
              <w:rPr>
                <w:sz w:val="24"/>
              </w:rPr>
              <w:t>贮存污染控制标准》（GB18597-2001）</w:t>
            </w:r>
            <w:r>
              <w:rPr>
                <w:rFonts w:hint="eastAsia"/>
                <w:sz w:val="24"/>
              </w:rPr>
              <w:t>及</w:t>
            </w:r>
            <w:r>
              <w:rPr>
                <w:sz w:val="24"/>
              </w:rPr>
              <w:t>修改单的相关要求。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507" w:type="dxa"/>
            <w:vAlign w:val="center"/>
          </w:tcPr>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r>
              <w:rPr>
                <w:b/>
                <w:sz w:val="24"/>
              </w:rPr>
              <w:t>总</w:t>
            </w:r>
          </w:p>
          <w:p>
            <w:pPr>
              <w:adjustRightInd w:val="0"/>
              <w:snapToGrid w:val="0"/>
              <w:jc w:val="center"/>
              <w:rPr>
                <w:b/>
                <w:sz w:val="24"/>
              </w:rPr>
            </w:pPr>
            <w:r>
              <w:rPr>
                <w:b/>
                <w:sz w:val="24"/>
              </w:rPr>
              <w:t>量</w:t>
            </w:r>
          </w:p>
          <w:p>
            <w:pPr>
              <w:adjustRightInd w:val="0"/>
              <w:snapToGrid w:val="0"/>
              <w:jc w:val="center"/>
              <w:rPr>
                <w:b/>
                <w:sz w:val="24"/>
              </w:rPr>
            </w:pPr>
            <w:r>
              <w:rPr>
                <w:b/>
                <w:sz w:val="24"/>
              </w:rPr>
              <w:t>控</w:t>
            </w:r>
          </w:p>
          <w:p>
            <w:pPr>
              <w:adjustRightInd w:val="0"/>
              <w:snapToGrid w:val="0"/>
              <w:jc w:val="center"/>
              <w:rPr>
                <w:b/>
                <w:sz w:val="24"/>
              </w:rPr>
            </w:pPr>
            <w:r>
              <w:rPr>
                <w:b/>
                <w:sz w:val="24"/>
              </w:rPr>
              <w:t>制</w:t>
            </w:r>
          </w:p>
          <w:p>
            <w:pPr>
              <w:adjustRightInd w:val="0"/>
              <w:snapToGrid w:val="0"/>
              <w:jc w:val="center"/>
              <w:rPr>
                <w:b/>
                <w:sz w:val="24"/>
              </w:rPr>
            </w:pPr>
            <w:r>
              <w:rPr>
                <w:rFonts w:hint="eastAsia"/>
                <w:b/>
                <w:sz w:val="24"/>
              </w:rPr>
              <w:t>指标</w:t>
            </w: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sz w:val="28"/>
                <w:szCs w:val="22"/>
              </w:rPr>
            </w:pPr>
          </w:p>
        </w:tc>
        <w:tc>
          <w:tcPr>
            <w:tcW w:w="8550" w:type="dxa"/>
            <w:vAlign w:val="center"/>
          </w:tcPr>
          <w:p>
            <w:pPr>
              <w:widowControl/>
              <w:spacing w:line="360" w:lineRule="auto"/>
              <w:ind w:firstLine="480" w:firstLineChars="200"/>
              <w:rPr>
                <w:sz w:val="24"/>
              </w:rPr>
            </w:pPr>
            <w:r>
              <w:rPr>
                <w:rFonts w:hint="eastAsia"/>
                <w:sz w:val="24"/>
              </w:rPr>
              <w:t>项目无</w:t>
            </w:r>
            <w:r>
              <w:rPr>
                <w:sz w:val="24"/>
              </w:rPr>
              <w:t>新增</w:t>
            </w:r>
            <w:r>
              <w:rPr>
                <w:rFonts w:hint="eastAsia"/>
                <w:sz w:val="24"/>
              </w:rPr>
              <w:t>人员</w:t>
            </w:r>
            <w:r>
              <w:rPr>
                <w:sz w:val="24"/>
              </w:rPr>
              <w:t>，不</w:t>
            </w:r>
            <w:r>
              <w:rPr>
                <w:rFonts w:hint="eastAsia"/>
                <w:sz w:val="24"/>
              </w:rPr>
              <w:t>新增</w:t>
            </w:r>
            <w:r>
              <w:rPr>
                <w:sz w:val="24"/>
              </w:rPr>
              <w:t>生活污水</w:t>
            </w:r>
            <w:r>
              <w:rPr>
                <w:rFonts w:hint="eastAsia"/>
                <w:sz w:val="24"/>
              </w:rPr>
              <w:t>；</w:t>
            </w:r>
            <w:r>
              <w:rPr>
                <w:sz w:val="24"/>
              </w:rPr>
              <w:t>雨水</w:t>
            </w:r>
            <w:r>
              <w:rPr>
                <w:rFonts w:hint="eastAsia"/>
                <w:sz w:val="24"/>
              </w:rPr>
              <w:t>排入</w:t>
            </w:r>
            <w:r>
              <w:rPr>
                <w:sz w:val="24"/>
              </w:rPr>
              <w:t>现有雨水管网。大气</w:t>
            </w:r>
            <w:r>
              <w:rPr>
                <w:rFonts w:hint="eastAsia"/>
                <w:sz w:val="24"/>
              </w:rPr>
              <w:t>污染物</w:t>
            </w:r>
            <w:r>
              <w:rPr>
                <w:sz w:val="24"/>
              </w:rPr>
              <w:t>主要为煤炭卸煤过程中产生的</w:t>
            </w:r>
            <w:r>
              <w:rPr>
                <w:rFonts w:hint="eastAsia"/>
                <w:sz w:val="24"/>
              </w:rPr>
              <w:t>粉尘</w:t>
            </w:r>
            <w:r>
              <w:rPr>
                <w:sz w:val="24"/>
              </w:rPr>
              <w:t>，无</w:t>
            </w:r>
            <w:r>
              <w:rPr>
                <w:rFonts w:hint="eastAsia"/>
                <w:sz w:val="24"/>
              </w:rPr>
              <w:t>SO</w:t>
            </w:r>
            <w:r>
              <w:rPr>
                <w:rFonts w:hint="eastAsia"/>
                <w:sz w:val="24"/>
                <w:vertAlign w:val="subscript"/>
              </w:rPr>
              <w:t>2</w:t>
            </w:r>
            <w:r>
              <w:rPr>
                <w:rFonts w:hint="eastAsia"/>
                <w:sz w:val="24"/>
              </w:rPr>
              <w:t>及NO</w:t>
            </w:r>
            <w:r>
              <w:rPr>
                <w:rFonts w:hint="eastAsia"/>
                <w:sz w:val="24"/>
                <w:vertAlign w:val="subscript"/>
              </w:rPr>
              <w:t>X</w:t>
            </w:r>
            <w:r>
              <w:rPr>
                <w:rFonts w:hint="eastAsia"/>
                <w:sz w:val="24"/>
              </w:rPr>
              <w:t>排放</w:t>
            </w:r>
            <w:r>
              <w:rPr>
                <w:sz w:val="24"/>
              </w:rPr>
              <w:t>，因此不需申请总量控制指标。</w:t>
            </w:r>
          </w:p>
        </w:tc>
      </w:tr>
    </w:tbl>
    <w:p>
      <w:pPr>
        <w:snapToGrid w:val="0"/>
        <w:outlineLvl w:val="0"/>
        <w:rPr>
          <w:b/>
          <w:sz w:val="28"/>
          <w:szCs w:val="28"/>
        </w:rPr>
      </w:pPr>
      <w:bookmarkStart w:id="114" w:name="_Toc514340581"/>
      <w:bookmarkStart w:id="115" w:name="_Toc514340330"/>
      <w:r>
        <w:rPr>
          <w:b/>
          <w:sz w:val="28"/>
          <w:szCs w:val="28"/>
        </w:rPr>
        <w:t>建设项目工程分析</w:t>
      </w:r>
      <w:bookmarkEnd w:id="114"/>
      <w:bookmarkEnd w:id="115"/>
    </w:p>
    <w:tbl>
      <w:tblPr>
        <w:tblStyle w:val="39"/>
        <w:tblW w:w="9057"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437" w:hRule="atLeast"/>
          <w:jc w:val="center"/>
        </w:trPr>
        <w:tc>
          <w:tcPr>
            <w:tcW w:w="9057" w:type="dxa"/>
          </w:tcPr>
          <w:p>
            <w:pPr>
              <w:spacing w:line="360" w:lineRule="auto"/>
              <w:jc w:val="left"/>
              <w:textAlignment w:val="baseline"/>
              <w:rPr>
                <w:b/>
                <w:sz w:val="24"/>
              </w:rPr>
            </w:pPr>
            <w:r>
              <w:rPr>
                <w:b/>
                <w:sz w:val="24"/>
              </w:rPr>
              <w:t>工艺流程简述(图示)：</w:t>
            </w:r>
          </w:p>
          <w:p>
            <w:pPr>
              <w:spacing w:line="360" w:lineRule="auto"/>
              <w:ind w:firstLine="480" w:firstLineChars="200"/>
              <w:rPr>
                <w:sz w:val="24"/>
              </w:rPr>
            </w:pPr>
            <w:r>
              <w:rPr>
                <w:sz w:val="24"/>
              </w:rPr>
              <w:t>据项目特点，本项目分为两个阶段，即工程建设施工期和</w:t>
            </w:r>
            <w:r>
              <w:rPr>
                <w:rFonts w:hint="eastAsia"/>
                <w:sz w:val="24"/>
              </w:rPr>
              <w:t>运行期</w:t>
            </w:r>
            <w:r>
              <w:rPr>
                <w:sz w:val="24"/>
              </w:rPr>
              <w:t>。</w:t>
            </w:r>
          </w:p>
          <w:p>
            <w:pPr>
              <w:spacing w:line="360" w:lineRule="auto"/>
              <w:ind w:firstLine="482" w:firstLineChars="200"/>
              <w:rPr>
                <w:b/>
                <w:sz w:val="24"/>
              </w:rPr>
            </w:pPr>
            <w:r>
              <w:rPr>
                <w:b/>
                <w:sz w:val="24"/>
              </w:rPr>
              <w:t>一、施工期</w:t>
            </w:r>
          </w:p>
          <w:p>
            <w:pPr>
              <w:spacing w:line="360" w:lineRule="auto"/>
              <w:ind w:firstLine="480" w:firstLineChars="200"/>
              <w:rPr>
                <w:sz w:val="24"/>
              </w:rPr>
            </w:pPr>
            <w:r>
              <w:rPr>
                <w:rFonts w:hint="eastAsia"/>
                <w:sz w:val="24"/>
              </w:rPr>
              <w:t>项目主要建设内容包含拆除#6乙皮带、#2斗轮机、89号尾部驱动小室和南北两侧挡煤墙，建设拦煤墙、双层</w:t>
            </w:r>
            <w:r>
              <w:rPr>
                <w:sz w:val="24"/>
              </w:rPr>
              <w:t>防风抑尘网、</w:t>
            </w:r>
            <w:r>
              <w:rPr>
                <w:rFonts w:hint="eastAsia"/>
                <w:bCs/>
                <w:kern w:val="24"/>
                <w:sz w:val="24"/>
              </w:rPr>
              <w:t>预应力管桁架</w:t>
            </w:r>
            <w:r>
              <w:rPr>
                <w:rFonts w:hint="eastAsia"/>
                <w:sz w:val="24"/>
              </w:rPr>
              <w:t>及其他配套设施。</w:t>
            </w:r>
          </w:p>
          <w:p>
            <w:pPr>
              <w:spacing w:line="360" w:lineRule="auto"/>
              <w:ind w:firstLine="480" w:firstLineChars="200"/>
              <w:rPr>
                <w:sz w:val="24"/>
              </w:rPr>
            </w:pPr>
            <w:r>
              <w:rPr>
                <w:rFonts w:hint="eastAsia"/>
                <w:sz w:val="24"/>
              </w:rPr>
              <w:t>施工时为</w:t>
            </w:r>
            <w:r>
              <w:rPr>
                <w:sz w:val="24"/>
              </w:rPr>
              <w:t>确保煤场的正常运行，</w:t>
            </w:r>
            <w:r>
              <w:rPr>
                <w:rFonts w:hint="eastAsia"/>
                <w:sz w:val="24"/>
              </w:rPr>
              <w:t>沿煤场长度方向依次施工，当一端施工时，煤场斗轮堆取料机和推煤机在非施工区运行。当一端施工完毕时，斗轮机即在已施工完毕的区域运行。</w:t>
            </w:r>
          </w:p>
          <w:p>
            <w:pPr>
              <w:spacing w:line="360" w:lineRule="auto"/>
              <w:ind w:firstLine="480" w:firstLineChars="200"/>
              <w:rPr>
                <w:sz w:val="24"/>
              </w:rPr>
            </w:pPr>
            <w:r>
              <w:rPr>
                <w:sz w:val="24"/>
              </w:rPr>
              <w:t>施工期工艺流程及产污环节如图2所示：</w:t>
            </w:r>
          </w:p>
          <w:p>
            <w:pPr>
              <w:spacing w:line="360" w:lineRule="auto"/>
              <w:jc w:val="center"/>
              <w:rPr>
                <w:sz w:val="24"/>
              </w:rPr>
            </w:pPr>
            <w:r>
              <w:drawing>
                <wp:inline distT="0" distB="0" distL="0" distR="0">
                  <wp:extent cx="5172075" cy="19240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72075" cy="1924050"/>
                          </a:xfrm>
                          <a:prstGeom prst="rect">
                            <a:avLst/>
                          </a:prstGeom>
                          <a:noFill/>
                          <a:ln>
                            <a:noFill/>
                          </a:ln>
                        </pic:spPr>
                      </pic:pic>
                    </a:graphicData>
                  </a:graphic>
                </wp:inline>
              </w:drawing>
            </w:r>
          </w:p>
          <w:p>
            <w:pPr>
              <w:spacing w:line="360" w:lineRule="auto"/>
              <w:jc w:val="center"/>
              <w:textAlignment w:val="baseline"/>
              <w:rPr>
                <w:b/>
                <w:sz w:val="24"/>
              </w:rPr>
            </w:pPr>
            <w:r>
              <w:rPr>
                <w:b/>
                <w:sz w:val="24"/>
              </w:rPr>
              <w:t xml:space="preserve">图2   </w:t>
            </w:r>
            <w:r>
              <w:rPr>
                <w:rFonts w:hint="eastAsia"/>
                <w:b/>
                <w:sz w:val="24"/>
              </w:rPr>
              <w:t xml:space="preserve"> </w:t>
            </w:r>
            <w:r>
              <w:rPr>
                <w:b/>
                <w:sz w:val="24"/>
              </w:rPr>
              <w:t>施工期工艺流程及产污环节图</w:t>
            </w:r>
          </w:p>
          <w:p>
            <w:pPr>
              <w:spacing w:line="360" w:lineRule="auto"/>
              <w:ind w:firstLine="482" w:firstLineChars="200"/>
              <w:rPr>
                <w:b/>
                <w:sz w:val="24"/>
              </w:rPr>
            </w:pPr>
            <w:r>
              <w:rPr>
                <w:b/>
                <w:sz w:val="24"/>
              </w:rPr>
              <w:t>二、运行期</w:t>
            </w:r>
          </w:p>
          <w:p>
            <w:pPr>
              <w:spacing w:line="360" w:lineRule="auto"/>
              <w:ind w:firstLine="480" w:firstLineChars="200"/>
              <w:rPr>
                <w:sz w:val="24"/>
              </w:rPr>
            </w:pPr>
            <w:r>
              <w:rPr>
                <w:rFonts w:hint="eastAsia"/>
                <w:sz w:val="24"/>
              </w:rPr>
              <w:t>项目封闭煤场</w:t>
            </w:r>
            <w:r>
              <w:rPr>
                <w:sz w:val="24"/>
              </w:rPr>
              <w:t>位于</w:t>
            </w:r>
            <w:r>
              <w:rPr>
                <w:rFonts w:hint="eastAsia"/>
                <w:sz w:val="24"/>
              </w:rPr>
              <w:t>厂区</w:t>
            </w:r>
            <w:r>
              <w:rPr>
                <w:sz w:val="24"/>
              </w:rPr>
              <w:t>南</w:t>
            </w:r>
            <w:r>
              <w:rPr>
                <w:rFonts w:hint="eastAsia"/>
                <w:sz w:val="24"/>
              </w:rPr>
              <w:t>侧</w:t>
            </w:r>
            <w:r>
              <w:rPr>
                <w:sz w:val="24"/>
              </w:rPr>
              <w:t>，</w:t>
            </w:r>
            <w:r>
              <w:rPr>
                <w:rFonts w:hint="eastAsia"/>
                <w:sz w:val="24"/>
              </w:rPr>
              <w:t>主要</w:t>
            </w:r>
            <w:r>
              <w:rPr>
                <w:sz w:val="24"/>
              </w:rPr>
              <w:t>存运煤工艺为运煤列车进入</w:t>
            </w:r>
            <w:r>
              <w:rPr>
                <w:rFonts w:hint="eastAsia"/>
                <w:sz w:val="24"/>
              </w:rPr>
              <w:t>卸煤</w:t>
            </w:r>
            <w:r>
              <w:rPr>
                <w:sz w:val="24"/>
              </w:rPr>
              <w:t>区、倾倒</w:t>
            </w:r>
            <w:r>
              <w:rPr>
                <w:rFonts w:hint="eastAsia"/>
                <w:sz w:val="24"/>
              </w:rPr>
              <w:t>、</w:t>
            </w:r>
            <w:r>
              <w:rPr>
                <w:sz w:val="24"/>
              </w:rPr>
              <w:t>煤炭存储及皮带机输送，项目</w:t>
            </w:r>
            <w:r>
              <w:rPr>
                <w:rFonts w:hint="eastAsia"/>
                <w:sz w:val="24"/>
              </w:rPr>
              <w:t>生产工艺流程及产物环节如图</w:t>
            </w:r>
            <w:r>
              <w:rPr>
                <w:sz w:val="24"/>
              </w:rPr>
              <w:t>3</w:t>
            </w:r>
            <w:r>
              <w:rPr>
                <w:rFonts w:hint="eastAsia"/>
                <w:sz w:val="24"/>
              </w:rPr>
              <w:t>所示。</w:t>
            </w:r>
          </w:p>
          <w:p>
            <w:pPr>
              <w:spacing w:line="360" w:lineRule="auto"/>
              <w:rPr>
                <w:sz w:val="24"/>
              </w:rPr>
            </w:pPr>
            <w:r>
              <w:drawing>
                <wp:inline distT="0" distB="0" distL="0" distR="0">
                  <wp:extent cx="5614035" cy="896620"/>
                  <wp:effectExtent l="0" t="0" r="57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stretch>
                            <a:fillRect/>
                          </a:stretch>
                        </pic:blipFill>
                        <pic:spPr>
                          <a:xfrm>
                            <a:off x="0" y="0"/>
                            <a:ext cx="5614035" cy="896620"/>
                          </a:xfrm>
                          <a:prstGeom prst="rect">
                            <a:avLst/>
                          </a:prstGeom>
                        </pic:spPr>
                      </pic:pic>
                    </a:graphicData>
                  </a:graphic>
                </wp:inline>
              </w:drawing>
            </w:r>
          </w:p>
          <w:p>
            <w:pPr>
              <w:spacing w:line="360" w:lineRule="auto"/>
              <w:jc w:val="center"/>
              <w:textAlignment w:val="baseline"/>
              <w:rPr>
                <w:b/>
                <w:sz w:val="24"/>
              </w:rPr>
            </w:pPr>
            <w:r>
              <w:rPr>
                <w:b/>
                <w:sz w:val="24"/>
              </w:rPr>
              <w:t xml:space="preserve">图3   </w:t>
            </w:r>
            <w:r>
              <w:rPr>
                <w:rFonts w:hint="eastAsia"/>
                <w:b/>
                <w:sz w:val="24"/>
              </w:rPr>
              <w:t xml:space="preserve"> 运行</w:t>
            </w:r>
            <w:r>
              <w:rPr>
                <w:b/>
                <w:sz w:val="24"/>
              </w:rPr>
              <w:t>期工艺流程及产污环节图</w:t>
            </w:r>
          </w:p>
          <w:p>
            <w:pPr>
              <w:spacing w:line="360" w:lineRule="auto"/>
              <w:textAlignment w:val="baseline"/>
              <w:rPr>
                <w:b/>
                <w:sz w:val="24"/>
              </w:rPr>
            </w:pPr>
          </w:p>
          <w:p>
            <w:pPr>
              <w:spacing w:line="360" w:lineRule="auto"/>
              <w:textAlignment w:val="baseline"/>
              <w:rPr>
                <w:b/>
                <w:sz w:val="24"/>
              </w:rPr>
            </w:pPr>
          </w:p>
          <w:p>
            <w:pPr>
              <w:spacing w:line="360" w:lineRule="auto"/>
              <w:textAlignment w:val="baseline"/>
              <w:rPr>
                <w:b/>
                <w:sz w:val="24"/>
              </w:rPr>
            </w:pPr>
          </w:p>
          <w:p>
            <w:pPr>
              <w:spacing w:line="360" w:lineRule="auto"/>
              <w:textAlignment w:val="baseline"/>
              <w:rPr>
                <w:b/>
                <w:sz w:val="24"/>
              </w:rPr>
            </w:pPr>
          </w:p>
          <w:p>
            <w:pPr>
              <w:spacing w:line="360" w:lineRule="auto"/>
              <w:textAlignment w:val="baseline"/>
              <w:rPr>
                <w:b/>
                <w:sz w:val="24"/>
              </w:rPr>
            </w:pPr>
          </w:p>
          <w:p>
            <w:pPr>
              <w:spacing w:line="360" w:lineRule="auto"/>
              <w:jc w:val="left"/>
              <w:textAlignment w:val="baseline"/>
              <w:rPr>
                <w:b/>
                <w:sz w:val="24"/>
              </w:rPr>
            </w:pPr>
            <w:r>
              <w:rPr>
                <w:b/>
                <w:sz w:val="24"/>
              </w:rPr>
              <w:t>主要污染工序：</w:t>
            </w:r>
          </w:p>
          <w:p>
            <w:pPr>
              <w:pStyle w:val="77"/>
              <w:spacing w:line="360" w:lineRule="auto"/>
              <w:ind w:firstLine="482" w:firstLineChars="200"/>
              <w:jc w:val="left"/>
              <w:rPr>
                <w:b/>
                <w:sz w:val="24"/>
                <w:szCs w:val="22"/>
              </w:rPr>
            </w:pPr>
            <w:r>
              <w:rPr>
                <w:b/>
                <w:sz w:val="24"/>
                <w:szCs w:val="22"/>
              </w:rPr>
              <w:t>一、施工期主要污染因素</w:t>
            </w:r>
          </w:p>
          <w:p>
            <w:pPr>
              <w:spacing w:line="360" w:lineRule="auto"/>
              <w:ind w:firstLine="480" w:firstLineChars="200"/>
              <w:rPr>
                <w:sz w:val="24"/>
              </w:rPr>
            </w:pPr>
            <w:r>
              <w:rPr>
                <w:rFonts w:hint="eastAsia"/>
                <w:sz w:val="24"/>
              </w:rPr>
              <w:t>项目施工期为</w:t>
            </w:r>
            <w:r>
              <w:rPr>
                <w:sz w:val="24"/>
              </w:rPr>
              <w:t>6</w:t>
            </w:r>
            <w:r>
              <w:rPr>
                <w:rFonts w:hint="eastAsia"/>
                <w:sz w:val="24"/>
              </w:rPr>
              <w:t>个月，施工过程污染源主要包括现有设施拆除及封闭煤场配套设施建设、建筑材料运输、设备装配等施工行为产生的扬尘、机械噪声及固体废物等。</w:t>
            </w:r>
          </w:p>
          <w:p>
            <w:pPr>
              <w:spacing w:line="360" w:lineRule="auto"/>
              <w:ind w:firstLine="482" w:firstLineChars="200"/>
              <w:rPr>
                <w:b/>
                <w:sz w:val="24"/>
              </w:rPr>
            </w:pPr>
            <w:r>
              <w:rPr>
                <w:b/>
                <w:sz w:val="24"/>
              </w:rPr>
              <w:t>1、大气污染源分析</w:t>
            </w:r>
          </w:p>
          <w:p>
            <w:pPr>
              <w:spacing w:line="360" w:lineRule="auto"/>
              <w:ind w:firstLine="480" w:firstLineChars="200"/>
              <w:contextualSpacing/>
              <w:rPr>
                <w:sz w:val="24"/>
              </w:rPr>
            </w:pPr>
            <w:r>
              <w:rPr>
                <w:sz w:val="24"/>
                <w:szCs w:val="20"/>
              </w:rPr>
              <w:t>施工废气主要为施工期</w:t>
            </w:r>
            <w:r>
              <w:rPr>
                <w:rFonts w:hint="eastAsia"/>
                <w:sz w:val="24"/>
                <w:szCs w:val="20"/>
              </w:rPr>
              <w:t>建构筑物</w:t>
            </w:r>
            <w:r>
              <w:rPr>
                <w:sz w:val="24"/>
                <w:szCs w:val="20"/>
              </w:rPr>
              <w:t>拆除、建材装卸产生粉尘污染；土方开挖、填筑产生大量扬尘；车辆运输行驶过程中产生的无组织扬尘及施工机械和运输车辆排放的尾气。施工期主要污染因子为粉尘、扬尘、CO、NO</w:t>
            </w:r>
            <w:r>
              <w:rPr>
                <w:sz w:val="24"/>
                <w:szCs w:val="20"/>
                <w:vertAlign w:val="subscript"/>
              </w:rPr>
              <w:t>X</w:t>
            </w:r>
            <w:r>
              <w:rPr>
                <w:sz w:val="24"/>
                <w:szCs w:val="20"/>
              </w:rPr>
              <w:t>及THC等。</w:t>
            </w:r>
          </w:p>
          <w:p>
            <w:pPr>
              <w:spacing w:line="360" w:lineRule="auto"/>
              <w:ind w:firstLine="482" w:firstLineChars="200"/>
              <w:rPr>
                <w:b/>
                <w:sz w:val="24"/>
              </w:rPr>
            </w:pPr>
            <w:r>
              <w:rPr>
                <w:b/>
                <w:sz w:val="24"/>
              </w:rPr>
              <w:t>2、水污染源分析</w:t>
            </w:r>
          </w:p>
          <w:p>
            <w:pPr>
              <w:spacing w:line="360" w:lineRule="auto"/>
              <w:ind w:firstLine="480" w:firstLineChars="200"/>
              <w:contextualSpacing/>
              <w:rPr>
                <w:sz w:val="24"/>
                <w:szCs w:val="20"/>
              </w:rPr>
            </w:pPr>
            <w:r>
              <w:rPr>
                <w:sz w:val="24"/>
                <w:szCs w:val="20"/>
              </w:rPr>
              <w:t>施工废水主要为生产废水和生活污水。生产废水主要包括混凝土浇注、养护过程产生的废水及各种车辆冲洗水，生产废水产生量小，主要污染物为SS，生产废水经沉砂池沉淀后全部回用。</w:t>
            </w:r>
          </w:p>
          <w:p>
            <w:pPr>
              <w:spacing w:line="360" w:lineRule="auto"/>
              <w:ind w:firstLine="480" w:firstLineChars="200"/>
              <w:contextualSpacing/>
            </w:pPr>
            <w:r>
              <w:rPr>
                <w:sz w:val="24"/>
                <w:szCs w:val="20"/>
              </w:rPr>
              <w:t>施工人员生活用水量按每人每天50L计，污水产出系数0.8，高峰期按每日用工最大50人计，则生活盥洗污水最大排放量2.0m</w:t>
            </w:r>
            <w:r>
              <w:rPr>
                <w:sz w:val="24"/>
                <w:szCs w:val="20"/>
                <w:vertAlign w:val="superscript"/>
              </w:rPr>
              <w:t>3</w:t>
            </w:r>
            <w:r>
              <w:rPr>
                <w:sz w:val="24"/>
                <w:szCs w:val="20"/>
              </w:rPr>
              <w:t>/d，污水中主要污染物有COD、BOD</w:t>
            </w:r>
            <w:r>
              <w:rPr>
                <w:sz w:val="24"/>
                <w:szCs w:val="20"/>
                <w:vertAlign w:val="subscript"/>
              </w:rPr>
              <w:t>5</w:t>
            </w:r>
            <w:r>
              <w:rPr>
                <w:sz w:val="24"/>
                <w:szCs w:val="20"/>
              </w:rPr>
              <w:t>、SS、氨氮等。施工</w:t>
            </w:r>
            <w:r>
              <w:rPr>
                <w:rFonts w:hint="eastAsia"/>
                <w:sz w:val="24"/>
                <w:szCs w:val="20"/>
              </w:rPr>
              <w:t>生活</w:t>
            </w:r>
            <w:r>
              <w:rPr>
                <w:sz w:val="24"/>
                <w:szCs w:val="20"/>
              </w:rPr>
              <w:t>废水依托厂内现有</w:t>
            </w:r>
            <w:r>
              <w:rPr>
                <w:rFonts w:hint="eastAsia"/>
                <w:sz w:val="24"/>
                <w:szCs w:val="20"/>
              </w:rPr>
              <w:t>生活</w:t>
            </w:r>
            <w:r>
              <w:rPr>
                <w:sz w:val="24"/>
                <w:szCs w:val="20"/>
              </w:rPr>
              <w:t>污水处理设施处理。</w:t>
            </w:r>
          </w:p>
          <w:p>
            <w:pPr>
              <w:spacing w:line="360" w:lineRule="auto"/>
              <w:ind w:firstLine="482" w:firstLineChars="200"/>
              <w:rPr>
                <w:b/>
                <w:sz w:val="24"/>
              </w:rPr>
            </w:pPr>
            <w:r>
              <w:rPr>
                <w:b/>
                <w:sz w:val="24"/>
              </w:rPr>
              <w:t>3、噪声污染源</w:t>
            </w:r>
          </w:p>
          <w:p>
            <w:pPr>
              <w:spacing w:line="360" w:lineRule="auto"/>
              <w:ind w:firstLine="480" w:firstLineChars="200"/>
              <w:contextualSpacing/>
              <w:rPr>
                <w:sz w:val="24"/>
                <w:szCs w:val="20"/>
              </w:rPr>
            </w:pPr>
            <w:r>
              <w:rPr>
                <w:sz w:val="24"/>
                <w:szCs w:val="20"/>
              </w:rPr>
              <w:t>施工期噪声主要为施工机械噪声、施工作业噪声和运输车辆噪声。施工机械噪声由施工机械运转造成，如挖掘机、空压机等，多为点声源；施工作业噪声主要指一些零星的敲打声、装卸建材的撞击声、施工人员的吆喝声、拆装模板的撞击声等，多为瞬间噪声；运输车辆的噪声属于交通噪声。</w:t>
            </w:r>
          </w:p>
          <w:p>
            <w:pPr>
              <w:spacing w:line="360" w:lineRule="auto"/>
              <w:ind w:firstLine="480" w:firstLineChars="200"/>
              <w:contextualSpacing/>
              <w:rPr>
                <w:sz w:val="24"/>
                <w:szCs w:val="20"/>
              </w:rPr>
            </w:pPr>
            <w:r>
              <w:rPr>
                <w:sz w:val="24"/>
                <w:szCs w:val="20"/>
              </w:rPr>
              <w:t>施工期噪声中，对声环境影响最大的是机械噪声，不同施工阶段和不同施工机械发出的噪声水平不同，且有大量设备交互作业，因此施工期噪声对施工地点周围及运输途中经过的村民点都有不同程度影响。根据施工量，按经验计算各施工阶段主要噪声源见表</w:t>
            </w:r>
            <w:r>
              <w:rPr>
                <w:rFonts w:hint="eastAsia"/>
                <w:sz w:val="24"/>
                <w:szCs w:val="20"/>
              </w:rPr>
              <w:t>2</w:t>
            </w:r>
            <w:r>
              <w:rPr>
                <w:sz w:val="24"/>
                <w:szCs w:val="20"/>
              </w:rPr>
              <w:t>1。</w:t>
            </w:r>
          </w:p>
          <w:p>
            <w:pPr>
              <w:jc w:val="center"/>
              <w:rPr>
                <w:b/>
                <w:szCs w:val="21"/>
              </w:rPr>
            </w:pPr>
            <w:r>
              <w:rPr>
                <w:b/>
                <w:szCs w:val="21"/>
              </w:rPr>
              <w:t>表</w:t>
            </w:r>
            <w:r>
              <w:rPr>
                <w:rFonts w:hint="eastAsia"/>
                <w:b/>
                <w:szCs w:val="21"/>
              </w:rPr>
              <w:t>2</w:t>
            </w:r>
            <w:r>
              <w:rPr>
                <w:b/>
                <w:szCs w:val="21"/>
              </w:rPr>
              <w:t xml:space="preserve">1  </w:t>
            </w:r>
            <w:r>
              <w:rPr>
                <w:rFonts w:hint="eastAsia"/>
                <w:b/>
                <w:szCs w:val="21"/>
              </w:rPr>
              <w:t xml:space="preserve">  </w:t>
            </w:r>
            <w:r>
              <w:rPr>
                <w:b/>
                <w:szCs w:val="21"/>
              </w:rPr>
              <w:t>施工期机械设备噪声强度值</w:t>
            </w:r>
          </w:p>
          <w:tbl>
            <w:tblPr>
              <w:tblStyle w:val="39"/>
              <w:tblW w:w="882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32"/>
              <w:gridCol w:w="3387"/>
              <w:gridCol w:w="33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Align w:val="center"/>
                </w:tcPr>
                <w:p>
                  <w:pPr>
                    <w:snapToGrid w:val="0"/>
                    <w:jc w:val="center"/>
                    <w:rPr>
                      <w:caps/>
                      <w:kern w:val="24"/>
                      <w:szCs w:val="21"/>
                    </w:rPr>
                  </w:pPr>
                  <w:r>
                    <w:rPr>
                      <w:caps/>
                      <w:kern w:val="24"/>
                      <w:szCs w:val="21"/>
                    </w:rPr>
                    <w:t>施工阶段</w:t>
                  </w:r>
                </w:p>
              </w:tc>
              <w:tc>
                <w:tcPr>
                  <w:tcW w:w="3387" w:type="dxa"/>
                  <w:vAlign w:val="center"/>
                </w:tcPr>
                <w:p>
                  <w:pPr>
                    <w:snapToGrid w:val="0"/>
                    <w:jc w:val="center"/>
                    <w:rPr>
                      <w:caps/>
                      <w:kern w:val="24"/>
                      <w:szCs w:val="21"/>
                    </w:rPr>
                  </w:pPr>
                  <w:r>
                    <w:rPr>
                      <w:caps/>
                      <w:kern w:val="24"/>
                      <w:szCs w:val="21"/>
                    </w:rPr>
                    <w:t>声  源</w:t>
                  </w:r>
                </w:p>
              </w:tc>
              <w:tc>
                <w:tcPr>
                  <w:tcW w:w="3306" w:type="dxa"/>
                  <w:vAlign w:val="center"/>
                </w:tcPr>
                <w:p>
                  <w:pPr>
                    <w:snapToGrid w:val="0"/>
                    <w:jc w:val="center"/>
                    <w:rPr>
                      <w:caps/>
                      <w:kern w:val="24"/>
                      <w:szCs w:val="21"/>
                    </w:rPr>
                  </w:pPr>
                  <w:r>
                    <w:rPr>
                      <w:caps/>
                      <w:kern w:val="24"/>
                      <w:szCs w:val="21"/>
                    </w:rPr>
                    <w:t>声源强度</w:t>
                  </w:r>
                  <w:r>
                    <w:rPr>
                      <w:rFonts w:hint="eastAsia"/>
                      <w:caps/>
                      <w:kern w:val="24"/>
                      <w:szCs w:val="21"/>
                    </w:rPr>
                    <w:t>（</w:t>
                  </w:r>
                  <w:r>
                    <w:rPr>
                      <w:kern w:val="24"/>
                      <w:szCs w:val="21"/>
                    </w:rPr>
                    <w:t>d</w:t>
                  </w:r>
                  <w:r>
                    <w:rPr>
                      <w:caps/>
                      <w:kern w:val="24"/>
                      <w:szCs w:val="21"/>
                    </w:rPr>
                    <w:t>B（A）</w:t>
                  </w:r>
                  <w:r>
                    <w:rPr>
                      <w:rFonts w:hint="eastAsia"/>
                      <w:caps/>
                      <w:kern w:val="24"/>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restart"/>
                  <w:vAlign w:val="center"/>
                </w:tcPr>
                <w:p>
                  <w:pPr>
                    <w:snapToGrid w:val="0"/>
                    <w:jc w:val="center"/>
                    <w:rPr>
                      <w:kern w:val="24"/>
                      <w:szCs w:val="21"/>
                    </w:rPr>
                  </w:pPr>
                  <w:r>
                    <w:rPr>
                      <w:kern w:val="24"/>
                      <w:szCs w:val="21"/>
                    </w:rPr>
                    <w:t>土石方、基础阶段</w:t>
                  </w:r>
                </w:p>
              </w:tc>
              <w:tc>
                <w:tcPr>
                  <w:tcW w:w="3387" w:type="dxa"/>
                  <w:vAlign w:val="center"/>
                </w:tcPr>
                <w:p>
                  <w:pPr>
                    <w:snapToGrid w:val="0"/>
                    <w:jc w:val="center"/>
                    <w:rPr>
                      <w:kern w:val="24"/>
                      <w:szCs w:val="21"/>
                    </w:rPr>
                  </w:pPr>
                  <w:r>
                    <w:rPr>
                      <w:kern w:val="24"/>
                      <w:szCs w:val="21"/>
                    </w:rPr>
                    <w:t>挖掘机</w:t>
                  </w:r>
                </w:p>
              </w:tc>
              <w:tc>
                <w:tcPr>
                  <w:tcW w:w="3306" w:type="dxa"/>
                  <w:vAlign w:val="center"/>
                </w:tcPr>
                <w:p>
                  <w:pPr>
                    <w:snapToGrid w:val="0"/>
                    <w:jc w:val="center"/>
                    <w:rPr>
                      <w:kern w:val="24"/>
                      <w:szCs w:val="21"/>
                    </w:rPr>
                  </w:pPr>
                  <w:r>
                    <w:rPr>
                      <w:kern w:val="24"/>
                      <w:szCs w:val="21"/>
                    </w:rPr>
                    <w:t>78</w:t>
                  </w:r>
                  <w:r>
                    <w:rPr>
                      <w:rFonts w:hint="eastAsia"/>
                      <w:kern w:val="24"/>
                      <w:szCs w:val="21"/>
                    </w:rPr>
                    <w:t>～</w:t>
                  </w:r>
                  <w:r>
                    <w:rPr>
                      <w:kern w:val="24"/>
                      <w:szCs w:val="21"/>
                    </w:rPr>
                    <w:t>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continue"/>
                  <w:vAlign w:val="center"/>
                </w:tcPr>
                <w:p>
                  <w:pPr>
                    <w:snapToGrid w:val="0"/>
                    <w:ind w:firstLine="480"/>
                    <w:jc w:val="center"/>
                    <w:rPr>
                      <w:kern w:val="24"/>
                      <w:szCs w:val="21"/>
                    </w:rPr>
                  </w:pPr>
                </w:p>
              </w:tc>
              <w:tc>
                <w:tcPr>
                  <w:tcW w:w="3387" w:type="dxa"/>
                  <w:vAlign w:val="center"/>
                </w:tcPr>
                <w:p>
                  <w:pPr>
                    <w:snapToGrid w:val="0"/>
                    <w:jc w:val="center"/>
                    <w:rPr>
                      <w:kern w:val="24"/>
                      <w:szCs w:val="21"/>
                    </w:rPr>
                  </w:pPr>
                  <w:r>
                    <w:rPr>
                      <w:kern w:val="24"/>
                      <w:szCs w:val="21"/>
                    </w:rPr>
                    <w:t>冲击机</w:t>
                  </w:r>
                </w:p>
              </w:tc>
              <w:tc>
                <w:tcPr>
                  <w:tcW w:w="3306" w:type="dxa"/>
                  <w:vAlign w:val="center"/>
                </w:tcPr>
                <w:p>
                  <w:pPr>
                    <w:snapToGrid w:val="0"/>
                    <w:jc w:val="center"/>
                    <w:rPr>
                      <w:kern w:val="24"/>
                      <w:szCs w:val="21"/>
                    </w:rPr>
                  </w:pPr>
                  <w:r>
                    <w:rPr>
                      <w:kern w:val="24"/>
                      <w:szCs w:val="21"/>
                    </w:rPr>
                    <w:t>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continue"/>
                  <w:vAlign w:val="center"/>
                </w:tcPr>
                <w:p>
                  <w:pPr>
                    <w:snapToGrid w:val="0"/>
                    <w:ind w:firstLine="480"/>
                    <w:jc w:val="center"/>
                    <w:rPr>
                      <w:kern w:val="24"/>
                      <w:szCs w:val="21"/>
                    </w:rPr>
                  </w:pPr>
                </w:p>
              </w:tc>
              <w:tc>
                <w:tcPr>
                  <w:tcW w:w="3387" w:type="dxa"/>
                  <w:vAlign w:val="center"/>
                </w:tcPr>
                <w:p>
                  <w:pPr>
                    <w:snapToGrid w:val="0"/>
                    <w:jc w:val="center"/>
                    <w:rPr>
                      <w:kern w:val="24"/>
                      <w:szCs w:val="21"/>
                    </w:rPr>
                  </w:pPr>
                  <w:r>
                    <w:rPr>
                      <w:kern w:val="24"/>
                      <w:szCs w:val="21"/>
                    </w:rPr>
                    <w:t>空压机</w:t>
                  </w:r>
                </w:p>
              </w:tc>
              <w:tc>
                <w:tcPr>
                  <w:tcW w:w="3306" w:type="dxa"/>
                  <w:vAlign w:val="center"/>
                </w:tcPr>
                <w:p>
                  <w:pPr>
                    <w:snapToGrid w:val="0"/>
                    <w:jc w:val="center"/>
                    <w:rPr>
                      <w:kern w:val="24"/>
                      <w:szCs w:val="21"/>
                    </w:rPr>
                  </w:pPr>
                  <w:r>
                    <w:rPr>
                      <w:kern w:val="24"/>
                      <w:szCs w:val="21"/>
                    </w:rPr>
                    <w:t>75</w:t>
                  </w:r>
                  <w:r>
                    <w:rPr>
                      <w:rFonts w:hint="eastAsia"/>
                      <w:kern w:val="24"/>
                      <w:szCs w:val="21"/>
                    </w:rPr>
                    <w:t>～</w:t>
                  </w:r>
                  <w:r>
                    <w:rPr>
                      <w:kern w:val="24"/>
                      <w:szCs w:val="21"/>
                    </w:rPr>
                    <w:t>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restart"/>
                  <w:vAlign w:val="center"/>
                </w:tcPr>
                <w:p>
                  <w:pPr>
                    <w:snapToGrid w:val="0"/>
                    <w:jc w:val="center"/>
                    <w:rPr>
                      <w:kern w:val="24"/>
                      <w:szCs w:val="21"/>
                    </w:rPr>
                  </w:pPr>
                  <w:r>
                    <w:rPr>
                      <w:kern w:val="24"/>
                      <w:szCs w:val="21"/>
                    </w:rPr>
                    <w:t>结构阶段</w:t>
                  </w:r>
                </w:p>
              </w:tc>
              <w:tc>
                <w:tcPr>
                  <w:tcW w:w="3387" w:type="dxa"/>
                  <w:vAlign w:val="center"/>
                </w:tcPr>
                <w:p>
                  <w:pPr>
                    <w:snapToGrid w:val="0"/>
                    <w:jc w:val="center"/>
                    <w:rPr>
                      <w:kern w:val="24"/>
                      <w:szCs w:val="21"/>
                    </w:rPr>
                  </w:pPr>
                  <w:r>
                    <w:rPr>
                      <w:kern w:val="24"/>
                      <w:szCs w:val="21"/>
                    </w:rPr>
                    <w:t>混凝土输送泵</w:t>
                  </w:r>
                </w:p>
              </w:tc>
              <w:tc>
                <w:tcPr>
                  <w:tcW w:w="3306" w:type="dxa"/>
                  <w:vAlign w:val="center"/>
                </w:tcPr>
                <w:p>
                  <w:pPr>
                    <w:snapToGrid w:val="0"/>
                    <w:jc w:val="center"/>
                    <w:rPr>
                      <w:kern w:val="24"/>
                      <w:szCs w:val="21"/>
                    </w:rPr>
                  </w:pPr>
                  <w:r>
                    <w:rPr>
                      <w:kern w:val="24"/>
                      <w:szCs w:val="21"/>
                    </w:rPr>
                    <w:t>90</w:t>
                  </w:r>
                  <w:r>
                    <w:rPr>
                      <w:rFonts w:hint="eastAsia"/>
                      <w:kern w:val="24"/>
                      <w:szCs w:val="21"/>
                    </w:rPr>
                    <w:t>～</w:t>
                  </w:r>
                  <w:r>
                    <w:rPr>
                      <w:kern w:val="24"/>
                      <w:szCs w:val="21"/>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continue"/>
                  <w:vAlign w:val="center"/>
                </w:tcPr>
                <w:p>
                  <w:pPr>
                    <w:snapToGrid w:val="0"/>
                    <w:ind w:firstLine="480"/>
                    <w:jc w:val="center"/>
                    <w:rPr>
                      <w:kern w:val="24"/>
                      <w:szCs w:val="21"/>
                    </w:rPr>
                  </w:pPr>
                </w:p>
              </w:tc>
              <w:tc>
                <w:tcPr>
                  <w:tcW w:w="3387" w:type="dxa"/>
                  <w:vAlign w:val="center"/>
                </w:tcPr>
                <w:p>
                  <w:pPr>
                    <w:snapToGrid w:val="0"/>
                    <w:jc w:val="center"/>
                    <w:rPr>
                      <w:kern w:val="24"/>
                      <w:szCs w:val="21"/>
                    </w:rPr>
                  </w:pPr>
                  <w:r>
                    <w:rPr>
                      <w:kern w:val="24"/>
                      <w:szCs w:val="21"/>
                    </w:rPr>
                    <w:t>振捣器</w:t>
                  </w:r>
                </w:p>
              </w:tc>
              <w:tc>
                <w:tcPr>
                  <w:tcW w:w="3306" w:type="dxa"/>
                  <w:vAlign w:val="center"/>
                </w:tcPr>
                <w:p>
                  <w:pPr>
                    <w:snapToGrid w:val="0"/>
                    <w:jc w:val="center"/>
                    <w:rPr>
                      <w:kern w:val="24"/>
                      <w:szCs w:val="21"/>
                    </w:rPr>
                  </w:pPr>
                  <w:r>
                    <w:rPr>
                      <w:kern w:val="24"/>
                      <w:szCs w:val="21"/>
                    </w:rPr>
                    <w:t>100</w:t>
                  </w:r>
                  <w:r>
                    <w:rPr>
                      <w:rFonts w:hint="eastAsia"/>
                      <w:kern w:val="24"/>
                      <w:szCs w:val="21"/>
                    </w:rPr>
                    <w:t>～</w:t>
                  </w:r>
                  <w:r>
                    <w:rPr>
                      <w:kern w:val="24"/>
                      <w:szCs w:val="21"/>
                    </w:rP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continue"/>
                  <w:vAlign w:val="center"/>
                </w:tcPr>
                <w:p>
                  <w:pPr>
                    <w:snapToGrid w:val="0"/>
                    <w:jc w:val="center"/>
                    <w:rPr>
                      <w:kern w:val="24"/>
                      <w:szCs w:val="21"/>
                    </w:rPr>
                  </w:pPr>
                </w:p>
              </w:tc>
              <w:tc>
                <w:tcPr>
                  <w:tcW w:w="3387" w:type="dxa"/>
                  <w:vAlign w:val="center"/>
                </w:tcPr>
                <w:p>
                  <w:pPr>
                    <w:snapToGrid w:val="0"/>
                    <w:jc w:val="center"/>
                    <w:rPr>
                      <w:kern w:val="24"/>
                      <w:szCs w:val="21"/>
                    </w:rPr>
                  </w:pPr>
                  <w:r>
                    <w:rPr>
                      <w:kern w:val="24"/>
                      <w:szCs w:val="21"/>
                    </w:rPr>
                    <w:t>电锯</w:t>
                  </w:r>
                </w:p>
              </w:tc>
              <w:tc>
                <w:tcPr>
                  <w:tcW w:w="3306" w:type="dxa"/>
                  <w:vAlign w:val="center"/>
                </w:tcPr>
                <w:p>
                  <w:pPr>
                    <w:snapToGrid w:val="0"/>
                    <w:jc w:val="center"/>
                    <w:rPr>
                      <w:kern w:val="24"/>
                      <w:szCs w:val="21"/>
                    </w:rPr>
                  </w:pPr>
                  <w:r>
                    <w:rPr>
                      <w:kern w:val="24"/>
                      <w:szCs w:val="21"/>
                    </w:rPr>
                    <w:t>100</w:t>
                  </w:r>
                  <w:r>
                    <w:rPr>
                      <w:rFonts w:hint="eastAsia"/>
                      <w:kern w:val="24"/>
                      <w:szCs w:val="21"/>
                    </w:rPr>
                    <w:t>～</w:t>
                  </w:r>
                  <w:r>
                    <w:rPr>
                      <w:kern w:val="24"/>
                      <w:szCs w:val="21"/>
                    </w:rP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continue"/>
                  <w:vAlign w:val="center"/>
                </w:tcPr>
                <w:p>
                  <w:pPr>
                    <w:snapToGrid w:val="0"/>
                    <w:jc w:val="center"/>
                    <w:rPr>
                      <w:kern w:val="24"/>
                      <w:szCs w:val="21"/>
                    </w:rPr>
                  </w:pPr>
                </w:p>
              </w:tc>
              <w:tc>
                <w:tcPr>
                  <w:tcW w:w="3387" w:type="dxa"/>
                  <w:vAlign w:val="center"/>
                </w:tcPr>
                <w:p>
                  <w:pPr>
                    <w:snapToGrid w:val="0"/>
                    <w:jc w:val="center"/>
                    <w:rPr>
                      <w:kern w:val="24"/>
                      <w:szCs w:val="21"/>
                    </w:rPr>
                  </w:pPr>
                  <w:r>
                    <w:rPr>
                      <w:kern w:val="24"/>
                      <w:szCs w:val="21"/>
                    </w:rPr>
                    <w:t>电焊机</w:t>
                  </w:r>
                </w:p>
              </w:tc>
              <w:tc>
                <w:tcPr>
                  <w:tcW w:w="3306" w:type="dxa"/>
                  <w:vAlign w:val="center"/>
                </w:tcPr>
                <w:p>
                  <w:pPr>
                    <w:snapToGrid w:val="0"/>
                    <w:jc w:val="center"/>
                    <w:rPr>
                      <w:kern w:val="24"/>
                      <w:szCs w:val="21"/>
                    </w:rPr>
                  </w:pPr>
                  <w:r>
                    <w:rPr>
                      <w:kern w:val="24"/>
                      <w:szCs w:val="21"/>
                    </w:rPr>
                    <w:t>90</w:t>
                  </w:r>
                  <w:r>
                    <w:rPr>
                      <w:rFonts w:hint="eastAsia"/>
                      <w:kern w:val="24"/>
                      <w:szCs w:val="21"/>
                    </w:rPr>
                    <w:t>～</w:t>
                  </w:r>
                  <w:r>
                    <w:rPr>
                      <w:kern w:val="24"/>
                      <w:szCs w:val="21"/>
                    </w:rPr>
                    <w:t>95</w:t>
                  </w:r>
                </w:p>
              </w:tc>
            </w:tr>
          </w:tbl>
          <w:p>
            <w:pPr>
              <w:jc w:val="center"/>
              <w:rPr>
                <w:b/>
                <w:szCs w:val="21"/>
              </w:rPr>
            </w:pPr>
            <w:r>
              <w:rPr>
                <w:rFonts w:hint="eastAsia"/>
                <w:b/>
                <w:szCs w:val="21"/>
              </w:rPr>
              <w:t>续</w:t>
            </w:r>
            <w:r>
              <w:rPr>
                <w:b/>
                <w:szCs w:val="21"/>
              </w:rPr>
              <w:t>表</w:t>
            </w:r>
            <w:r>
              <w:rPr>
                <w:rFonts w:hint="eastAsia"/>
                <w:b/>
                <w:szCs w:val="21"/>
              </w:rPr>
              <w:t>2</w:t>
            </w:r>
            <w:r>
              <w:rPr>
                <w:b/>
                <w:szCs w:val="21"/>
              </w:rPr>
              <w:t xml:space="preserve">1  </w:t>
            </w:r>
            <w:r>
              <w:rPr>
                <w:rFonts w:hint="eastAsia"/>
                <w:b/>
                <w:szCs w:val="21"/>
              </w:rPr>
              <w:t xml:space="preserve">  </w:t>
            </w:r>
            <w:r>
              <w:rPr>
                <w:b/>
                <w:szCs w:val="21"/>
              </w:rPr>
              <w:t>施工期机械设备噪声强度值</w:t>
            </w:r>
          </w:p>
          <w:tbl>
            <w:tblPr>
              <w:tblStyle w:val="39"/>
              <w:tblW w:w="882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32"/>
              <w:gridCol w:w="3387"/>
              <w:gridCol w:w="33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Align w:val="center"/>
                </w:tcPr>
                <w:p>
                  <w:pPr>
                    <w:snapToGrid w:val="0"/>
                    <w:jc w:val="center"/>
                    <w:rPr>
                      <w:caps/>
                      <w:kern w:val="24"/>
                      <w:szCs w:val="21"/>
                    </w:rPr>
                  </w:pPr>
                  <w:r>
                    <w:rPr>
                      <w:caps/>
                      <w:kern w:val="24"/>
                      <w:szCs w:val="21"/>
                    </w:rPr>
                    <w:t>施工阶段</w:t>
                  </w:r>
                </w:p>
              </w:tc>
              <w:tc>
                <w:tcPr>
                  <w:tcW w:w="3387" w:type="dxa"/>
                  <w:vAlign w:val="center"/>
                </w:tcPr>
                <w:p>
                  <w:pPr>
                    <w:snapToGrid w:val="0"/>
                    <w:jc w:val="center"/>
                    <w:rPr>
                      <w:caps/>
                      <w:kern w:val="24"/>
                      <w:szCs w:val="21"/>
                    </w:rPr>
                  </w:pPr>
                  <w:r>
                    <w:rPr>
                      <w:caps/>
                      <w:kern w:val="24"/>
                      <w:szCs w:val="21"/>
                    </w:rPr>
                    <w:t>声  源</w:t>
                  </w:r>
                </w:p>
              </w:tc>
              <w:tc>
                <w:tcPr>
                  <w:tcW w:w="3306" w:type="dxa"/>
                  <w:vAlign w:val="center"/>
                </w:tcPr>
                <w:p>
                  <w:pPr>
                    <w:snapToGrid w:val="0"/>
                    <w:jc w:val="center"/>
                    <w:rPr>
                      <w:caps/>
                      <w:kern w:val="24"/>
                      <w:szCs w:val="21"/>
                    </w:rPr>
                  </w:pPr>
                  <w:r>
                    <w:rPr>
                      <w:caps/>
                      <w:kern w:val="24"/>
                      <w:szCs w:val="21"/>
                    </w:rPr>
                    <w:t>声源强度</w:t>
                  </w:r>
                  <w:r>
                    <w:rPr>
                      <w:rFonts w:hint="eastAsia"/>
                      <w:caps/>
                      <w:kern w:val="24"/>
                      <w:szCs w:val="21"/>
                    </w:rPr>
                    <w:t>（</w:t>
                  </w:r>
                  <w:r>
                    <w:rPr>
                      <w:kern w:val="24"/>
                      <w:szCs w:val="21"/>
                    </w:rPr>
                    <w:t>d</w:t>
                  </w:r>
                  <w:r>
                    <w:rPr>
                      <w:caps/>
                      <w:kern w:val="24"/>
                      <w:szCs w:val="21"/>
                    </w:rPr>
                    <w:t>B（A）</w:t>
                  </w:r>
                  <w:r>
                    <w:rPr>
                      <w:rFonts w:hint="eastAsia"/>
                      <w:caps/>
                      <w:kern w:val="24"/>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Align w:val="center"/>
                </w:tcPr>
                <w:p>
                  <w:pPr>
                    <w:snapToGrid w:val="0"/>
                    <w:jc w:val="center"/>
                    <w:rPr>
                      <w:kern w:val="24"/>
                      <w:szCs w:val="21"/>
                    </w:rPr>
                  </w:pPr>
                  <w:r>
                    <w:rPr>
                      <w:kern w:val="24"/>
                      <w:szCs w:val="21"/>
                    </w:rPr>
                    <w:t>结构阶段</w:t>
                  </w:r>
                </w:p>
              </w:tc>
              <w:tc>
                <w:tcPr>
                  <w:tcW w:w="3387" w:type="dxa"/>
                  <w:vAlign w:val="center"/>
                </w:tcPr>
                <w:p>
                  <w:pPr>
                    <w:snapToGrid w:val="0"/>
                    <w:jc w:val="center"/>
                    <w:rPr>
                      <w:kern w:val="24"/>
                      <w:szCs w:val="21"/>
                    </w:rPr>
                  </w:pPr>
                  <w:r>
                    <w:rPr>
                      <w:kern w:val="24"/>
                      <w:szCs w:val="21"/>
                    </w:rPr>
                    <w:t>空压机</w:t>
                  </w:r>
                </w:p>
              </w:tc>
              <w:tc>
                <w:tcPr>
                  <w:tcW w:w="3306" w:type="dxa"/>
                  <w:vAlign w:val="center"/>
                </w:tcPr>
                <w:p>
                  <w:pPr>
                    <w:snapToGrid w:val="0"/>
                    <w:jc w:val="center"/>
                    <w:rPr>
                      <w:kern w:val="24"/>
                      <w:szCs w:val="21"/>
                    </w:rPr>
                  </w:pPr>
                  <w:r>
                    <w:rPr>
                      <w:kern w:val="24"/>
                      <w:szCs w:val="21"/>
                    </w:rPr>
                    <w:t>75</w:t>
                  </w:r>
                  <w:r>
                    <w:rPr>
                      <w:rFonts w:hint="eastAsia"/>
                      <w:kern w:val="24"/>
                      <w:szCs w:val="21"/>
                    </w:rPr>
                    <w:t>～</w:t>
                  </w:r>
                  <w:r>
                    <w:rPr>
                      <w:kern w:val="24"/>
                      <w:szCs w:val="21"/>
                    </w:rPr>
                    <w:t>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restart"/>
                  <w:vAlign w:val="center"/>
                </w:tcPr>
                <w:p>
                  <w:pPr>
                    <w:snapToGrid w:val="0"/>
                    <w:jc w:val="center"/>
                    <w:rPr>
                      <w:kern w:val="24"/>
                      <w:szCs w:val="21"/>
                    </w:rPr>
                  </w:pPr>
                  <w:r>
                    <w:rPr>
                      <w:kern w:val="24"/>
                      <w:szCs w:val="21"/>
                    </w:rPr>
                    <w:t>安装、装修阶段</w:t>
                  </w:r>
                </w:p>
              </w:tc>
              <w:tc>
                <w:tcPr>
                  <w:tcW w:w="3387" w:type="dxa"/>
                  <w:vAlign w:val="center"/>
                </w:tcPr>
                <w:p>
                  <w:pPr>
                    <w:snapToGrid w:val="0"/>
                    <w:jc w:val="center"/>
                    <w:rPr>
                      <w:kern w:val="24"/>
                      <w:szCs w:val="21"/>
                    </w:rPr>
                  </w:pPr>
                  <w:r>
                    <w:rPr>
                      <w:kern w:val="24"/>
                      <w:szCs w:val="21"/>
                    </w:rPr>
                    <w:t>电钻</w:t>
                  </w:r>
                </w:p>
              </w:tc>
              <w:tc>
                <w:tcPr>
                  <w:tcW w:w="3306" w:type="dxa"/>
                  <w:vAlign w:val="center"/>
                </w:tcPr>
                <w:p>
                  <w:pPr>
                    <w:snapToGrid w:val="0"/>
                    <w:jc w:val="center"/>
                    <w:rPr>
                      <w:kern w:val="24"/>
                      <w:szCs w:val="21"/>
                    </w:rPr>
                  </w:pPr>
                  <w:r>
                    <w:rPr>
                      <w:kern w:val="24"/>
                      <w:szCs w:val="21"/>
                    </w:rPr>
                    <w:t>100</w:t>
                  </w:r>
                  <w:r>
                    <w:rPr>
                      <w:rFonts w:hint="eastAsia"/>
                      <w:kern w:val="24"/>
                      <w:szCs w:val="21"/>
                    </w:rPr>
                    <w:t>～</w:t>
                  </w:r>
                  <w:r>
                    <w:rPr>
                      <w:kern w:val="24"/>
                      <w:szCs w:val="21"/>
                    </w:rP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continue"/>
                  <w:vAlign w:val="center"/>
                </w:tcPr>
                <w:p>
                  <w:pPr>
                    <w:snapToGrid w:val="0"/>
                    <w:ind w:firstLine="480"/>
                    <w:jc w:val="center"/>
                    <w:rPr>
                      <w:kern w:val="24"/>
                      <w:szCs w:val="21"/>
                    </w:rPr>
                  </w:pPr>
                </w:p>
              </w:tc>
              <w:tc>
                <w:tcPr>
                  <w:tcW w:w="3387" w:type="dxa"/>
                  <w:vAlign w:val="center"/>
                </w:tcPr>
                <w:p>
                  <w:pPr>
                    <w:snapToGrid w:val="0"/>
                    <w:jc w:val="center"/>
                    <w:rPr>
                      <w:kern w:val="24"/>
                      <w:szCs w:val="21"/>
                    </w:rPr>
                  </w:pPr>
                  <w:r>
                    <w:rPr>
                      <w:kern w:val="24"/>
                      <w:szCs w:val="21"/>
                    </w:rPr>
                    <w:t>电锤</w:t>
                  </w:r>
                </w:p>
              </w:tc>
              <w:tc>
                <w:tcPr>
                  <w:tcW w:w="3306" w:type="dxa"/>
                  <w:vAlign w:val="center"/>
                </w:tcPr>
                <w:p>
                  <w:pPr>
                    <w:snapToGrid w:val="0"/>
                    <w:jc w:val="center"/>
                    <w:rPr>
                      <w:kern w:val="24"/>
                      <w:szCs w:val="21"/>
                    </w:rPr>
                  </w:pPr>
                  <w:r>
                    <w:rPr>
                      <w:kern w:val="24"/>
                      <w:szCs w:val="21"/>
                    </w:rPr>
                    <w:t>100</w:t>
                  </w:r>
                  <w:r>
                    <w:rPr>
                      <w:rFonts w:hint="eastAsia"/>
                      <w:kern w:val="24"/>
                      <w:szCs w:val="21"/>
                    </w:rPr>
                    <w:t>～</w:t>
                  </w:r>
                  <w:r>
                    <w:rPr>
                      <w:kern w:val="24"/>
                      <w:szCs w:val="21"/>
                    </w:rP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continue"/>
                  <w:vAlign w:val="center"/>
                </w:tcPr>
                <w:p>
                  <w:pPr>
                    <w:snapToGrid w:val="0"/>
                    <w:ind w:firstLine="480"/>
                    <w:jc w:val="center"/>
                    <w:rPr>
                      <w:kern w:val="24"/>
                      <w:szCs w:val="21"/>
                    </w:rPr>
                  </w:pPr>
                </w:p>
              </w:tc>
              <w:tc>
                <w:tcPr>
                  <w:tcW w:w="3387" w:type="dxa"/>
                  <w:vAlign w:val="center"/>
                </w:tcPr>
                <w:p>
                  <w:pPr>
                    <w:snapToGrid w:val="0"/>
                    <w:jc w:val="center"/>
                    <w:rPr>
                      <w:kern w:val="24"/>
                      <w:szCs w:val="21"/>
                    </w:rPr>
                  </w:pPr>
                  <w:r>
                    <w:rPr>
                      <w:kern w:val="24"/>
                      <w:szCs w:val="21"/>
                    </w:rPr>
                    <w:t>手工钻</w:t>
                  </w:r>
                </w:p>
              </w:tc>
              <w:tc>
                <w:tcPr>
                  <w:tcW w:w="3306" w:type="dxa"/>
                  <w:vAlign w:val="center"/>
                </w:tcPr>
                <w:p>
                  <w:pPr>
                    <w:snapToGrid w:val="0"/>
                    <w:jc w:val="center"/>
                    <w:rPr>
                      <w:kern w:val="24"/>
                      <w:szCs w:val="21"/>
                    </w:rPr>
                  </w:pPr>
                  <w:r>
                    <w:rPr>
                      <w:kern w:val="24"/>
                      <w:szCs w:val="21"/>
                    </w:rPr>
                    <w:t>100</w:t>
                  </w:r>
                  <w:r>
                    <w:rPr>
                      <w:rFonts w:hint="eastAsia"/>
                      <w:kern w:val="24"/>
                      <w:szCs w:val="21"/>
                    </w:rPr>
                    <w:t>～</w:t>
                  </w:r>
                  <w:r>
                    <w:rPr>
                      <w:kern w:val="24"/>
                      <w:szCs w:val="21"/>
                    </w:rP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continue"/>
                  <w:vAlign w:val="center"/>
                </w:tcPr>
                <w:p>
                  <w:pPr>
                    <w:snapToGrid w:val="0"/>
                    <w:ind w:firstLine="480"/>
                    <w:jc w:val="center"/>
                    <w:rPr>
                      <w:kern w:val="24"/>
                      <w:szCs w:val="21"/>
                    </w:rPr>
                  </w:pPr>
                </w:p>
              </w:tc>
              <w:tc>
                <w:tcPr>
                  <w:tcW w:w="3387" w:type="dxa"/>
                  <w:vAlign w:val="center"/>
                </w:tcPr>
                <w:p>
                  <w:pPr>
                    <w:snapToGrid w:val="0"/>
                    <w:jc w:val="center"/>
                    <w:rPr>
                      <w:kern w:val="24"/>
                      <w:szCs w:val="21"/>
                    </w:rPr>
                  </w:pPr>
                  <w:r>
                    <w:rPr>
                      <w:kern w:val="24"/>
                      <w:szCs w:val="21"/>
                    </w:rPr>
                    <w:t>无齿锯</w:t>
                  </w:r>
                </w:p>
              </w:tc>
              <w:tc>
                <w:tcPr>
                  <w:tcW w:w="3306" w:type="dxa"/>
                  <w:vAlign w:val="center"/>
                </w:tcPr>
                <w:p>
                  <w:pPr>
                    <w:snapToGrid w:val="0"/>
                    <w:jc w:val="center"/>
                    <w:rPr>
                      <w:kern w:val="24"/>
                      <w:szCs w:val="21"/>
                    </w:rPr>
                  </w:pPr>
                  <w:r>
                    <w:rPr>
                      <w:kern w:val="24"/>
                      <w:szCs w:val="21"/>
                    </w:rPr>
                    <w:t>105</w:t>
                  </w:r>
                </w:p>
              </w:tc>
            </w:tr>
          </w:tbl>
          <w:p>
            <w:pPr>
              <w:tabs>
                <w:tab w:val="left" w:pos="6720"/>
              </w:tabs>
              <w:autoSpaceDE w:val="0"/>
              <w:autoSpaceDN w:val="0"/>
              <w:adjustRightInd w:val="0"/>
              <w:spacing w:before="120" w:beforeLines="50" w:line="360" w:lineRule="auto"/>
              <w:ind w:firstLine="480" w:firstLineChars="200"/>
              <w:jc w:val="left"/>
              <w:rPr>
                <w:kern w:val="24"/>
                <w:sz w:val="24"/>
              </w:rPr>
            </w:pPr>
            <w:r>
              <w:rPr>
                <w:kern w:val="24"/>
                <w:sz w:val="24"/>
              </w:rPr>
              <w:t>物料运输车辆类型及其声级值见表22。</w:t>
            </w:r>
          </w:p>
          <w:p>
            <w:pPr>
              <w:jc w:val="center"/>
              <w:rPr>
                <w:b/>
                <w:szCs w:val="21"/>
              </w:rPr>
            </w:pPr>
            <w:r>
              <w:rPr>
                <w:b/>
                <w:szCs w:val="21"/>
              </w:rPr>
              <w:t xml:space="preserve">表22   </w:t>
            </w:r>
            <w:r>
              <w:rPr>
                <w:rFonts w:hint="eastAsia"/>
                <w:b/>
                <w:szCs w:val="21"/>
              </w:rPr>
              <w:t xml:space="preserve"> </w:t>
            </w:r>
            <w:r>
              <w:rPr>
                <w:b/>
                <w:szCs w:val="21"/>
              </w:rPr>
              <w:t>交通运输车辆噪声</w:t>
            </w:r>
          </w:p>
          <w:tbl>
            <w:tblPr>
              <w:tblStyle w:val="39"/>
              <w:tblW w:w="882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43"/>
              <w:gridCol w:w="2570"/>
              <w:gridCol w:w="2241"/>
              <w:gridCol w:w="22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743" w:type="dxa"/>
                  <w:vAlign w:val="center"/>
                </w:tcPr>
                <w:p>
                  <w:pPr>
                    <w:snapToGrid w:val="0"/>
                    <w:jc w:val="center"/>
                    <w:rPr>
                      <w:kern w:val="24"/>
                      <w:szCs w:val="21"/>
                    </w:rPr>
                  </w:pPr>
                  <w:r>
                    <w:rPr>
                      <w:kern w:val="24"/>
                      <w:szCs w:val="21"/>
                    </w:rPr>
                    <w:t>施工阶段</w:t>
                  </w:r>
                </w:p>
              </w:tc>
              <w:tc>
                <w:tcPr>
                  <w:tcW w:w="2570" w:type="dxa"/>
                  <w:vAlign w:val="center"/>
                </w:tcPr>
                <w:p>
                  <w:pPr>
                    <w:snapToGrid w:val="0"/>
                    <w:jc w:val="center"/>
                    <w:rPr>
                      <w:kern w:val="24"/>
                      <w:szCs w:val="21"/>
                    </w:rPr>
                  </w:pPr>
                  <w:r>
                    <w:rPr>
                      <w:kern w:val="24"/>
                      <w:szCs w:val="21"/>
                    </w:rPr>
                    <w:t>运输内容</w:t>
                  </w:r>
                </w:p>
              </w:tc>
              <w:tc>
                <w:tcPr>
                  <w:tcW w:w="2241" w:type="dxa"/>
                  <w:vAlign w:val="center"/>
                </w:tcPr>
                <w:p>
                  <w:pPr>
                    <w:snapToGrid w:val="0"/>
                    <w:jc w:val="center"/>
                    <w:rPr>
                      <w:kern w:val="24"/>
                      <w:szCs w:val="21"/>
                    </w:rPr>
                  </w:pPr>
                  <w:r>
                    <w:rPr>
                      <w:kern w:val="24"/>
                      <w:szCs w:val="21"/>
                    </w:rPr>
                    <w:t>车辆类型</w:t>
                  </w:r>
                </w:p>
              </w:tc>
              <w:tc>
                <w:tcPr>
                  <w:tcW w:w="2271" w:type="dxa"/>
                  <w:vAlign w:val="center"/>
                </w:tcPr>
                <w:p>
                  <w:pPr>
                    <w:snapToGrid w:val="0"/>
                    <w:jc w:val="center"/>
                    <w:rPr>
                      <w:kern w:val="24"/>
                      <w:szCs w:val="21"/>
                    </w:rPr>
                  </w:pPr>
                  <w:r>
                    <w:rPr>
                      <w:caps/>
                      <w:kern w:val="24"/>
                      <w:szCs w:val="21"/>
                    </w:rPr>
                    <w:t>声源强度</w:t>
                  </w:r>
                  <w:r>
                    <w:rPr>
                      <w:rFonts w:hint="eastAsia"/>
                      <w:caps/>
                      <w:kern w:val="24"/>
                      <w:szCs w:val="21"/>
                    </w:rPr>
                    <w:t>（</w:t>
                  </w:r>
                  <w:r>
                    <w:rPr>
                      <w:kern w:val="24"/>
                      <w:szCs w:val="21"/>
                    </w:rPr>
                    <w:t>d</w:t>
                  </w:r>
                  <w:r>
                    <w:rPr>
                      <w:caps/>
                      <w:kern w:val="24"/>
                      <w:szCs w:val="21"/>
                    </w:rPr>
                    <w:t>B（A）</w:t>
                  </w:r>
                  <w:r>
                    <w:rPr>
                      <w:rFonts w:hint="eastAsia"/>
                      <w:caps/>
                      <w:kern w:val="24"/>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743" w:type="dxa"/>
                  <w:vAlign w:val="center"/>
                </w:tcPr>
                <w:p>
                  <w:pPr>
                    <w:snapToGrid w:val="0"/>
                    <w:jc w:val="center"/>
                    <w:rPr>
                      <w:kern w:val="24"/>
                      <w:szCs w:val="21"/>
                    </w:rPr>
                  </w:pPr>
                  <w:r>
                    <w:rPr>
                      <w:kern w:val="24"/>
                      <w:szCs w:val="21"/>
                    </w:rPr>
                    <w:t>土石方阶段</w:t>
                  </w:r>
                </w:p>
              </w:tc>
              <w:tc>
                <w:tcPr>
                  <w:tcW w:w="2570" w:type="dxa"/>
                  <w:vAlign w:val="center"/>
                </w:tcPr>
                <w:p>
                  <w:pPr>
                    <w:snapToGrid w:val="0"/>
                    <w:jc w:val="center"/>
                    <w:rPr>
                      <w:kern w:val="24"/>
                      <w:szCs w:val="21"/>
                    </w:rPr>
                  </w:pPr>
                  <w:r>
                    <w:rPr>
                      <w:kern w:val="24"/>
                      <w:szCs w:val="21"/>
                    </w:rPr>
                    <w:t>土石</w:t>
                  </w:r>
                </w:p>
              </w:tc>
              <w:tc>
                <w:tcPr>
                  <w:tcW w:w="2241" w:type="dxa"/>
                  <w:vAlign w:val="center"/>
                </w:tcPr>
                <w:p>
                  <w:pPr>
                    <w:snapToGrid w:val="0"/>
                    <w:jc w:val="center"/>
                    <w:rPr>
                      <w:kern w:val="24"/>
                      <w:szCs w:val="21"/>
                    </w:rPr>
                  </w:pPr>
                  <w:r>
                    <w:rPr>
                      <w:kern w:val="24"/>
                      <w:szCs w:val="21"/>
                    </w:rPr>
                    <w:t>大型载重车</w:t>
                  </w:r>
                </w:p>
              </w:tc>
              <w:tc>
                <w:tcPr>
                  <w:tcW w:w="2271" w:type="dxa"/>
                  <w:vAlign w:val="center"/>
                </w:tcPr>
                <w:p>
                  <w:pPr>
                    <w:snapToGrid w:val="0"/>
                    <w:jc w:val="center"/>
                    <w:rPr>
                      <w:kern w:val="24"/>
                      <w:szCs w:val="21"/>
                    </w:rPr>
                  </w:pPr>
                  <w:r>
                    <w:rPr>
                      <w:kern w:val="24"/>
                      <w:szCs w:val="21"/>
                    </w:rPr>
                    <w:t>84</w:t>
                  </w:r>
                  <w:r>
                    <w:rPr>
                      <w:rFonts w:hint="eastAsia"/>
                      <w:kern w:val="24"/>
                      <w:szCs w:val="21"/>
                    </w:rPr>
                    <w:t>～</w:t>
                  </w:r>
                  <w:r>
                    <w:rPr>
                      <w:kern w:val="24"/>
                      <w:szCs w:val="21"/>
                    </w:rPr>
                    <w:t>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743" w:type="dxa"/>
                  <w:vAlign w:val="center"/>
                </w:tcPr>
                <w:p>
                  <w:pPr>
                    <w:snapToGrid w:val="0"/>
                    <w:jc w:val="center"/>
                    <w:rPr>
                      <w:kern w:val="24"/>
                      <w:szCs w:val="21"/>
                    </w:rPr>
                  </w:pPr>
                  <w:r>
                    <w:rPr>
                      <w:kern w:val="24"/>
                      <w:szCs w:val="21"/>
                    </w:rPr>
                    <w:t>结构阶段</w:t>
                  </w:r>
                </w:p>
              </w:tc>
              <w:tc>
                <w:tcPr>
                  <w:tcW w:w="2570" w:type="dxa"/>
                  <w:vAlign w:val="center"/>
                </w:tcPr>
                <w:p>
                  <w:pPr>
                    <w:snapToGrid w:val="0"/>
                    <w:jc w:val="center"/>
                    <w:rPr>
                      <w:kern w:val="24"/>
                      <w:szCs w:val="21"/>
                    </w:rPr>
                  </w:pPr>
                  <w:r>
                    <w:rPr>
                      <w:kern w:val="24"/>
                      <w:szCs w:val="21"/>
                    </w:rPr>
                    <w:t>钢材、商砼等</w:t>
                  </w:r>
                </w:p>
              </w:tc>
              <w:tc>
                <w:tcPr>
                  <w:tcW w:w="2241" w:type="dxa"/>
                  <w:vAlign w:val="center"/>
                </w:tcPr>
                <w:p>
                  <w:pPr>
                    <w:snapToGrid w:val="0"/>
                    <w:jc w:val="center"/>
                    <w:rPr>
                      <w:kern w:val="24"/>
                      <w:szCs w:val="21"/>
                    </w:rPr>
                  </w:pPr>
                  <w:r>
                    <w:rPr>
                      <w:kern w:val="24"/>
                      <w:szCs w:val="21"/>
                    </w:rPr>
                    <w:t>商砼车、载重车</w:t>
                  </w:r>
                </w:p>
              </w:tc>
              <w:tc>
                <w:tcPr>
                  <w:tcW w:w="2271" w:type="dxa"/>
                  <w:vAlign w:val="center"/>
                </w:tcPr>
                <w:p>
                  <w:pPr>
                    <w:snapToGrid w:val="0"/>
                    <w:jc w:val="center"/>
                    <w:rPr>
                      <w:kern w:val="24"/>
                      <w:szCs w:val="21"/>
                    </w:rPr>
                  </w:pPr>
                  <w:r>
                    <w:rPr>
                      <w:kern w:val="24"/>
                      <w:szCs w:val="21"/>
                    </w:rPr>
                    <w:t>80</w:t>
                  </w:r>
                  <w:r>
                    <w:rPr>
                      <w:rFonts w:hint="eastAsia"/>
                      <w:kern w:val="24"/>
                      <w:szCs w:val="21"/>
                    </w:rPr>
                    <w:t>～</w:t>
                  </w:r>
                  <w:r>
                    <w:rPr>
                      <w:kern w:val="24"/>
                      <w:szCs w:val="21"/>
                    </w:rPr>
                    <w:t>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743" w:type="dxa"/>
                  <w:vAlign w:val="center"/>
                </w:tcPr>
                <w:p>
                  <w:pPr>
                    <w:snapToGrid w:val="0"/>
                    <w:jc w:val="center"/>
                    <w:rPr>
                      <w:kern w:val="24"/>
                      <w:szCs w:val="21"/>
                    </w:rPr>
                  </w:pPr>
                  <w:r>
                    <w:rPr>
                      <w:kern w:val="24"/>
                      <w:szCs w:val="21"/>
                    </w:rPr>
                    <w:t>安装、装修阶段</w:t>
                  </w:r>
                </w:p>
              </w:tc>
              <w:tc>
                <w:tcPr>
                  <w:tcW w:w="2570" w:type="dxa"/>
                  <w:vAlign w:val="center"/>
                </w:tcPr>
                <w:p>
                  <w:pPr>
                    <w:snapToGrid w:val="0"/>
                    <w:jc w:val="center"/>
                    <w:rPr>
                      <w:kern w:val="24"/>
                      <w:szCs w:val="21"/>
                    </w:rPr>
                  </w:pPr>
                  <w:r>
                    <w:rPr>
                      <w:kern w:val="24"/>
                      <w:szCs w:val="21"/>
                    </w:rPr>
                    <w:t>各种装修材料及必备设备</w:t>
                  </w:r>
                </w:p>
              </w:tc>
              <w:tc>
                <w:tcPr>
                  <w:tcW w:w="2241" w:type="dxa"/>
                  <w:vAlign w:val="center"/>
                </w:tcPr>
                <w:p>
                  <w:pPr>
                    <w:snapToGrid w:val="0"/>
                    <w:jc w:val="center"/>
                    <w:rPr>
                      <w:kern w:val="24"/>
                      <w:szCs w:val="21"/>
                    </w:rPr>
                  </w:pPr>
                  <w:r>
                    <w:rPr>
                      <w:kern w:val="24"/>
                      <w:szCs w:val="21"/>
                    </w:rPr>
                    <w:t>轻型卡车</w:t>
                  </w:r>
                </w:p>
              </w:tc>
              <w:tc>
                <w:tcPr>
                  <w:tcW w:w="2271" w:type="dxa"/>
                  <w:vAlign w:val="center"/>
                </w:tcPr>
                <w:p>
                  <w:pPr>
                    <w:snapToGrid w:val="0"/>
                    <w:jc w:val="center"/>
                    <w:rPr>
                      <w:kern w:val="24"/>
                      <w:szCs w:val="21"/>
                    </w:rPr>
                  </w:pPr>
                  <w:r>
                    <w:rPr>
                      <w:kern w:val="24"/>
                      <w:szCs w:val="21"/>
                    </w:rPr>
                    <w:t>70</w:t>
                  </w:r>
                  <w:r>
                    <w:rPr>
                      <w:rFonts w:hint="eastAsia"/>
                      <w:kern w:val="24"/>
                      <w:szCs w:val="21"/>
                    </w:rPr>
                    <w:t>～</w:t>
                  </w:r>
                  <w:r>
                    <w:rPr>
                      <w:kern w:val="24"/>
                      <w:szCs w:val="21"/>
                    </w:rPr>
                    <w:t>80</w:t>
                  </w:r>
                </w:p>
              </w:tc>
            </w:tr>
          </w:tbl>
          <w:p>
            <w:pPr>
              <w:spacing w:before="120" w:beforeLines="50" w:line="360" w:lineRule="auto"/>
              <w:ind w:firstLine="482" w:firstLineChars="200"/>
              <w:rPr>
                <w:b/>
                <w:sz w:val="24"/>
              </w:rPr>
            </w:pPr>
            <w:r>
              <w:rPr>
                <w:b/>
                <w:sz w:val="24"/>
              </w:rPr>
              <w:t>4、固体废物</w:t>
            </w:r>
          </w:p>
          <w:p>
            <w:pPr>
              <w:spacing w:line="360" w:lineRule="auto"/>
              <w:ind w:firstLine="480" w:firstLineChars="200"/>
              <w:contextualSpacing/>
              <w:rPr>
                <w:sz w:val="24"/>
                <w:szCs w:val="20"/>
              </w:rPr>
            </w:pPr>
            <w:r>
              <w:rPr>
                <w:sz w:val="24"/>
                <w:szCs w:val="20"/>
              </w:rPr>
              <w:t>施工期产生的固体废弃物主要为施工产生的土石方、建筑垃圾、施工人员产生的垃圾。</w:t>
            </w:r>
          </w:p>
          <w:p>
            <w:pPr>
              <w:spacing w:line="360" w:lineRule="auto"/>
              <w:ind w:firstLine="480" w:firstLineChars="200"/>
              <w:contextualSpacing/>
              <w:rPr>
                <w:sz w:val="24"/>
                <w:szCs w:val="20"/>
              </w:rPr>
            </w:pPr>
            <w:r>
              <w:rPr>
                <w:sz w:val="24"/>
                <w:szCs w:val="20"/>
              </w:rPr>
              <w:fldChar w:fldCharType="begin"/>
            </w:r>
            <w:r>
              <w:rPr>
                <w:sz w:val="24"/>
                <w:szCs w:val="20"/>
              </w:rPr>
              <w:instrText xml:space="preserve"> </w:instrText>
            </w:r>
            <w:r>
              <w:rPr>
                <w:rFonts w:hint="eastAsia"/>
                <w:sz w:val="24"/>
                <w:szCs w:val="20"/>
              </w:rPr>
              <w:instrText xml:space="preserve">= 1 \* GB2</w:instrText>
            </w:r>
            <w:r>
              <w:rPr>
                <w:sz w:val="24"/>
                <w:szCs w:val="20"/>
              </w:rPr>
              <w:instrText xml:space="preserve"> </w:instrText>
            </w:r>
            <w:r>
              <w:rPr>
                <w:sz w:val="24"/>
                <w:szCs w:val="20"/>
              </w:rPr>
              <w:fldChar w:fldCharType="separate"/>
            </w:r>
            <w:r>
              <w:rPr>
                <w:rFonts w:hint="eastAsia"/>
                <w:sz w:val="24"/>
                <w:szCs w:val="20"/>
              </w:rPr>
              <w:t>⑴</w:t>
            </w:r>
            <w:r>
              <w:rPr>
                <w:sz w:val="24"/>
                <w:szCs w:val="20"/>
              </w:rPr>
              <w:fldChar w:fldCharType="end"/>
            </w:r>
            <w:r>
              <w:rPr>
                <w:rFonts w:hint="eastAsia"/>
                <w:sz w:val="24"/>
                <w:szCs w:val="20"/>
              </w:rPr>
              <w:t xml:space="preserve"> </w:t>
            </w:r>
            <w:r>
              <w:rPr>
                <w:sz w:val="24"/>
                <w:szCs w:val="20"/>
              </w:rPr>
              <w:t>施工期弃土</w:t>
            </w:r>
          </w:p>
          <w:p>
            <w:pPr>
              <w:spacing w:line="360" w:lineRule="auto"/>
              <w:ind w:firstLine="480" w:firstLineChars="200"/>
              <w:contextualSpacing/>
              <w:rPr>
                <w:sz w:val="24"/>
                <w:szCs w:val="20"/>
              </w:rPr>
            </w:pPr>
            <w:r>
              <w:rPr>
                <w:rFonts w:hint="eastAsia"/>
                <w:sz w:val="24"/>
                <w:szCs w:val="20"/>
              </w:rPr>
              <w:t>项目施工期</w:t>
            </w:r>
            <w:r>
              <w:rPr>
                <w:sz w:val="24"/>
                <w:szCs w:val="20"/>
              </w:rPr>
              <w:t>弃土主要为</w:t>
            </w:r>
            <w:r>
              <w:rPr>
                <w:rFonts w:hint="eastAsia"/>
                <w:bCs/>
                <w:sz w:val="24"/>
                <w:szCs w:val="20"/>
              </w:rPr>
              <w:t>预应力管桁架结构基础</w:t>
            </w:r>
            <w:r>
              <w:rPr>
                <w:bCs/>
                <w:sz w:val="24"/>
                <w:szCs w:val="20"/>
              </w:rPr>
              <w:t>开挖，</w:t>
            </w:r>
            <w:r>
              <w:rPr>
                <w:rFonts w:hint="eastAsia"/>
                <w:bCs/>
                <w:sz w:val="24"/>
                <w:szCs w:val="20"/>
              </w:rPr>
              <w:t>开挖</w:t>
            </w:r>
            <w:r>
              <w:rPr>
                <w:bCs/>
                <w:sz w:val="24"/>
                <w:szCs w:val="20"/>
              </w:rPr>
              <w:t>土方量较小</w:t>
            </w:r>
            <w:r>
              <w:rPr>
                <w:rFonts w:hint="eastAsia"/>
                <w:bCs/>
                <w:sz w:val="24"/>
                <w:szCs w:val="20"/>
              </w:rPr>
              <w:t>，</w:t>
            </w:r>
            <w:r>
              <w:rPr>
                <w:sz w:val="24"/>
                <w:szCs w:val="20"/>
              </w:rPr>
              <w:t>开挖的土石方除用于场地回填平衡，剩余部分尽量做到综合利用，不能综合利用部分由建设方统一清运至有关部门指定</w:t>
            </w:r>
            <w:r>
              <w:rPr>
                <w:rFonts w:hint="eastAsia"/>
                <w:sz w:val="24"/>
                <w:szCs w:val="20"/>
              </w:rPr>
              <w:t>建筑垃圾填埋场</w:t>
            </w:r>
            <w:r>
              <w:rPr>
                <w:sz w:val="24"/>
                <w:szCs w:val="20"/>
              </w:rPr>
              <w:t>妥善处置。</w:t>
            </w:r>
          </w:p>
          <w:p>
            <w:pPr>
              <w:spacing w:line="360" w:lineRule="auto"/>
              <w:ind w:right="101" w:rightChars="48" w:firstLine="504" w:firstLineChars="200"/>
              <w:rPr>
                <w:spacing w:val="6"/>
                <w:kern w:val="24"/>
                <w:sz w:val="24"/>
              </w:rPr>
            </w:pPr>
            <w:r>
              <w:rPr>
                <w:spacing w:val="6"/>
                <w:kern w:val="24"/>
                <w:sz w:val="24"/>
              </w:rPr>
              <w:fldChar w:fldCharType="begin"/>
            </w:r>
            <w:r>
              <w:rPr>
                <w:spacing w:val="6"/>
                <w:kern w:val="24"/>
                <w:sz w:val="24"/>
              </w:rPr>
              <w:instrText xml:space="preserve"> </w:instrText>
            </w:r>
            <w:r>
              <w:rPr>
                <w:rFonts w:hint="eastAsia"/>
                <w:spacing w:val="6"/>
                <w:kern w:val="24"/>
                <w:sz w:val="24"/>
              </w:rPr>
              <w:instrText xml:space="preserve">= 2 \* GB2</w:instrText>
            </w:r>
            <w:r>
              <w:rPr>
                <w:spacing w:val="6"/>
                <w:kern w:val="24"/>
                <w:sz w:val="24"/>
              </w:rPr>
              <w:instrText xml:space="preserve"> </w:instrText>
            </w:r>
            <w:r>
              <w:rPr>
                <w:spacing w:val="6"/>
                <w:kern w:val="24"/>
                <w:sz w:val="24"/>
              </w:rPr>
              <w:fldChar w:fldCharType="separate"/>
            </w:r>
            <w:r>
              <w:rPr>
                <w:rFonts w:hint="eastAsia"/>
                <w:spacing w:val="6"/>
                <w:kern w:val="24"/>
                <w:sz w:val="24"/>
              </w:rPr>
              <w:t>⑵</w:t>
            </w:r>
            <w:r>
              <w:rPr>
                <w:spacing w:val="6"/>
                <w:kern w:val="24"/>
                <w:sz w:val="24"/>
              </w:rPr>
              <w:fldChar w:fldCharType="end"/>
            </w:r>
            <w:r>
              <w:rPr>
                <w:rFonts w:hint="eastAsia"/>
                <w:spacing w:val="6"/>
                <w:kern w:val="24"/>
                <w:sz w:val="24"/>
              </w:rPr>
              <w:t xml:space="preserve"> </w:t>
            </w:r>
            <w:r>
              <w:rPr>
                <w:spacing w:val="6"/>
                <w:kern w:val="24"/>
                <w:sz w:val="24"/>
              </w:rPr>
              <w:t>建筑垃圾</w:t>
            </w:r>
          </w:p>
          <w:p>
            <w:pPr>
              <w:spacing w:line="360" w:lineRule="auto"/>
              <w:ind w:firstLine="480" w:firstLineChars="200"/>
              <w:contextualSpacing/>
              <w:rPr>
                <w:sz w:val="24"/>
                <w:szCs w:val="20"/>
              </w:rPr>
            </w:pPr>
            <w:r>
              <w:rPr>
                <w:sz w:val="24"/>
                <w:szCs w:val="20"/>
              </w:rPr>
              <w:t>项目在施工阶段产生的建筑垃圾</w:t>
            </w:r>
            <w:r>
              <w:rPr>
                <w:rFonts w:hint="eastAsia"/>
                <w:sz w:val="24"/>
                <w:szCs w:val="20"/>
              </w:rPr>
              <w:t>主要为</w:t>
            </w:r>
            <w:r>
              <w:rPr>
                <w:sz w:val="24"/>
                <w:szCs w:val="20"/>
              </w:rPr>
              <w:t>拆除的防风抑尘网，</w:t>
            </w:r>
            <w:r>
              <w:rPr>
                <w:rFonts w:hint="eastAsia"/>
                <w:sz w:val="24"/>
                <w:szCs w:val="20"/>
              </w:rPr>
              <w:t>挡墙拆除</w:t>
            </w:r>
            <w:r>
              <w:rPr>
                <w:sz w:val="24"/>
                <w:szCs w:val="20"/>
              </w:rPr>
              <w:t>、配套设施建设</w:t>
            </w:r>
            <w:r>
              <w:rPr>
                <w:rFonts w:hint="eastAsia"/>
                <w:sz w:val="24"/>
                <w:szCs w:val="20"/>
              </w:rPr>
              <w:t>过程</w:t>
            </w:r>
            <w:r>
              <w:rPr>
                <w:sz w:val="24"/>
                <w:szCs w:val="20"/>
              </w:rPr>
              <w:t>中产生的建筑垃圾</w:t>
            </w:r>
            <w:r>
              <w:rPr>
                <w:rFonts w:hint="eastAsia"/>
                <w:sz w:val="24"/>
                <w:szCs w:val="20"/>
              </w:rPr>
              <w:t>及</w:t>
            </w:r>
            <w:r>
              <w:rPr>
                <w:sz w:val="24"/>
                <w:szCs w:val="20"/>
              </w:rPr>
              <w:t>全封闭</w:t>
            </w:r>
            <w:r>
              <w:rPr>
                <w:rFonts w:hint="eastAsia"/>
                <w:sz w:val="24"/>
                <w:szCs w:val="20"/>
              </w:rPr>
              <w:t>煤场</w:t>
            </w:r>
            <w:r>
              <w:rPr>
                <w:sz w:val="24"/>
                <w:szCs w:val="20"/>
              </w:rPr>
              <w:t>网面安装过程中的施工焊渣、废金属、废钢筋等</w:t>
            </w:r>
            <w:r>
              <w:rPr>
                <w:rFonts w:hint="eastAsia"/>
                <w:sz w:val="24"/>
                <w:szCs w:val="20"/>
              </w:rPr>
              <w:t>，</w:t>
            </w:r>
            <w:r>
              <w:rPr>
                <w:sz w:val="24"/>
                <w:szCs w:val="20"/>
              </w:rPr>
              <w:t>必须在施工过程中设置临时堆放地点，能利用的尽量回收利用，不能回收利用的由建设方统一清运至有关部门指定</w:t>
            </w:r>
            <w:r>
              <w:rPr>
                <w:rFonts w:hint="eastAsia"/>
                <w:sz w:val="24"/>
                <w:szCs w:val="20"/>
              </w:rPr>
              <w:t>建筑垃圾填埋场</w:t>
            </w:r>
            <w:r>
              <w:rPr>
                <w:sz w:val="24"/>
                <w:szCs w:val="20"/>
              </w:rPr>
              <w:t>妥善处置。</w:t>
            </w:r>
          </w:p>
          <w:p>
            <w:pPr>
              <w:spacing w:line="360" w:lineRule="auto"/>
              <w:ind w:firstLine="480" w:firstLineChars="200"/>
              <w:contextualSpacing/>
              <w:rPr>
                <w:sz w:val="24"/>
                <w:szCs w:val="20"/>
              </w:rPr>
            </w:pPr>
            <w:r>
              <w:rPr>
                <w:sz w:val="24"/>
                <w:szCs w:val="20"/>
              </w:rPr>
              <w:fldChar w:fldCharType="begin"/>
            </w:r>
            <w:r>
              <w:rPr>
                <w:sz w:val="24"/>
                <w:szCs w:val="20"/>
              </w:rPr>
              <w:instrText xml:space="preserve"> </w:instrText>
            </w:r>
            <w:r>
              <w:rPr>
                <w:rFonts w:hint="eastAsia"/>
                <w:sz w:val="24"/>
                <w:szCs w:val="20"/>
              </w:rPr>
              <w:instrText xml:space="preserve">= 3 \* GB2</w:instrText>
            </w:r>
            <w:r>
              <w:rPr>
                <w:sz w:val="24"/>
                <w:szCs w:val="20"/>
              </w:rPr>
              <w:instrText xml:space="preserve"> </w:instrText>
            </w:r>
            <w:r>
              <w:rPr>
                <w:sz w:val="24"/>
                <w:szCs w:val="20"/>
              </w:rPr>
              <w:fldChar w:fldCharType="separate"/>
            </w:r>
            <w:r>
              <w:rPr>
                <w:rFonts w:hint="eastAsia"/>
                <w:sz w:val="24"/>
                <w:szCs w:val="20"/>
              </w:rPr>
              <w:t>⑶</w:t>
            </w:r>
            <w:r>
              <w:rPr>
                <w:sz w:val="24"/>
                <w:szCs w:val="20"/>
              </w:rPr>
              <w:fldChar w:fldCharType="end"/>
            </w:r>
            <w:r>
              <w:rPr>
                <w:rFonts w:hint="eastAsia"/>
                <w:sz w:val="24"/>
                <w:szCs w:val="20"/>
              </w:rPr>
              <w:t xml:space="preserve"> </w:t>
            </w:r>
            <w:r>
              <w:rPr>
                <w:sz w:val="24"/>
                <w:szCs w:val="20"/>
              </w:rPr>
              <w:t>生活垃圾</w:t>
            </w:r>
          </w:p>
          <w:p>
            <w:pPr>
              <w:spacing w:line="360" w:lineRule="auto"/>
              <w:ind w:firstLine="480" w:firstLineChars="200"/>
              <w:contextualSpacing/>
              <w:rPr>
                <w:sz w:val="24"/>
                <w:szCs w:val="20"/>
              </w:rPr>
            </w:pPr>
            <w:r>
              <w:rPr>
                <w:sz w:val="24"/>
                <w:szCs w:val="20"/>
              </w:rPr>
              <w:t>生活垃圾主要由施工人员产生，高峰期按每日用工最大50人计，生活垃圾按每人产生0.34kg/d计算，</w:t>
            </w:r>
            <w:r>
              <w:rPr>
                <w:rFonts w:hint="eastAsia"/>
                <w:sz w:val="24"/>
                <w:szCs w:val="20"/>
              </w:rPr>
              <w:t>则生活垃圾</w:t>
            </w:r>
            <w:r>
              <w:rPr>
                <w:sz w:val="24"/>
                <w:szCs w:val="20"/>
              </w:rPr>
              <w:t>产生量为17.0kg/d，主要成分为有机物、塑料及废纸包装物等。项目施工期共6个月，因此施工期施工人员生活垃圾产生总量为3.06t</w:t>
            </w:r>
            <w:r>
              <w:rPr>
                <w:rFonts w:hint="eastAsia"/>
                <w:sz w:val="24"/>
                <w:szCs w:val="20"/>
              </w:rPr>
              <w:t>，统一收集后纳入正阳镇生活垃圾清运系统处置。</w:t>
            </w:r>
          </w:p>
          <w:p>
            <w:pPr>
              <w:spacing w:line="360" w:lineRule="auto"/>
              <w:ind w:firstLine="482" w:firstLineChars="200"/>
              <w:rPr>
                <w:b/>
                <w:sz w:val="24"/>
              </w:rPr>
            </w:pPr>
            <w:r>
              <w:rPr>
                <w:b/>
                <w:sz w:val="24"/>
              </w:rPr>
              <w:t>5、</w:t>
            </w:r>
            <w:r>
              <w:rPr>
                <w:rFonts w:hint="eastAsia"/>
                <w:b/>
                <w:sz w:val="24"/>
              </w:rPr>
              <w:t>生态环境</w:t>
            </w:r>
          </w:p>
          <w:p>
            <w:pPr>
              <w:spacing w:line="360" w:lineRule="auto"/>
              <w:ind w:firstLine="480" w:firstLineChars="200"/>
              <w:contextualSpacing/>
              <w:rPr>
                <w:sz w:val="24"/>
                <w:szCs w:val="20"/>
              </w:rPr>
            </w:pPr>
            <w:r>
              <w:rPr>
                <w:rFonts w:hint="eastAsia"/>
                <w:sz w:val="24"/>
                <w:szCs w:val="20"/>
              </w:rPr>
              <w:t>本次技改项目完成储煤场的全封闭，在现有</w:t>
            </w:r>
            <w:r>
              <w:rPr>
                <w:sz w:val="24"/>
                <w:szCs w:val="20"/>
              </w:rPr>
              <w:t>露天煤厂占地范围内施工，露天煤场现状无植被</w:t>
            </w:r>
            <w:r>
              <w:rPr>
                <w:rFonts w:hint="eastAsia"/>
                <w:sz w:val="24"/>
                <w:szCs w:val="20"/>
              </w:rPr>
              <w:t>、</w:t>
            </w:r>
            <w:r>
              <w:rPr>
                <w:sz w:val="24"/>
                <w:szCs w:val="20"/>
              </w:rPr>
              <w:t>动物分布，项目施工对</w:t>
            </w:r>
            <w:r>
              <w:rPr>
                <w:rFonts w:hint="eastAsia"/>
                <w:sz w:val="24"/>
                <w:szCs w:val="20"/>
              </w:rPr>
              <w:t>动植物</w:t>
            </w:r>
            <w:r>
              <w:rPr>
                <w:sz w:val="24"/>
                <w:szCs w:val="20"/>
              </w:rPr>
              <w:t>影响</w:t>
            </w:r>
            <w:r>
              <w:rPr>
                <w:rFonts w:hint="eastAsia"/>
                <w:sz w:val="24"/>
                <w:szCs w:val="20"/>
              </w:rPr>
              <w:t>轻微。</w:t>
            </w:r>
          </w:p>
          <w:p>
            <w:pPr>
              <w:pStyle w:val="77"/>
              <w:spacing w:line="360" w:lineRule="auto"/>
              <w:ind w:firstLine="482" w:firstLineChars="200"/>
              <w:jc w:val="left"/>
              <w:rPr>
                <w:b/>
                <w:sz w:val="24"/>
                <w:szCs w:val="22"/>
              </w:rPr>
            </w:pPr>
            <w:r>
              <w:rPr>
                <w:b/>
                <w:sz w:val="24"/>
                <w:szCs w:val="22"/>
              </w:rPr>
              <w:t>二、运行期主要污染因素</w:t>
            </w:r>
          </w:p>
          <w:p>
            <w:pPr>
              <w:spacing w:line="360" w:lineRule="auto"/>
              <w:ind w:firstLine="482" w:firstLineChars="200"/>
              <w:rPr>
                <w:b/>
                <w:sz w:val="24"/>
              </w:rPr>
            </w:pPr>
            <w:r>
              <w:rPr>
                <w:b/>
                <w:sz w:val="24"/>
              </w:rPr>
              <w:t>1、大气污染源分析</w:t>
            </w:r>
          </w:p>
          <w:p>
            <w:pPr>
              <w:spacing w:line="360" w:lineRule="auto"/>
              <w:ind w:firstLine="480" w:firstLineChars="200"/>
              <w:rPr>
                <w:kern w:val="24"/>
                <w:sz w:val="24"/>
              </w:rPr>
            </w:pPr>
            <w:r>
              <w:rPr>
                <w:rFonts w:hint="eastAsia"/>
                <w:kern w:val="24"/>
                <w:sz w:val="24"/>
              </w:rPr>
              <w:t>项目</w:t>
            </w:r>
            <w:r>
              <w:rPr>
                <w:kern w:val="24"/>
                <w:sz w:val="24"/>
              </w:rPr>
              <w:t>废气污染源主要包括</w:t>
            </w:r>
            <w:r>
              <w:rPr>
                <w:rFonts w:hint="eastAsia"/>
                <w:kern w:val="24"/>
                <w:sz w:val="24"/>
              </w:rPr>
              <w:t>煤炭</w:t>
            </w:r>
            <w:r>
              <w:rPr>
                <w:kern w:val="24"/>
                <w:sz w:val="24"/>
              </w:rPr>
              <w:t>装卸产生扬尘、煤炭堆放产生的</w:t>
            </w:r>
            <w:r>
              <w:rPr>
                <w:rFonts w:hint="eastAsia"/>
                <w:kern w:val="24"/>
                <w:sz w:val="24"/>
              </w:rPr>
              <w:t>扬尘</w:t>
            </w:r>
            <w:r>
              <w:rPr>
                <w:kern w:val="24"/>
                <w:sz w:val="24"/>
              </w:rPr>
              <w:t>、</w:t>
            </w:r>
            <w:r>
              <w:rPr>
                <w:rFonts w:hint="eastAsia"/>
                <w:kern w:val="24"/>
                <w:sz w:val="24"/>
              </w:rPr>
              <w:t>运输</w:t>
            </w:r>
            <w:r>
              <w:rPr>
                <w:kern w:val="24"/>
                <w:sz w:val="24"/>
              </w:rPr>
              <w:t>车辆产生扬尘。</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1 \* GB2</w:instrText>
            </w:r>
            <w:r>
              <w:rPr>
                <w:kern w:val="24"/>
                <w:sz w:val="24"/>
              </w:rPr>
              <w:instrText xml:space="preserve"> </w:instrText>
            </w:r>
            <w:r>
              <w:rPr>
                <w:kern w:val="24"/>
                <w:sz w:val="24"/>
              </w:rPr>
              <w:fldChar w:fldCharType="separate"/>
            </w:r>
            <w:r>
              <w:rPr>
                <w:rFonts w:hint="eastAsia"/>
                <w:kern w:val="24"/>
                <w:sz w:val="24"/>
              </w:rPr>
              <w:t>⑴</w:t>
            </w:r>
            <w:r>
              <w:rPr>
                <w:kern w:val="24"/>
                <w:sz w:val="24"/>
              </w:rPr>
              <w:fldChar w:fldCharType="end"/>
            </w:r>
            <w:r>
              <w:rPr>
                <w:kern w:val="24"/>
                <w:sz w:val="24"/>
              </w:rPr>
              <w:t xml:space="preserve"> </w:t>
            </w:r>
            <w:r>
              <w:rPr>
                <w:rFonts w:hint="eastAsia"/>
                <w:kern w:val="24"/>
                <w:sz w:val="24"/>
              </w:rPr>
              <w:t>煤炭装卸</w:t>
            </w:r>
            <w:r>
              <w:rPr>
                <w:kern w:val="24"/>
                <w:sz w:val="24"/>
              </w:rPr>
              <w:t>扬尘</w:t>
            </w:r>
          </w:p>
          <w:p>
            <w:pPr>
              <w:spacing w:line="360" w:lineRule="auto"/>
              <w:ind w:firstLine="480" w:firstLineChars="200"/>
              <w:rPr>
                <w:kern w:val="24"/>
                <w:sz w:val="24"/>
              </w:rPr>
            </w:pPr>
            <w:r>
              <w:rPr>
                <w:rFonts w:hint="eastAsia"/>
                <w:kern w:val="24"/>
                <w:sz w:val="24"/>
              </w:rPr>
              <w:t>煤炭卸料</w:t>
            </w:r>
            <w:r>
              <w:rPr>
                <w:kern w:val="24"/>
                <w:sz w:val="24"/>
              </w:rPr>
              <w:t>、堆料等过程具有</w:t>
            </w:r>
            <w:r>
              <w:rPr>
                <w:rFonts w:hint="eastAsia"/>
                <w:kern w:val="24"/>
                <w:sz w:val="24"/>
              </w:rPr>
              <w:t>同一</w:t>
            </w:r>
            <w:r>
              <w:rPr>
                <w:kern w:val="24"/>
                <w:sz w:val="24"/>
              </w:rPr>
              <w:t>性质的起尘机制</w:t>
            </w:r>
            <w:r>
              <w:rPr>
                <w:rFonts w:hint="eastAsia"/>
                <w:kern w:val="24"/>
                <w:sz w:val="24"/>
              </w:rPr>
              <w:t>，</w:t>
            </w:r>
            <w:r>
              <w:rPr>
                <w:kern w:val="24"/>
                <w:sz w:val="24"/>
              </w:rPr>
              <w:t>都是由于落差引起扬尘。项目</w:t>
            </w:r>
            <w:r>
              <w:rPr>
                <w:rFonts w:hint="eastAsia"/>
                <w:kern w:val="24"/>
                <w:sz w:val="24"/>
              </w:rPr>
              <w:t>煤炭</w:t>
            </w:r>
            <w:r>
              <w:rPr>
                <w:kern w:val="24"/>
                <w:sz w:val="24"/>
              </w:rPr>
              <w:t>装卸起尘环节主要</w:t>
            </w:r>
            <w:r>
              <w:rPr>
                <w:rFonts w:hint="eastAsia"/>
                <w:kern w:val="24"/>
                <w:sz w:val="24"/>
              </w:rPr>
              <w:t>包括</w:t>
            </w:r>
            <w:r>
              <w:rPr>
                <w:kern w:val="24"/>
                <w:sz w:val="24"/>
              </w:rPr>
              <w:t>卸料、堆料和</w:t>
            </w:r>
            <w:r>
              <w:rPr>
                <w:rFonts w:hint="eastAsia"/>
                <w:kern w:val="24"/>
                <w:sz w:val="24"/>
              </w:rPr>
              <w:t>取料</w:t>
            </w:r>
            <w:r>
              <w:rPr>
                <w:kern w:val="24"/>
                <w:sz w:val="24"/>
              </w:rPr>
              <w:t>过程。</w:t>
            </w:r>
            <w:r>
              <w:rPr>
                <w:rFonts w:hint="eastAsia"/>
                <w:kern w:val="24"/>
                <w:sz w:val="24"/>
              </w:rPr>
              <w:t>起尘量</w:t>
            </w:r>
            <w:r>
              <w:rPr>
                <w:kern w:val="24"/>
                <w:sz w:val="24"/>
              </w:rPr>
              <w:t>计算参照</w:t>
            </w:r>
            <w:r>
              <w:rPr>
                <w:rFonts w:hint="eastAsia"/>
                <w:kern w:val="24"/>
                <w:sz w:val="24"/>
              </w:rPr>
              <w:t>“秦皇岛</w:t>
            </w:r>
            <w:r>
              <w:rPr>
                <w:kern w:val="24"/>
                <w:sz w:val="24"/>
              </w:rPr>
              <w:t>港口煤炭</w:t>
            </w:r>
            <w:r>
              <w:rPr>
                <w:rFonts w:hint="eastAsia"/>
                <w:kern w:val="24"/>
                <w:sz w:val="24"/>
              </w:rPr>
              <w:t>装卸</w:t>
            </w:r>
            <w:r>
              <w:rPr>
                <w:kern w:val="24"/>
                <w:sz w:val="24"/>
              </w:rPr>
              <w:t>起尘及其扩散规律的研究</w:t>
            </w:r>
            <w:r>
              <w:rPr>
                <w:rFonts w:hint="eastAsia"/>
                <w:kern w:val="24"/>
                <w:sz w:val="24"/>
              </w:rPr>
              <w:t>”得出</w:t>
            </w:r>
            <w:r>
              <w:rPr>
                <w:kern w:val="24"/>
                <w:sz w:val="24"/>
              </w:rPr>
              <w:t>的计算公式，公式为：</w:t>
            </w:r>
          </w:p>
          <w:p>
            <w:pPr>
              <w:spacing w:line="360" w:lineRule="auto"/>
              <w:jc w:val="center"/>
              <w:rPr>
                <w:kern w:val="24"/>
                <w:sz w:val="24"/>
              </w:rPr>
            </w:pPr>
            <w:r>
              <w:drawing>
                <wp:inline distT="0" distB="0" distL="0" distR="0">
                  <wp:extent cx="1657350" cy="22923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cstate="print"/>
                          <a:stretch>
                            <a:fillRect/>
                          </a:stretch>
                        </pic:blipFill>
                        <pic:spPr>
                          <a:xfrm>
                            <a:off x="0" y="0"/>
                            <a:ext cx="1750226" cy="242456"/>
                          </a:xfrm>
                          <a:prstGeom prst="rect">
                            <a:avLst/>
                          </a:prstGeom>
                        </pic:spPr>
                      </pic:pic>
                    </a:graphicData>
                  </a:graphic>
                </wp:inline>
              </w:drawing>
            </w:r>
          </w:p>
          <w:p>
            <w:pPr>
              <w:spacing w:line="360" w:lineRule="auto"/>
              <w:ind w:firstLine="480" w:firstLineChars="200"/>
              <w:rPr>
                <w:kern w:val="24"/>
                <w:sz w:val="24"/>
              </w:rPr>
            </w:pPr>
            <w:r>
              <w:rPr>
                <w:rFonts w:hint="eastAsia"/>
                <w:kern w:val="24"/>
                <w:sz w:val="24"/>
              </w:rPr>
              <w:t>式中：</w:t>
            </w:r>
          </w:p>
          <w:p>
            <w:pPr>
              <w:spacing w:line="360" w:lineRule="auto"/>
              <w:ind w:firstLine="960" w:firstLineChars="400"/>
              <w:rPr>
                <w:kern w:val="24"/>
                <w:sz w:val="24"/>
              </w:rPr>
            </w:pPr>
            <w:r>
              <w:rPr>
                <w:rFonts w:hint="eastAsia"/>
                <w:kern w:val="24"/>
                <w:sz w:val="24"/>
              </w:rPr>
              <w:t>Q——煤炭</w:t>
            </w:r>
            <w:r>
              <w:rPr>
                <w:kern w:val="24"/>
                <w:sz w:val="24"/>
              </w:rPr>
              <w:t>装卸扬尘产生量，kg</w:t>
            </w:r>
            <w:r>
              <w:rPr>
                <w:rFonts w:hint="eastAsia"/>
                <w:kern w:val="24"/>
                <w:sz w:val="24"/>
              </w:rPr>
              <w:t>/</w:t>
            </w:r>
            <w:r>
              <w:rPr>
                <w:kern w:val="24"/>
                <w:sz w:val="24"/>
              </w:rPr>
              <w:t>t</w:t>
            </w:r>
            <w:r>
              <w:rPr>
                <w:rFonts w:hint="eastAsia"/>
                <w:kern w:val="24"/>
                <w:sz w:val="24"/>
              </w:rPr>
              <w:t>；</w:t>
            </w:r>
          </w:p>
          <w:p>
            <w:pPr>
              <w:spacing w:line="360" w:lineRule="auto"/>
              <w:ind w:firstLine="960" w:firstLineChars="400"/>
              <w:rPr>
                <w:kern w:val="24"/>
                <w:sz w:val="24"/>
              </w:rPr>
            </w:pPr>
            <w:r>
              <w:rPr>
                <w:kern w:val="24"/>
                <w:sz w:val="24"/>
              </w:rPr>
              <w:t>U</w:t>
            </w:r>
            <w:r>
              <w:rPr>
                <w:rFonts w:hint="eastAsia"/>
                <w:kern w:val="24"/>
                <w:sz w:val="24"/>
              </w:rPr>
              <w:t>——地面</w:t>
            </w:r>
            <w:r>
              <w:rPr>
                <w:kern w:val="24"/>
                <w:sz w:val="24"/>
              </w:rPr>
              <w:t>平均风速，</w:t>
            </w:r>
            <w:r>
              <w:rPr>
                <w:rFonts w:hint="eastAsia"/>
                <w:kern w:val="24"/>
                <w:sz w:val="24"/>
              </w:rPr>
              <w:t>取2.</w:t>
            </w:r>
            <w:r>
              <w:rPr>
                <w:kern w:val="24"/>
                <w:sz w:val="24"/>
              </w:rPr>
              <w:t>1m/s</w:t>
            </w:r>
            <w:r>
              <w:rPr>
                <w:rFonts w:hint="eastAsia"/>
                <w:kern w:val="24"/>
                <w:sz w:val="24"/>
              </w:rPr>
              <w:t>；</w:t>
            </w:r>
          </w:p>
          <w:p>
            <w:pPr>
              <w:spacing w:line="360" w:lineRule="auto"/>
              <w:ind w:firstLine="960" w:firstLineChars="400"/>
              <w:rPr>
                <w:kern w:val="24"/>
                <w:sz w:val="24"/>
              </w:rPr>
            </w:pPr>
            <w:r>
              <w:rPr>
                <w:kern w:val="24"/>
                <w:sz w:val="24"/>
              </w:rPr>
              <w:t>W</w:t>
            </w:r>
            <w:r>
              <w:rPr>
                <w:rFonts w:hint="eastAsia"/>
                <w:kern w:val="24"/>
                <w:sz w:val="24"/>
              </w:rPr>
              <w:t>——煤炭含水率</w:t>
            </w:r>
            <w:r>
              <w:rPr>
                <w:kern w:val="24"/>
                <w:sz w:val="24"/>
              </w:rPr>
              <w:t>，</w:t>
            </w:r>
            <w:r>
              <w:rPr>
                <w:rFonts w:hint="eastAsia"/>
                <w:kern w:val="24"/>
                <w:sz w:val="24"/>
              </w:rPr>
              <w:t>取</w:t>
            </w:r>
            <w:r>
              <w:rPr>
                <w:kern w:val="24"/>
                <w:sz w:val="24"/>
              </w:rPr>
              <w:t>8%</w:t>
            </w:r>
            <w:r>
              <w:rPr>
                <w:rFonts w:hint="eastAsia"/>
                <w:kern w:val="24"/>
                <w:sz w:val="24"/>
              </w:rPr>
              <w:t>；</w:t>
            </w:r>
          </w:p>
          <w:p>
            <w:pPr>
              <w:spacing w:line="360" w:lineRule="auto"/>
              <w:ind w:firstLine="960" w:firstLineChars="400"/>
              <w:rPr>
                <w:kern w:val="24"/>
                <w:sz w:val="24"/>
              </w:rPr>
            </w:pPr>
            <w:r>
              <w:rPr>
                <w:kern w:val="24"/>
                <w:sz w:val="24"/>
              </w:rPr>
              <w:t>H</w:t>
            </w:r>
            <w:r>
              <w:rPr>
                <w:rFonts w:hint="eastAsia"/>
                <w:kern w:val="24"/>
                <w:sz w:val="24"/>
              </w:rPr>
              <w:t>——装卸高度</w:t>
            </w:r>
            <w:r>
              <w:rPr>
                <w:kern w:val="24"/>
                <w:sz w:val="24"/>
              </w:rPr>
              <w:t>，</w:t>
            </w:r>
            <w:r>
              <w:rPr>
                <w:rFonts w:hint="eastAsia"/>
                <w:kern w:val="24"/>
                <w:sz w:val="24"/>
              </w:rPr>
              <w:t>取1.5m。</w:t>
            </w:r>
          </w:p>
          <w:p>
            <w:pPr>
              <w:spacing w:line="360" w:lineRule="auto"/>
              <w:ind w:firstLine="480" w:firstLineChars="200"/>
              <w:rPr>
                <w:kern w:val="24"/>
                <w:sz w:val="24"/>
              </w:rPr>
            </w:pPr>
            <w:r>
              <w:rPr>
                <w:rFonts w:hint="eastAsia"/>
                <w:kern w:val="24"/>
                <w:sz w:val="24"/>
              </w:rPr>
              <w:t>经计算可知，项目煤炭装卸</w:t>
            </w:r>
            <w:r>
              <w:rPr>
                <w:kern w:val="24"/>
                <w:sz w:val="24"/>
              </w:rPr>
              <w:t>过程中扬尘</w:t>
            </w:r>
            <w:r>
              <w:rPr>
                <w:rFonts w:hint="eastAsia"/>
                <w:kern w:val="24"/>
                <w:sz w:val="24"/>
              </w:rPr>
              <w:t>产生量为</w:t>
            </w:r>
            <w:r>
              <w:rPr>
                <w:kern w:val="24"/>
                <w:sz w:val="24"/>
              </w:rPr>
              <w:t>0.03kg</w:t>
            </w:r>
            <w:r>
              <w:rPr>
                <w:rFonts w:hint="eastAsia"/>
                <w:kern w:val="24"/>
                <w:sz w:val="24"/>
              </w:rPr>
              <w:t>/</w:t>
            </w:r>
            <w:r>
              <w:rPr>
                <w:kern w:val="24"/>
                <w:sz w:val="24"/>
              </w:rPr>
              <w:t>t</w:t>
            </w:r>
            <w:r>
              <w:rPr>
                <w:rFonts w:hint="eastAsia"/>
                <w:kern w:val="24"/>
                <w:sz w:val="24"/>
              </w:rPr>
              <w:t>，因而煤炭装卸粉尘产生量为</w:t>
            </w:r>
            <w:r>
              <w:rPr>
                <w:kern w:val="24"/>
                <w:sz w:val="24"/>
              </w:rPr>
              <w:t>217.74</w:t>
            </w:r>
            <w:r>
              <w:rPr>
                <w:rFonts w:hint="eastAsia"/>
                <w:kern w:val="24"/>
                <w:sz w:val="24"/>
              </w:rPr>
              <w:t>t/a。项目为</w:t>
            </w:r>
            <w:r>
              <w:rPr>
                <w:kern w:val="24"/>
                <w:sz w:val="24"/>
              </w:rPr>
              <w:t>全封闭煤场，同时在煤场设有</w:t>
            </w:r>
            <w:r>
              <w:rPr>
                <w:rFonts w:hint="eastAsia"/>
                <w:kern w:val="24"/>
                <w:sz w:val="24"/>
              </w:rPr>
              <w:t>雾化喷洒水防尘系统，类比其它</w:t>
            </w:r>
            <w:r>
              <w:rPr>
                <w:kern w:val="24"/>
                <w:sz w:val="24"/>
              </w:rPr>
              <w:t>全封闭储煤场的防风抑尘效率</w:t>
            </w:r>
            <w:r>
              <w:rPr>
                <w:rFonts w:hint="eastAsia"/>
                <w:kern w:val="24"/>
                <w:sz w:val="24"/>
              </w:rPr>
              <w:t>，项目</w:t>
            </w:r>
            <w:r>
              <w:rPr>
                <w:kern w:val="24"/>
                <w:sz w:val="24"/>
              </w:rPr>
              <w:t>全封闭煤场的</w:t>
            </w:r>
            <w:r>
              <w:rPr>
                <w:rFonts w:hint="eastAsia"/>
                <w:kern w:val="24"/>
                <w:sz w:val="24"/>
              </w:rPr>
              <w:t>抑尘率可达9</w:t>
            </w:r>
            <w:r>
              <w:rPr>
                <w:kern w:val="24"/>
                <w:sz w:val="24"/>
              </w:rPr>
              <w:t>5</w:t>
            </w:r>
            <w:r>
              <w:rPr>
                <w:rFonts w:hint="eastAsia"/>
                <w:kern w:val="24"/>
                <w:sz w:val="24"/>
              </w:rPr>
              <w:t>%，则技改后</w:t>
            </w:r>
            <w:r>
              <w:rPr>
                <w:kern w:val="24"/>
                <w:sz w:val="24"/>
              </w:rPr>
              <w:t>项目</w:t>
            </w:r>
            <w:r>
              <w:rPr>
                <w:rFonts w:hint="eastAsia"/>
                <w:kern w:val="24"/>
                <w:sz w:val="24"/>
              </w:rPr>
              <w:t>煤炭</w:t>
            </w:r>
            <w:r>
              <w:rPr>
                <w:kern w:val="24"/>
                <w:sz w:val="24"/>
              </w:rPr>
              <w:t>装卸</w:t>
            </w:r>
            <w:r>
              <w:rPr>
                <w:rFonts w:hint="eastAsia"/>
                <w:kern w:val="24"/>
                <w:sz w:val="24"/>
              </w:rPr>
              <w:t>无组织粉尘排放量为</w:t>
            </w:r>
            <w:r>
              <w:rPr>
                <w:kern w:val="24"/>
                <w:sz w:val="24"/>
              </w:rPr>
              <w:t>10.89</w:t>
            </w:r>
            <w:r>
              <w:rPr>
                <w:rFonts w:hint="eastAsia"/>
                <w:kern w:val="24"/>
                <w:sz w:val="24"/>
              </w:rPr>
              <w:t>t/a，</w:t>
            </w:r>
            <w:r>
              <w:rPr>
                <w:kern w:val="24"/>
                <w:sz w:val="24"/>
              </w:rPr>
              <w:t>比技改前减少32.66</w:t>
            </w:r>
            <w:r>
              <w:rPr>
                <w:rFonts w:hint="eastAsia"/>
                <w:kern w:val="24"/>
                <w:sz w:val="24"/>
              </w:rPr>
              <w:t>t/a。</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2 \* GB2</w:instrText>
            </w:r>
            <w:r>
              <w:rPr>
                <w:kern w:val="24"/>
                <w:sz w:val="24"/>
              </w:rPr>
              <w:instrText xml:space="preserve"> </w:instrText>
            </w:r>
            <w:r>
              <w:rPr>
                <w:kern w:val="24"/>
                <w:sz w:val="24"/>
              </w:rPr>
              <w:fldChar w:fldCharType="separate"/>
            </w:r>
            <w:r>
              <w:rPr>
                <w:rFonts w:hint="eastAsia"/>
                <w:kern w:val="24"/>
                <w:sz w:val="24"/>
              </w:rPr>
              <w:t>⑵</w:t>
            </w:r>
            <w:r>
              <w:rPr>
                <w:kern w:val="24"/>
                <w:sz w:val="24"/>
              </w:rPr>
              <w:fldChar w:fldCharType="end"/>
            </w:r>
            <w:r>
              <w:rPr>
                <w:kern w:val="24"/>
                <w:sz w:val="24"/>
              </w:rPr>
              <w:t xml:space="preserve"> </w:t>
            </w:r>
            <w:r>
              <w:rPr>
                <w:rFonts w:hint="eastAsia"/>
                <w:kern w:val="24"/>
                <w:sz w:val="24"/>
              </w:rPr>
              <w:t>煤炭堆放</w:t>
            </w:r>
            <w:r>
              <w:rPr>
                <w:kern w:val="24"/>
                <w:sz w:val="24"/>
              </w:rPr>
              <w:t>扬尘</w:t>
            </w:r>
          </w:p>
          <w:p>
            <w:pPr>
              <w:spacing w:line="360" w:lineRule="auto"/>
              <w:ind w:firstLine="480" w:firstLineChars="200"/>
              <w:rPr>
                <w:kern w:val="24"/>
                <w:sz w:val="24"/>
              </w:rPr>
            </w:pPr>
            <w:r>
              <w:rPr>
                <w:rFonts w:hint="eastAsia"/>
                <w:kern w:val="24"/>
                <w:sz w:val="24"/>
              </w:rPr>
              <w:t>项目运营期主要的煤尘主要来源于堆场起尘。煤炭堆放</w:t>
            </w:r>
            <w:r>
              <w:rPr>
                <w:kern w:val="24"/>
                <w:sz w:val="24"/>
              </w:rPr>
              <w:t>过程中，由于风力的影响产生少量的风力扬尘，</w:t>
            </w:r>
            <w:r>
              <w:rPr>
                <w:rFonts w:hint="eastAsia"/>
                <w:kern w:val="24"/>
                <w:sz w:val="24"/>
              </w:rPr>
              <w:t>起尘量</w:t>
            </w:r>
            <w:r>
              <w:rPr>
                <w:kern w:val="24"/>
                <w:sz w:val="24"/>
              </w:rPr>
              <w:t>采用西安冶金建筑学院的起尘量推荐</w:t>
            </w:r>
            <w:r>
              <w:rPr>
                <w:rFonts w:hint="eastAsia"/>
                <w:kern w:val="24"/>
                <w:sz w:val="24"/>
              </w:rPr>
              <w:t>公式</w:t>
            </w:r>
            <w:r>
              <w:rPr>
                <w:kern w:val="24"/>
                <w:sz w:val="24"/>
              </w:rPr>
              <w:t>计算，</w:t>
            </w:r>
            <w:r>
              <w:rPr>
                <w:rFonts w:hint="eastAsia"/>
                <w:kern w:val="24"/>
                <w:sz w:val="24"/>
              </w:rPr>
              <w:t>公式</w:t>
            </w:r>
            <w:r>
              <w:rPr>
                <w:kern w:val="24"/>
                <w:sz w:val="24"/>
              </w:rPr>
              <w:t>为：</w:t>
            </w:r>
          </w:p>
          <w:p>
            <w:pPr>
              <w:spacing w:line="360" w:lineRule="auto"/>
              <w:jc w:val="center"/>
              <w:rPr>
                <w:kern w:val="24"/>
                <w:sz w:val="24"/>
              </w:rPr>
            </w:pPr>
            <w:r>
              <w:pict>
                <v:shape id="_x0000_i1026" o:spt="75" type="#_x0000_t75" style="height:14.25pt;width:148.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isplayBackgroundShape/&gt;&lt;w:doNotEmbedSystemFonts/&gt;&lt;w:bordersDontSurroundHeader/&gt;&lt;w:bordersDontSurroundFooter/&gt;&lt;w:hideSpelling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F45624&quot;/&gt;&lt;wsp:rsid wsp:val=&quot;00064DAA&quot;/&gt;&lt;wsp:rsid wsp:val=&quot;00234316&quot;/&gt;&lt;wsp:rsid wsp:val=&quot;002979AD&quot;/&gt;&lt;wsp:rsid wsp:val=&quot;004A4452&quot;/&gt;&lt;wsp:rsid wsp:val=&quot;006A0D31&quot;/&gt;&lt;wsp:rsid wsp:val=&quot;00785AD7&quot;/&gt;&lt;wsp:rsid wsp:val=&quot;009B5D8B&quot;/&gt;&lt;wsp:rsid wsp:val=&quot;00A809DB&quot;/&gt;&lt;wsp:rsid wsp:val=&quot;00BB677A&quot;/&gt;&lt;wsp:rsid wsp:val=&quot;00D22ABC&quot;/&gt;&lt;wsp:rsid wsp:val=&quot;00DB6073&quot;/&gt;&lt;wsp:rsid wsp:val=&quot;00F142B4&quot;/&gt;&lt;wsp:rsid wsp:val=&quot;00F45624&quot;/&gt;&lt;/wsp:rsids&gt;&lt;/w:docPr&gt;&lt;w:body&gt;&lt;wx:sect&gt;&lt;w:p wsp:rsidR=&quot;00000000&quot; wsp:rsidRPr=&quot;00BB677A&quot; wsp:rsidRDefault=&quot;00BB677A&quot; wsp:rsidP=&quot;00BB677A&quot;&gt;&lt;m:oMathPara&gt;&lt;m:oMath&gt;&lt;m:r&gt;&lt;m:rPr&gt;&lt;m:sty m:val=&quot;p&quot;/&gt;&lt;/m:rPr&gt;&lt;w:rPr&gt;&lt;w:rFonts w:ascii=&quot;Cambria Math&quot; w:h-ansi=&quot;Cambria Math&quot;/&gt;&lt;wx:font wx:val=&quot;Cambria Math&quot;/&gt;&lt;w:kern w:val=&quot;24&quot;/&gt;&lt;w:sz w:val=&quot;24&quot;/&gt;&lt;/w:rPr&gt;&lt;m:t&gt;Q=4.32脳&lt;/m:t&gt;&lt;/m:r&gt;&lt;m:sSup&gt;&lt;m:sSupPr&gt;&lt;m:ctrlPr&gt;&lt;w:rPr&gt;&lt;w:rFonts w:ascii=&quot;Cambria Math&quot; w:h-ansi=&quot;Cambria Math&quot;/&gt;&lt;wx:font wx:val=&quot;Cambria Math&quot;/&gt;&lt;w:kern w:val=&quot;24&quot;/&gt;&lt;w:sz w:val=&quot;24&quot;/&gt;&lt;/w:rPr&gt;&lt;/m:ctrlPr&gt;&lt;/m:sSupPr&gt;wwwwwwwwwwwwwwwwwwwwwwwwwwwwwwwwwwwww&lt;m:e&gt;&lt;m:r&gt;&lt;w:rPr&gt;&lt;w:rFonts w:ascii=&quot;Cambria Math&quot; w:h-ansi=&quot;Cambria Math&quot;/&gt;&lt;wx:font wx:val=&quot;Cambria Math&quot;/&gt;&lt;w:i/&gt;&lt;w:kern w:val=&quot;24&quot;/&gt;&lt;w:sz w:val=&quot;24&quot;/&gt;&lt;/w:rPr&gt;&lt;m:t&gt;10&lt;/m:t&gt;&lt;/m:r&gt;&lt;/m:e&gt;&lt;m:sup&gt;&lt;m:r&gt;&lt;w:rPr&gt;&lt;w:rFonts w:ascii=&quot;Cambria Math&quot; w:h-ansi=&quot;Cambria Math&quot;/&gt;&lt;wx:font wx:val=&quot;Cambria Math&quot;/&gt;&lt;w:i/&gt;&lt;w:kern w:val=&quot;24&quot;/&gt;&lt;w:sz w:val=&quot;24&quot;/&gt;&lt;/w:rPr&gt;&lt;m:t&gt;-4&lt;/m:t&gt;&lt;/m:r&gt;&lt;/m:sup&gt;&lt;/m:sSup&gt;&lt;m:r&gt;&lt;w:rPr&gt;&lt;w:rFonts w:ascii=&quot;Cambria Math&quot; w:h-ansi=&quot;Cambria Math&quot;/&gt;&lt;wx:font wx:val=&quot;Cambria Math&quot;/&gt;&lt;w:i/&gt;&lt;w:kern w:val=&quot;24&quot;/&gt;&lt;w:sz w:val=&quot;24&quot;/&gt;&lt;/w:rPr&gt;&lt;m:t&gt;脳&lt;/m:t&gt;&lt;/m:r&gt;&lt;m:sSup&gt;&lt;m:sSupPr&gt;&lt;m:ctrlPr&gt;&lt;w:rPr&gt;&lt;w:rFonts w:ascii=&quot;Cambria Math&quot; w:h-ansi=&quot;Cambria Math&quot;/&gt;&lt;wx:font wx:val=&quot;Cambria Math&quot;/&gt;&lt;w:i/&gt;&lt;w:kern w:val=&quot;24&quot;/&gt;&lt;w:sz w:val=&quot;24&quot;/&gt;&lt;/w:rPira&gt; &lt;M/amt:hc&quot;t/r&gt;l&lt;Pwr:&gt;i&lt;//&gt;m&lt;:ws:SkueprPnr &gt;w&lt;:mv:ael&gt;=&lt;&quot;m2:4r&quot;&gt;/&lt;&gt;w&lt;:rPr&gt;&lt;w:rFonts w:ascii=&quot;Cambria Math&quot; w:h-ansi=&quot;Cambria Math&quot;/&gt;&lt;wx:font wx:val=&quot;Cambria Math&quot;/&gt;&lt;w:i/&gt;&lt;w:kern w:val=&quot;24&quot;/&gt;&lt;w:sz w:val=&quot;24&quot;/&gt;&lt;/w:rPr&gt;&lt;m:t&gt;U&lt;/m:t&gt;&lt;/m:r&gt;&lt;/m:e&gt;&lt;m:sup&gt;&lt;m:r&gt;&lt;w:rPr&gt;&lt;w:rFonts w:ascii=&quot;Cambria Math&quot; w:h-ansi=&quot;Cambria Math&quot;/&gt;&lt;wx:font wx:val=&quot;Cambria Math&quot;/&gt;&lt;w:i/&gt;&lt;w:kern w:val=&quot;24&quot;/&gt;&lt;w:sz w:val=&quot;24&quot;/&gt;&lt;/w:rPr&gt;&lt;m:t&gt;4.9&lt;/m:t&gt;&lt;/m:r&gt;&lt;/m:sup&gt;&lt;/m:sSup&gt;&lt;m:r&gt;&lt;w:rPr&gt;&lt;w:rFonts w:ascii=&quot;Cambria Math&quot; w:h-ansi=&quot;Cambria Math&quot;/&gt;&lt;wx:font wx:val=&quot;Cambria Math&quot;/&gt;&lt;w:i/&gt;&lt;w:kern w:val=&quot;24&quot;/&gt;&lt;w:sz w:val=&quot;24&quot;/&gt;&lt;/w:rPr&gt;&lt;m:t&gt;脳AP&lt;/m:t&gt;&lt;/m:r&gt;&lt;/m:oMath&gt;&lt;/m:oMathPara&gt;&lt;/w:p&gt;&lt;w:sectPr wsp:rsidR=&quot;00000000&quot; wsp:rsidRPr=&quot;00BB677A&quot;&gt;&lt;w:pgSz w:w=&quot;12240&quot; w:h=&quot;15840&quot;/&gt;&lt;w:pgMar w:top=&quot;1440&quot; w:right=&quot;1/80&lt;0&quot;x wf:bnot toxm=v&quot;1l44&quot;0&quot;a wb:lief t=a&quot;1h80/0&quot;&lt; w::h/ea&lt;de:r=e&quot;7n20w&quot; vw:lfo&quot;ot4er/=&quot;&lt;72:0&quot;z ww:gvutlte&quot;r=&quot;0&quot;/&gt;&lt;w:cols w:space=&quot;720&quot;/&gt;&lt;/w:sectPr&gt;&lt;/wx:sect&gt;&lt;/w:body&gt;&lt;/w:wordDocument&gt;">
                  <v:path/>
                  <v:fill on="f" focussize="0,0"/>
                  <v:stroke on="f" joinstyle="miter"/>
                  <v:imagedata r:id="rId14" chromakey="#FFFFFF" o:title=""/>
                  <o:lock v:ext="edit" aspectratio="t"/>
                  <w10:wrap type="none"/>
                  <w10:anchorlock/>
                </v:shape>
              </w:pict>
            </w:r>
          </w:p>
          <w:p>
            <w:pPr>
              <w:spacing w:line="360" w:lineRule="auto"/>
              <w:ind w:firstLine="480" w:firstLineChars="200"/>
              <w:rPr>
                <w:kern w:val="24"/>
                <w:sz w:val="24"/>
              </w:rPr>
            </w:pPr>
            <w:r>
              <w:rPr>
                <w:rFonts w:hint="eastAsia"/>
                <w:kern w:val="24"/>
                <w:sz w:val="24"/>
              </w:rPr>
              <w:t>式中：</w:t>
            </w:r>
          </w:p>
          <w:p>
            <w:pPr>
              <w:spacing w:line="360" w:lineRule="auto"/>
              <w:ind w:firstLine="960" w:firstLineChars="400"/>
              <w:rPr>
                <w:kern w:val="24"/>
                <w:sz w:val="24"/>
              </w:rPr>
            </w:pPr>
            <w:r>
              <w:rPr>
                <w:rFonts w:hint="eastAsia"/>
                <w:kern w:val="24"/>
                <w:sz w:val="24"/>
              </w:rPr>
              <w:t>Q——</w:t>
            </w:r>
            <w:r>
              <w:rPr>
                <w:kern w:val="24"/>
                <w:sz w:val="24"/>
              </w:rPr>
              <w:t>堆场扬尘产生量，</w:t>
            </w:r>
            <w:r>
              <w:rPr>
                <w:rFonts w:hint="eastAsia"/>
                <w:kern w:val="24"/>
                <w:sz w:val="24"/>
              </w:rPr>
              <w:t>mg/s；</w:t>
            </w:r>
          </w:p>
          <w:p>
            <w:pPr>
              <w:spacing w:line="360" w:lineRule="auto"/>
              <w:ind w:firstLine="960" w:firstLineChars="400"/>
              <w:rPr>
                <w:kern w:val="24"/>
                <w:sz w:val="24"/>
              </w:rPr>
            </w:pPr>
            <w:r>
              <w:rPr>
                <w:kern w:val="24"/>
                <w:sz w:val="24"/>
              </w:rPr>
              <w:t>U</w:t>
            </w:r>
            <w:r>
              <w:rPr>
                <w:rFonts w:hint="eastAsia"/>
                <w:kern w:val="24"/>
                <w:sz w:val="24"/>
              </w:rPr>
              <w:t>——地面</w:t>
            </w:r>
            <w:r>
              <w:rPr>
                <w:kern w:val="24"/>
                <w:sz w:val="24"/>
              </w:rPr>
              <w:t>平均风速，</w:t>
            </w:r>
            <w:r>
              <w:rPr>
                <w:rFonts w:hint="eastAsia"/>
                <w:kern w:val="24"/>
                <w:sz w:val="24"/>
              </w:rPr>
              <w:t>取2.</w:t>
            </w:r>
            <w:r>
              <w:rPr>
                <w:kern w:val="24"/>
                <w:sz w:val="24"/>
              </w:rPr>
              <w:t>5m/s</w:t>
            </w:r>
            <w:r>
              <w:rPr>
                <w:rFonts w:hint="eastAsia"/>
                <w:kern w:val="24"/>
                <w:sz w:val="24"/>
              </w:rPr>
              <w:t>；</w:t>
            </w:r>
          </w:p>
          <w:p>
            <w:pPr>
              <w:spacing w:line="360" w:lineRule="auto"/>
              <w:ind w:firstLine="960" w:firstLineChars="400"/>
              <w:rPr>
                <w:kern w:val="24"/>
                <w:sz w:val="24"/>
              </w:rPr>
            </w:pPr>
            <w:r>
              <w:rPr>
                <w:kern w:val="24"/>
                <w:sz w:val="24"/>
              </w:rPr>
              <w:t>AP</w:t>
            </w:r>
            <w:r>
              <w:rPr>
                <w:rFonts w:hint="eastAsia"/>
                <w:kern w:val="24"/>
                <w:sz w:val="24"/>
              </w:rPr>
              <w:t>——起尘</w:t>
            </w:r>
            <w:r>
              <w:rPr>
                <w:kern w:val="24"/>
                <w:sz w:val="24"/>
              </w:rPr>
              <w:t>面积，</w:t>
            </w:r>
            <w:r>
              <w:rPr>
                <w:rFonts w:hint="eastAsia"/>
                <w:kern w:val="24"/>
                <w:sz w:val="24"/>
              </w:rPr>
              <w:t>封闭煤场</w:t>
            </w:r>
            <w:r>
              <w:rPr>
                <w:kern w:val="24"/>
                <w:sz w:val="24"/>
              </w:rPr>
              <w:t>面积约为3780</w:t>
            </w:r>
            <w:r>
              <w:rPr>
                <w:rFonts w:hint="eastAsia"/>
                <w:kern w:val="24"/>
                <w:sz w:val="24"/>
              </w:rPr>
              <w:t>0m</w:t>
            </w:r>
            <w:r>
              <w:rPr>
                <w:rFonts w:hint="eastAsia"/>
                <w:kern w:val="24"/>
                <w:sz w:val="24"/>
                <w:vertAlign w:val="superscript"/>
              </w:rPr>
              <w:t>2</w:t>
            </w:r>
            <w:r>
              <w:rPr>
                <w:rFonts w:hint="eastAsia"/>
                <w:kern w:val="24"/>
                <w:sz w:val="24"/>
              </w:rPr>
              <w:t>。</w:t>
            </w:r>
          </w:p>
          <w:p>
            <w:pPr>
              <w:spacing w:line="360" w:lineRule="auto"/>
              <w:ind w:firstLine="480" w:firstLineChars="200"/>
              <w:rPr>
                <w:kern w:val="24"/>
                <w:sz w:val="24"/>
              </w:rPr>
            </w:pPr>
            <w:r>
              <w:rPr>
                <w:rFonts w:hint="eastAsia"/>
                <w:kern w:val="24"/>
                <w:sz w:val="24"/>
              </w:rPr>
              <w:t>经计算可知，项目煤炭堆放起尘量为</w:t>
            </w:r>
            <w:r>
              <w:rPr>
                <w:kern w:val="24"/>
                <w:sz w:val="24"/>
              </w:rPr>
              <w:t>1455.06</w:t>
            </w:r>
            <w:r>
              <w:rPr>
                <w:rFonts w:hint="eastAsia"/>
                <w:kern w:val="24"/>
                <w:sz w:val="24"/>
              </w:rPr>
              <w:t>mg/s，因而煤炭堆放粉尘产生量为</w:t>
            </w:r>
            <w:r>
              <w:rPr>
                <w:kern w:val="24"/>
                <w:sz w:val="24"/>
              </w:rPr>
              <w:t>45.89</w:t>
            </w:r>
            <w:r>
              <w:rPr>
                <w:rFonts w:hint="eastAsia"/>
                <w:kern w:val="24"/>
                <w:sz w:val="24"/>
              </w:rPr>
              <w:t>t/a。项目为</w:t>
            </w:r>
            <w:r>
              <w:rPr>
                <w:kern w:val="24"/>
                <w:sz w:val="24"/>
              </w:rPr>
              <w:t>全封闭煤场，同时在煤场设有</w:t>
            </w:r>
            <w:r>
              <w:rPr>
                <w:rFonts w:hint="eastAsia"/>
                <w:kern w:val="24"/>
                <w:sz w:val="24"/>
              </w:rPr>
              <w:t>雾化喷洒水防尘系统，类比其它</w:t>
            </w:r>
            <w:r>
              <w:rPr>
                <w:kern w:val="24"/>
                <w:sz w:val="24"/>
              </w:rPr>
              <w:t>全封闭储煤场的防风抑尘效率</w:t>
            </w:r>
            <w:r>
              <w:rPr>
                <w:rFonts w:hint="eastAsia"/>
                <w:kern w:val="24"/>
                <w:sz w:val="24"/>
              </w:rPr>
              <w:t>，项目</w:t>
            </w:r>
            <w:r>
              <w:rPr>
                <w:kern w:val="24"/>
                <w:sz w:val="24"/>
              </w:rPr>
              <w:t>全封闭煤场的</w:t>
            </w:r>
            <w:r>
              <w:rPr>
                <w:rFonts w:hint="eastAsia"/>
                <w:kern w:val="24"/>
                <w:sz w:val="24"/>
              </w:rPr>
              <w:t>抑尘率可达9</w:t>
            </w:r>
            <w:r>
              <w:rPr>
                <w:kern w:val="24"/>
                <w:sz w:val="24"/>
              </w:rPr>
              <w:t>5</w:t>
            </w:r>
            <w:r>
              <w:rPr>
                <w:rFonts w:hint="eastAsia"/>
                <w:kern w:val="24"/>
                <w:sz w:val="24"/>
              </w:rPr>
              <w:t>%，则技改后</w:t>
            </w:r>
            <w:r>
              <w:rPr>
                <w:kern w:val="24"/>
                <w:sz w:val="24"/>
              </w:rPr>
              <w:t>项目</w:t>
            </w:r>
            <w:r>
              <w:rPr>
                <w:rFonts w:hint="eastAsia"/>
                <w:kern w:val="24"/>
                <w:sz w:val="24"/>
              </w:rPr>
              <w:t>煤炭堆放无组织扬尘排放量为</w:t>
            </w:r>
            <w:r>
              <w:rPr>
                <w:kern w:val="24"/>
                <w:sz w:val="24"/>
              </w:rPr>
              <w:t>2.29</w:t>
            </w:r>
            <w:r>
              <w:rPr>
                <w:rFonts w:hint="eastAsia"/>
                <w:kern w:val="24"/>
                <w:sz w:val="24"/>
              </w:rPr>
              <w:t>t/a，</w:t>
            </w:r>
            <w:r>
              <w:rPr>
                <w:kern w:val="24"/>
                <w:sz w:val="24"/>
              </w:rPr>
              <w:t>比技改前减少9.32</w:t>
            </w:r>
            <w:r>
              <w:rPr>
                <w:rFonts w:hint="eastAsia"/>
                <w:kern w:val="24"/>
                <w:sz w:val="24"/>
              </w:rPr>
              <w:t>t/a。</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3 \* GB2</w:instrText>
            </w:r>
            <w:r>
              <w:rPr>
                <w:kern w:val="24"/>
                <w:sz w:val="24"/>
              </w:rPr>
              <w:instrText xml:space="preserve"> </w:instrText>
            </w:r>
            <w:r>
              <w:rPr>
                <w:kern w:val="24"/>
                <w:sz w:val="24"/>
              </w:rPr>
              <w:fldChar w:fldCharType="separate"/>
            </w:r>
            <w:r>
              <w:rPr>
                <w:rFonts w:hint="eastAsia"/>
                <w:kern w:val="24"/>
                <w:sz w:val="24"/>
              </w:rPr>
              <w:t>⑶</w:t>
            </w:r>
            <w:r>
              <w:rPr>
                <w:kern w:val="24"/>
                <w:sz w:val="24"/>
              </w:rPr>
              <w:fldChar w:fldCharType="end"/>
            </w:r>
            <w:r>
              <w:rPr>
                <w:kern w:val="24"/>
                <w:sz w:val="24"/>
              </w:rPr>
              <w:t xml:space="preserve"> </w:t>
            </w:r>
            <w:r>
              <w:rPr>
                <w:rFonts w:hint="eastAsia"/>
                <w:kern w:val="24"/>
                <w:sz w:val="24"/>
              </w:rPr>
              <w:t>运输车辆</w:t>
            </w:r>
            <w:r>
              <w:rPr>
                <w:kern w:val="24"/>
                <w:sz w:val="24"/>
              </w:rPr>
              <w:t>扬尘</w:t>
            </w:r>
          </w:p>
          <w:p>
            <w:pPr>
              <w:spacing w:line="360" w:lineRule="auto"/>
              <w:ind w:firstLine="480" w:firstLineChars="200"/>
              <w:rPr>
                <w:kern w:val="24"/>
                <w:sz w:val="24"/>
              </w:rPr>
            </w:pPr>
            <w:r>
              <w:rPr>
                <w:rFonts w:hint="eastAsia"/>
                <w:kern w:val="24"/>
                <w:sz w:val="24"/>
              </w:rPr>
              <w:t>项目</w:t>
            </w:r>
            <w:r>
              <w:rPr>
                <w:kern w:val="24"/>
                <w:sz w:val="24"/>
              </w:rPr>
              <w:t>所需</w:t>
            </w:r>
            <w:r>
              <w:rPr>
                <w:rFonts w:hint="eastAsia"/>
                <w:kern w:val="24"/>
                <w:sz w:val="24"/>
              </w:rPr>
              <w:t>燃料煤炭由彬长和铜川煤矿供应，厂外运输采用铁路和公路相结合的运输方式，以</w:t>
            </w:r>
            <w:r>
              <w:rPr>
                <w:kern w:val="24"/>
                <w:sz w:val="24"/>
              </w:rPr>
              <w:t>铁路为主</w:t>
            </w:r>
            <w:r>
              <w:rPr>
                <w:rFonts w:hint="eastAsia"/>
                <w:kern w:val="24"/>
                <w:sz w:val="24"/>
              </w:rPr>
              <w:t>。煤炭</w:t>
            </w:r>
            <w:r>
              <w:rPr>
                <w:kern w:val="24"/>
                <w:sz w:val="24"/>
              </w:rPr>
              <w:t>运输过程中</w:t>
            </w:r>
            <w:r>
              <w:rPr>
                <w:rFonts w:hint="eastAsia"/>
                <w:kern w:val="24"/>
                <w:sz w:val="24"/>
              </w:rPr>
              <w:t>会有</w:t>
            </w:r>
            <w:r>
              <w:rPr>
                <w:kern w:val="24"/>
                <w:sz w:val="24"/>
              </w:rPr>
              <w:t>扬尘产生</w:t>
            </w:r>
            <w:r>
              <w:rPr>
                <w:rFonts w:hint="eastAsia"/>
                <w:kern w:val="24"/>
                <w:sz w:val="24"/>
              </w:rPr>
              <w:t>，为减少</w:t>
            </w:r>
            <w:r>
              <w:rPr>
                <w:kern w:val="24"/>
                <w:sz w:val="24"/>
              </w:rPr>
              <w:t>道路扬尘，评价要求采取以下措施：</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1 \* GB3</w:instrText>
            </w:r>
            <w:r>
              <w:rPr>
                <w:kern w:val="24"/>
                <w:sz w:val="24"/>
              </w:rPr>
              <w:instrText xml:space="preserve"> </w:instrText>
            </w:r>
            <w:r>
              <w:rPr>
                <w:kern w:val="24"/>
                <w:sz w:val="24"/>
              </w:rPr>
              <w:fldChar w:fldCharType="separate"/>
            </w:r>
            <w:r>
              <w:rPr>
                <w:rFonts w:hint="eastAsia"/>
                <w:kern w:val="24"/>
                <w:sz w:val="24"/>
              </w:rPr>
              <w:t>①</w:t>
            </w:r>
            <w:r>
              <w:rPr>
                <w:kern w:val="24"/>
                <w:sz w:val="24"/>
              </w:rPr>
              <w:fldChar w:fldCharType="end"/>
            </w:r>
            <w:r>
              <w:rPr>
                <w:kern w:val="24"/>
                <w:sz w:val="24"/>
              </w:rPr>
              <w:t xml:space="preserve"> </w:t>
            </w:r>
            <w:r>
              <w:rPr>
                <w:rFonts w:hint="eastAsia"/>
                <w:kern w:val="24"/>
                <w:sz w:val="24"/>
              </w:rPr>
              <w:t>运输道路</w:t>
            </w:r>
            <w:r>
              <w:rPr>
                <w:kern w:val="24"/>
                <w:sz w:val="24"/>
              </w:rPr>
              <w:t>采取水泥硬化</w:t>
            </w:r>
            <w:r>
              <w:rPr>
                <w:rFonts w:hint="eastAsia"/>
                <w:kern w:val="24"/>
                <w:sz w:val="24"/>
              </w:rPr>
              <w:t>，</w:t>
            </w:r>
            <w:r>
              <w:rPr>
                <w:kern w:val="24"/>
                <w:sz w:val="24"/>
              </w:rPr>
              <w:t>定期洒水</w:t>
            </w:r>
            <w:r>
              <w:rPr>
                <w:rFonts w:hint="eastAsia"/>
                <w:kern w:val="24"/>
                <w:sz w:val="24"/>
              </w:rPr>
              <w:t>抑尘</w:t>
            </w:r>
            <w:r>
              <w:rPr>
                <w:kern w:val="24"/>
                <w:sz w:val="24"/>
              </w:rPr>
              <w:t>；</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2 \* GB3</w:instrText>
            </w:r>
            <w:r>
              <w:rPr>
                <w:kern w:val="24"/>
                <w:sz w:val="24"/>
              </w:rPr>
              <w:instrText xml:space="preserve"> </w:instrText>
            </w:r>
            <w:r>
              <w:rPr>
                <w:kern w:val="24"/>
                <w:sz w:val="24"/>
              </w:rPr>
              <w:fldChar w:fldCharType="separate"/>
            </w:r>
            <w:r>
              <w:rPr>
                <w:rFonts w:hint="eastAsia"/>
                <w:kern w:val="24"/>
                <w:sz w:val="24"/>
              </w:rPr>
              <w:t>②</w:t>
            </w:r>
            <w:r>
              <w:rPr>
                <w:kern w:val="24"/>
                <w:sz w:val="24"/>
              </w:rPr>
              <w:fldChar w:fldCharType="end"/>
            </w:r>
            <w:r>
              <w:rPr>
                <w:kern w:val="24"/>
                <w:sz w:val="24"/>
              </w:rPr>
              <w:t xml:space="preserve"> </w:t>
            </w:r>
            <w:r>
              <w:rPr>
                <w:rFonts w:hint="eastAsia"/>
                <w:kern w:val="24"/>
                <w:sz w:val="24"/>
              </w:rPr>
              <w:t>对厂区内道路及时清扫，保持清洁；</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3 \* GB3</w:instrText>
            </w:r>
            <w:r>
              <w:rPr>
                <w:kern w:val="24"/>
                <w:sz w:val="24"/>
              </w:rPr>
              <w:instrText xml:space="preserve"> </w:instrText>
            </w:r>
            <w:r>
              <w:rPr>
                <w:kern w:val="24"/>
                <w:sz w:val="24"/>
              </w:rPr>
              <w:fldChar w:fldCharType="separate"/>
            </w:r>
            <w:r>
              <w:rPr>
                <w:rFonts w:hint="eastAsia"/>
                <w:kern w:val="24"/>
                <w:sz w:val="24"/>
              </w:rPr>
              <w:t>③</w:t>
            </w:r>
            <w:r>
              <w:rPr>
                <w:kern w:val="24"/>
                <w:sz w:val="24"/>
              </w:rPr>
              <w:fldChar w:fldCharType="end"/>
            </w:r>
            <w:r>
              <w:rPr>
                <w:kern w:val="24"/>
                <w:sz w:val="24"/>
              </w:rPr>
              <w:t xml:space="preserve"> </w:t>
            </w:r>
            <w:r>
              <w:rPr>
                <w:rFonts w:hint="eastAsia"/>
                <w:kern w:val="24"/>
                <w:sz w:val="24"/>
              </w:rPr>
              <w:t>运输车上加盖帆布，采用密闭储运等措施，防治物料洒落，造成二次扬尘；</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4 \* GB3</w:instrText>
            </w:r>
            <w:r>
              <w:rPr>
                <w:kern w:val="24"/>
                <w:sz w:val="24"/>
              </w:rPr>
              <w:instrText xml:space="preserve"> </w:instrText>
            </w:r>
            <w:r>
              <w:rPr>
                <w:kern w:val="24"/>
                <w:sz w:val="24"/>
              </w:rPr>
              <w:fldChar w:fldCharType="separate"/>
            </w:r>
            <w:r>
              <w:rPr>
                <w:rFonts w:hint="eastAsia"/>
                <w:kern w:val="24"/>
                <w:sz w:val="24"/>
              </w:rPr>
              <w:t>④</w:t>
            </w:r>
            <w:r>
              <w:rPr>
                <w:kern w:val="24"/>
                <w:sz w:val="24"/>
              </w:rPr>
              <w:fldChar w:fldCharType="end"/>
            </w:r>
            <w:r>
              <w:rPr>
                <w:kern w:val="24"/>
                <w:sz w:val="24"/>
              </w:rPr>
              <w:t xml:space="preserve"> </w:t>
            </w:r>
            <w:r>
              <w:rPr>
                <w:rFonts w:hint="eastAsia"/>
                <w:kern w:val="24"/>
                <w:sz w:val="24"/>
              </w:rPr>
              <w:t>车辆卸料后对车辆进行清扫，减少运输过程中车辆的粉尘产生；</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5 \* GB3</w:instrText>
            </w:r>
            <w:r>
              <w:rPr>
                <w:kern w:val="24"/>
                <w:sz w:val="24"/>
              </w:rPr>
              <w:instrText xml:space="preserve"> </w:instrText>
            </w:r>
            <w:r>
              <w:rPr>
                <w:kern w:val="24"/>
                <w:sz w:val="24"/>
              </w:rPr>
              <w:fldChar w:fldCharType="separate"/>
            </w:r>
            <w:r>
              <w:rPr>
                <w:rFonts w:hint="eastAsia"/>
                <w:kern w:val="24"/>
                <w:sz w:val="24"/>
              </w:rPr>
              <w:t>⑤</w:t>
            </w:r>
            <w:r>
              <w:rPr>
                <w:kern w:val="24"/>
                <w:sz w:val="24"/>
              </w:rPr>
              <w:fldChar w:fldCharType="end"/>
            </w:r>
            <w:r>
              <w:rPr>
                <w:kern w:val="24"/>
                <w:sz w:val="24"/>
              </w:rPr>
              <w:t xml:space="preserve"> </w:t>
            </w:r>
            <w:r>
              <w:rPr>
                <w:rFonts w:hint="eastAsia"/>
                <w:kern w:val="24"/>
                <w:sz w:val="24"/>
              </w:rPr>
              <w:t>加强运输过程中的管理，避免沿路抛洒和超载；</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6 \* GB3</w:instrText>
            </w:r>
            <w:r>
              <w:rPr>
                <w:kern w:val="24"/>
                <w:sz w:val="24"/>
              </w:rPr>
              <w:instrText xml:space="preserve"> </w:instrText>
            </w:r>
            <w:r>
              <w:rPr>
                <w:kern w:val="24"/>
                <w:sz w:val="24"/>
              </w:rPr>
              <w:fldChar w:fldCharType="separate"/>
            </w:r>
            <w:r>
              <w:rPr>
                <w:rFonts w:hint="eastAsia"/>
                <w:kern w:val="24"/>
                <w:sz w:val="24"/>
              </w:rPr>
              <w:t>⑥</w:t>
            </w:r>
            <w:r>
              <w:rPr>
                <w:kern w:val="24"/>
                <w:sz w:val="24"/>
              </w:rPr>
              <w:fldChar w:fldCharType="end"/>
            </w:r>
            <w:r>
              <w:rPr>
                <w:kern w:val="24"/>
                <w:sz w:val="24"/>
              </w:rPr>
              <w:t xml:space="preserve"> </w:t>
            </w:r>
            <w:r>
              <w:rPr>
                <w:rFonts w:hint="eastAsia"/>
                <w:kern w:val="24"/>
                <w:sz w:val="24"/>
              </w:rPr>
              <w:t>如遇大风等特殊天气，应停止拉运及卸煤作业。加强运煤管理，合理布置运煤时间段，减少因天气原因导致的煤尘污染；</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7 \* GB3</w:instrText>
            </w:r>
            <w:r>
              <w:rPr>
                <w:kern w:val="24"/>
                <w:sz w:val="24"/>
              </w:rPr>
              <w:instrText xml:space="preserve"> </w:instrText>
            </w:r>
            <w:r>
              <w:rPr>
                <w:kern w:val="24"/>
                <w:sz w:val="24"/>
              </w:rPr>
              <w:fldChar w:fldCharType="separate"/>
            </w:r>
            <w:r>
              <w:rPr>
                <w:rFonts w:hint="eastAsia"/>
                <w:kern w:val="24"/>
                <w:sz w:val="24"/>
              </w:rPr>
              <w:t>⑦</w:t>
            </w:r>
            <w:r>
              <w:rPr>
                <w:kern w:val="24"/>
                <w:sz w:val="24"/>
              </w:rPr>
              <w:fldChar w:fldCharType="end"/>
            </w:r>
            <w:r>
              <w:rPr>
                <w:kern w:val="24"/>
                <w:sz w:val="24"/>
              </w:rPr>
              <w:t xml:space="preserve"> </w:t>
            </w:r>
            <w:r>
              <w:rPr>
                <w:rFonts w:hint="eastAsia"/>
                <w:kern w:val="24"/>
                <w:sz w:val="24"/>
              </w:rPr>
              <w:t>运煤车辆定期清洗，减少因车辆粘带煤粉，对周边环境及道路的污染。</w:t>
            </w:r>
          </w:p>
          <w:p>
            <w:pPr>
              <w:spacing w:line="360" w:lineRule="auto"/>
              <w:ind w:firstLine="480" w:firstLineChars="200"/>
              <w:rPr>
                <w:kern w:val="24"/>
                <w:sz w:val="24"/>
              </w:rPr>
            </w:pPr>
            <w:r>
              <w:rPr>
                <w:rFonts w:hint="eastAsia"/>
                <w:kern w:val="24"/>
                <w:sz w:val="24"/>
              </w:rPr>
              <w:t>经以上措施，可降低原辅料运输过程产生的扬尘，降低道路扬尘对周围环境影响。</w:t>
            </w:r>
          </w:p>
          <w:p>
            <w:pPr>
              <w:spacing w:line="360" w:lineRule="auto"/>
              <w:ind w:firstLine="482" w:firstLineChars="200"/>
              <w:rPr>
                <w:b/>
                <w:sz w:val="24"/>
              </w:rPr>
            </w:pPr>
            <w:r>
              <w:rPr>
                <w:b/>
                <w:sz w:val="24"/>
              </w:rPr>
              <w:t>2、水污染源分析</w:t>
            </w:r>
          </w:p>
          <w:p>
            <w:pPr>
              <w:spacing w:line="360" w:lineRule="auto"/>
              <w:ind w:firstLine="480" w:firstLineChars="200"/>
              <w:rPr>
                <w:sz w:val="24"/>
              </w:rPr>
            </w:pPr>
            <w:r>
              <w:rPr>
                <w:rFonts w:hint="eastAsia"/>
                <w:sz w:val="24"/>
              </w:rPr>
              <w:t>本次技改项目营运期未新增劳动定员，现有劳动定员产生的生活污水依托厂区现有的生活污水管网进入生活污水处理站。</w:t>
            </w:r>
          </w:p>
          <w:p>
            <w:pPr>
              <w:spacing w:line="360" w:lineRule="auto"/>
              <w:ind w:firstLine="480" w:firstLineChars="200"/>
              <w:rPr>
                <w:sz w:val="24"/>
              </w:rPr>
            </w:pPr>
            <w:r>
              <w:rPr>
                <w:rFonts w:hint="eastAsia"/>
                <w:sz w:val="24"/>
              </w:rPr>
              <w:t>煤场封闭后，煤棚两侧设置有喷淋装置，由于喷淋用水量不大，不足以形成径流，因此，无喷淋废水排放。且煤场为全封闭结构，不会产生场地淋滤雨水。煤棚外设雨水收集渠倒流雨水。</w:t>
            </w:r>
          </w:p>
          <w:p>
            <w:pPr>
              <w:spacing w:line="360" w:lineRule="auto"/>
              <w:ind w:firstLine="480" w:firstLineChars="200"/>
              <w:rPr>
                <w:sz w:val="24"/>
              </w:rPr>
            </w:pPr>
            <w:r>
              <w:rPr>
                <w:rFonts w:hint="eastAsia"/>
                <w:sz w:val="24"/>
              </w:rPr>
              <w:t>本项目无废水外排，不对周围地表水环境带来影响。</w:t>
            </w:r>
          </w:p>
          <w:p>
            <w:pPr>
              <w:spacing w:line="360" w:lineRule="auto"/>
              <w:ind w:firstLine="482" w:firstLineChars="200"/>
              <w:rPr>
                <w:b/>
                <w:sz w:val="24"/>
              </w:rPr>
            </w:pPr>
            <w:r>
              <w:rPr>
                <w:b/>
                <w:sz w:val="24"/>
              </w:rPr>
              <w:t>3、噪声污染源分析</w:t>
            </w:r>
          </w:p>
          <w:p>
            <w:pPr>
              <w:spacing w:line="360" w:lineRule="auto"/>
              <w:ind w:firstLine="480" w:firstLineChars="200"/>
              <w:rPr>
                <w:kern w:val="24"/>
                <w:sz w:val="24"/>
              </w:rPr>
            </w:pPr>
            <w:r>
              <w:rPr>
                <w:rFonts w:hint="eastAsia"/>
                <w:kern w:val="24"/>
                <w:sz w:val="24"/>
              </w:rPr>
              <w:t>本次技改项目营运期煤炭拉运、贮存过程中会产生机械及运输车辆噪声，噪声源强在75～9</w:t>
            </w:r>
            <w:r>
              <w:rPr>
                <w:kern w:val="24"/>
                <w:sz w:val="24"/>
              </w:rPr>
              <w:t>0</w:t>
            </w:r>
            <w:r>
              <w:rPr>
                <w:rFonts w:hint="eastAsia"/>
                <w:kern w:val="24"/>
                <w:sz w:val="24"/>
              </w:rPr>
              <w:t>dB(A)之间。技改项目减少了</w:t>
            </w:r>
            <w:r>
              <w:rPr>
                <w:kern w:val="24"/>
                <w:sz w:val="24"/>
              </w:rPr>
              <w:t>储煤设备，</w:t>
            </w:r>
            <w:r>
              <w:rPr>
                <w:rFonts w:hint="eastAsia"/>
                <w:kern w:val="24"/>
                <w:sz w:val="24"/>
              </w:rPr>
              <w:t>噪声</w:t>
            </w:r>
            <w:r>
              <w:rPr>
                <w:kern w:val="24"/>
                <w:sz w:val="24"/>
              </w:rPr>
              <w:t>源强相较技改前无变化，</w:t>
            </w:r>
            <w:r>
              <w:rPr>
                <w:rFonts w:hint="eastAsia"/>
                <w:kern w:val="24"/>
                <w:sz w:val="24"/>
              </w:rPr>
              <w:t>同时煤场全封闭后，也对噪声具有阻隔的作用，根据厂界噪声现状</w:t>
            </w:r>
            <w:r>
              <w:rPr>
                <w:kern w:val="24"/>
                <w:sz w:val="24"/>
              </w:rPr>
              <w:t>监测结果可知，厂界噪声</w:t>
            </w:r>
            <w:r>
              <w:rPr>
                <w:rFonts w:hint="eastAsia"/>
                <w:kern w:val="24"/>
                <w:sz w:val="24"/>
              </w:rPr>
              <w:t>能达到《工业企业厂界环境噪声排放标准》（GB12348-2008）3类标准要求</w:t>
            </w:r>
            <w:r>
              <w:rPr>
                <w:kern w:val="24"/>
                <w:sz w:val="24"/>
              </w:rPr>
              <w:t>，</w:t>
            </w:r>
            <w:r>
              <w:rPr>
                <w:rFonts w:hint="eastAsia"/>
                <w:kern w:val="24"/>
                <w:sz w:val="24"/>
              </w:rPr>
              <w:t>对周围声环境产生影响较小。</w:t>
            </w:r>
          </w:p>
          <w:p>
            <w:pPr>
              <w:spacing w:line="360" w:lineRule="auto"/>
              <w:ind w:firstLine="482" w:firstLineChars="200"/>
              <w:rPr>
                <w:b/>
                <w:sz w:val="24"/>
              </w:rPr>
            </w:pPr>
            <w:r>
              <w:rPr>
                <w:b/>
                <w:sz w:val="24"/>
              </w:rPr>
              <w:t>4、固体废物分析</w:t>
            </w:r>
          </w:p>
          <w:p>
            <w:pPr>
              <w:spacing w:line="360" w:lineRule="auto"/>
              <w:ind w:firstLine="480" w:firstLineChars="200"/>
              <w:rPr>
                <w:kern w:val="24"/>
                <w:sz w:val="24"/>
              </w:rPr>
            </w:pPr>
            <w:r>
              <w:rPr>
                <w:rFonts w:hint="eastAsia"/>
                <w:kern w:val="24"/>
                <w:sz w:val="24"/>
              </w:rPr>
              <w:t>项目运营期无固体废物产生。</w:t>
            </w:r>
          </w:p>
          <w:p>
            <w:pPr>
              <w:spacing w:line="360" w:lineRule="auto"/>
              <w:ind w:firstLine="482" w:firstLineChars="200"/>
              <w:rPr>
                <w:b/>
                <w:sz w:val="24"/>
              </w:rPr>
            </w:pPr>
            <w:r>
              <w:rPr>
                <w:b/>
                <w:sz w:val="24"/>
              </w:rPr>
              <w:t>5、</w:t>
            </w:r>
            <w:r>
              <w:rPr>
                <w:rFonts w:hint="eastAsia"/>
                <w:b/>
                <w:sz w:val="24"/>
              </w:rPr>
              <w:t>生态影响分析</w:t>
            </w:r>
          </w:p>
          <w:p>
            <w:pPr>
              <w:spacing w:line="360" w:lineRule="auto"/>
              <w:ind w:firstLine="480" w:firstLineChars="200"/>
              <w:rPr>
                <w:sz w:val="24"/>
              </w:rPr>
            </w:pPr>
            <w:r>
              <w:rPr>
                <w:rFonts w:hint="eastAsia"/>
                <w:sz w:val="24"/>
              </w:rPr>
              <w:t>本次技改项目完成储煤场的全封闭，项目建成后减少了煤尘的无组织排放，对周围生态环境将产生积极影响。</w:t>
            </w:r>
          </w:p>
        </w:tc>
      </w:tr>
    </w:tbl>
    <w:p>
      <w:pPr>
        <w:rPr>
          <w:rFonts w:eastAsia="黑体"/>
          <w:sz w:val="32"/>
          <w:szCs w:val="32"/>
        </w:rPr>
        <w:sectPr>
          <w:footerReference r:id="rId9" w:type="default"/>
          <w:pgSz w:w="11906" w:h="16838"/>
          <w:pgMar w:top="1440" w:right="1440" w:bottom="1440" w:left="1440" w:header="851" w:footer="1134" w:gutter="0"/>
          <w:pgNumType w:start="1"/>
          <w:cols w:space="720" w:num="1"/>
          <w:docGrid w:linePitch="312" w:charSpace="0"/>
        </w:sectPr>
      </w:pPr>
    </w:p>
    <w:p>
      <w:pPr>
        <w:snapToGrid w:val="0"/>
        <w:outlineLvl w:val="0"/>
        <w:rPr>
          <w:b/>
          <w:sz w:val="28"/>
          <w:szCs w:val="28"/>
        </w:rPr>
      </w:pPr>
      <w:bookmarkStart w:id="116" w:name="_Toc514340331"/>
      <w:bookmarkStart w:id="117" w:name="_Toc514340582"/>
      <w:r>
        <w:rPr>
          <w:b/>
          <w:sz w:val="28"/>
          <w:szCs w:val="28"/>
        </w:rPr>
        <w:t>项目主要污染物产生及预计排放情况</w:t>
      </w:r>
      <w:bookmarkEnd w:id="116"/>
      <w:bookmarkEnd w:id="117"/>
    </w:p>
    <w:tbl>
      <w:tblPr>
        <w:tblStyle w:val="39"/>
        <w:tblW w:w="905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788"/>
        <w:gridCol w:w="1414"/>
        <w:gridCol w:w="1611"/>
        <w:gridCol w:w="2551"/>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88" w:type="dxa"/>
            <w:vAlign w:val="center"/>
          </w:tcPr>
          <w:p>
            <w:pPr>
              <w:topLinePunct/>
              <w:adjustRightInd w:val="0"/>
              <w:snapToGrid w:val="0"/>
              <w:spacing w:line="264" w:lineRule="exact"/>
              <w:jc w:val="center"/>
              <w:rPr>
                <w:b/>
                <w:bCs/>
                <w:sz w:val="24"/>
              </w:rPr>
            </w:pPr>
            <w:r>
              <w:rPr>
                <w:b/>
                <w:bCs/>
                <w:sz w:val="24"/>
              </w:rPr>
              <w:t>内容</w:t>
            </w:r>
          </w:p>
          <w:p>
            <w:pPr>
              <w:topLinePunct/>
              <w:adjustRightInd w:val="0"/>
              <w:snapToGrid w:val="0"/>
              <w:spacing w:line="264" w:lineRule="exact"/>
              <w:jc w:val="center"/>
              <w:rPr>
                <w:b/>
                <w:bCs/>
                <w:sz w:val="24"/>
              </w:rPr>
            </w:pPr>
            <w:r>
              <w:rPr>
                <w:b/>
                <w:bCs/>
                <w:sz w:val="24"/>
              </w:rPr>
              <w:t>类别</w:t>
            </w:r>
          </w:p>
        </w:tc>
        <w:tc>
          <w:tcPr>
            <w:tcW w:w="1414" w:type="dxa"/>
            <w:vAlign w:val="center"/>
          </w:tcPr>
          <w:p>
            <w:pPr>
              <w:topLinePunct/>
              <w:adjustRightInd w:val="0"/>
              <w:snapToGrid w:val="0"/>
              <w:spacing w:line="264" w:lineRule="exact"/>
              <w:jc w:val="center"/>
              <w:rPr>
                <w:b/>
                <w:bCs/>
                <w:sz w:val="24"/>
              </w:rPr>
            </w:pPr>
            <w:r>
              <w:rPr>
                <w:b/>
                <w:bCs/>
                <w:sz w:val="24"/>
              </w:rPr>
              <w:t>排放源</w:t>
            </w:r>
          </w:p>
        </w:tc>
        <w:tc>
          <w:tcPr>
            <w:tcW w:w="1611" w:type="dxa"/>
            <w:vAlign w:val="center"/>
          </w:tcPr>
          <w:p>
            <w:pPr>
              <w:topLinePunct/>
              <w:adjustRightInd w:val="0"/>
              <w:snapToGrid w:val="0"/>
              <w:spacing w:line="264" w:lineRule="exact"/>
              <w:jc w:val="center"/>
              <w:rPr>
                <w:b/>
                <w:bCs/>
                <w:sz w:val="24"/>
              </w:rPr>
            </w:pPr>
            <w:r>
              <w:rPr>
                <w:b/>
                <w:bCs/>
                <w:sz w:val="24"/>
              </w:rPr>
              <w:t>污染物名称</w:t>
            </w:r>
          </w:p>
        </w:tc>
        <w:tc>
          <w:tcPr>
            <w:tcW w:w="2551" w:type="dxa"/>
            <w:vAlign w:val="center"/>
          </w:tcPr>
          <w:p>
            <w:pPr>
              <w:topLinePunct/>
              <w:adjustRightInd w:val="0"/>
              <w:snapToGrid w:val="0"/>
              <w:spacing w:line="264" w:lineRule="exact"/>
              <w:jc w:val="center"/>
              <w:rPr>
                <w:b/>
                <w:bCs/>
                <w:sz w:val="24"/>
              </w:rPr>
            </w:pPr>
            <w:r>
              <w:rPr>
                <w:b/>
                <w:bCs/>
                <w:sz w:val="24"/>
              </w:rPr>
              <w:t>处理前产生浓度及产生量（单位）</w:t>
            </w:r>
          </w:p>
        </w:tc>
        <w:tc>
          <w:tcPr>
            <w:tcW w:w="2693" w:type="dxa"/>
            <w:vAlign w:val="center"/>
          </w:tcPr>
          <w:p>
            <w:pPr>
              <w:topLinePunct/>
              <w:adjustRightInd w:val="0"/>
              <w:snapToGrid w:val="0"/>
              <w:spacing w:line="264" w:lineRule="exact"/>
              <w:jc w:val="center"/>
              <w:rPr>
                <w:b/>
                <w:bCs/>
                <w:sz w:val="24"/>
              </w:rPr>
            </w:pPr>
            <w:r>
              <w:rPr>
                <w:b/>
                <w:bCs/>
                <w:sz w:val="24"/>
              </w:rPr>
              <w:t>排放浓度及排放量（单位）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1026" w:hRule="atLeast"/>
          <w:jc w:val="center"/>
        </w:trPr>
        <w:tc>
          <w:tcPr>
            <w:tcW w:w="788" w:type="dxa"/>
            <w:vMerge w:val="restart"/>
            <w:vAlign w:val="center"/>
          </w:tcPr>
          <w:p>
            <w:pPr>
              <w:topLinePunct/>
              <w:adjustRightInd w:val="0"/>
              <w:snapToGrid w:val="0"/>
              <w:spacing w:line="264" w:lineRule="exact"/>
              <w:jc w:val="center"/>
              <w:rPr>
                <w:b/>
                <w:bCs/>
                <w:sz w:val="24"/>
              </w:rPr>
            </w:pPr>
            <w:r>
              <w:rPr>
                <w:b/>
                <w:bCs/>
                <w:sz w:val="24"/>
              </w:rPr>
              <w:t>大</w:t>
            </w:r>
          </w:p>
          <w:p>
            <w:pPr>
              <w:topLinePunct/>
              <w:adjustRightInd w:val="0"/>
              <w:snapToGrid w:val="0"/>
              <w:spacing w:line="264" w:lineRule="exact"/>
              <w:jc w:val="center"/>
              <w:rPr>
                <w:b/>
                <w:bCs/>
                <w:sz w:val="24"/>
              </w:rPr>
            </w:pPr>
            <w:r>
              <w:rPr>
                <w:b/>
                <w:bCs/>
                <w:sz w:val="24"/>
              </w:rPr>
              <w:t>气</w:t>
            </w:r>
          </w:p>
          <w:p>
            <w:pPr>
              <w:topLinePunct/>
              <w:adjustRightInd w:val="0"/>
              <w:snapToGrid w:val="0"/>
              <w:spacing w:line="264" w:lineRule="exact"/>
              <w:jc w:val="center"/>
              <w:rPr>
                <w:b/>
                <w:bCs/>
                <w:sz w:val="24"/>
              </w:rPr>
            </w:pPr>
            <w:r>
              <w:rPr>
                <w:b/>
                <w:bCs/>
                <w:sz w:val="24"/>
              </w:rPr>
              <w:t>污</w:t>
            </w:r>
          </w:p>
          <w:p>
            <w:pPr>
              <w:topLinePunct/>
              <w:adjustRightInd w:val="0"/>
              <w:snapToGrid w:val="0"/>
              <w:spacing w:line="264" w:lineRule="exact"/>
              <w:jc w:val="center"/>
              <w:rPr>
                <w:b/>
                <w:bCs/>
                <w:sz w:val="24"/>
              </w:rPr>
            </w:pPr>
            <w:r>
              <w:rPr>
                <w:b/>
                <w:bCs/>
                <w:sz w:val="24"/>
              </w:rPr>
              <w:t>染</w:t>
            </w:r>
          </w:p>
          <w:p>
            <w:pPr>
              <w:topLinePunct/>
              <w:adjustRightInd w:val="0"/>
              <w:snapToGrid w:val="0"/>
              <w:spacing w:line="264" w:lineRule="exact"/>
              <w:jc w:val="center"/>
              <w:rPr>
                <w:b/>
                <w:bCs/>
                <w:sz w:val="24"/>
                <w:highlight w:val="green"/>
              </w:rPr>
            </w:pPr>
            <w:r>
              <w:rPr>
                <w:b/>
                <w:bCs/>
                <w:sz w:val="24"/>
              </w:rPr>
              <w:t>物</w:t>
            </w:r>
          </w:p>
        </w:tc>
        <w:tc>
          <w:tcPr>
            <w:tcW w:w="1414" w:type="dxa"/>
            <w:vAlign w:val="center"/>
          </w:tcPr>
          <w:p>
            <w:pPr>
              <w:adjustRightInd w:val="0"/>
              <w:snapToGrid w:val="0"/>
              <w:spacing w:line="264" w:lineRule="exact"/>
              <w:jc w:val="center"/>
              <w:rPr>
                <w:sz w:val="24"/>
              </w:rPr>
            </w:pPr>
            <w:r>
              <w:rPr>
                <w:rFonts w:hint="eastAsia"/>
                <w:sz w:val="24"/>
              </w:rPr>
              <w:t>煤场</w:t>
            </w:r>
          </w:p>
        </w:tc>
        <w:tc>
          <w:tcPr>
            <w:tcW w:w="1611" w:type="dxa"/>
            <w:vAlign w:val="center"/>
          </w:tcPr>
          <w:p>
            <w:pPr>
              <w:adjustRightInd w:val="0"/>
              <w:snapToGrid w:val="0"/>
              <w:spacing w:line="264" w:lineRule="exact"/>
              <w:jc w:val="center"/>
              <w:rPr>
                <w:sz w:val="24"/>
              </w:rPr>
            </w:pPr>
            <w:r>
              <w:rPr>
                <w:rFonts w:hint="eastAsia"/>
                <w:sz w:val="24"/>
              </w:rPr>
              <w:t>粉尘</w:t>
            </w:r>
          </w:p>
        </w:tc>
        <w:tc>
          <w:tcPr>
            <w:tcW w:w="2551" w:type="dxa"/>
            <w:vAlign w:val="center"/>
          </w:tcPr>
          <w:p>
            <w:pPr>
              <w:adjustRightInd w:val="0"/>
              <w:snapToGrid w:val="0"/>
              <w:spacing w:line="264" w:lineRule="exact"/>
              <w:jc w:val="center"/>
              <w:rPr>
                <w:sz w:val="24"/>
              </w:rPr>
            </w:pPr>
            <w:r>
              <w:rPr>
                <w:sz w:val="24"/>
              </w:rPr>
              <w:t>263.63t/a</w:t>
            </w:r>
          </w:p>
        </w:tc>
        <w:tc>
          <w:tcPr>
            <w:tcW w:w="2693" w:type="dxa"/>
            <w:vAlign w:val="center"/>
          </w:tcPr>
          <w:p>
            <w:pPr>
              <w:adjustRightInd w:val="0"/>
              <w:snapToGrid w:val="0"/>
              <w:spacing w:line="264" w:lineRule="exact"/>
              <w:jc w:val="center"/>
              <w:rPr>
                <w:sz w:val="24"/>
              </w:rPr>
            </w:pPr>
            <w:r>
              <w:rPr>
                <w:sz w:val="24"/>
              </w:rPr>
              <w:t>13.18</w:t>
            </w:r>
            <w:r>
              <w:rPr>
                <w:rFonts w:hint="eastAsia"/>
                <w:sz w:val="24"/>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1148" w:hRule="atLeast"/>
          <w:jc w:val="center"/>
        </w:trPr>
        <w:tc>
          <w:tcPr>
            <w:tcW w:w="788" w:type="dxa"/>
            <w:vMerge w:val="continue"/>
            <w:vAlign w:val="center"/>
          </w:tcPr>
          <w:p>
            <w:pPr>
              <w:topLinePunct/>
              <w:adjustRightInd w:val="0"/>
              <w:snapToGrid w:val="0"/>
              <w:spacing w:line="264" w:lineRule="exact"/>
              <w:jc w:val="center"/>
              <w:rPr>
                <w:b/>
                <w:bCs/>
                <w:sz w:val="24"/>
              </w:rPr>
            </w:pPr>
          </w:p>
        </w:tc>
        <w:tc>
          <w:tcPr>
            <w:tcW w:w="1414" w:type="dxa"/>
            <w:vAlign w:val="center"/>
          </w:tcPr>
          <w:p>
            <w:pPr>
              <w:adjustRightInd w:val="0"/>
              <w:snapToGrid w:val="0"/>
              <w:spacing w:line="264" w:lineRule="exact"/>
              <w:jc w:val="center"/>
              <w:rPr>
                <w:sz w:val="24"/>
              </w:rPr>
            </w:pPr>
            <w:r>
              <w:rPr>
                <w:rFonts w:hint="eastAsia"/>
                <w:sz w:val="24"/>
              </w:rPr>
              <w:t>运输</w:t>
            </w:r>
            <w:r>
              <w:rPr>
                <w:sz w:val="24"/>
              </w:rPr>
              <w:t>道路</w:t>
            </w:r>
          </w:p>
        </w:tc>
        <w:tc>
          <w:tcPr>
            <w:tcW w:w="1611" w:type="dxa"/>
            <w:vAlign w:val="center"/>
          </w:tcPr>
          <w:p>
            <w:pPr>
              <w:adjustRightInd w:val="0"/>
              <w:snapToGrid w:val="0"/>
              <w:spacing w:line="264" w:lineRule="exact"/>
              <w:jc w:val="center"/>
              <w:rPr>
                <w:sz w:val="24"/>
              </w:rPr>
            </w:pPr>
            <w:r>
              <w:rPr>
                <w:rFonts w:hint="eastAsia"/>
                <w:sz w:val="24"/>
              </w:rPr>
              <w:t>扬尘</w:t>
            </w:r>
          </w:p>
        </w:tc>
        <w:tc>
          <w:tcPr>
            <w:tcW w:w="2551" w:type="dxa"/>
            <w:vAlign w:val="center"/>
          </w:tcPr>
          <w:p>
            <w:pPr>
              <w:jc w:val="center"/>
              <w:rPr>
                <w:bCs/>
                <w:sz w:val="24"/>
              </w:rPr>
            </w:pPr>
            <w:r>
              <w:rPr>
                <w:rFonts w:hint="eastAsia"/>
                <w:bCs/>
                <w:sz w:val="24"/>
              </w:rPr>
              <w:t>少量</w:t>
            </w:r>
          </w:p>
        </w:tc>
        <w:tc>
          <w:tcPr>
            <w:tcW w:w="2693" w:type="dxa"/>
            <w:vAlign w:val="center"/>
          </w:tcPr>
          <w:p>
            <w:pPr>
              <w:jc w:val="center"/>
              <w:rPr>
                <w:bCs/>
                <w:sz w:val="24"/>
              </w:rPr>
            </w:pPr>
            <w:r>
              <w:rPr>
                <w:rFonts w:hint="eastAsia"/>
                <w:bCs/>
                <w:sz w:val="24"/>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2009" w:hRule="atLeast"/>
          <w:jc w:val="center"/>
        </w:trPr>
        <w:tc>
          <w:tcPr>
            <w:tcW w:w="788" w:type="dxa"/>
            <w:vAlign w:val="center"/>
          </w:tcPr>
          <w:p>
            <w:pPr>
              <w:topLinePunct/>
              <w:adjustRightInd w:val="0"/>
              <w:snapToGrid w:val="0"/>
              <w:spacing w:line="264" w:lineRule="exact"/>
              <w:jc w:val="center"/>
              <w:rPr>
                <w:b/>
                <w:bCs/>
                <w:sz w:val="24"/>
              </w:rPr>
            </w:pPr>
            <w:r>
              <w:rPr>
                <w:b/>
                <w:bCs/>
                <w:sz w:val="24"/>
              </w:rPr>
              <w:t>水</w:t>
            </w:r>
          </w:p>
          <w:p>
            <w:pPr>
              <w:topLinePunct/>
              <w:adjustRightInd w:val="0"/>
              <w:snapToGrid w:val="0"/>
              <w:spacing w:line="264" w:lineRule="exact"/>
              <w:jc w:val="center"/>
              <w:rPr>
                <w:b/>
                <w:bCs/>
                <w:sz w:val="24"/>
              </w:rPr>
            </w:pPr>
            <w:r>
              <w:rPr>
                <w:b/>
                <w:bCs/>
                <w:sz w:val="24"/>
              </w:rPr>
              <w:t>污</w:t>
            </w:r>
          </w:p>
          <w:p>
            <w:pPr>
              <w:topLinePunct/>
              <w:adjustRightInd w:val="0"/>
              <w:snapToGrid w:val="0"/>
              <w:spacing w:line="264" w:lineRule="exact"/>
              <w:jc w:val="center"/>
              <w:rPr>
                <w:b/>
                <w:bCs/>
                <w:sz w:val="24"/>
              </w:rPr>
            </w:pPr>
            <w:r>
              <w:rPr>
                <w:b/>
                <w:bCs/>
                <w:sz w:val="24"/>
              </w:rPr>
              <w:t>染</w:t>
            </w:r>
          </w:p>
          <w:p>
            <w:pPr>
              <w:topLinePunct/>
              <w:adjustRightInd w:val="0"/>
              <w:snapToGrid w:val="0"/>
              <w:spacing w:line="264" w:lineRule="exact"/>
              <w:jc w:val="center"/>
              <w:rPr>
                <w:b/>
                <w:bCs/>
                <w:sz w:val="24"/>
              </w:rPr>
            </w:pPr>
            <w:r>
              <w:rPr>
                <w:b/>
                <w:bCs/>
                <w:sz w:val="24"/>
              </w:rPr>
              <w:t>物</w:t>
            </w:r>
          </w:p>
        </w:tc>
        <w:tc>
          <w:tcPr>
            <w:tcW w:w="1414" w:type="dxa"/>
            <w:vAlign w:val="center"/>
          </w:tcPr>
          <w:p>
            <w:pPr>
              <w:adjustRightInd w:val="0"/>
              <w:snapToGrid w:val="0"/>
              <w:spacing w:line="264" w:lineRule="exact"/>
              <w:jc w:val="center"/>
              <w:rPr>
                <w:sz w:val="24"/>
              </w:rPr>
            </w:pPr>
            <w:r>
              <w:rPr>
                <w:rFonts w:hint="eastAsia"/>
                <w:sz w:val="24"/>
              </w:rPr>
              <w:t>/</w:t>
            </w:r>
          </w:p>
        </w:tc>
        <w:tc>
          <w:tcPr>
            <w:tcW w:w="1611" w:type="dxa"/>
            <w:vAlign w:val="center"/>
          </w:tcPr>
          <w:p>
            <w:pPr>
              <w:topLinePunct/>
              <w:adjustRightInd w:val="0"/>
              <w:snapToGrid w:val="0"/>
              <w:spacing w:line="264" w:lineRule="exact"/>
              <w:jc w:val="center"/>
              <w:rPr>
                <w:sz w:val="24"/>
              </w:rPr>
            </w:pPr>
            <w:r>
              <w:rPr>
                <w:rFonts w:hint="eastAsia"/>
                <w:sz w:val="24"/>
              </w:rPr>
              <w:t>/</w:t>
            </w:r>
          </w:p>
        </w:tc>
        <w:tc>
          <w:tcPr>
            <w:tcW w:w="2551" w:type="dxa"/>
            <w:vAlign w:val="center"/>
          </w:tcPr>
          <w:p>
            <w:pPr>
              <w:topLinePunct/>
              <w:adjustRightInd w:val="0"/>
              <w:snapToGrid w:val="0"/>
              <w:spacing w:line="264" w:lineRule="exact"/>
              <w:jc w:val="center"/>
              <w:rPr>
                <w:sz w:val="24"/>
              </w:rPr>
            </w:pPr>
            <w:r>
              <w:rPr>
                <w:rFonts w:hint="eastAsia"/>
                <w:sz w:val="24"/>
              </w:rPr>
              <w:t>/</w:t>
            </w:r>
          </w:p>
        </w:tc>
        <w:tc>
          <w:tcPr>
            <w:tcW w:w="2693" w:type="dxa"/>
            <w:vAlign w:val="center"/>
          </w:tcPr>
          <w:p>
            <w:pPr>
              <w:topLinePunct/>
              <w:adjustRightInd w:val="0"/>
              <w:snapToGrid w:val="0"/>
              <w:spacing w:line="264" w:lineRule="exact"/>
              <w:jc w:val="center"/>
              <w:rPr>
                <w:sz w:val="24"/>
              </w:rPr>
            </w:pPr>
            <w:r>
              <w:rPr>
                <w:rFonts w:hint="eastAsia"/>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1855" w:hRule="atLeast"/>
          <w:jc w:val="center"/>
        </w:trPr>
        <w:tc>
          <w:tcPr>
            <w:tcW w:w="788" w:type="dxa"/>
            <w:tcMar>
              <w:left w:w="0" w:type="dxa"/>
              <w:right w:w="0" w:type="dxa"/>
            </w:tcMar>
            <w:vAlign w:val="center"/>
          </w:tcPr>
          <w:p>
            <w:pPr>
              <w:topLinePunct/>
              <w:adjustRightInd w:val="0"/>
              <w:snapToGrid w:val="0"/>
              <w:spacing w:line="264" w:lineRule="exact"/>
              <w:jc w:val="center"/>
              <w:rPr>
                <w:b/>
                <w:bCs/>
                <w:sz w:val="24"/>
              </w:rPr>
            </w:pPr>
            <w:r>
              <w:rPr>
                <w:b/>
                <w:bCs/>
                <w:sz w:val="24"/>
              </w:rPr>
              <w:t>固</w:t>
            </w:r>
          </w:p>
          <w:p>
            <w:pPr>
              <w:topLinePunct/>
              <w:adjustRightInd w:val="0"/>
              <w:snapToGrid w:val="0"/>
              <w:spacing w:line="264" w:lineRule="exact"/>
              <w:jc w:val="center"/>
              <w:rPr>
                <w:b/>
                <w:bCs/>
                <w:sz w:val="24"/>
              </w:rPr>
            </w:pPr>
            <w:r>
              <w:rPr>
                <w:b/>
                <w:bCs/>
                <w:sz w:val="24"/>
              </w:rPr>
              <w:t>体</w:t>
            </w:r>
          </w:p>
          <w:p>
            <w:pPr>
              <w:topLinePunct/>
              <w:adjustRightInd w:val="0"/>
              <w:snapToGrid w:val="0"/>
              <w:spacing w:line="264" w:lineRule="exact"/>
              <w:jc w:val="center"/>
              <w:rPr>
                <w:b/>
                <w:bCs/>
                <w:sz w:val="24"/>
              </w:rPr>
            </w:pPr>
            <w:r>
              <w:rPr>
                <w:b/>
                <w:bCs/>
                <w:sz w:val="24"/>
              </w:rPr>
              <w:t>废</w:t>
            </w:r>
          </w:p>
          <w:p>
            <w:pPr>
              <w:topLinePunct/>
              <w:adjustRightInd w:val="0"/>
              <w:snapToGrid w:val="0"/>
              <w:spacing w:line="264" w:lineRule="exact"/>
              <w:jc w:val="center"/>
              <w:rPr>
                <w:b/>
                <w:bCs/>
                <w:sz w:val="24"/>
              </w:rPr>
            </w:pPr>
            <w:r>
              <w:rPr>
                <w:b/>
                <w:bCs/>
                <w:sz w:val="24"/>
              </w:rPr>
              <w:t>物</w:t>
            </w:r>
          </w:p>
        </w:tc>
        <w:tc>
          <w:tcPr>
            <w:tcW w:w="1414" w:type="dxa"/>
            <w:tcMar>
              <w:left w:w="57" w:type="dxa"/>
              <w:right w:w="57" w:type="dxa"/>
            </w:tcMar>
            <w:vAlign w:val="center"/>
          </w:tcPr>
          <w:p>
            <w:pPr>
              <w:topLinePunct/>
              <w:adjustRightInd w:val="0"/>
              <w:snapToGrid w:val="0"/>
              <w:spacing w:line="264" w:lineRule="exact"/>
              <w:jc w:val="center"/>
              <w:rPr>
                <w:sz w:val="24"/>
              </w:rPr>
            </w:pPr>
            <w:r>
              <w:rPr>
                <w:rFonts w:hint="eastAsia"/>
                <w:sz w:val="24"/>
              </w:rPr>
              <w:t>/</w:t>
            </w:r>
          </w:p>
        </w:tc>
        <w:tc>
          <w:tcPr>
            <w:tcW w:w="1611" w:type="dxa"/>
            <w:vAlign w:val="center"/>
          </w:tcPr>
          <w:p>
            <w:pPr>
              <w:topLinePunct/>
              <w:adjustRightInd w:val="0"/>
              <w:snapToGrid w:val="0"/>
              <w:spacing w:line="264" w:lineRule="exact"/>
              <w:jc w:val="center"/>
              <w:rPr>
                <w:sz w:val="24"/>
              </w:rPr>
            </w:pPr>
            <w:r>
              <w:rPr>
                <w:rFonts w:hint="eastAsia"/>
                <w:sz w:val="24"/>
              </w:rPr>
              <w:t>/</w:t>
            </w:r>
          </w:p>
        </w:tc>
        <w:tc>
          <w:tcPr>
            <w:tcW w:w="2551" w:type="dxa"/>
            <w:vAlign w:val="center"/>
          </w:tcPr>
          <w:p>
            <w:pPr>
              <w:adjustRightInd w:val="0"/>
              <w:snapToGrid w:val="0"/>
              <w:spacing w:line="264" w:lineRule="exact"/>
              <w:jc w:val="center"/>
              <w:rPr>
                <w:sz w:val="24"/>
              </w:rPr>
            </w:pPr>
            <w:r>
              <w:rPr>
                <w:rFonts w:hint="eastAsia"/>
                <w:sz w:val="24"/>
              </w:rPr>
              <w:t>/</w:t>
            </w:r>
          </w:p>
        </w:tc>
        <w:tc>
          <w:tcPr>
            <w:tcW w:w="2693" w:type="dxa"/>
            <w:vAlign w:val="center"/>
          </w:tcPr>
          <w:p>
            <w:pPr>
              <w:adjustRightInd w:val="0"/>
              <w:snapToGrid w:val="0"/>
              <w:spacing w:line="264" w:lineRule="exact"/>
              <w:jc w:val="center"/>
              <w:rPr>
                <w:sz w:val="24"/>
              </w:rPr>
            </w:pPr>
            <w:r>
              <w:rPr>
                <w:rFonts w:hint="eastAsia"/>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701" w:hRule="atLeast"/>
          <w:jc w:val="center"/>
        </w:trPr>
        <w:tc>
          <w:tcPr>
            <w:tcW w:w="788" w:type="dxa"/>
            <w:tcMar>
              <w:left w:w="0" w:type="dxa"/>
              <w:right w:w="0" w:type="dxa"/>
            </w:tcMar>
            <w:vAlign w:val="center"/>
          </w:tcPr>
          <w:p>
            <w:pPr>
              <w:topLinePunct/>
              <w:adjustRightInd w:val="0"/>
              <w:snapToGrid w:val="0"/>
              <w:spacing w:line="264" w:lineRule="exact"/>
              <w:jc w:val="center"/>
              <w:rPr>
                <w:b/>
                <w:bCs/>
                <w:sz w:val="24"/>
              </w:rPr>
            </w:pPr>
            <w:r>
              <w:rPr>
                <w:b/>
                <w:bCs/>
                <w:sz w:val="24"/>
              </w:rPr>
              <w:t>噪</w:t>
            </w:r>
          </w:p>
          <w:p>
            <w:pPr>
              <w:topLinePunct/>
              <w:adjustRightInd w:val="0"/>
              <w:snapToGrid w:val="0"/>
              <w:spacing w:line="264" w:lineRule="exact"/>
              <w:jc w:val="center"/>
              <w:rPr>
                <w:bCs/>
                <w:sz w:val="24"/>
              </w:rPr>
            </w:pPr>
            <w:r>
              <w:rPr>
                <w:b/>
                <w:bCs/>
                <w:sz w:val="24"/>
              </w:rPr>
              <w:t>声</w:t>
            </w:r>
          </w:p>
        </w:tc>
        <w:tc>
          <w:tcPr>
            <w:tcW w:w="8269" w:type="dxa"/>
            <w:gridSpan w:val="4"/>
            <w:tcMar>
              <w:left w:w="57" w:type="dxa"/>
              <w:right w:w="57" w:type="dxa"/>
            </w:tcMar>
            <w:vAlign w:val="center"/>
          </w:tcPr>
          <w:p>
            <w:pPr>
              <w:adjustRightInd w:val="0"/>
              <w:snapToGrid w:val="0"/>
              <w:spacing w:line="360" w:lineRule="auto"/>
              <w:jc w:val="left"/>
              <w:rPr>
                <w:sz w:val="24"/>
              </w:rPr>
            </w:pPr>
            <w:r>
              <w:rPr>
                <w:rFonts w:hint="eastAsia"/>
                <w:sz w:val="24"/>
              </w:rPr>
              <w:t>技改项目营运期煤炭拉运、贮存过程中会产生机械及运输车辆噪声，噪声源强在75～9</w:t>
            </w:r>
            <w:r>
              <w:rPr>
                <w:sz w:val="24"/>
              </w:rPr>
              <w:t>0</w:t>
            </w:r>
            <w:r>
              <w:rPr>
                <w:rFonts w:hint="eastAsia"/>
                <w:sz w:val="24"/>
              </w:rPr>
              <w:t>dB(A)之间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88" w:type="dxa"/>
            <w:tcMar>
              <w:left w:w="0" w:type="dxa"/>
              <w:right w:w="0" w:type="dxa"/>
            </w:tcMar>
            <w:vAlign w:val="center"/>
          </w:tcPr>
          <w:p>
            <w:pPr>
              <w:topLinePunct/>
              <w:adjustRightInd w:val="0"/>
              <w:snapToGrid w:val="0"/>
              <w:spacing w:line="264" w:lineRule="exact"/>
              <w:jc w:val="center"/>
              <w:rPr>
                <w:b/>
                <w:bCs/>
                <w:sz w:val="24"/>
              </w:rPr>
            </w:pPr>
            <w:r>
              <w:rPr>
                <w:b/>
                <w:bCs/>
                <w:sz w:val="24"/>
              </w:rPr>
              <w:t>其他</w:t>
            </w:r>
          </w:p>
        </w:tc>
        <w:tc>
          <w:tcPr>
            <w:tcW w:w="8269" w:type="dxa"/>
            <w:gridSpan w:val="4"/>
            <w:tcMar>
              <w:left w:w="57" w:type="dxa"/>
              <w:right w:w="57" w:type="dxa"/>
            </w:tcMar>
            <w:vAlign w:val="center"/>
          </w:tcPr>
          <w:p>
            <w:pPr>
              <w:adjustRightInd w:val="0"/>
              <w:snapToGrid w:val="0"/>
              <w:spacing w:line="360" w:lineRule="auto"/>
              <w:jc w:val="center"/>
              <w:rPr>
                <w:sz w:val="24"/>
              </w:rPr>
            </w:pPr>
            <w:r>
              <w:rPr>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784" w:hRule="atLeast"/>
          <w:jc w:val="center"/>
        </w:trPr>
        <w:tc>
          <w:tcPr>
            <w:tcW w:w="9057" w:type="dxa"/>
            <w:gridSpan w:val="5"/>
            <w:tcMar>
              <w:left w:w="0" w:type="dxa"/>
              <w:right w:w="0" w:type="dxa"/>
            </w:tcMar>
            <w:vAlign w:val="center"/>
          </w:tcPr>
          <w:p>
            <w:pPr>
              <w:adjustRightInd w:val="0"/>
              <w:snapToGrid w:val="0"/>
              <w:spacing w:line="360" w:lineRule="auto"/>
              <w:rPr>
                <w:b/>
                <w:bCs/>
                <w:sz w:val="24"/>
              </w:rPr>
            </w:pPr>
            <w:r>
              <w:rPr>
                <w:b/>
                <w:bCs/>
                <w:sz w:val="24"/>
              </w:rPr>
              <w:t>主要生态影响：</w:t>
            </w:r>
          </w:p>
          <w:p>
            <w:pPr>
              <w:pStyle w:val="14"/>
              <w:adjustRightInd w:val="0"/>
              <w:rPr>
                <w:szCs w:val="21"/>
              </w:rPr>
            </w:pPr>
            <w:r>
              <w:rPr>
                <w:rFonts w:hint="eastAsia"/>
              </w:rPr>
              <w:t>本次技改项目完成储煤场的全封闭，项目建成后减少了煤尘的无组织排放，对周围生态环境将产生积极影响。</w:t>
            </w:r>
          </w:p>
          <w:p>
            <w:pPr>
              <w:adjustRightInd w:val="0"/>
              <w:snapToGrid w:val="0"/>
              <w:spacing w:line="264" w:lineRule="exact"/>
              <w:rPr>
                <w:szCs w:val="21"/>
              </w:rPr>
            </w:pPr>
          </w:p>
          <w:p>
            <w:pPr>
              <w:adjustRightInd w:val="0"/>
              <w:snapToGrid w:val="0"/>
              <w:spacing w:line="264" w:lineRule="exact"/>
              <w:rPr>
                <w:szCs w:val="21"/>
              </w:rPr>
            </w:pPr>
          </w:p>
          <w:p>
            <w:pPr>
              <w:adjustRightInd w:val="0"/>
              <w:snapToGrid w:val="0"/>
              <w:spacing w:line="264" w:lineRule="exact"/>
              <w:rPr>
                <w:szCs w:val="21"/>
              </w:rPr>
            </w:pPr>
          </w:p>
          <w:p>
            <w:pPr>
              <w:adjustRightInd w:val="0"/>
              <w:snapToGrid w:val="0"/>
              <w:spacing w:line="264" w:lineRule="exact"/>
              <w:rPr>
                <w:szCs w:val="21"/>
              </w:rPr>
            </w:pPr>
          </w:p>
          <w:p>
            <w:pPr>
              <w:adjustRightInd w:val="0"/>
              <w:snapToGrid w:val="0"/>
              <w:spacing w:line="264" w:lineRule="exact"/>
              <w:rPr>
                <w:szCs w:val="21"/>
              </w:rPr>
            </w:pPr>
          </w:p>
          <w:p>
            <w:pPr>
              <w:adjustRightInd w:val="0"/>
              <w:snapToGrid w:val="0"/>
              <w:spacing w:line="264" w:lineRule="exact"/>
              <w:rPr>
                <w:szCs w:val="21"/>
              </w:rPr>
            </w:pPr>
          </w:p>
          <w:p>
            <w:pPr>
              <w:adjustRightInd w:val="0"/>
              <w:snapToGrid w:val="0"/>
              <w:spacing w:line="264" w:lineRule="exact"/>
              <w:rPr>
                <w:szCs w:val="21"/>
              </w:rPr>
            </w:pPr>
          </w:p>
          <w:p>
            <w:pPr>
              <w:adjustRightInd w:val="0"/>
              <w:snapToGrid w:val="0"/>
              <w:spacing w:line="264" w:lineRule="exact"/>
              <w:rPr>
                <w:szCs w:val="21"/>
              </w:rPr>
            </w:pPr>
          </w:p>
          <w:p>
            <w:pPr>
              <w:adjustRightInd w:val="0"/>
              <w:snapToGrid w:val="0"/>
              <w:spacing w:line="264" w:lineRule="exact"/>
              <w:rPr>
                <w:szCs w:val="21"/>
              </w:rPr>
            </w:pPr>
          </w:p>
          <w:p>
            <w:pPr>
              <w:adjustRightInd w:val="0"/>
              <w:snapToGrid w:val="0"/>
              <w:spacing w:line="264" w:lineRule="exact"/>
              <w:rPr>
                <w:szCs w:val="21"/>
              </w:rPr>
            </w:pPr>
          </w:p>
          <w:p>
            <w:pPr>
              <w:adjustRightInd w:val="0"/>
              <w:snapToGrid w:val="0"/>
              <w:spacing w:line="264" w:lineRule="exact"/>
              <w:rPr>
                <w:szCs w:val="21"/>
              </w:rPr>
            </w:pPr>
          </w:p>
          <w:p>
            <w:pPr>
              <w:adjustRightInd w:val="0"/>
              <w:snapToGrid w:val="0"/>
              <w:spacing w:line="264" w:lineRule="exact"/>
              <w:rPr>
                <w:szCs w:val="21"/>
              </w:rPr>
            </w:pPr>
          </w:p>
        </w:tc>
      </w:tr>
    </w:tbl>
    <w:p>
      <w:pPr>
        <w:snapToGrid w:val="0"/>
        <w:outlineLvl w:val="0"/>
        <w:rPr>
          <w:b/>
          <w:sz w:val="28"/>
          <w:szCs w:val="28"/>
        </w:rPr>
      </w:pPr>
      <w:bookmarkStart w:id="118" w:name="_Toc514340332"/>
      <w:bookmarkStart w:id="119" w:name="_Toc514340583"/>
      <w:r>
        <w:rPr>
          <w:b/>
          <w:sz w:val="28"/>
          <w:szCs w:val="28"/>
        </w:rPr>
        <w:t>环境影响分析</w:t>
      </w:r>
      <w:bookmarkEnd w:id="118"/>
      <w:bookmarkEnd w:id="119"/>
    </w:p>
    <w:tbl>
      <w:tblPr>
        <w:tblStyle w:val="39"/>
        <w:tblW w:w="9057"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3437" w:hRule="atLeast"/>
          <w:jc w:val="center"/>
        </w:trPr>
        <w:tc>
          <w:tcPr>
            <w:tcW w:w="9057" w:type="dxa"/>
            <w:tcBorders>
              <w:bottom w:val="single" w:color="auto" w:sz="4" w:space="0"/>
            </w:tcBorders>
          </w:tcPr>
          <w:p>
            <w:pPr>
              <w:spacing w:line="360" w:lineRule="auto"/>
              <w:ind w:firstLine="472" w:firstLineChars="196"/>
              <w:textAlignment w:val="baseline"/>
              <w:rPr>
                <w:b/>
                <w:sz w:val="24"/>
              </w:rPr>
            </w:pPr>
            <w:r>
              <w:rPr>
                <w:b/>
                <w:sz w:val="24"/>
              </w:rPr>
              <w:t>一、施工期环境影响分析</w:t>
            </w:r>
          </w:p>
          <w:p>
            <w:pPr>
              <w:adjustRightInd w:val="0"/>
              <w:spacing w:line="360" w:lineRule="auto"/>
              <w:ind w:firstLine="480" w:firstLineChars="200"/>
              <w:textAlignment w:val="baseline"/>
              <w:rPr>
                <w:kern w:val="24"/>
                <w:sz w:val="24"/>
                <w:szCs w:val="22"/>
              </w:rPr>
            </w:pPr>
            <w:r>
              <w:rPr>
                <w:kern w:val="24"/>
                <w:sz w:val="24"/>
                <w:szCs w:val="22"/>
              </w:rPr>
              <w:t>项目建设施工过程中主要污染因素有：</w:t>
            </w:r>
            <w:r>
              <w:rPr>
                <w:kern w:val="24"/>
                <w:sz w:val="24"/>
                <w:szCs w:val="22"/>
              </w:rPr>
              <w:fldChar w:fldCharType="begin"/>
            </w:r>
            <w:r>
              <w:rPr>
                <w:kern w:val="24"/>
                <w:sz w:val="24"/>
                <w:szCs w:val="22"/>
              </w:rPr>
              <w:instrText xml:space="preserve"> = 1 \* GB2 </w:instrText>
            </w:r>
            <w:r>
              <w:rPr>
                <w:kern w:val="24"/>
                <w:sz w:val="24"/>
                <w:szCs w:val="22"/>
              </w:rPr>
              <w:fldChar w:fldCharType="separate"/>
            </w:r>
            <w:r>
              <w:rPr>
                <w:rFonts w:hint="eastAsia" w:ascii="宋体" w:hAnsi="宋体" w:cs="宋体"/>
                <w:kern w:val="24"/>
                <w:sz w:val="24"/>
                <w:szCs w:val="22"/>
              </w:rPr>
              <w:t>⑴</w:t>
            </w:r>
            <w:r>
              <w:rPr>
                <w:kern w:val="24"/>
                <w:sz w:val="24"/>
                <w:szCs w:val="22"/>
              </w:rPr>
              <w:fldChar w:fldCharType="end"/>
            </w:r>
            <w:r>
              <w:rPr>
                <w:kern w:val="24"/>
                <w:sz w:val="24"/>
                <w:szCs w:val="22"/>
              </w:rPr>
              <w:t>废气：汽车尾气、施工扬尘；</w:t>
            </w:r>
            <w:r>
              <w:rPr>
                <w:kern w:val="24"/>
                <w:sz w:val="24"/>
                <w:szCs w:val="22"/>
              </w:rPr>
              <w:fldChar w:fldCharType="begin"/>
            </w:r>
            <w:r>
              <w:rPr>
                <w:kern w:val="24"/>
                <w:sz w:val="24"/>
                <w:szCs w:val="22"/>
              </w:rPr>
              <w:instrText xml:space="preserve"> = 2 \* GB2 </w:instrText>
            </w:r>
            <w:r>
              <w:rPr>
                <w:kern w:val="24"/>
                <w:sz w:val="24"/>
                <w:szCs w:val="22"/>
              </w:rPr>
              <w:fldChar w:fldCharType="separate"/>
            </w:r>
            <w:r>
              <w:rPr>
                <w:rFonts w:hint="eastAsia" w:ascii="宋体" w:hAnsi="宋体" w:cs="宋体"/>
                <w:kern w:val="24"/>
                <w:sz w:val="24"/>
                <w:szCs w:val="22"/>
              </w:rPr>
              <w:t>⑵</w:t>
            </w:r>
            <w:r>
              <w:rPr>
                <w:kern w:val="24"/>
                <w:sz w:val="24"/>
                <w:szCs w:val="22"/>
              </w:rPr>
              <w:fldChar w:fldCharType="end"/>
            </w:r>
            <w:r>
              <w:rPr>
                <w:kern w:val="24"/>
                <w:sz w:val="24"/>
                <w:szCs w:val="22"/>
              </w:rPr>
              <w:t>废水：施工废水和生活污水；</w:t>
            </w:r>
            <w:r>
              <w:rPr>
                <w:kern w:val="24"/>
                <w:sz w:val="24"/>
                <w:szCs w:val="22"/>
              </w:rPr>
              <w:fldChar w:fldCharType="begin"/>
            </w:r>
            <w:r>
              <w:rPr>
                <w:kern w:val="24"/>
                <w:sz w:val="24"/>
                <w:szCs w:val="22"/>
              </w:rPr>
              <w:instrText xml:space="preserve"> = 3 \* GB2 </w:instrText>
            </w:r>
            <w:r>
              <w:rPr>
                <w:kern w:val="24"/>
                <w:sz w:val="24"/>
                <w:szCs w:val="22"/>
              </w:rPr>
              <w:fldChar w:fldCharType="separate"/>
            </w:r>
            <w:r>
              <w:rPr>
                <w:rFonts w:hint="eastAsia" w:ascii="宋体" w:hAnsi="宋体" w:cs="宋体"/>
                <w:kern w:val="24"/>
                <w:sz w:val="24"/>
                <w:szCs w:val="22"/>
              </w:rPr>
              <w:t>⑶</w:t>
            </w:r>
            <w:r>
              <w:rPr>
                <w:kern w:val="24"/>
                <w:sz w:val="24"/>
                <w:szCs w:val="22"/>
              </w:rPr>
              <w:fldChar w:fldCharType="end"/>
            </w:r>
            <w:r>
              <w:rPr>
                <w:kern w:val="24"/>
                <w:sz w:val="24"/>
                <w:szCs w:val="22"/>
              </w:rPr>
              <w:t>噪声：</w:t>
            </w:r>
            <w:r>
              <w:rPr>
                <w:sz w:val="24"/>
              </w:rPr>
              <w:t>施工机械噪声</w:t>
            </w:r>
            <w:r>
              <w:rPr>
                <w:kern w:val="24"/>
                <w:sz w:val="24"/>
                <w:szCs w:val="22"/>
              </w:rPr>
              <w:t>；</w:t>
            </w:r>
            <w:r>
              <w:rPr>
                <w:kern w:val="24"/>
                <w:sz w:val="24"/>
                <w:szCs w:val="22"/>
              </w:rPr>
              <w:fldChar w:fldCharType="begin"/>
            </w:r>
            <w:r>
              <w:rPr>
                <w:kern w:val="24"/>
                <w:sz w:val="24"/>
                <w:szCs w:val="22"/>
              </w:rPr>
              <w:instrText xml:space="preserve"> = 4 \* GB2 </w:instrText>
            </w:r>
            <w:r>
              <w:rPr>
                <w:kern w:val="24"/>
                <w:sz w:val="24"/>
                <w:szCs w:val="22"/>
              </w:rPr>
              <w:fldChar w:fldCharType="separate"/>
            </w:r>
            <w:r>
              <w:rPr>
                <w:rFonts w:hint="eastAsia" w:ascii="宋体" w:hAnsi="宋体" w:cs="宋体"/>
                <w:kern w:val="24"/>
                <w:sz w:val="24"/>
                <w:szCs w:val="22"/>
              </w:rPr>
              <w:t>⑷</w:t>
            </w:r>
            <w:r>
              <w:rPr>
                <w:kern w:val="24"/>
                <w:sz w:val="24"/>
                <w:szCs w:val="22"/>
              </w:rPr>
              <w:fldChar w:fldCharType="end"/>
            </w:r>
            <w:r>
              <w:rPr>
                <w:kern w:val="24"/>
                <w:sz w:val="24"/>
                <w:szCs w:val="22"/>
              </w:rPr>
              <w:t>固体废物：</w:t>
            </w:r>
            <w:r>
              <w:rPr>
                <w:sz w:val="24"/>
              </w:rPr>
              <w:t>主要为施工建筑垃圾和生活垃圾</w:t>
            </w:r>
            <w:r>
              <w:rPr>
                <w:kern w:val="24"/>
                <w:sz w:val="24"/>
                <w:szCs w:val="22"/>
              </w:rPr>
              <w:t>。</w:t>
            </w:r>
          </w:p>
          <w:p>
            <w:pPr>
              <w:spacing w:line="360" w:lineRule="auto"/>
              <w:ind w:firstLine="472" w:firstLineChars="196"/>
              <w:jc w:val="left"/>
              <w:rPr>
                <w:b/>
                <w:sz w:val="24"/>
                <w:szCs w:val="22"/>
              </w:rPr>
            </w:pPr>
            <w:r>
              <w:rPr>
                <w:b/>
                <w:sz w:val="24"/>
                <w:szCs w:val="22"/>
              </w:rPr>
              <w:t>1、大气环境影响分析</w:t>
            </w:r>
          </w:p>
          <w:p>
            <w:pPr>
              <w:spacing w:line="360" w:lineRule="auto"/>
              <w:ind w:firstLine="496" w:firstLineChars="200"/>
              <w:jc w:val="left"/>
              <w:rPr>
                <w:bCs/>
                <w:snapToGrid w:val="0"/>
                <w:spacing w:val="4"/>
                <w:kern w:val="0"/>
                <w:sz w:val="24"/>
                <w:szCs w:val="22"/>
              </w:rPr>
            </w:pPr>
            <w:r>
              <w:rPr>
                <w:bCs/>
                <w:snapToGrid w:val="0"/>
                <w:spacing w:val="4"/>
                <w:kern w:val="0"/>
                <w:sz w:val="24"/>
                <w:szCs w:val="22"/>
              </w:rPr>
              <w:t>施工期间的大气污染物主要是</w:t>
            </w:r>
            <w:r>
              <w:rPr>
                <w:kern w:val="24"/>
                <w:sz w:val="24"/>
                <w:szCs w:val="22"/>
              </w:rPr>
              <w:t>施工作业车辆尾气、施工扬尘</w:t>
            </w:r>
            <w:r>
              <w:rPr>
                <w:bCs/>
                <w:snapToGrid w:val="0"/>
                <w:spacing w:val="4"/>
                <w:kern w:val="0"/>
                <w:sz w:val="24"/>
                <w:szCs w:val="22"/>
              </w:rPr>
              <w:t>。</w:t>
            </w:r>
          </w:p>
          <w:p>
            <w:pPr>
              <w:pStyle w:val="77"/>
              <w:widowControl/>
              <w:spacing w:line="360" w:lineRule="auto"/>
              <w:ind w:firstLine="472" w:firstLineChars="197"/>
              <w:jc w:val="both"/>
              <w:rPr>
                <w:kern w:val="0"/>
                <w:sz w:val="24"/>
              </w:rPr>
            </w:pPr>
            <w:r>
              <w:rPr>
                <w:kern w:val="0"/>
                <w:sz w:val="24"/>
              </w:rPr>
              <w:fldChar w:fldCharType="begin"/>
            </w:r>
            <w:r>
              <w:rPr>
                <w:kern w:val="0"/>
                <w:sz w:val="24"/>
              </w:rPr>
              <w:instrText xml:space="preserve"> = 1 \* GB2 </w:instrText>
            </w:r>
            <w:r>
              <w:rPr>
                <w:kern w:val="0"/>
                <w:sz w:val="24"/>
              </w:rPr>
              <w:fldChar w:fldCharType="separate"/>
            </w:r>
            <w:r>
              <w:rPr>
                <w:rFonts w:hint="eastAsia" w:ascii="宋体" w:hAnsi="宋体" w:cs="宋体"/>
                <w:kern w:val="0"/>
                <w:sz w:val="24"/>
              </w:rPr>
              <w:t>⑴</w:t>
            </w:r>
            <w:r>
              <w:rPr>
                <w:kern w:val="0"/>
                <w:sz w:val="24"/>
              </w:rPr>
              <w:fldChar w:fldCharType="end"/>
            </w:r>
            <w:r>
              <w:rPr>
                <w:kern w:val="0"/>
                <w:sz w:val="24"/>
              </w:rPr>
              <w:t xml:space="preserve"> 车辆排放尾气</w:t>
            </w:r>
          </w:p>
          <w:p>
            <w:pPr>
              <w:pStyle w:val="70"/>
              <w:spacing w:line="360" w:lineRule="auto"/>
              <w:ind w:firstLine="480" w:firstLineChars="200"/>
              <w:jc w:val="both"/>
              <w:rPr>
                <w:sz w:val="24"/>
                <w:szCs w:val="24"/>
              </w:rPr>
            </w:pPr>
            <w:r>
              <w:rPr>
                <w:sz w:val="24"/>
                <w:szCs w:val="24"/>
              </w:rPr>
              <w:t>施工期运输建筑材料及机械设备的车辆较多，且多为大动力柴油发动机，由于荷载重，尾气排放量大，将增加施工路段和运输道路沿线的空气污染物排放。根据大气污染源分析结果，每辆车平均日排放烃类0.025kg/d、NO</w:t>
            </w:r>
            <w:r>
              <w:rPr>
                <w:sz w:val="24"/>
                <w:szCs w:val="24"/>
                <w:vertAlign w:val="subscript"/>
              </w:rPr>
              <w:t>X</w:t>
            </w:r>
            <w:r>
              <w:rPr>
                <w:sz w:val="24"/>
                <w:szCs w:val="24"/>
              </w:rPr>
              <w:t>为0.034kg/d。施工期运输车辆尾气将对沿线环境空气有一定影响，影响范围主要在道路沿线两侧50m范围。</w:t>
            </w:r>
          </w:p>
          <w:p>
            <w:pPr>
              <w:pStyle w:val="70"/>
              <w:spacing w:line="360" w:lineRule="auto"/>
              <w:ind w:firstLine="480" w:firstLineChars="200"/>
              <w:jc w:val="both"/>
              <w:rPr>
                <w:kern w:val="2"/>
                <w:sz w:val="21"/>
                <w:szCs w:val="21"/>
              </w:rPr>
            </w:pPr>
            <w:r>
              <w:rPr>
                <w:kern w:val="2"/>
                <w:sz w:val="24"/>
                <w:szCs w:val="22"/>
              </w:rPr>
              <w:t>环评建议，本项目在施工期缩短车辆怠速、减速和加速的时间，增加正常运行时间，以减少NO</w:t>
            </w:r>
            <w:r>
              <w:rPr>
                <w:kern w:val="2"/>
                <w:sz w:val="24"/>
                <w:szCs w:val="22"/>
                <w:vertAlign w:val="subscript"/>
              </w:rPr>
              <w:t>X</w:t>
            </w:r>
            <w:r>
              <w:rPr>
                <w:kern w:val="2"/>
                <w:sz w:val="24"/>
                <w:szCs w:val="22"/>
              </w:rPr>
              <w:t>及CO等汽车尾气的排放量；</w:t>
            </w:r>
            <w:r>
              <w:rPr>
                <w:kern w:val="2"/>
                <w:sz w:val="24"/>
                <w:szCs w:val="24"/>
              </w:rPr>
              <w:t>其</w:t>
            </w:r>
            <w:r>
              <w:rPr>
                <w:rFonts w:hint="eastAsia"/>
                <w:kern w:val="2"/>
                <w:sz w:val="24"/>
                <w:szCs w:val="24"/>
              </w:rPr>
              <w:t>影响主要集中于电厂内部，</w:t>
            </w:r>
            <w:r>
              <w:rPr>
                <w:kern w:val="2"/>
                <w:sz w:val="24"/>
                <w:szCs w:val="24"/>
              </w:rPr>
              <w:t>再加上大气的稀释和自然扩散作用，对大气环境的影响较小。</w:t>
            </w:r>
          </w:p>
          <w:p>
            <w:pPr>
              <w:pStyle w:val="77"/>
              <w:widowControl/>
              <w:spacing w:line="360" w:lineRule="auto"/>
              <w:ind w:firstLine="480" w:firstLineChars="200"/>
              <w:jc w:val="both"/>
              <w:rPr>
                <w:kern w:val="0"/>
                <w:sz w:val="24"/>
              </w:rPr>
            </w:pPr>
            <w:r>
              <w:rPr>
                <w:kern w:val="0"/>
                <w:sz w:val="24"/>
              </w:rPr>
              <w:fldChar w:fldCharType="begin"/>
            </w:r>
            <w:r>
              <w:rPr>
                <w:kern w:val="0"/>
                <w:sz w:val="24"/>
              </w:rPr>
              <w:instrText xml:space="preserve"> = 2 \* GB2 </w:instrText>
            </w:r>
            <w:r>
              <w:rPr>
                <w:kern w:val="0"/>
                <w:sz w:val="24"/>
              </w:rPr>
              <w:fldChar w:fldCharType="separate"/>
            </w:r>
            <w:r>
              <w:rPr>
                <w:rFonts w:hint="eastAsia" w:ascii="宋体" w:hAnsi="宋体" w:cs="宋体"/>
                <w:kern w:val="0"/>
                <w:sz w:val="24"/>
              </w:rPr>
              <w:t>⑵</w:t>
            </w:r>
            <w:r>
              <w:rPr>
                <w:kern w:val="0"/>
                <w:sz w:val="24"/>
              </w:rPr>
              <w:fldChar w:fldCharType="end"/>
            </w:r>
            <w:r>
              <w:rPr>
                <w:kern w:val="0"/>
                <w:sz w:val="24"/>
              </w:rPr>
              <w:t xml:space="preserve"> 施工扬尘</w:t>
            </w:r>
          </w:p>
          <w:p>
            <w:pPr>
              <w:pStyle w:val="77"/>
              <w:widowControl/>
              <w:spacing w:line="360" w:lineRule="auto"/>
              <w:ind w:firstLine="480" w:firstLineChars="200"/>
              <w:jc w:val="both"/>
              <w:rPr>
                <w:kern w:val="0"/>
                <w:sz w:val="24"/>
              </w:rPr>
            </w:pPr>
            <w:r>
              <w:rPr>
                <w:kern w:val="0"/>
                <w:sz w:val="24"/>
              </w:rPr>
              <w:fldChar w:fldCharType="begin"/>
            </w:r>
            <w:r>
              <w:rPr>
                <w:kern w:val="0"/>
                <w:sz w:val="24"/>
              </w:rPr>
              <w:instrText xml:space="preserve"> = 1 \* GB3 </w:instrText>
            </w:r>
            <w:r>
              <w:rPr>
                <w:kern w:val="0"/>
                <w:sz w:val="24"/>
              </w:rPr>
              <w:fldChar w:fldCharType="separate"/>
            </w:r>
            <w:r>
              <w:rPr>
                <w:rFonts w:hint="eastAsia" w:ascii="宋体" w:hAnsi="宋体" w:cs="宋体"/>
                <w:kern w:val="0"/>
                <w:sz w:val="24"/>
              </w:rPr>
              <w:t>①</w:t>
            </w:r>
            <w:r>
              <w:rPr>
                <w:kern w:val="0"/>
                <w:sz w:val="24"/>
              </w:rPr>
              <w:fldChar w:fldCharType="end"/>
            </w:r>
            <w:r>
              <w:rPr>
                <w:kern w:val="0"/>
                <w:sz w:val="24"/>
              </w:rPr>
              <w:t xml:space="preserve"> 施工扬尘影响分析</w:t>
            </w:r>
          </w:p>
          <w:p>
            <w:pPr>
              <w:spacing w:line="360" w:lineRule="auto"/>
              <w:ind w:firstLine="480" w:firstLineChars="200"/>
              <w:rPr>
                <w:sz w:val="24"/>
                <w:szCs w:val="20"/>
              </w:rPr>
            </w:pPr>
            <w:r>
              <w:rPr>
                <w:sz w:val="24"/>
                <w:szCs w:val="20"/>
              </w:rPr>
              <w:t>施工扬尘主要集中在土建施工阶段，按起尘的原因可分为风力起尘和动力起尘。其中风力起尘主要是由于露天堆放的建材及裸露的施工区表层浮尘由于天气干燥及大风，产生风力扬尘；动力起尘，主要是建材的装卸、搅拌的过程中，由于外力而产生的尘粒再悬浮而造成，其中施工及装卸车辆行驶造成的扬尘最为严重。</w:t>
            </w:r>
          </w:p>
          <w:p>
            <w:pPr>
              <w:spacing w:line="360" w:lineRule="auto"/>
              <w:ind w:firstLine="480" w:firstLineChars="200"/>
              <w:rPr>
                <w:sz w:val="24"/>
                <w:szCs w:val="20"/>
              </w:rPr>
            </w:pPr>
            <w:r>
              <w:rPr>
                <w:sz w:val="24"/>
                <w:szCs w:val="20"/>
              </w:rPr>
              <w:t>据有关调查显示，施工工地的扬尘主要是运输车辆行驶时产生的，约占扬尘总量的60%。而扬尘又与车速有关，在相同清洁路面车速越快扬尘量越大，在同样车速下路面越脏扬尘量越大。表2</w:t>
            </w:r>
            <w:r>
              <w:rPr>
                <w:rFonts w:hint="eastAsia"/>
                <w:sz w:val="24"/>
                <w:szCs w:val="20"/>
              </w:rPr>
              <w:t>4</w:t>
            </w:r>
            <w:r>
              <w:rPr>
                <w:sz w:val="24"/>
                <w:szCs w:val="20"/>
              </w:rPr>
              <w:t xml:space="preserve">为一辆10t卡车，通过1km路面不同行驶速度的扬尘量： </w:t>
            </w:r>
          </w:p>
          <w:p>
            <w:pPr>
              <w:ind w:firstLine="422" w:firstLineChars="200"/>
              <w:jc w:val="center"/>
              <w:textAlignment w:val="baseline"/>
              <w:rPr>
                <w:b/>
                <w:szCs w:val="21"/>
              </w:rPr>
            </w:pPr>
            <w:r>
              <w:rPr>
                <w:b/>
                <w:szCs w:val="21"/>
              </w:rPr>
              <w:t>表2</w:t>
            </w:r>
            <w:r>
              <w:rPr>
                <w:rFonts w:hint="eastAsia"/>
                <w:b/>
                <w:szCs w:val="21"/>
              </w:rPr>
              <w:t>4</w:t>
            </w:r>
            <w:r>
              <w:rPr>
                <w:b/>
                <w:szCs w:val="21"/>
              </w:rPr>
              <w:t xml:space="preserve">   </w:t>
            </w:r>
            <w:r>
              <w:rPr>
                <w:rFonts w:hint="eastAsia"/>
                <w:b/>
                <w:szCs w:val="21"/>
              </w:rPr>
              <w:t xml:space="preserve"> </w:t>
            </w:r>
            <w:r>
              <w:rPr>
                <w:b/>
                <w:szCs w:val="21"/>
              </w:rPr>
              <w:t>不同车速，相同清洁度路面的汽车扬尘（单位：kg/km.辆）</w:t>
            </w:r>
          </w:p>
          <w:tbl>
            <w:tblPr>
              <w:tblStyle w:val="39"/>
              <w:tblW w:w="8835" w:type="dxa"/>
              <w:jc w:val="center"/>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2231"/>
              <w:gridCol w:w="1101"/>
              <w:gridCol w:w="1101"/>
              <w:gridCol w:w="1101"/>
              <w:gridCol w:w="1101"/>
              <w:gridCol w:w="1101"/>
              <w:gridCol w:w="1099"/>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26" w:hRule="atLeast"/>
                <w:jc w:val="center"/>
              </w:trPr>
              <w:tc>
                <w:tcPr>
                  <w:tcW w:w="2231" w:type="dxa"/>
                  <w:vAlign w:val="center"/>
                </w:tcPr>
                <w:p>
                  <w:pPr>
                    <w:adjustRightInd w:val="0"/>
                    <w:snapToGrid w:val="0"/>
                    <w:jc w:val="center"/>
                    <w:rPr>
                      <w:szCs w:val="20"/>
                    </w:rPr>
                  </w:pPr>
                  <w:r>
                    <w:rPr>
                      <w:szCs w:val="20"/>
                    </w:rPr>
                    <w:pict>
                      <v:line id="Line 52" o:spid="_x0000_s1037" o:spt="20" style="position:absolute;left:0pt;margin-left:-5.25pt;margin-top:1.3pt;height:24.95pt;width:110.05pt;z-index:2516418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">
                        <v:path arrowok="t"/>
                        <v:fill focussize="0,0"/>
                        <v:stroke/>
                        <v:imagedata o:title=""/>
                        <o:lock v:ext="edit"/>
                      </v:line>
                    </w:pict>
                  </w:r>
                  <w:r>
                    <w:rPr>
                      <w:szCs w:val="20"/>
                    </w:rPr>
                    <w:t xml:space="preserve">   距离(km)</w:t>
                  </w:r>
                </w:p>
                <w:p>
                  <w:pPr>
                    <w:adjustRightInd w:val="0"/>
                    <w:snapToGrid w:val="0"/>
                    <w:rPr>
                      <w:szCs w:val="20"/>
                    </w:rPr>
                  </w:pPr>
                  <w:r>
                    <w:rPr>
                      <w:szCs w:val="20"/>
                    </w:rPr>
                    <w:t>车速(km/h)</w:t>
                  </w:r>
                </w:p>
              </w:tc>
              <w:tc>
                <w:tcPr>
                  <w:tcW w:w="1101" w:type="dxa"/>
                  <w:vAlign w:val="center"/>
                </w:tcPr>
                <w:p>
                  <w:pPr>
                    <w:adjustRightInd w:val="0"/>
                    <w:snapToGrid w:val="0"/>
                    <w:jc w:val="center"/>
                    <w:rPr>
                      <w:szCs w:val="20"/>
                    </w:rPr>
                  </w:pPr>
                  <w:r>
                    <w:rPr>
                      <w:szCs w:val="20"/>
                    </w:rPr>
                    <w:t>0.1</w:t>
                  </w:r>
                </w:p>
              </w:tc>
              <w:tc>
                <w:tcPr>
                  <w:tcW w:w="1101" w:type="dxa"/>
                  <w:vAlign w:val="center"/>
                </w:tcPr>
                <w:p>
                  <w:pPr>
                    <w:adjustRightInd w:val="0"/>
                    <w:snapToGrid w:val="0"/>
                    <w:jc w:val="center"/>
                    <w:rPr>
                      <w:szCs w:val="20"/>
                    </w:rPr>
                  </w:pPr>
                  <w:r>
                    <w:rPr>
                      <w:szCs w:val="20"/>
                    </w:rPr>
                    <w:t>0.2</w:t>
                  </w:r>
                </w:p>
              </w:tc>
              <w:tc>
                <w:tcPr>
                  <w:tcW w:w="1101" w:type="dxa"/>
                  <w:vAlign w:val="center"/>
                </w:tcPr>
                <w:p>
                  <w:pPr>
                    <w:adjustRightInd w:val="0"/>
                    <w:snapToGrid w:val="0"/>
                    <w:jc w:val="center"/>
                    <w:rPr>
                      <w:szCs w:val="20"/>
                    </w:rPr>
                  </w:pPr>
                  <w:r>
                    <w:rPr>
                      <w:szCs w:val="20"/>
                    </w:rPr>
                    <w:t>0.3</w:t>
                  </w:r>
                </w:p>
              </w:tc>
              <w:tc>
                <w:tcPr>
                  <w:tcW w:w="1101" w:type="dxa"/>
                  <w:vAlign w:val="center"/>
                </w:tcPr>
                <w:p>
                  <w:pPr>
                    <w:adjustRightInd w:val="0"/>
                    <w:snapToGrid w:val="0"/>
                    <w:jc w:val="center"/>
                    <w:rPr>
                      <w:szCs w:val="20"/>
                    </w:rPr>
                  </w:pPr>
                  <w:r>
                    <w:rPr>
                      <w:szCs w:val="20"/>
                    </w:rPr>
                    <w:t>0.4</w:t>
                  </w:r>
                </w:p>
              </w:tc>
              <w:tc>
                <w:tcPr>
                  <w:tcW w:w="1101" w:type="dxa"/>
                  <w:vAlign w:val="center"/>
                </w:tcPr>
                <w:p>
                  <w:pPr>
                    <w:adjustRightInd w:val="0"/>
                    <w:snapToGrid w:val="0"/>
                    <w:jc w:val="center"/>
                    <w:rPr>
                      <w:szCs w:val="20"/>
                    </w:rPr>
                  </w:pPr>
                  <w:r>
                    <w:rPr>
                      <w:szCs w:val="20"/>
                    </w:rPr>
                    <w:t>0.5</w:t>
                  </w:r>
                </w:p>
              </w:tc>
              <w:tc>
                <w:tcPr>
                  <w:tcW w:w="1099" w:type="dxa"/>
                  <w:vAlign w:val="center"/>
                </w:tcPr>
                <w:p>
                  <w:pPr>
                    <w:adjustRightInd w:val="0"/>
                    <w:snapToGrid w:val="0"/>
                    <w:jc w:val="center"/>
                    <w:rPr>
                      <w:szCs w:val="20"/>
                    </w:rPr>
                  </w:pPr>
                  <w:r>
                    <w:rPr>
                      <w:szCs w:val="20"/>
                    </w:rPr>
                    <w:t>1.0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231" w:type="dxa"/>
                  <w:vAlign w:val="center"/>
                </w:tcPr>
                <w:p>
                  <w:pPr>
                    <w:adjustRightInd w:val="0"/>
                    <w:snapToGrid w:val="0"/>
                    <w:jc w:val="center"/>
                    <w:rPr>
                      <w:szCs w:val="20"/>
                    </w:rPr>
                  </w:pPr>
                  <w:r>
                    <w:rPr>
                      <w:szCs w:val="20"/>
                    </w:rPr>
                    <w:t>5</w:t>
                  </w:r>
                </w:p>
              </w:tc>
              <w:tc>
                <w:tcPr>
                  <w:tcW w:w="1101" w:type="dxa"/>
                  <w:vAlign w:val="center"/>
                </w:tcPr>
                <w:p>
                  <w:pPr>
                    <w:adjustRightInd w:val="0"/>
                    <w:snapToGrid w:val="0"/>
                    <w:jc w:val="center"/>
                    <w:rPr>
                      <w:szCs w:val="20"/>
                    </w:rPr>
                  </w:pPr>
                  <w:r>
                    <w:rPr>
                      <w:szCs w:val="20"/>
                    </w:rPr>
                    <w:t>0.051</w:t>
                  </w:r>
                </w:p>
              </w:tc>
              <w:tc>
                <w:tcPr>
                  <w:tcW w:w="1101" w:type="dxa"/>
                  <w:vAlign w:val="center"/>
                </w:tcPr>
                <w:p>
                  <w:pPr>
                    <w:adjustRightInd w:val="0"/>
                    <w:snapToGrid w:val="0"/>
                    <w:jc w:val="center"/>
                    <w:rPr>
                      <w:szCs w:val="20"/>
                    </w:rPr>
                  </w:pPr>
                  <w:r>
                    <w:rPr>
                      <w:szCs w:val="20"/>
                    </w:rPr>
                    <w:t>0.086</w:t>
                  </w:r>
                </w:p>
              </w:tc>
              <w:tc>
                <w:tcPr>
                  <w:tcW w:w="1101" w:type="dxa"/>
                  <w:vAlign w:val="center"/>
                </w:tcPr>
                <w:p>
                  <w:pPr>
                    <w:adjustRightInd w:val="0"/>
                    <w:snapToGrid w:val="0"/>
                    <w:jc w:val="center"/>
                    <w:rPr>
                      <w:szCs w:val="20"/>
                    </w:rPr>
                  </w:pPr>
                  <w:r>
                    <w:rPr>
                      <w:szCs w:val="20"/>
                    </w:rPr>
                    <w:t>0.116</w:t>
                  </w:r>
                </w:p>
              </w:tc>
              <w:tc>
                <w:tcPr>
                  <w:tcW w:w="1101" w:type="dxa"/>
                  <w:vAlign w:val="center"/>
                </w:tcPr>
                <w:p>
                  <w:pPr>
                    <w:adjustRightInd w:val="0"/>
                    <w:snapToGrid w:val="0"/>
                    <w:jc w:val="center"/>
                    <w:rPr>
                      <w:szCs w:val="20"/>
                    </w:rPr>
                  </w:pPr>
                  <w:r>
                    <w:rPr>
                      <w:szCs w:val="20"/>
                    </w:rPr>
                    <w:t>0.144</w:t>
                  </w:r>
                </w:p>
              </w:tc>
              <w:tc>
                <w:tcPr>
                  <w:tcW w:w="1101" w:type="dxa"/>
                  <w:vAlign w:val="center"/>
                </w:tcPr>
                <w:p>
                  <w:pPr>
                    <w:adjustRightInd w:val="0"/>
                    <w:snapToGrid w:val="0"/>
                    <w:jc w:val="center"/>
                    <w:rPr>
                      <w:szCs w:val="20"/>
                    </w:rPr>
                  </w:pPr>
                  <w:r>
                    <w:rPr>
                      <w:szCs w:val="20"/>
                    </w:rPr>
                    <w:t>0.171</w:t>
                  </w:r>
                </w:p>
              </w:tc>
              <w:tc>
                <w:tcPr>
                  <w:tcW w:w="1099" w:type="dxa"/>
                  <w:vAlign w:val="center"/>
                </w:tcPr>
                <w:p>
                  <w:pPr>
                    <w:adjustRightInd w:val="0"/>
                    <w:snapToGrid w:val="0"/>
                    <w:jc w:val="center"/>
                    <w:rPr>
                      <w:szCs w:val="20"/>
                    </w:rPr>
                  </w:pPr>
                  <w:r>
                    <w:rPr>
                      <w:szCs w:val="20"/>
                    </w:rPr>
                    <w:t>0.287</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187" w:hRule="atLeast"/>
                <w:jc w:val="center"/>
              </w:trPr>
              <w:tc>
                <w:tcPr>
                  <w:tcW w:w="2231" w:type="dxa"/>
                  <w:vAlign w:val="center"/>
                </w:tcPr>
                <w:p>
                  <w:pPr>
                    <w:adjustRightInd w:val="0"/>
                    <w:snapToGrid w:val="0"/>
                    <w:jc w:val="center"/>
                    <w:rPr>
                      <w:szCs w:val="20"/>
                    </w:rPr>
                  </w:pPr>
                  <w:r>
                    <w:rPr>
                      <w:szCs w:val="20"/>
                    </w:rPr>
                    <w:t>10</w:t>
                  </w:r>
                </w:p>
              </w:tc>
              <w:tc>
                <w:tcPr>
                  <w:tcW w:w="1101" w:type="dxa"/>
                  <w:vAlign w:val="center"/>
                </w:tcPr>
                <w:p>
                  <w:pPr>
                    <w:adjustRightInd w:val="0"/>
                    <w:snapToGrid w:val="0"/>
                    <w:jc w:val="center"/>
                    <w:rPr>
                      <w:szCs w:val="20"/>
                    </w:rPr>
                  </w:pPr>
                  <w:r>
                    <w:rPr>
                      <w:szCs w:val="20"/>
                    </w:rPr>
                    <w:t>0.102</w:t>
                  </w:r>
                </w:p>
              </w:tc>
              <w:tc>
                <w:tcPr>
                  <w:tcW w:w="1101" w:type="dxa"/>
                  <w:vAlign w:val="center"/>
                </w:tcPr>
                <w:p>
                  <w:pPr>
                    <w:adjustRightInd w:val="0"/>
                    <w:snapToGrid w:val="0"/>
                    <w:jc w:val="center"/>
                    <w:rPr>
                      <w:szCs w:val="20"/>
                    </w:rPr>
                  </w:pPr>
                  <w:r>
                    <w:rPr>
                      <w:szCs w:val="20"/>
                    </w:rPr>
                    <w:t>0.171</w:t>
                  </w:r>
                </w:p>
              </w:tc>
              <w:tc>
                <w:tcPr>
                  <w:tcW w:w="1101" w:type="dxa"/>
                  <w:vAlign w:val="center"/>
                </w:tcPr>
                <w:p>
                  <w:pPr>
                    <w:adjustRightInd w:val="0"/>
                    <w:snapToGrid w:val="0"/>
                    <w:jc w:val="center"/>
                    <w:rPr>
                      <w:szCs w:val="20"/>
                    </w:rPr>
                  </w:pPr>
                  <w:r>
                    <w:rPr>
                      <w:szCs w:val="20"/>
                    </w:rPr>
                    <w:t>0.232</w:t>
                  </w:r>
                </w:p>
              </w:tc>
              <w:tc>
                <w:tcPr>
                  <w:tcW w:w="1101" w:type="dxa"/>
                  <w:vAlign w:val="center"/>
                </w:tcPr>
                <w:p>
                  <w:pPr>
                    <w:adjustRightInd w:val="0"/>
                    <w:snapToGrid w:val="0"/>
                    <w:jc w:val="center"/>
                    <w:rPr>
                      <w:szCs w:val="20"/>
                    </w:rPr>
                  </w:pPr>
                  <w:r>
                    <w:rPr>
                      <w:szCs w:val="20"/>
                    </w:rPr>
                    <w:t>0.289</w:t>
                  </w:r>
                </w:p>
              </w:tc>
              <w:tc>
                <w:tcPr>
                  <w:tcW w:w="1101" w:type="dxa"/>
                  <w:vAlign w:val="center"/>
                </w:tcPr>
                <w:p>
                  <w:pPr>
                    <w:adjustRightInd w:val="0"/>
                    <w:snapToGrid w:val="0"/>
                    <w:jc w:val="center"/>
                    <w:rPr>
                      <w:szCs w:val="20"/>
                    </w:rPr>
                  </w:pPr>
                  <w:r>
                    <w:rPr>
                      <w:szCs w:val="20"/>
                    </w:rPr>
                    <w:t>0.341</w:t>
                  </w:r>
                </w:p>
              </w:tc>
              <w:tc>
                <w:tcPr>
                  <w:tcW w:w="1099" w:type="dxa"/>
                  <w:vAlign w:val="center"/>
                </w:tcPr>
                <w:p>
                  <w:pPr>
                    <w:adjustRightInd w:val="0"/>
                    <w:snapToGrid w:val="0"/>
                    <w:jc w:val="center"/>
                    <w:rPr>
                      <w:szCs w:val="20"/>
                    </w:rPr>
                  </w:pPr>
                  <w:r>
                    <w:rPr>
                      <w:szCs w:val="20"/>
                    </w:rPr>
                    <w:t>0.574</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218" w:hRule="atLeast"/>
                <w:jc w:val="center"/>
              </w:trPr>
              <w:tc>
                <w:tcPr>
                  <w:tcW w:w="2231" w:type="dxa"/>
                  <w:vAlign w:val="center"/>
                </w:tcPr>
                <w:p>
                  <w:pPr>
                    <w:adjustRightInd w:val="0"/>
                    <w:snapToGrid w:val="0"/>
                    <w:jc w:val="center"/>
                    <w:rPr>
                      <w:szCs w:val="20"/>
                    </w:rPr>
                  </w:pPr>
                  <w:r>
                    <w:rPr>
                      <w:szCs w:val="20"/>
                    </w:rPr>
                    <w:t>15</w:t>
                  </w:r>
                </w:p>
              </w:tc>
              <w:tc>
                <w:tcPr>
                  <w:tcW w:w="1101" w:type="dxa"/>
                  <w:vAlign w:val="center"/>
                </w:tcPr>
                <w:p>
                  <w:pPr>
                    <w:adjustRightInd w:val="0"/>
                    <w:snapToGrid w:val="0"/>
                    <w:jc w:val="center"/>
                    <w:rPr>
                      <w:szCs w:val="20"/>
                    </w:rPr>
                  </w:pPr>
                  <w:r>
                    <w:rPr>
                      <w:szCs w:val="20"/>
                    </w:rPr>
                    <w:t>0.153</w:t>
                  </w:r>
                </w:p>
              </w:tc>
              <w:tc>
                <w:tcPr>
                  <w:tcW w:w="1101" w:type="dxa"/>
                  <w:vAlign w:val="center"/>
                </w:tcPr>
                <w:p>
                  <w:pPr>
                    <w:adjustRightInd w:val="0"/>
                    <w:snapToGrid w:val="0"/>
                    <w:jc w:val="center"/>
                    <w:rPr>
                      <w:szCs w:val="20"/>
                    </w:rPr>
                  </w:pPr>
                  <w:r>
                    <w:rPr>
                      <w:szCs w:val="20"/>
                    </w:rPr>
                    <w:t>0.257</w:t>
                  </w:r>
                </w:p>
              </w:tc>
              <w:tc>
                <w:tcPr>
                  <w:tcW w:w="1101" w:type="dxa"/>
                  <w:vAlign w:val="center"/>
                </w:tcPr>
                <w:p>
                  <w:pPr>
                    <w:adjustRightInd w:val="0"/>
                    <w:snapToGrid w:val="0"/>
                    <w:jc w:val="center"/>
                    <w:rPr>
                      <w:szCs w:val="20"/>
                    </w:rPr>
                  </w:pPr>
                  <w:r>
                    <w:rPr>
                      <w:szCs w:val="20"/>
                    </w:rPr>
                    <w:t>0.349</w:t>
                  </w:r>
                </w:p>
              </w:tc>
              <w:tc>
                <w:tcPr>
                  <w:tcW w:w="1101" w:type="dxa"/>
                  <w:vAlign w:val="center"/>
                </w:tcPr>
                <w:p>
                  <w:pPr>
                    <w:adjustRightInd w:val="0"/>
                    <w:snapToGrid w:val="0"/>
                    <w:jc w:val="center"/>
                    <w:rPr>
                      <w:szCs w:val="20"/>
                    </w:rPr>
                  </w:pPr>
                  <w:r>
                    <w:rPr>
                      <w:szCs w:val="20"/>
                    </w:rPr>
                    <w:t>0.433</w:t>
                  </w:r>
                </w:p>
              </w:tc>
              <w:tc>
                <w:tcPr>
                  <w:tcW w:w="1101" w:type="dxa"/>
                  <w:vAlign w:val="center"/>
                </w:tcPr>
                <w:p>
                  <w:pPr>
                    <w:adjustRightInd w:val="0"/>
                    <w:snapToGrid w:val="0"/>
                    <w:jc w:val="center"/>
                    <w:rPr>
                      <w:szCs w:val="20"/>
                    </w:rPr>
                  </w:pPr>
                  <w:r>
                    <w:rPr>
                      <w:szCs w:val="20"/>
                    </w:rPr>
                    <w:t>0.512</w:t>
                  </w:r>
                </w:p>
              </w:tc>
              <w:tc>
                <w:tcPr>
                  <w:tcW w:w="1099" w:type="dxa"/>
                  <w:vAlign w:val="center"/>
                </w:tcPr>
                <w:p>
                  <w:pPr>
                    <w:adjustRightInd w:val="0"/>
                    <w:snapToGrid w:val="0"/>
                    <w:jc w:val="center"/>
                    <w:rPr>
                      <w:szCs w:val="20"/>
                    </w:rPr>
                  </w:pPr>
                  <w:r>
                    <w:rPr>
                      <w:szCs w:val="20"/>
                    </w:rPr>
                    <w:t>0.861</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231" w:type="dxa"/>
                  <w:vAlign w:val="center"/>
                </w:tcPr>
                <w:p>
                  <w:pPr>
                    <w:adjustRightInd w:val="0"/>
                    <w:snapToGrid w:val="0"/>
                    <w:jc w:val="center"/>
                    <w:rPr>
                      <w:szCs w:val="20"/>
                    </w:rPr>
                  </w:pPr>
                  <w:r>
                    <w:rPr>
                      <w:szCs w:val="20"/>
                    </w:rPr>
                    <w:t>20</w:t>
                  </w:r>
                </w:p>
              </w:tc>
              <w:tc>
                <w:tcPr>
                  <w:tcW w:w="1101" w:type="dxa"/>
                  <w:vAlign w:val="center"/>
                </w:tcPr>
                <w:p>
                  <w:pPr>
                    <w:adjustRightInd w:val="0"/>
                    <w:snapToGrid w:val="0"/>
                    <w:jc w:val="center"/>
                    <w:rPr>
                      <w:szCs w:val="20"/>
                    </w:rPr>
                  </w:pPr>
                  <w:r>
                    <w:rPr>
                      <w:szCs w:val="20"/>
                    </w:rPr>
                    <w:t>0.255</w:t>
                  </w:r>
                </w:p>
              </w:tc>
              <w:tc>
                <w:tcPr>
                  <w:tcW w:w="1101" w:type="dxa"/>
                  <w:vAlign w:val="center"/>
                </w:tcPr>
                <w:p>
                  <w:pPr>
                    <w:adjustRightInd w:val="0"/>
                    <w:snapToGrid w:val="0"/>
                    <w:jc w:val="center"/>
                    <w:rPr>
                      <w:szCs w:val="20"/>
                    </w:rPr>
                  </w:pPr>
                  <w:r>
                    <w:rPr>
                      <w:szCs w:val="20"/>
                    </w:rPr>
                    <w:t>0.429</w:t>
                  </w:r>
                </w:p>
              </w:tc>
              <w:tc>
                <w:tcPr>
                  <w:tcW w:w="1101" w:type="dxa"/>
                  <w:vAlign w:val="center"/>
                </w:tcPr>
                <w:p>
                  <w:pPr>
                    <w:adjustRightInd w:val="0"/>
                    <w:snapToGrid w:val="0"/>
                    <w:jc w:val="center"/>
                    <w:rPr>
                      <w:szCs w:val="20"/>
                    </w:rPr>
                  </w:pPr>
                  <w:r>
                    <w:rPr>
                      <w:szCs w:val="20"/>
                    </w:rPr>
                    <w:t>0.349</w:t>
                  </w:r>
                </w:p>
              </w:tc>
              <w:tc>
                <w:tcPr>
                  <w:tcW w:w="1101" w:type="dxa"/>
                  <w:vAlign w:val="center"/>
                </w:tcPr>
                <w:p>
                  <w:pPr>
                    <w:adjustRightInd w:val="0"/>
                    <w:snapToGrid w:val="0"/>
                    <w:jc w:val="center"/>
                    <w:rPr>
                      <w:szCs w:val="20"/>
                    </w:rPr>
                  </w:pPr>
                  <w:r>
                    <w:rPr>
                      <w:szCs w:val="20"/>
                    </w:rPr>
                    <w:t>0.722</w:t>
                  </w:r>
                </w:p>
              </w:tc>
              <w:tc>
                <w:tcPr>
                  <w:tcW w:w="1101" w:type="dxa"/>
                  <w:vAlign w:val="center"/>
                </w:tcPr>
                <w:p>
                  <w:pPr>
                    <w:adjustRightInd w:val="0"/>
                    <w:snapToGrid w:val="0"/>
                    <w:jc w:val="center"/>
                    <w:rPr>
                      <w:szCs w:val="20"/>
                    </w:rPr>
                  </w:pPr>
                  <w:r>
                    <w:rPr>
                      <w:szCs w:val="20"/>
                    </w:rPr>
                    <w:t>0.853</w:t>
                  </w:r>
                </w:p>
              </w:tc>
              <w:tc>
                <w:tcPr>
                  <w:tcW w:w="1099" w:type="dxa"/>
                  <w:vAlign w:val="center"/>
                </w:tcPr>
                <w:p>
                  <w:pPr>
                    <w:adjustRightInd w:val="0"/>
                    <w:snapToGrid w:val="0"/>
                    <w:jc w:val="center"/>
                    <w:rPr>
                      <w:szCs w:val="20"/>
                    </w:rPr>
                  </w:pPr>
                  <w:r>
                    <w:rPr>
                      <w:szCs w:val="20"/>
                    </w:rPr>
                    <w:t>1.435</w:t>
                  </w:r>
                </w:p>
              </w:tc>
            </w:tr>
          </w:tbl>
          <w:p>
            <w:pPr>
              <w:spacing w:before="120" w:beforeLines="50" w:line="360" w:lineRule="auto"/>
              <w:ind w:firstLine="480" w:firstLineChars="200"/>
              <w:rPr>
                <w:sz w:val="24"/>
                <w:szCs w:val="20"/>
              </w:rPr>
            </w:pPr>
            <w:r>
              <w:rPr>
                <w:sz w:val="24"/>
                <w:szCs w:val="20"/>
              </w:rPr>
              <w:t>由表2</w:t>
            </w:r>
            <w:r>
              <w:rPr>
                <w:rFonts w:hint="eastAsia"/>
                <w:sz w:val="24"/>
                <w:szCs w:val="20"/>
              </w:rPr>
              <w:t>4</w:t>
            </w:r>
            <w:r>
              <w:rPr>
                <w:sz w:val="24"/>
                <w:szCs w:val="20"/>
              </w:rPr>
              <w:t>可知，车速每增加一倍，扬尘量增加1～2倍。如果施工阶段对车辆行驶路面勤洒水（每天4～5次），可使空气中扬尘量减少70%左右，收到很好的降尘效果。洒水作业的试验资料见表2</w:t>
            </w:r>
            <w:r>
              <w:rPr>
                <w:rFonts w:hint="eastAsia"/>
                <w:sz w:val="24"/>
                <w:szCs w:val="20"/>
              </w:rPr>
              <w:t>5</w:t>
            </w:r>
            <w:r>
              <w:rPr>
                <w:sz w:val="24"/>
                <w:szCs w:val="20"/>
              </w:rPr>
              <w:t>。当施工场地洒水频率为4～5次时，扬尘造成的TSP污染距离可缩小到20～50m范围内，可有效地控制施工扬尘，不会造成较大范围粉尘污染。</w:t>
            </w:r>
          </w:p>
          <w:p>
            <w:pPr>
              <w:ind w:firstLine="422" w:firstLineChars="200"/>
              <w:jc w:val="center"/>
              <w:textAlignment w:val="baseline"/>
              <w:rPr>
                <w:b/>
                <w:szCs w:val="21"/>
              </w:rPr>
            </w:pPr>
            <w:r>
              <w:rPr>
                <w:b/>
                <w:szCs w:val="21"/>
              </w:rPr>
              <w:t>表2</w:t>
            </w:r>
            <w:r>
              <w:rPr>
                <w:rFonts w:hint="eastAsia"/>
                <w:b/>
                <w:szCs w:val="21"/>
              </w:rPr>
              <w:t>5</w:t>
            </w:r>
            <w:r>
              <w:rPr>
                <w:b/>
                <w:szCs w:val="21"/>
              </w:rPr>
              <w:t xml:space="preserve">    施工期使用洒水车降尘试验结果一览表</w:t>
            </w:r>
          </w:p>
          <w:tbl>
            <w:tblPr>
              <w:tblStyle w:val="39"/>
              <w:tblW w:w="8835" w:type="dxa"/>
              <w:jc w:val="center"/>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2510"/>
              <w:gridCol w:w="1207"/>
              <w:gridCol w:w="1279"/>
              <w:gridCol w:w="1281"/>
              <w:gridCol w:w="1279"/>
              <w:gridCol w:w="1279"/>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75" w:hRule="atLeast"/>
                <w:jc w:val="center"/>
              </w:trPr>
              <w:tc>
                <w:tcPr>
                  <w:tcW w:w="3717" w:type="dxa"/>
                  <w:gridSpan w:val="2"/>
                  <w:vAlign w:val="center"/>
                </w:tcPr>
                <w:p>
                  <w:pPr>
                    <w:adjustRightInd w:val="0"/>
                    <w:snapToGrid w:val="0"/>
                    <w:jc w:val="center"/>
                    <w:rPr>
                      <w:szCs w:val="20"/>
                    </w:rPr>
                  </w:pPr>
                  <w:r>
                    <w:rPr>
                      <w:szCs w:val="20"/>
                    </w:rPr>
                    <w:t>距路边距离（m）</w:t>
                  </w:r>
                </w:p>
              </w:tc>
              <w:tc>
                <w:tcPr>
                  <w:tcW w:w="1279" w:type="dxa"/>
                  <w:vAlign w:val="center"/>
                </w:tcPr>
                <w:p>
                  <w:pPr>
                    <w:adjustRightInd w:val="0"/>
                    <w:snapToGrid w:val="0"/>
                    <w:jc w:val="center"/>
                    <w:rPr>
                      <w:szCs w:val="20"/>
                    </w:rPr>
                  </w:pPr>
                  <w:r>
                    <w:rPr>
                      <w:szCs w:val="20"/>
                    </w:rPr>
                    <w:t>5</w:t>
                  </w:r>
                </w:p>
              </w:tc>
              <w:tc>
                <w:tcPr>
                  <w:tcW w:w="1281" w:type="dxa"/>
                  <w:vAlign w:val="center"/>
                </w:tcPr>
                <w:p>
                  <w:pPr>
                    <w:adjustRightInd w:val="0"/>
                    <w:snapToGrid w:val="0"/>
                    <w:jc w:val="center"/>
                    <w:rPr>
                      <w:szCs w:val="20"/>
                    </w:rPr>
                  </w:pPr>
                  <w:r>
                    <w:rPr>
                      <w:szCs w:val="20"/>
                    </w:rPr>
                    <w:t>20</w:t>
                  </w:r>
                </w:p>
              </w:tc>
              <w:tc>
                <w:tcPr>
                  <w:tcW w:w="1279" w:type="dxa"/>
                  <w:vAlign w:val="center"/>
                </w:tcPr>
                <w:p>
                  <w:pPr>
                    <w:adjustRightInd w:val="0"/>
                    <w:snapToGrid w:val="0"/>
                    <w:jc w:val="center"/>
                    <w:rPr>
                      <w:szCs w:val="20"/>
                    </w:rPr>
                  </w:pPr>
                  <w:r>
                    <w:rPr>
                      <w:szCs w:val="20"/>
                    </w:rPr>
                    <w:t>50</w:t>
                  </w:r>
                </w:p>
              </w:tc>
              <w:tc>
                <w:tcPr>
                  <w:tcW w:w="1279" w:type="dxa"/>
                  <w:vAlign w:val="center"/>
                </w:tcPr>
                <w:p>
                  <w:pPr>
                    <w:adjustRightInd w:val="0"/>
                    <w:snapToGrid w:val="0"/>
                    <w:jc w:val="center"/>
                    <w:rPr>
                      <w:szCs w:val="20"/>
                    </w:rPr>
                  </w:pPr>
                  <w:r>
                    <w:rPr>
                      <w:szCs w:val="20"/>
                    </w:rPr>
                    <w:t>100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 w:hRule="atLeast"/>
                <w:jc w:val="center"/>
              </w:trPr>
              <w:tc>
                <w:tcPr>
                  <w:tcW w:w="2510" w:type="dxa"/>
                  <w:vMerge w:val="restart"/>
                  <w:vAlign w:val="center"/>
                </w:tcPr>
                <w:p>
                  <w:pPr>
                    <w:adjustRightInd w:val="0"/>
                    <w:snapToGrid w:val="0"/>
                    <w:jc w:val="center"/>
                    <w:rPr>
                      <w:szCs w:val="20"/>
                    </w:rPr>
                  </w:pPr>
                  <w:r>
                    <w:rPr>
                      <w:szCs w:val="20"/>
                    </w:rPr>
                    <w:t>TSP小时平均浓度（mg/Nm</w:t>
                  </w:r>
                  <w:r>
                    <w:rPr>
                      <w:szCs w:val="20"/>
                      <w:vertAlign w:val="superscript"/>
                    </w:rPr>
                    <w:t>3</w:t>
                  </w:r>
                  <w:r>
                    <w:rPr>
                      <w:szCs w:val="20"/>
                    </w:rPr>
                    <w:t>）</w:t>
                  </w:r>
                </w:p>
              </w:tc>
              <w:tc>
                <w:tcPr>
                  <w:tcW w:w="1207" w:type="dxa"/>
                  <w:vAlign w:val="center"/>
                </w:tcPr>
                <w:p>
                  <w:pPr>
                    <w:adjustRightInd w:val="0"/>
                    <w:snapToGrid w:val="0"/>
                    <w:jc w:val="center"/>
                    <w:rPr>
                      <w:szCs w:val="20"/>
                    </w:rPr>
                  </w:pPr>
                  <w:r>
                    <w:rPr>
                      <w:szCs w:val="20"/>
                    </w:rPr>
                    <w:t>不洒水</w:t>
                  </w:r>
                </w:p>
              </w:tc>
              <w:tc>
                <w:tcPr>
                  <w:tcW w:w="1279" w:type="dxa"/>
                  <w:vAlign w:val="center"/>
                </w:tcPr>
                <w:p>
                  <w:pPr>
                    <w:adjustRightInd w:val="0"/>
                    <w:snapToGrid w:val="0"/>
                    <w:jc w:val="center"/>
                    <w:rPr>
                      <w:szCs w:val="20"/>
                    </w:rPr>
                  </w:pPr>
                  <w:r>
                    <w:rPr>
                      <w:szCs w:val="20"/>
                    </w:rPr>
                    <w:t>10.14</w:t>
                  </w:r>
                </w:p>
              </w:tc>
              <w:tc>
                <w:tcPr>
                  <w:tcW w:w="1281" w:type="dxa"/>
                  <w:vAlign w:val="center"/>
                </w:tcPr>
                <w:p>
                  <w:pPr>
                    <w:adjustRightInd w:val="0"/>
                    <w:snapToGrid w:val="0"/>
                    <w:jc w:val="center"/>
                    <w:rPr>
                      <w:szCs w:val="20"/>
                    </w:rPr>
                  </w:pPr>
                  <w:r>
                    <w:rPr>
                      <w:szCs w:val="20"/>
                    </w:rPr>
                    <w:t>2.89</w:t>
                  </w:r>
                </w:p>
              </w:tc>
              <w:tc>
                <w:tcPr>
                  <w:tcW w:w="1279" w:type="dxa"/>
                  <w:vAlign w:val="center"/>
                </w:tcPr>
                <w:p>
                  <w:pPr>
                    <w:adjustRightInd w:val="0"/>
                    <w:snapToGrid w:val="0"/>
                    <w:jc w:val="center"/>
                    <w:rPr>
                      <w:szCs w:val="20"/>
                    </w:rPr>
                  </w:pPr>
                  <w:r>
                    <w:rPr>
                      <w:szCs w:val="20"/>
                    </w:rPr>
                    <w:t>1.15</w:t>
                  </w:r>
                </w:p>
              </w:tc>
              <w:tc>
                <w:tcPr>
                  <w:tcW w:w="1279" w:type="dxa"/>
                  <w:vAlign w:val="center"/>
                </w:tcPr>
                <w:p>
                  <w:pPr>
                    <w:adjustRightInd w:val="0"/>
                    <w:snapToGrid w:val="0"/>
                    <w:jc w:val="center"/>
                    <w:rPr>
                      <w:szCs w:val="20"/>
                    </w:rPr>
                  </w:pPr>
                  <w:r>
                    <w:rPr>
                      <w:szCs w:val="20"/>
                    </w:rPr>
                    <w:t>0.86</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 w:hRule="atLeast"/>
                <w:jc w:val="center"/>
              </w:trPr>
              <w:tc>
                <w:tcPr>
                  <w:tcW w:w="2510" w:type="dxa"/>
                  <w:vMerge w:val="continue"/>
                  <w:vAlign w:val="center"/>
                </w:tcPr>
                <w:p>
                  <w:pPr>
                    <w:adjustRightInd w:val="0"/>
                    <w:snapToGrid w:val="0"/>
                    <w:jc w:val="center"/>
                    <w:rPr>
                      <w:szCs w:val="20"/>
                    </w:rPr>
                  </w:pPr>
                </w:p>
              </w:tc>
              <w:tc>
                <w:tcPr>
                  <w:tcW w:w="1207" w:type="dxa"/>
                  <w:vAlign w:val="center"/>
                </w:tcPr>
                <w:p>
                  <w:pPr>
                    <w:adjustRightInd w:val="0"/>
                    <w:snapToGrid w:val="0"/>
                    <w:jc w:val="center"/>
                    <w:rPr>
                      <w:szCs w:val="20"/>
                    </w:rPr>
                  </w:pPr>
                  <w:r>
                    <w:rPr>
                      <w:szCs w:val="20"/>
                    </w:rPr>
                    <w:t>洒水</w:t>
                  </w:r>
                </w:p>
              </w:tc>
              <w:tc>
                <w:tcPr>
                  <w:tcW w:w="1279" w:type="dxa"/>
                  <w:vAlign w:val="center"/>
                </w:tcPr>
                <w:p>
                  <w:pPr>
                    <w:adjustRightInd w:val="0"/>
                    <w:snapToGrid w:val="0"/>
                    <w:jc w:val="center"/>
                    <w:rPr>
                      <w:szCs w:val="20"/>
                    </w:rPr>
                  </w:pPr>
                  <w:r>
                    <w:rPr>
                      <w:szCs w:val="20"/>
                    </w:rPr>
                    <w:t>2.01</w:t>
                  </w:r>
                </w:p>
              </w:tc>
              <w:tc>
                <w:tcPr>
                  <w:tcW w:w="1281" w:type="dxa"/>
                  <w:vAlign w:val="center"/>
                </w:tcPr>
                <w:p>
                  <w:pPr>
                    <w:adjustRightInd w:val="0"/>
                    <w:snapToGrid w:val="0"/>
                    <w:jc w:val="center"/>
                    <w:rPr>
                      <w:szCs w:val="20"/>
                    </w:rPr>
                  </w:pPr>
                  <w:r>
                    <w:rPr>
                      <w:szCs w:val="20"/>
                    </w:rPr>
                    <w:t>1.40</w:t>
                  </w:r>
                </w:p>
              </w:tc>
              <w:tc>
                <w:tcPr>
                  <w:tcW w:w="1279" w:type="dxa"/>
                  <w:vAlign w:val="center"/>
                </w:tcPr>
                <w:p>
                  <w:pPr>
                    <w:adjustRightInd w:val="0"/>
                    <w:snapToGrid w:val="0"/>
                    <w:jc w:val="center"/>
                    <w:rPr>
                      <w:szCs w:val="20"/>
                    </w:rPr>
                  </w:pPr>
                  <w:r>
                    <w:rPr>
                      <w:szCs w:val="20"/>
                    </w:rPr>
                    <w:t>0.67</w:t>
                  </w:r>
                </w:p>
              </w:tc>
              <w:tc>
                <w:tcPr>
                  <w:tcW w:w="1279" w:type="dxa"/>
                  <w:vAlign w:val="center"/>
                </w:tcPr>
                <w:p>
                  <w:pPr>
                    <w:adjustRightInd w:val="0"/>
                    <w:snapToGrid w:val="0"/>
                    <w:jc w:val="center"/>
                    <w:rPr>
                      <w:szCs w:val="20"/>
                    </w:rPr>
                  </w:pPr>
                  <w:r>
                    <w:rPr>
                      <w:szCs w:val="20"/>
                    </w:rPr>
                    <w:t>0.60</w:t>
                  </w:r>
                </w:p>
              </w:tc>
            </w:tr>
          </w:tbl>
          <w:p>
            <w:pPr>
              <w:spacing w:before="120" w:beforeLines="50" w:line="360" w:lineRule="auto"/>
              <w:ind w:firstLine="480" w:firstLineChars="200"/>
              <w:rPr>
                <w:sz w:val="24"/>
                <w:szCs w:val="20"/>
              </w:rPr>
            </w:pPr>
            <w:r>
              <w:rPr>
                <w:sz w:val="24"/>
                <w:szCs w:val="20"/>
              </w:rPr>
              <w:t>因此，限速行驶及保持路面清洁，同时适当洒水是减少汽车扬尘的有效手段。</w:t>
            </w:r>
          </w:p>
          <w:p>
            <w:pPr>
              <w:spacing w:line="360" w:lineRule="auto"/>
              <w:ind w:firstLine="480" w:firstLineChars="200"/>
              <w:rPr>
                <w:sz w:val="24"/>
                <w:szCs w:val="20"/>
              </w:rPr>
            </w:pPr>
            <w:r>
              <w:rPr>
                <w:sz w:val="24"/>
                <w:szCs w:val="20"/>
              </w:rPr>
              <w:t>施工扬尘的另一种情况是露天堆场和裸露场地的风力扬尘。由于施工需要，一些建材露天堆放，一些施工点表层土壤需开挖、堆放，在气候干燥又有风的情况下，会产生扬尘。这类扬尘的主要特点是与风速和尘粒含水率有关，因此，禁止大风天气作业和减少建材的露天堆放、保证一定的含水率是抑制这类扬尘的有效手段。</w:t>
            </w:r>
          </w:p>
          <w:p>
            <w:pPr>
              <w:spacing w:line="360" w:lineRule="auto"/>
              <w:ind w:firstLine="480" w:firstLineChars="200"/>
              <w:rPr>
                <w:sz w:val="24"/>
                <w:szCs w:val="20"/>
              </w:rPr>
            </w:pPr>
            <w:r>
              <w:rPr>
                <w:sz w:val="24"/>
                <w:szCs w:val="20"/>
              </w:rPr>
              <w:fldChar w:fldCharType="begin"/>
            </w:r>
            <w:r>
              <w:rPr>
                <w:sz w:val="24"/>
                <w:szCs w:val="20"/>
              </w:rPr>
              <w:instrText xml:space="preserve"> = 2 \* GB3 </w:instrText>
            </w:r>
            <w:r>
              <w:rPr>
                <w:sz w:val="24"/>
                <w:szCs w:val="20"/>
              </w:rPr>
              <w:fldChar w:fldCharType="separate"/>
            </w:r>
            <w:r>
              <w:rPr>
                <w:rFonts w:hint="eastAsia" w:ascii="宋体" w:hAnsi="宋体" w:cs="宋体"/>
                <w:sz w:val="24"/>
                <w:szCs w:val="20"/>
              </w:rPr>
              <w:t>②</w:t>
            </w:r>
            <w:r>
              <w:rPr>
                <w:sz w:val="24"/>
                <w:szCs w:val="20"/>
              </w:rPr>
              <w:fldChar w:fldCharType="end"/>
            </w:r>
            <w:r>
              <w:rPr>
                <w:sz w:val="24"/>
                <w:szCs w:val="20"/>
              </w:rPr>
              <w:t xml:space="preserve"> 施工扬尘防治措施</w:t>
            </w:r>
          </w:p>
          <w:p>
            <w:pPr>
              <w:shd w:val="clear" w:color="auto" w:fill="FFFFFF"/>
              <w:spacing w:line="360" w:lineRule="auto"/>
              <w:ind w:firstLine="480" w:firstLineChars="200"/>
              <w:rPr>
                <w:kern w:val="0"/>
                <w:sz w:val="24"/>
                <w:szCs w:val="20"/>
              </w:rPr>
            </w:pPr>
            <w:r>
              <w:rPr>
                <w:sz w:val="24"/>
                <w:szCs w:val="20"/>
              </w:rPr>
              <w:t>依照《陕西省大气污染防治条例》（2014.1.1）、</w:t>
            </w:r>
            <w:r>
              <w:rPr>
                <w:bCs/>
                <w:sz w:val="24"/>
                <w:szCs w:val="20"/>
              </w:rPr>
              <w:t>《陕西省</w:t>
            </w:r>
            <w:r>
              <w:rPr>
                <w:rFonts w:hint="eastAsia"/>
                <w:bCs/>
                <w:sz w:val="24"/>
                <w:szCs w:val="20"/>
              </w:rPr>
              <w:t>“铁腕治霾</w:t>
            </w:r>
            <w:r>
              <w:rPr>
                <w:bCs/>
                <w:sz w:val="24"/>
                <w:szCs w:val="20"/>
              </w:rPr>
              <w:t>·</w:t>
            </w:r>
            <w:r>
              <w:rPr>
                <w:rFonts w:hint="eastAsia"/>
                <w:bCs/>
                <w:sz w:val="24"/>
                <w:szCs w:val="20"/>
              </w:rPr>
              <w:t>打赢蓝天保卫战”三</w:t>
            </w:r>
            <w:r>
              <w:rPr>
                <w:bCs/>
                <w:sz w:val="24"/>
                <w:szCs w:val="20"/>
              </w:rPr>
              <w:t>年行动</w:t>
            </w:r>
            <w:r>
              <w:rPr>
                <w:rFonts w:hint="eastAsia"/>
                <w:bCs/>
                <w:sz w:val="24"/>
                <w:szCs w:val="20"/>
              </w:rPr>
              <w:t>方案</w:t>
            </w:r>
            <w:r>
              <w:rPr>
                <w:bCs/>
                <w:sz w:val="24"/>
                <w:szCs w:val="20"/>
              </w:rPr>
              <w:t>（201</w:t>
            </w:r>
            <w:r>
              <w:rPr>
                <w:rFonts w:hint="eastAsia"/>
                <w:bCs/>
                <w:sz w:val="24"/>
                <w:szCs w:val="20"/>
              </w:rPr>
              <w:t>8～</w:t>
            </w:r>
            <w:r>
              <w:rPr>
                <w:bCs/>
                <w:sz w:val="24"/>
                <w:szCs w:val="20"/>
              </w:rPr>
              <w:t>20</w:t>
            </w:r>
            <w:r>
              <w:rPr>
                <w:rFonts w:hint="eastAsia"/>
                <w:bCs/>
                <w:sz w:val="24"/>
                <w:szCs w:val="20"/>
              </w:rPr>
              <w:t>20</w:t>
            </w:r>
            <w:r>
              <w:rPr>
                <w:bCs/>
                <w:sz w:val="24"/>
                <w:szCs w:val="20"/>
              </w:rPr>
              <w:t>年）》</w:t>
            </w:r>
            <w:r>
              <w:rPr>
                <w:sz w:val="24"/>
                <w:szCs w:val="20"/>
              </w:rPr>
              <w:t>、《国务院关于印发大气污染防治行动计划的通知》（国发</w:t>
            </w:r>
            <w:r>
              <w:rPr>
                <w:rFonts w:hint="eastAsia"/>
                <w:sz w:val="24"/>
              </w:rPr>
              <w:t>〔201</w:t>
            </w:r>
            <w:r>
              <w:rPr>
                <w:sz w:val="24"/>
              </w:rPr>
              <w:t>3</w:t>
            </w:r>
            <w:r>
              <w:rPr>
                <w:rFonts w:hint="eastAsia"/>
                <w:sz w:val="24"/>
              </w:rPr>
              <w:t>〕</w:t>
            </w:r>
            <w:r>
              <w:rPr>
                <w:sz w:val="24"/>
                <w:szCs w:val="20"/>
              </w:rPr>
              <w:t>37号）中相关规定，评价对项目建设施工过程提出以下具体要求：</w:t>
            </w:r>
            <w:r>
              <w:rPr>
                <w:kern w:val="0"/>
                <w:sz w:val="24"/>
                <w:szCs w:val="20"/>
              </w:rPr>
              <w:t xml:space="preserve"> </w:t>
            </w:r>
          </w:p>
          <w:p>
            <w:pPr>
              <w:spacing w:line="360" w:lineRule="auto"/>
              <w:ind w:firstLine="480" w:firstLineChars="200"/>
              <w:rPr>
                <w:sz w:val="24"/>
                <w:szCs w:val="20"/>
              </w:rPr>
            </w:pPr>
            <w:r>
              <w:rPr>
                <w:sz w:val="24"/>
                <w:szCs w:val="20"/>
              </w:rPr>
              <w:t>a 遇到干燥、易起尘的土方工程作业时，应辅以洒水压尘，尽量缩短起尘操作时间。四级或四级以上大风天气，应停止土方作业，同时作业处覆以防尘网。</w:t>
            </w:r>
          </w:p>
          <w:p>
            <w:pPr>
              <w:spacing w:line="360" w:lineRule="auto"/>
              <w:ind w:firstLine="480" w:firstLineChars="200"/>
              <w:rPr>
                <w:sz w:val="24"/>
                <w:szCs w:val="20"/>
              </w:rPr>
            </w:pPr>
            <w:r>
              <w:rPr>
                <w:sz w:val="24"/>
                <w:szCs w:val="20"/>
              </w:rPr>
              <w:t>b 施工过程中使用水泥、石灰、砂石等易产生扬尘的建筑材料，应采取用防尘布苫盖等措施。</w:t>
            </w:r>
          </w:p>
          <w:p>
            <w:pPr>
              <w:spacing w:line="360" w:lineRule="auto"/>
              <w:ind w:firstLine="480" w:firstLineChars="200"/>
              <w:rPr>
                <w:sz w:val="24"/>
                <w:szCs w:val="20"/>
              </w:rPr>
            </w:pPr>
            <w:r>
              <w:rPr>
                <w:sz w:val="24"/>
                <w:szCs w:val="20"/>
              </w:rPr>
              <w:t>c 施工过程中产生的弃土、弃料及其它建筑垃圾，应及时清运。</w:t>
            </w:r>
          </w:p>
          <w:p>
            <w:pPr>
              <w:spacing w:line="360" w:lineRule="auto"/>
              <w:ind w:firstLine="480" w:firstLineChars="200"/>
              <w:rPr>
                <w:sz w:val="24"/>
                <w:szCs w:val="20"/>
              </w:rPr>
            </w:pPr>
            <w:r>
              <w:rPr>
                <w:sz w:val="24"/>
                <w:szCs w:val="20"/>
              </w:rPr>
              <w:t>d 运输车辆出场时应清洗车轮，保证净车上路，对粉沙状物料应进行密闭运输，尽可能采用袋装运输。</w:t>
            </w:r>
          </w:p>
          <w:p>
            <w:pPr>
              <w:spacing w:line="360" w:lineRule="auto"/>
              <w:ind w:firstLine="480" w:firstLineChars="200"/>
              <w:rPr>
                <w:sz w:val="24"/>
                <w:szCs w:val="20"/>
              </w:rPr>
            </w:pPr>
            <w:r>
              <w:rPr>
                <w:sz w:val="24"/>
                <w:szCs w:val="20"/>
              </w:rPr>
              <w:t>e 严格控制车辆超速、超载，尽量避免物料洒漏，减少二次扬尘产生的来源。</w:t>
            </w:r>
          </w:p>
          <w:p>
            <w:pPr>
              <w:spacing w:line="360" w:lineRule="auto"/>
              <w:ind w:firstLine="480" w:firstLineChars="200"/>
              <w:rPr>
                <w:sz w:val="24"/>
                <w:szCs w:val="20"/>
              </w:rPr>
            </w:pPr>
            <w:r>
              <w:rPr>
                <w:sz w:val="24"/>
                <w:szCs w:val="20"/>
              </w:rPr>
              <w:t>f 施工场地及车辆运输道路要及时洒水抑尘。</w:t>
            </w:r>
          </w:p>
          <w:p>
            <w:pPr>
              <w:spacing w:line="360" w:lineRule="auto"/>
              <w:ind w:firstLine="480" w:firstLineChars="200"/>
              <w:rPr>
                <w:sz w:val="24"/>
                <w:szCs w:val="20"/>
              </w:rPr>
            </w:pPr>
            <w:r>
              <w:rPr>
                <w:sz w:val="24"/>
                <w:szCs w:val="20"/>
              </w:rPr>
              <w:t>g 完工后应及时进行场内绿化，减少地表裸露时间。</w:t>
            </w:r>
          </w:p>
          <w:p>
            <w:pPr>
              <w:spacing w:line="360" w:lineRule="auto"/>
              <w:ind w:firstLine="480" w:firstLineChars="200"/>
              <w:rPr>
                <w:sz w:val="24"/>
                <w:szCs w:val="20"/>
              </w:rPr>
            </w:pPr>
            <w:r>
              <w:rPr>
                <w:sz w:val="24"/>
                <w:szCs w:val="20"/>
              </w:rPr>
              <w:t>综上，采取以上措施后，项目施工期</w:t>
            </w:r>
            <w:r>
              <w:rPr>
                <w:rFonts w:hint="eastAsia"/>
                <w:sz w:val="24"/>
                <w:szCs w:val="20"/>
              </w:rPr>
              <w:t>影响主要集中于电厂内部，</w:t>
            </w:r>
            <w:r>
              <w:rPr>
                <w:sz w:val="24"/>
                <w:szCs w:val="20"/>
              </w:rPr>
              <w:t>对环境空气影响较小。</w:t>
            </w:r>
          </w:p>
          <w:p>
            <w:pPr>
              <w:spacing w:line="360" w:lineRule="auto"/>
              <w:ind w:firstLine="480" w:firstLineChars="200"/>
              <w:rPr>
                <w:sz w:val="24"/>
                <w:szCs w:val="20"/>
              </w:rPr>
            </w:pPr>
            <w:r>
              <w:rPr>
                <w:sz w:val="24"/>
                <w:szCs w:val="20"/>
              </w:rPr>
              <w:fldChar w:fldCharType="begin"/>
            </w:r>
            <w:r>
              <w:rPr>
                <w:sz w:val="24"/>
                <w:szCs w:val="20"/>
              </w:rPr>
              <w:instrText xml:space="preserve"> </w:instrText>
            </w:r>
            <w:r>
              <w:rPr>
                <w:rFonts w:hint="eastAsia"/>
                <w:sz w:val="24"/>
                <w:szCs w:val="20"/>
              </w:rPr>
              <w:instrText xml:space="preserve">= 3 \* GB2</w:instrText>
            </w:r>
            <w:r>
              <w:rPr>
                <w:sz w:val="24"/>
                <w:szCs w:val="20"/>
              </w:rPr>
              <w:instrText xml:space="preserve"> </w:instrText>
            </w:r>
            <w:r>
              <w:rPr>
                <w:sz w:val="24"/>
                <w:szCs w:val="20"/>
              </w:rPr>
              <w:fldChar w:fldCharType="separate"/>
            </w:r>
            <w:r>
              <w:rPr>
                <w:rFonts w:hint="eastAsia"/>
                <w:sz w:val="24"/>
                <w:szCs w:val="20"/>
              </w:rPr>
              <w:t>⑶</w:t>
            </w:r>
            <w:r>
              <w:rPr>
                <w:sz w:val="24"/>
                <w:szCs w:val="20"/>
              </w:rPr>
              <w:fldChar w:fldCharType="end"/>
            </w:r>
            <w:r>
              <w:rPr>
                <w:sz w:val="24"/>
                <w:szCs w:val="20"/>
              </w:rPr>
              <w:t xml:space="preserve"> </w:t>
            </w:r>
            <w:r>
              <w:rPr>
                <w:rFonts w:hint="eastAsia"/>
                <w:sz w:val="24"/>
                <w:szCs w:val="20"/>
              </w:rPr>
              <w:t>道路</w:t>
            </w:r>
            <w:r>
              <w:rPr>
                <w:sz w:val="24"/>
                <w:szCs w:val="20"/>
              </w:rPr>
              <w:t>影响</w:t>
            </w:r>
          </w:p>
          <w:p>
            <w:pPr>
              <w:spacing w:line="360" w:lineRule="auto"/>
              <w:ind w:firstLine="480" w:firstLineChars="200"/>
              <w:rPr>
                <w:sz w:val="24"/>
              </w:rPr>
            </w:pPr>
            <w:r>
              <w:rPr>
                <w:sz w:val="24"/>
              </w:rPr>
              <w:t>施工期设备、材料运输过程中车辆的往来将产生道路二次扬尘污染，运输车辆的行驶速度越快，扬尘产生量越大。道路运输过程中车辆往来产生的二次扬尘污染</w:t>
            </w:r>
            <w:r>
              <w:rPr>
                <w:rFonts w:hint="eastAsia"/>
                <w:sz w:val="24"/>
              </w:rPr>
              <w:t>情况</w:t>
            </w:r>
            <w:r>
              <w:rPr>
                <w:sz w:val="24"/>
              </w:rPr>
              <w:t>见表2</w:t>
            </w:r>
            <w:r>
              <w:rPr>
                <w:rFonts w:hint="eastAsia"/>
                <w:sz w:val="24"/>
              </w:rPr>
              <w:t>4</w:t>
            </w:r>
            <w:r>
              <w:rPr>
                <w:sz w:val="24"/>
              </w:rPr>
              <w:t>。由表2</w:t>
            </w:r>
            <w:r>
              <w:rPr>
                <w:rFonts w:hint="eastAsia"/>
                <w:sz w:val="24"/>
              </w:rPr>
              <w:t>4</w:t>
            </w:r>
            <w:r>
              <w:rPr>
                <w:sz w:val="24"/>
              </w:rPr>
              <w:t>可知，车速每增加一倍，扬尘量增加1～2倍。如果施工阶段对车辆行驶路面勤洒水（每天4～5次），可使空气中扬尘量减少70%左右，收到很好的降尘效果。因此环评建议，采取降低车速、定期喷洒道路的办法，可使扬尘大大降低，此外由于施工期是暂时性的，项目施工结束后，污染将随之消失。</w:t>
            </w:r>
          </w:p>
          <w:p>
            <w:pPr>
              <w:spacing w:line="360" w:lineRule="auto"/>
              <w:ind w:firstLine="472" w:firstLineChars="196"/>
              <w:jc w:val="left"/>
              <w:rPr>
                <w:b/>
                <w:sz w:val="24"/>
                <w:szCs w:val="22"/>
              </w:rPr>
            </w:pPr>
            <w:r>
              <w:rPr>
                <w:b/>
                <w:sz w:val="24"/>
                <w:szCs w:val="22"/>
              </w:rPr>
              <w:t>2、水环境影响分析</w:t>
            </w:r>
          </w:p>
          <w:p>
            <w:pPr>
              <w:spacing w:line="360" w:lineRule="auto"/>
              <w:ind w:firstLine="480" w:firstLineChars="200"/>
              <w:rPr>
                <w:sz w:val="24"/>
              </w:rPr>
            </w:pPr>
            <w:r>
              <w:rPr>
                <w:sz w:val="24"/>
              </w:rPr>
              <w:fldChar w:fldCharType="begin"/>
            </w:r>
            <w:r>
              <w:rPr>
                <w:sz w:val="24"/>
              </w:rPr>
              <w:instrText xml:space="preserve"> = 1 \* GB2 </w:instrText>
            </w:r>
            <w:r>
              <w:rPr>
                <w:sz w:val="24"/>
              </w:rPr>
              <w:fldChar w:fldCharType="separate"/>
            </w:r>
            <w:r>
              <w:rPr>
                <w:rFonts w:hint="eastAsia" w:ascii="宋体" w:hAnsi="宋体" w:cs="宋体"/>
                <w:sz w:val="24"/>
              </w:rPr>
              <w:t>⑴</w:t>
            </w:r>
            <w:r>
              <w:rPr>
                <w:sz w:val="24"/>
              </w:rPr>
              <w:fldChar w:fldCharType="end"/>
            </w:r>
            <w:r>
              <w:rPr>
                <w:sz w:val="24"/>
              </w:rPr>
              <w:t xml:space="preserve"> 生活污水</w:t>
            </w:r>
          </w:p>
          <w:p>
            <w:pPr>
              <w:spacing w:line="360" w:lineRule="auto"/>
              <w:ind w:firstLine="480" w:firstLineChars="200"/>
              <w:rPr>
                <w:sz w:val="24"/>
              </w:rPr>
            </w:pPr>
            <w:r>
              <w:rPr>
                <w:sz w:val="24"/>
              </w:rPr>
              <w:t>项目施工期污水产生量为2.0m</w:t>
            </w:r>
            <w:r>
              <w:rPr>
                <w:sz w:val="24"/>
                <w:vertAlign w:val="superscript"/>
              </w:rPr>
              <w:t>3</w:t>
            </w:r>
            <w:r>
              <w:rPr>
                <w:sz w:val="24"/>
              </w:rPr>
              <w:t>/d，生活污水主要污染物为COD、SS、氨氮，</w:t>
            </w:r>
            <w:r>
              <w:rPr>
                <w:rFonts w:hint="eastAsia"/>
                <w:sz w:val="24"/>
              </w:rPr>
              <w:t>依托厂内</w:t>
            </w:r>
            <w:r>
              <w:rPr>
                <w:sz w:val="24"/>
              </w:rPr>
              <w:t>现有生活污水处理厂处理，对外环境影响较小。</w:t>
            </w:r>
          </w:p>
          <w:p>
            <w:pPr>
              <w:spacing w:line="360" w:lineRule="auto"/>
              <w:ind w:firstLine="480" w:firstLineChars="200"/>
              <w:rPr>
                <w:sz w:val="24"/>
              </w:rPr>
            </w:pPr>
            <w:r>
              <w:rPr>
                <w:sz w:val="24"/>
              </w:rPr>
              <w:fldChar w:fldCharType="begin"/>
            </w:r>
            <w:r>
              <w:rPr>
                <w:sz w:val="24"/>
              </w:rPr>
              <w:instrText xml:space="preserve"> = 2 \* GB2 </w:instrText>
            </w:r>
            <w:r>
              <w:rPr>
                <w:sz w:val="24"/>
              </w:rPr>
              <w:fldChar w:fldCharType="separate"/>
            </w:r>
            <w:r>
              <w:rPr>
                <w:rFonts w:hint="eastAsia" w:ascii="宋体" w:hAnsi="宋体" w:cs="宋体"/>
                <w:sz w:val="24"/>
              </w:rPr>
              <w:t>⑵</w:t>
            </w:r>
            <w:r>
              <w:rPr>
                <w:sz w:val="24"/>
              </w:rPr>
              <w:fldChar w:fldCharType="end"/>
            </w:r>
            <w:r>
              <w:rPr>
                <w:sz w:val="24"/>
              </w:rPr>
              <w:t xml:space="preserve"> 施工废水</w:t>
            </w:r>
          </w:p>
          <w:p>
            <w:pPr>
              <w:spacing w:line="360" w:lineRule="auto"/>
              <w:ind w:firstLine="480" w:firstLineChars="200"/>
              <w:rPr>
                <w:sz w:val="24"/>
              </w:rPr>
            </w:pPr>
            <w:r>
              <w:rPr>
                <w:sz w:val="24"/>
              </w:rPr>
              <w:t>施工生产废水主要包括混凝土养护、施工机械和车辆冲洗废水等，主要污染物为SS和少量石油类，施工废水经临时沉淀池处理后回用于施工和场区抑尘洒水，施工废水不外排，因此不会对外环境产生影响。</w:t>
            </w:r>
          </w:p>
          <w:p>
            <w:pPr>
              <w:pStyle w:val="14"/>
              <w:ind w:firstLine="472" w:firstLineChars="196"/>
              <w:rPr>
                <w:b/>
                <w:szCs w:val="22"/>
              </w:rPr>
            </w:pPr>
            <w:r>
              <w:rPr>
                <w:b/>
              </w:rPr>
              <w:t>3、</w:t>
            </w:r>
            <w:r>
              <w:rPr>
                <w:b/>
                <w:szCs w:val="22"/>
              </w:rPr>
              <w:t>声环境影响分析</w:t>
            </w:r>
          </w:p>
          <w:p>
            <w:pPr>
              <w:spacing w:line="360" w:lineRule="auto"/>
              <w:ind w:firstLine="480" w:firstLineChars="200"/>
              <w:rPr>
                <w:sz w:val="24"/>
              </w:rPr>
            </w:pPr>
            <w:r>
              <w:rPr>
                <w:sz w:val="24"/>
              </w:rPr>
              <w:t>项目按产噪情况可将施工过程分为三个阶段：土石方、基础阶段、结构阶段和设备安装阶段，施工期噪声主要有施工机械噪声和运输车辆的流动噪声，施工机械噪声是项目施工建设中的主要污染因子，不同施工阶段和不同施工机械发出的噪声水平不同，且有大量设备交互作业，现场施工时同时投入多少台机械设备很难预测，本次评价假设有多台设备同时使用，将所产生的噪声叠加后预测对某个距离的声压级。</w:t>
            </w:r>
          </w:p>
          <w:p>
            <w:pPr>
              <w:spacing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1 \* GB2</w:instrText>
            </w:r>
            <w:r>
              <w:rPr>
                <w:sz w:val="24"/>
              </w:rPr>
              <w:instrText xml:space="preserve"> </w:instrText>
            </w:r>
            <w:r>
              <w:rPr>
                <w:sz w:val="24"/>
              </w:rPr>
              <w:fldChar w:fldCharType="separate"/>
            </w:r>
            <w:r>
              <w:rPr>
                <w:rFonts w:hint="eastAsia"/>
                <w:sz w:val="24"/>
              </w:rPr>
              <w:t>⑴</w:t>
            </w:r>
            <w:r>
              <w:rPr>
                <w:sz w:val="24"/>
              </w:rPr>
              <w:fldChar w:fldCharType="end"/>
            </w:r>
            <w:r>
              <w:rPr>
                <w:rFonts w:hint="eastAsia"/>
                <w:sz w:val="24"/>
              </w:rPr>
              <w:t xml:space="preserve"> </w:t>
            </w:r>
            <w:r>
              <w:rPr>
                <w:sz w:val="24"/>
              </w:rPr>
              <w:t>施工设备噪声影响预测模式</w:t>
            </w:r>
          </w:p>
          <w:p>
            <w:pPr>
              <w:spacing w:line="360" w:lineRule="auto"/>
              <w:ind w:firstLine="480" w:firstLineChars="200"/>
              <w:rPr>
                <w:sz w:val="24"/>
              </w:rPr>
            </w:pPr>
            <w:r>
              <w:rPr>
                <w:sz w:val="24"/>
              </w:rPr>
              <w:t>施工设备在露天条件下作业，产生的声能量按自由声场形式向四周传播，能量随着距离衰减，根据噪声衰减公式：</w:t>
            </w:r>
          </w:p>
          <w:p>
            <w:pPr>
              <w:spacing w:line="360" w:lineRule="auto"/>
              <w:ind w:firstLine="480" w:firstLineChars="200"/>
              <w:jc w:val="center"/>
              <w:rPr>
                <w:kern w:val="24"/>
                <w:sz w:val="24"/>
              </w:rPr>
            </w:pPr>
            <w:r>
              <w:rPr>
                <w:kern w:val="24"/>
                <w:sz w:val="24"/>
              </w:rPr>
              <w:t>L</w:t>
            </w:r>
            <w:r>
              <w:rPr>
                <w:kern w:val="24"/>
                <w:sz w:val="24"/>
                <w:vertAlign w:val="subscript"/>
              </w:rPr>
              <w:t xml:space="preserve"> A(r)</w:t>
            </w:r>
            <w:r>
              <w:rPr>
                <w:kern w:val="24"/>
                <w:sz w:val="24"/>
              </w:rPr>
              <w:t>= L</w:t>
            </w:r>
            <w:r>
              <w:rPr>
                <w:kern w:val="24"/>
                <w:sz w:val="24"/>
                <w:vertAlign w:val="subscript"/>
              </w:rPr>
              <w:t xml:space="preserve"> A(r0)－</w:t>
            </w:r>
            <w:r>
              <w:rPr>
                <w:kern w:val="24"/>
                <w:sz w:val="24"/>
              </w:rPr>
              <w:t>20lg(r/r</w:t>
            </w:r>
            <w:r>
              <w:rPr>
                <w:kern w:val="24"/>
                <w:sz w:val="24"/>
                <w:vertAlign w:val="subscript"/>
              </w:rPr>
              <w:t>0</w:t>
            </w:r>
            <w:r>
              <w:rPr>
                <w:kern w:val="24"/>
                <w:sz w:val="24"/>
              </w:rPr>
              <w:t>)-</w:t>
            </w:r>
            <w:r>
              <w:rPr>
                <w:rFonts w:ascii="Cambria Math" w:hAnsi="Cambria Math"/>
                <w:kern w:val="24"/>
                <w:sz w:val="24"/>
              </w:rPr>
              <w:t>△</w:t>
            </w:r>
            <w:r>
              <w:rPr>
                <w:kern w:val="24"/>
                <w:sz w:val="24"/>
              </w:rPr>
              <w:t>L</w:t>
            </w:r>
          </w:p>
          <w:p>
            <w:pPr>
              <w:spacing w:line="360" w:lineRule="auto"/>
              <w:ind w:firstLine="480" w:firstLineChars="200"/>
              <w:jc w:val="center"/>
              <w:rPr>
                <w:kern w:val="24"/>
                <w:sz w:val="24"/>
              </w:rPr>
            </w:pPr>
            <w:r>
              <w:rPr>
                <w:kern w:val="24"/>
                <w:sz w:val="24"/>
              </w:rPr>
              <w:t>式中：L</w:t>
            </w:r>
            <w:r>
              <w:rPr>
                <w:kern w:val="24"/>
                <w:sz w:val="24"/>
                <w:vertAlign w:val="subscript"/>
              </w:rPr>
              <w:t>A（r）</w:t>
            </w:r>
            <w:r>
              <w:rPr>
                <w:kern w:val="24"/>
                <w:sz w:val="24"/>
              </w:rPr>
              <w:t>——距离声源r处的A声级，dB(A)；</w:t>
            </w:r>
          </w:p>
          <w:p>
            <w:pPr>
              <w:spacing w:line="360" w:lineRule="auto"/>
              <w:ind w:firstLine="480" w:firstLineChars="200"/>
              <w:jc w:val="center"/>
              <w:rPr>
                <w:kern w:val="24"/>
                <w:sz w:val="24"/>
              </w:rPr>
            </w:pPr>
            <w:r>
              <w:rPr>
                <w:kern w:val="24"/>
                <w:sz w:val="24"/>
              </w:rPr>
              <w:t xml:space="preserve">     </w:t>
            </w:r>
            <w:r>
              <w:rPr>
                <w:rFonts w:hint="eastAsia"/>
                <w:kern w:val="24"/>
                <w:sz w:val="24"/>
              </w:rPr>
              <w:t xml:space="preserve"> </w:t>
            </w:r>
            <w:r>
              <w:rPr>
                <w:kern w:val="24"/>
                <w:sz w:val="24"/>
              </w:rPr>
              <w:t>L</w:t>
            </w:r>
            <w:r>
              <w:rPr>
                <w:kern w:val="24"/>
                <w:sz w:val="24"/>
                <w:vertAlign w:val="subscript"/>
              </w:rPr>
              <w:t>A（ro）</w:t>
            </w:r>
            <w:r>
              <w:rPr>
                <w:kern w:val="24"/>
                <w:sz w:val="24"/>
              </w:rPr>
              <w:t>——距声源r</w:t>
            </w:r>
            <w:r>
              <w:rPr>
                <w:kern w:val="24"/>
                <w:sz w:val="24"/>
                <w:vertAlign w:val="subscript"/>
              </w:rPr>
              <w:t>o</w:t>
            </w:r>
            <w:r>
              <w:rPr>
                <w:kern w:val="24"/>
                <w:sz w:val="24"/>
              </w:rPr>
              <w:t>处的A声级，dB(A)；</w:t>
            </w:r>
          </w:p>
          <w:p>
            <w:pPr>
              <w:spacing w:line="360" w:lineRule="auto"/>
              <w:ind w:firstLine="2760" w:firstLineChars="1150"/>
              <w:rPr>
                <w:kern w:val="24"/>
                <w:sz w:val="24"/>
              </w:rPr>
            </w:pPr>
            <w:r>
              <w:rPr>
                <w:kern w:val="24"/>
                <w:sz w:val="24"/>
              </w:rPr>
              <w:t>r</w:t>
            </w:r>
            <w:r>
              <w:rPr>
                <w:kern w:val="24"/>
                <w:sz w:val="24"/>
                <w:vertAlign w:val="subscript"/>
              </w:rPr>
              <w:t>o</w:t>
            </w:r>
            <w:r>
              <w:rPr>
                <w:kern w:val="24"/>
                <w:sz w:val="24"/>
              </w:rPr>
              <w:t>、r——距声源的距离，m；</w:t>
            </w:r>
          </w:p>
          <w:p>
            <w:pPr>
              <w:spacing w:line="360" w:lineRule="auto"/>
              <w:ind w:firstLine="480" w:firstLineChars="200"/>
              <w:jc w:val="center"/>
              <w:rPr>
                <w:kern w:val="24"/>
                <w:sz w:val="24"/>
              </w:rPr>
            </w:pPr>
            <w:r>
              <w:rPr>
                <w:rFonts w:hint="eastAsia"/>
                <w:kern w:val="24"/>
                <w:sz w:val="24"/>
              </w:rPr>
              <w:t xml:space="preserve">      </w:t>
            </w:r>
            <w:r>
              <w:rPr>
                <w:kern w:val="24"/>
                <w:sz w:val="24"/>
              </w:rPr>
              <w:t xml:space="preserve"> </w:t>
            </w:r>
            <w:r>
              <w:rPr>
                <w:rFonts w:ascii="Cambria Math" w:hAnsi="Cambria Math" w:cs="Cambria Math"/>
                <w:kern w:val="24"/>
                <w:sz w:val="24"/>
              </w:rPr>
              <w:t>△</w:t>
            </w:r>
            <w:r>
              <w:rPr>
                <w:kern w:val="24"/>
                <w:sz w:val="24"/>
              </w:rPr>
              <w:t>L——其它衰减因子，dB(A)。施工期</w:t>
            </w:r>
            <w:r>
              <w:rPr>
                <w:rFonts w:ascii="Cambria Math" w:hAnsi="Cambria Math" w:cs="Cambria Math"/>
                <w:kern w:val="24"/>
                <w:sz w:val="24"/>
              </w:rPr>
              <w:t>△</w:t>
            </w:r>
            <w:r>
              <w:rPr>
                <w:kern w:val="24"/>
                <w:sz w:val="24"/>
              </w:rPr>
              <w:t>L=0</w:t>
            </w:r>
          </w:p>
          <w:p>
            <w:pPr>
              <w:spacing w:line="360" w:lineRule="auto"/>
              <w:ind w:firstLine="480" w:firstLineChars="200"/>
              <w:rPr>
                <w:kern w:val="24"/>
                <w:sz w:val="24"/>
              </w:rPr>
            </w:pPr>
            <w:r>
              <w:rPr>
                <w:kern w:val="24"/>
                <w:sz w:val="24"/>
              </w:rPr>
              <w:t>对各种设备声源在不同距离的衰减结果见表2</w:t>
            </w:r>
            <w:r>
              <w:rPr>
                <w:rFonts w:hint="eastAsia"/>
                <w:kern w:val="24"/>
                <w:sz w:val="24"/>
              </w:rPr>
              <w:t>6。</w:t>
            </w:r>
          </w:p>
          <w:p>
            <w:pPr>
              <w:ind w:firstLine="422" w:firstLineChars="200"/>
              <w:jc w:val="center"/>
              <w:rPr>
                <w:b/>
                <w:bCs/>
                <w:kern w:val="24"/>
                <w:szCs w:val="21"/>
              </w:rPr>
            </w:pPr>
          </w:p>
          <w:p>
            <w:pPr>
              <w:ind w:firstLine="422" w:firstLineChars="200"/>
              <w:jc w:val="center"/>
              <w:rPr>
                <w:b/>
                <w:bCs/>
                <w:kern w:val="24"/>
                <w:szCs w:val="21"/>
              </w:rPr>
            </w:pPr>
          </w:p>
          <w:p>
            <w:pPr>
              <w:ind w:firstLine="422" w:firstLineChars="200"/>
              <w:jc w:val="center"/>
              <w:rPr>
                <w:b/>
                <w:bCs/>
                <w:kern w:val="24"/>
                <w:szCs w:val="21"/>
              </w:rPr>
            </w:pPr>
          </w:p>
          <w:p>
            <w:pPr>
              <w:ind w:firstLine="422" w:firstLineChars="200"/>
              <w:jc w:val="center"/>
              <w:rPr>
                <w:b/>
                <w:bCs/>
                <w:kern w:val="24"/>
                <w:szCs w:val="21"/>
              </w:rPr>
            </w:pPr>
          </w:p>
          <w:p>
            <w:pPr>
              <w:ind w:firstLine="422" w:firstLineChars="200"/>
              <w:jc w:val="center"/>
              <w:rPr>
                <w:b/>
                <w:bCs/>
                <w:kern w:val="24"/>
                <w:szCs w:val="21"/>
              </w:rPr>
            </w:pPr>
          </w:p>
          <w:p>
            <w:pPr>
              <w:ind w:firstLine="422" w:firstLineChars="200"/>
              <w:jc w:val="center"/>
              <w:rPr>
                <w:b/>
                <w:bCs/>
                <w:kern w:val="24"/>
                <w:szCs w:val="21"/>
              </w:rPr>
            </w:pPr>
            <w:r>
              <w:rPr>
                <w:b/>
                <w:bCs/>
                <w:kern w:val="24"/>
                <w:szCs w:val="21"/>
              </w:rPr>
              <w:t>表2</w:t>
            </w:r>
            <w:r>
              <w:rPr>
                <w:rFonts w:hint="eastAsia"/>
                <w:b/>
                <w:bCs/>
                <w:kern w:val="24"/>
                <w:szCs w:val="21"/>
              </w:rPr>
              <w:t>6</w:t>
            </w:r>
            <w:r>
              <w:rPr>
                <w:b/>
                <w:bCs/>
                <w:kern w:val="24"/>
                <w:szCs w:val="21"/>
              </w:rPr>
              <w:t xml:space="preserve">  </w:t>
            </w:r>
            <w:r>
              <w:rPr>
                <w:rFonts w:hint="eastAsia"/>
                <w:b/>
                <w:bCs/>
                <w:kern w:val="24"/>
                <w:szCs w:val="21"/>
              </w:rPr>
              <w:t xml:space="preserve">  </w:t>
            </w:r>
            <w:r>
              <w:rPr>
                <w:b/>
                <w:bCs/>
                <w:kern w:val="24"/>
                <w:szCs w:val="21"/>
              </w:rPr>
              <w:t>施工点声源在不同距离处的噪声贡献值</w:t>
            </w:r>
          </w:p>
          <w:tbl>
            <w:tblPr>
              <w:tblStyle w:val="39"/>
              <w:tblW w:w="8831"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9"/>
              <w:gridCol w:w="1190"/>
              <w:gridCol w:w="595"/>
              <w:gridCol w:w="620"/>
              <w:gridCol w:w="587"/>
              <w:gridCol w:w="589"/>
              <w:gridCol w:w="589"/>
              <w:gridCol w:w="589"/>
              <w:gridCol w:w="589"/>
              <w:gridCol w:w="666"/>
              <w:gridCol w:w="666"/>
              <w:gridCol w:w="666"/>
              <w:gridCol w:w="6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restart"/>
                  <w:vAlign w:val="center"/>
                </w:tcPr>
                <w:p>
                  <w:pPr>
                    <w:widowControl/>
                    <w:jc w:val="center"/>
                    <w:rPr>
                      <w:kern w:val="0"/>
                      <w:sz w:val="18"/>
                      <w:szCs w:val="18"/>
                    </w:rPr>
                  </w:pPr>
                  <w:r>
                    <w:rPr>
                      <w:kern w:val="0"/>
                      <w:sz w:val="18"/>
                      <w:szCs w:val="18"/>
                    </w:rPr>
                    <w:t>项目</w:t>
                  </w:r>
                </w:p>
              </w:tc>
              <w:tc>
                <w:tcPr>
                  <w:tcW w:w="1190" w:type="dxa"/>
                  <w:vMerge w:val="restart"/>
                  <w:vAlign w:val="center"/>
                </w:tcPr>
                <w:p>
                  <w:pPr>
                    <w:jc w:val="center"/>
                    <w:rPr>
                      <w:kern w:val="0"/>
                      <w:sz w:val="18"/>
                      <w:szCs w:val="18"/>
                    </w:rPr>
                  </w:pPr>
                  <w:r>
                    <w:rPr>
                      <w:kern w:val="0"/>
                      <w:sz w:val="18"/>
                      <w:szCs w:val="18"/>
                    </w:rPr>
                    <w:t>声源</w:t>
                  </w:r>
                </w:p>
              </w:tc>
              <w:tc>
                <w:tcPr>
                  <w:tcW w:w="6822" w:type="dxa"/>
                  <w:gridSpan w:val="11"/>
                  <w:vAlign w:val="center"/>
                </w:tcPr>
                <w:p>
                  <w:pPr>
                    <w:widowControl/>
                    <w:jc w:val="center"/>
                    <w:rPr>
                      <w:kern w:val="0"/>
                      <w:sz w:val="18"/>
                      <w:szCs w:val="18"/>
                    </w:rPr>
                  </w:pPr>
                  <w:r>
                    <w:rPr>
                      <w:kern w:val="0"/>
                      <w:sz w:val="18"/>
                      <w:szCs w:val="18"/>
                    </w:rPr>
                    <w:t>噪声预测值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widowControl/>
                    <w:jc w:val="center"/>
                    <w:rPr>
                      <w:b/>
                      <w:kern w:val="0"/>
                      <w:sz w:val="18"/>
                      <w:szCs w:val="18"/>
                    </w:rPr>
                  </w:pPr>
                </w:p>
              </w:tc>
              <w:tc>
                <w:tcPr>
                  <w:tcW w:w="1190" w:type="dxa"/>
                  <w:vMerge w:val="continue"/>
                  <w:vAlign w:val="center"/>
                </w:tcPr>
                <w:p>
                  <w:pPr>
                    <w:widowControl/>
                    <w:jc w:val="center"/>
                    <w:rPr>
                      <w:b/>
                      <w:kern w:val="0"/>
                      <w:sz w:val="18"/>
                      <w:szCs w:val="18"/>
                    </w:rPr>
                  </w:pPr>
                </w:p>
              </w:tc>
              <w:tc>
                <w:tcPr>
                  <w:tcW w:w="595" w:type="dxa"/>
                  <w:vAlign w:val="center"/>
                </w:tcPr>
                <w:p>
                  <w:pPr>
                    <w:widowControl/>
                    <w:jc w:val="center"/>
                    <w:rPr>
                      <w:kern w:val="0"/>
                      <w:sz w:val="18"/>
                      <w:szCs w:val="18"/>
                    </w:rPr>
                  </w:pPr>
                  <w:r>
                    <w:rPr>
                      <w:kern w:val="0"/>
                      <w:sz w:val="18"/>
                      <w:szCs w:val="18"/>
                    </w:rPr>
                    <w:t>1m</w:t>
                  </w:r>
                </w:p>
              </w:tc>
              <w:tc>
                <w:tcPr>
                  <w:tcW w:w="620" w:type="dxa"/>
                  <w:vAlign w:val="center"/>
                </w:tcPr>
                <w:p>
                  <w:pPr>
                    <w:widowControl/>
                    <w:jc w:val="center"/>
                    <w:rPr>
                      <w:kern w:val="0"/>
                      <w:sz w:val="18"/>
                      <w:szCs w:val="18"/>
                    </w:rPr>
                  </w:pPr>
                  <w:r>
                    <w:rPr>
                      <w:kern w:val="0"/>
                      <w:sz w:val="18"/>
                      <w:szCs w:val="18"/>
                    </w:rPr>
                    <w:t>10m</w:t>
                  </w:r>
                </w:p>
              </w:tc>
              <w:tc>
                <w:tcPr>
                  <w:tcW w:w="587" w:type="dxa"/>
                  <w:vAlign w:val="center"/>
                </w:tcPr>
                <w:p>
                  <w:pPr>
                    <w:widowControl/>
                    <w:jc w:val="center"/>
                    <w:rPr>
                      <w:kern w:val="0"/>
                      <w:sz w:val="18"/>
                      <w:szCs w:val="18"/>
                    </w:rPr>
                  </w:pPr>
                  <w:r>
                    <w:rPr>
                      <w:kern w:val="0"/>
                      <w:sz w:val="18"/>
                      <w:szCs w:val="18"/>
                    </w:rPr>
                    <w:t>20m</w:t>
                  </w:r>
                </w:p>
              </w:tc>
              <w:tc>
                <w:tcPr>
                  <w:tcW w:w="589" w:type="dxa"/>
                  <w:vAlign w:val="center"/>
                </w:tcPr>
                <w:p>
                  <w:pPr>
                    <w:widowControl/>
                    <w:jc w:val="center"/>
                    <w:rPr>
                      <w:kern w:val="0"/>
                      <w:sz w:val="18"/>
                      <w:szCs w:val="18"/>
                    </w:rPr>
                  </w:pPr>
                  <w:r>
                    <w:rPr>
                      <w:kern w:val="0"/>
                      <w:sz w:val="18"/>
                      <w:szCs w:val="18"/>
                    </w:rPr>
                    <w:t>30m</w:t>
                  </w:r>
                </w:p>
              </w:tc>
              <w:tc>
                <w:tcPr>
                  <w:tcW w:w="589" w:type="dxa"/>
                  <w:vAlign w:val="center"/>
                </w:tcPr>
                <w:p>
                  <w:pPr>
                    <w:widowControl/>
                    <w:jc w:val="center"/>
                    <w:rPr>
                      <w:kern w:val="0"/>
                      <w:sz w:val="18"/>
                      <w:szCs w:val="18"/>
                    </w:rPr>
                  </w:pPr>
                  <w:r>
                    <w:rPr>
                      <w:kern w:val="0"/>
                      <w:sz w:val="18"/>
                      <w:szCs w:val="18"/>
                    </w:rPr>
                    <w:t>50m</w:t>
                  </w:r>
                </w:p>
              </w:tc>
              <w:tc>
                <w:tcPr>
                  <w:tcW w:w="589" w:type="dxa"/>
                  <w:vAlign w:val="center"/>
                </w:tcPr>
                <w:p>
                  <w:pPr>
                    <w:widowControl/>
                    <w:jc w:val="center"/>
                    <w:rPr>
                      <w:kern w:val="0"/>
                      <w:sz w:val="18"/>
                      <w:szCs w:val="18"/>
                    </w:rPr>
                  </w:pPr>
                  <w:r>
                    <w:rPr>
                      <w:kern w:val="0"/>
                      <w:sz w:val="18"/>
                      <w:szCs w:val="18"/>
                    </w:rPr>
                    <w:t>60m</w:t>
                  </w:r>
                </w:p>
              </w:tc>
              <w:tc>
                <w:tcPr>
                  <w:tcW w:w="589" w:type="dxa"/>
                  <w:vAlign w:val="center"/>
                </w:tcPr>
                <w:p>
                  <w:pPr>
                    <w:widowControl/>
                    <w:jc w:val="center"/>
                    <w:rPr>
                      <w:kern w:val="0"/>
                      <w:sz w:val="18"/>
                      <w:szCs w:val="18"/>
                    </w:rPr>
                  </w:pPr>
                  <w:r>
                    <w:rPr>
                      <w:kern w:val="0"/>
                      <w:sz w:val="18"/>
                      <w:szCs w:val="18"/>
                    </w:rPr>
                    <w:t>80m</w:t>
                  </w:r>
                </w:p>
              </w:tc>
              <w:tc>
                <w:tcPr>
                  <w:tcW w:w="666" w:type="dxa"/>
                  <w:vAlign w:val="center"/>
                </w:tcPr>
                <w:p>
                  <w:pPr>
                    <w:widowControl/>
                    <w:jc w:val="center"/>
                    <w:rPr>
                      <w:kern w:val="0"/>
                      <w:sz w:val="18"/>
                      <w:szCs w:val="18"/>
                    </w:rPr>
                  </w:pPr>
                  <w:r>
                    <w:rPr>
                      <w:kern w:val="0"/>
                      <w:sz w:val="18"/>
                      <w:szCs w:val="18"/>
                    </w:rPr>
                    <w:t>100m</w:t>
                  </w:r>
                </w:p>
              </w:tc>
              <w:tc>
                <w:tcPr>
                  <w:tcW w:w="666" w:type="dxa"/>
                  <w:vAlign w:val="center"/>
                </w:tcPr>
                <w:p>
                  <w:pPr>
                    <w:widowControl/>
                    <w:jc w:val="center"/>
                    <w:rPr>
                      <w:kern w:val="0"/>
                      <w:sz w:val="18"/>
                      <w:szCs w:val="18"/>
                    </w:rPr>
                  </w:pPr>
                  <w:r>
                    <w:rPr>
                      <w:kern w:val="0"/>
                      <w:sz w:val="18"/>
                      <w:szCs w:val="18"/>
                    </w:rPr>
                    <w:t>150m</w:t>
                  </w:r>
                </w:p>
              </w:tc>
              <w:tc>
                <w:tcPr>
                  <w:tcW w:w="666" w:type="dxa"/>
                  <w:vAlign w:val="center"/>
                </w:tcPr>
                <w:p>
                  <w:pPr>
                    <w:widowControl/>
                    <w:jc w:val="center"/>
                    <w:rPr>
                      <w:kern w:val="0"/>
                      <w:sz w:val="18"/>
                      <w:szCs w:val="18"/>
                    </w:rPr>
                  </w:pPr>
                  <w:r>
                    <w:rPr>
                      <w:kern w:val="0"/>
                      <w:sz w:val="18"/>
                      <w:szCs w:val="18"/>
                    </w:rPr>
                    <w:t>200m</w:t>
                  </w:r>
                </w:p>
              </w:tc>
              <w:tc>
                <w:tcPr>
                  <w:tcW w:w="666" w:type="dxa"/>
                  <w:vAlign w:val="center"/>
                </w:tcPr>
                <w:p>
                  <w:pPr>
                    <w:widowControl/>
                    <w:jc w:val="center"/>
                    <w:rPr>
                      <w:kern w:val="0"/>
                      <w:sz w:val="18"/>
                      <w:szCs w:val="18"/>
                    </w:rPr>
                  </w:pPr>
                  <w:r>
                    <w:rPr>
                      <w:kern w:val="0"/>
                      <w:sz w:val="18"/>
                      <w:szCs w:val="18"/>
                    </w:rPr>
                    <w:t>300m</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restart"/>
                  <w:vAlign w:val="center"/>
                </w:tcPr>
                <w:p>
                  <w:pPr>
                    <w:widowControl/>
                    <w:jc w:val="center"/>
                    <w:rPr>
                      <w:kern w:val="0"/>
                      <w:sz w:val="18"/>
                      <w:szCs w:val="18"/>
                    </w:rPr>
                  </w:pPr>
                  <w:r>
                    <w:rPr>
                      <w:kern w:val="0"/>
                      <w:sz w:val="18"/>
                      <w:szCs w:val="18"/>
                    </w:rPr>
                    <w:t>土石方、</w:t>
                  </w:r>
                </w:p>
                <w:p>
                  <w:pPr>
                    <w:ind w:left="-1" w:leftChars="-37" w:hanging="77" w:hangingChars="43"/>
                    <w:jc w:val="center"/>
                    <w:rPr>
                      <w:kern w:val="0"/>
                      <w:sz w:val="18"/>
                      <w:szCs w:val="18"/>
                    </w:rPr>
                  </w:pPr>
                  <w:r>
                    <w:rPr>
                      <w:kern w:val="0"/>
                      <w:sz w:val="18"/>
                      <w:szCs w:val="18"/>
                    </w:rPr>
                    <w:t>基础阶段</w:t>
                  </w:r>
                </w:p>
              </w:tc>
              <w:tc>
                <w:tcPr>
                  <w:tcW w:w="1190" w:type="dxa"/>
                  <w:vAlign w:val="center"/>
                </w:tcPr>
                <w:p>
                  <w:pPr>
                    <w:tabs>
                      <w:tab w:val="center" w:pos="4153"/>
                    </w:tabs>
                    <w:jc w:val="center"/>
                    <w:rPr>
                      <w:kern w:val="24"/>
                      <w:sz w:val="18"/>
                      <w:szCs w:val="18"/>
                    </w:rPr>
                  </w:pPr>
                  <w:r>
                    <w:rPr>
                      <w:kern w:val="24"/>
                      <w:sz w:val="18"/>
                      <w:szCs w:val="18"/>
                    </w:rPr>
                    <w:t>挖土机</w:t>
                  </w:r>
                </w:p>
              </w:tc>
              <w:tc>
                <w:tcPr>
                  <w:tcW w:w="595" w:type="dxa"/>
                  <w:vAlign w:val="center"/>
                </w:tcPr>
                <w:p>
                  <w:pPr>
                    <w:widowControl/>
                    <w:jc w:val="center"/>
                    <w:rPr>
                      <w:kern w:val="0"/>
                      <w:sz w:val="18"/>
                      <w:szCs w:val="18"/>
                    </w:rPr>
                  </w:pPr>
                  <w:r>
                    <w:rPr>
                      <w:kern w:val="0"/>
                      <w:sz w:val="18"/>
                      <w:szCs w:val="18"/>
                    </w:rPr>
                    <w:t>96</w:t>
                  </w:r>
                </w:p>
              </w:tc>
              <w:tc>
                <w:tcPr>
                  <w:tcW w:w="620" w:type="dxa"/>
                  <w:vAlign w:val="center"/>
                </w:tcPr>
                <w:p>
                  <w:pPr>
                    <w:widowControl/>
                    <w:jc w:val="center"/>
                    <w:rPr>
                      <w:kern w:val="0"/>
                      <w:sz w:val="18"/>
                      <w:szCs w:val="18"/>
                    </w:rPr>
                  </w:pPr>
                  <w:r>
                    <w:rPr>
                      <w:kern w:val="0"/>
                      <w:sz w:val="18"/>
                      <w:szCs w:val="18"/>
                    </w:rPr>
                    <w:t>76</w:t>
                  </w:r>
                </w:p>
              </w:tc>
              <w:tc>
                <w:tcPr>
                  <w:tcW w:w="587" w:type="dxa"/>
                  <w:vAlign w:val="center"/>
                </w:tcPr>
                <w:p>
                  <w:pPr>
                    <w:widowControl/>
                    <w:jc w:val="center"/>
                    <w:rPr>
                      <w:kern w:val="0"/>
                      <w:sz w:val="18"/>
                      <w:szCs w:val="18"/>
                    </w:rPr>
                  </w:pPr>
                  <w:r>
                    <w:rPr>
                      <w:kern w:val="0"/>
                      <w:sz w:val="18"/>
                      <w:szCs w:val="18"/>
                    </w:rPr>
                    <w:t>70</w:t>
                  </w:r>
                </w:p>
              </w:tc>
              <w:tc>
                <w:tcPr>
                  <w:tcW w:w="589" w:type="dxa"/>
                  <w:vAlign w:val="center"/>
                </w:tcPr>
                <w:p>
                  <w:pPr>
                    <w:widowControl/>
                    <w:jc w:val="center"/>
                    <w:rPr>
                      <w:kern w:val="0"/>
                      <w:sz w:val="18"/>
                      <w:szCs w:val="18"/>
                    </w:rPr>
                  </w:pPr>
                  <w:r>
                    <w:rPr>
                      <w:kern w:val="0"/>
                      <w:sz w:val="18"/>
                      <w:szCs w:val="18"/>
                    </w:rPr>
                    <w:t>66</w:t>
                  </w:r>
                </w:p>
              </w:tc>
              <w:tc>
                <w:tcPr>
                  <w:tcW w:w="589" w:type="dxa"/>
                  <w:vAlign w:val="center"/>
                </w:tcPr>
                <w:p>
                  <w:pPr>
                    <w:widowControl/>
                    <w:jc w:val="center"/>
                    <w:rPr>
                      <w:kern w:val="0"/>
                      <w:sz w:val="18"/>
                      <w:szCs w:val="18"/>
                    </w:rPr>
                  </w:pPr>
                  <w:r>
                    <w:rPr>
                      <w:kern w:val="0"/>
                      <w:sz w:val="18"/>
                      <w:szCs w:val="18"/>
                    </w:rPr>
                    <w:t>62</w:t>
                  </w:r>
                </w:p>
              </w:tc>
              <w:tc>
                <w:tcPr>
                  <w:tcW w:w="589" w:type="dxa"/>
                  <w:vAlign w:val="center"/>
                </w:tcPr>
                <w:p>
                  <w:pPr>
                    <w:widowControl/>
                    <w:jc w:val="center"/>
                    <w:rPr>
                      <w:kern w:val="0"/>
                      <w:sz w:val="18"/>
                      <w:szCs w:val="18"/>
                    </w:rPr>
                  </w:pPr>
                  <w:r>
                    <w:rPr>
                      <w:kern w:val="0"/>
                      <w:sz w:val="18"/>
                      <w:szCs w:val="18"/>
                    </w:rPr>
                    <w:t>60</w:t>
                  </w:r>
                </w:p>
              </w:tc>
              <w:tc>
                <w:tcPr>
                  <w:tcW w:w="589" w:type="dxa"/>
                  <w:vAlign w:val="center"/>
                </w:tcPr>
                <w:p>
                  <w:pPr>
                    <w:widowControl/>
                    <w:jc w:val="center"/>
                    <w:rPr>
                      <w:kern w:val="0"/>
                      <w:sz w:val="18"/>
                      <w:szCs w:val="18"/>
                    </w:rPr>
                  </w:pPr>
                  <w:r>
                    <w:rPr>
                      <w:kern w:val="0"/>
                      <w:sz w:val="18"/>
                      <w:szCs w:val="18"/>
                    </w:rPr>
                    <w:t>58</w:t>
                  </w:r>
                </w:p>
              </w:tc>
              <w:tc>
                <w:tcPr>
                  <w:tcW w:w="666" w:type="dxa"/>
                  <w:vAlign w:val="center"/>
                </w:tcPr>
                <w:p>
                  <w:pPr>
                    <w:widowControl/>
                    <w:jc w:val="center"/>
                    <w:rPr>
                      <w:kern w:val="0"/>
                      <w:sz w:val="18"/>
                      <w:szCs w:val="18"/>
                    </w:rPr>
                  </w:pPr>
                  <w:r>
                    <w:rPr>
                      <w:kern w:val="0"/>
                      <w:sz w:val="18"/>
                      <w:szCs w:val="18"/>
                    </w:rPr>
                    <w:t>56</w:t>
                  </w:r>
                </w:p>
              </w:tc>
              <w:tc>
                <w:tcPr>
                  <w:tcW w:w="666" w:type="dxa"/>
                  <w:vAlign w:val="center"/>
                </w:tcPr>
                <w:p>
                  <w:pPr>
                    <w:widowControl/>
                    <w:jc w:val="center"/>
                    <w:rPr>
                      <w:kern w:val="0"/>
                      <w:sz w:val="18"/>
                      <w:szCs w:val="18"/>
                    </w:rPr>
                  </w:pPr>
                  <w:r>
                    <w:rPr>
                      <w:kern w:val="0"/>
                      <w:sz w:val="18"/>
                      <w:szCs w:val="18"/>
                    </w:rPr>
                    <w:t>52</w:t>
                  </w:r>
                </w:p>
              </w:tc>
              <w:tc>
                <w:tcPr>
                  <w:tcW w:w="666" w:type="dxa"/>
                  <w:vAlign w:val="center"/>
                </w:tcPr>
                <w:p>
                  <w:pPr>
                    <w:widowControl/>
                    <w:jc w:val="center"/>
                    <w:rPr>
                      <w:kern w:val="0"/>
                      <w:sz w:val="18"/>
                      <w:szCs w:val="18"/>
                    </w:rPr>
                  </w:pPr>
                  <w:r>
                    <w:rPr>
                      <w:kern w:val="0"/>
                      <w:sz w:val="18"/>
                      <w:szCs w:val="18"/>
                    </w:rPr>
                    <w:t>50</w:t>
                  </w:r>
                </w:p>
              </w:tc>
              <w:tc>
                <w:tcPr>
                  <w:tcW w:w="666" w:type="dxa"/>
                  <w:vAlign w:val="center"/>
                </w:tcPr>
                <w:p>
                  <w:pPr>
                    <w:widowControl/>
                    <w:jc w:val="center"/>
                    <w:rPr>
                      <w:kern w:val="0"/>
                      <w:sz w:val="18"/>
                      <w:szCs w:val="18"/>
                    </w:rPr>
                  </w:pPr>
                  <w:r>
                    <w:rPr>
                      <w:kern w:val="0"/>
                      <w:sz w:val="18"/>
                      <w:szCs w:val="18"/>
                    </w:rPr>
                    <w:t>48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jc w:val="center"/>
                    <w:rPr>
                      <w:kern w:val="0"/>
                      <w:sz w:val="18"/>
                      <w:szCs w:val="18"/>
                    </w:rPr>
                  </w:pPr>
                </w:p>
              </w:tc>
              <w:tc>
                <w:tcPr>
                  <w:tcW w:w="1190" w:type="dxa"/>
                  <w:vAlign w:val="center"/>
                </w:tcPr>
                <w:p>
                  <w:pPr>
                    <w:tabs>
                      <w:tab w:val="center" w:pos="4153"/>
                    </w:tabs>
                    <w:jc w:val="center"/>
                    <w:rPr>
                      <w:kern w:val="24"/>
                      <w:sz w:val="18"/>
                      <w:szCs w:val="18"/>
                    </w:rPr>
                  </w:pPr>
                  <w:r>
                    <w:rPr>
                      <w:kern w:val="24"/>
                      <w:sz w:val="18"/>
                      <w:szCs w:val="18"/>
                    </w:rPr>
                    <w:t>冲击机</w:t>
                  </w:r>
                </w:p>
              </w:tc>
              <w:tc>
                <w:tcPr>
                  <w:tcW w:w="595" w:type="dxa"/>
                  <w:vAlign w:val="center"/>
                </w:tcPr>
                <w:p>
                  <w:pPr>
                    <w:tabs>
                      <w:tab w:val="center" w:pos="4153"/>
                    </w:tabs>
                    <w:jc w:val="center"/>
                    <w:rPr>
                      <w:kern w:val="24"/>
                      <w:sz w:val="18"/>
                      <w:szCs w:val="18"/>
                    </w:rPr>
                  </w:pPr>
                  <w:r>
                    <w:rPr>
                      <w:kern w:val="24"/>
                      <w:sz w:val="18"/>
                      <w:szCs w:val="18"/>
                    </w:rPr>
                    <w:t>95</w:t>
                  </w:r>
                </w:p>
              </w:tc>
              <w:tc>
                <w:tcPr>
                  <w:tcW w:w="620" w:type="dxa"/>
                  <w:vAlign w:val="center"/>
                </w:tcPr>
                <w:p>
                  <w:pPr>
                    <w:widowControl/>
                    <w:jc w:val="center"/>
                    <w:rPr>
                      <w:kern w:val="0"/>
                      <w:sz w:val="18"/>
                      <w:szCs w:val="18"/>
                    </w:rPr>
                  </w:pPr>
                  <w:r>
                    <w:rPr>
                      <w:kern w:val="0"/>
                      <w:sz w:val="18"/>
                      <w:szCs w:val="18"/>
                    </w:rPr>
                    <w:t>75</w:t>
                  </w:r>
                </w:p>
              </w:tc>
              <w:tc>
                <w:tcPr>
                  <w:tcW w:w="587" w:type="dxa"/>
                  <w:vAlign w:val="center"/>
                </w:tcPr>
                <w:p>
                  <w:pPr>
                    <w:widowControl/>
                    <w:jc w:val="center"/>
                    <w:rPr>
                      <w:kern w:val="0"/>
                      <w:sz w:val="18"/>
                      <w:szCs w:val="18"/>
                    </w:rPr>
                  </w:pPr>
                  <w:r>
                    <w:rPr>
                      <w:kern w:val="0"/>
                      <w:sz w:val="18"/>
                      <w:szCs w:val="18"/>
                    </w:rPr>
                    <w:t>69</w:t>
                  </w:r>
                </w:p>
              </w:tc>
              <w:tc>
                <w:tcPr>
                  <w:tcW w:w="589" w:type="dxa"/>
                  <w:vAlign w:val="center"/>
                </w:tcPr>
                <w:p>
                  <w:pPr>
                    <w:widowControl/>
                    <w:jc w:val="center"/>
                    <w:rPr>
                      <w:kern w:val="0"/>
                      <w:sz w:val="18"/>
                      <w:szCs w:val="18"/>
                    </w:rPr>
                  </w:pPr>
                  <w:r>
                    <w:rPr>
                      <w:kern w:val="0"/>
                      <w:sz w:val="18"/>
                      <w:szCs w:val="18"/>
                    </w:rPr>
                    <w:t>65</w:t>
                  </w:r>
                </w:p>
              </w:tc>
              <w:tc>
                <w:tcPr>
                  <w:tcW w:w="589" w:type="dxa"/>
                  <w:vAlign w:val="center"/>
                </w:tcPr>
                <w:p>
                  <w:pPr>
                    <w:widowControl/>
                    <w:jc w:val="center"/>
                    <w:rPr>
                      <w:kern w:val="0"/>
                      <w:sz w:val="18"/>
                      <w:szCs w:val="18"/>
                    </w:rPr>
                  </w:pPr>
                  <w:r>
                    <w:rPr>
                      <w:kern w:val="0"/>
                      <w:sz w:val="18"/>
                      <w:szCs w:val="18"/>
                    </w:rPr>
                    <w:t>61</w:t>
                  </w:r>
                </w:p>
              </w:tc>
              <w:tc>
                <w:tcPr>
                  <w:tcW w:w="589" w:type="dxa"/>
                  <w:vAlign w:val="center"/>
                </w:tcPr>
                <w:p>
                  <w:pPr>
                    <w:widowControl/>
                    <w:jc w:val="center"/>
                    <w:rPr>
                      <w:kern w:val="0"/>
                      <w:sz w:val="18"/>
                      <w:szCs w:val="18"/>
                    </w:rPr>
                  </w:pPr>
                  <w:r>
                    <w:rPr>
                      <w:kern w:val="0"/>
                      <w:sz w:val="18"/>
                      <w:szCs w:val="18"/>
                    </w:rPr>
                    <w:t>59</w:t>
                  </w:r>
                </w:p>
              </w:tc>
              <w:tc>
                <w:tcPr>
                  <w:tcW w:w="589" w:type="dxa"/>
                  <w:vAlign w:val="center"/>
                </w:tcPr>
                <w:p>
                  <w:pPr>
                    <w:widowControl/>
                    <w:jc w:val="center"/>
                    <w:rPr>
                      <w:kern w:val="0"/>
                      <w:sz w:val="18"/>
                      <w:szCs w:val="18"/>
                    </w:rPr>
                  </w:pPr>
                  <w:r>
                    <w:rPr>
                      <w:kern w:val="0"/>
                      <w:sz w:val="18"/>
                      <w:szCs w:val="18"/>
                    </w:rPr>
                    <w:t>57</w:t>
                  </w:r>
                </w:p>
              </w:tc>
              <w:tc>
                <w:tcPr>
                  <w:tcW w:w="666" w:type="dxa"/>
                  <w:vAlign w:val="center"/>
                </w:tcPr>
                <w:p>
                  <w:pPr>
                    <w:widowControl/>
                    <w:jc w:val="center"/>
                    <w:rPr>
                      <w:kern w:val="0"/>
                      <w:sz w:val="18"/>
                      <w:szCs w:val="18"/>
                    </w:rPr>
                  </w:pPr>
                  <w:r>
                    <w:rPr>
                      <w:kern w:val="0"/>
                      <w:sz w:val="18"/>
                      <w:szCs w:val="18"/>
                    </w:rPr>
                    <w:t>55</w:t>
                  </w:r>
                </w:p>
              </w:tc>
              <w:tc>
                <w:tcPr>
                  <w:tcW w:w="666" w:type="dxa"/>
                  <w:vAlign w:val="center"/>
                </w:tcPr>
                <w:p>
                  <w:pPr>
                    <w:widowControl/>
                    <w:jc w:val="center"/>
                    <w:rPr>
                      <w:kern w:val="0"/>
                      <w:sz w:val="18"/>
                      <w:szCs w:val="18"/>
                    </w:rPr>
                  </w:pPr>
                  <w:r>
                    <w:rPr>
                      <w:kern w:val="0"/>
                      <w:sz w:val="18"/>
                      <w:szCs w:val="18"/>
                    </w:rPr>
                    <w:t>51</w:t>
                  </w:r>
                </w:p>
              </w:tc>
              <w:tc>
                <w:tcPr>
                  <w:tcW w:w="666" w:type="dxa"/>
                  <w:vAlign w:val="center"/>
                </w:tcPr>
                <w:p>
                  <w:pPr>
                    <w:widowControl/>
                    <w:jc w:val="center"/>
                    <w:rPr>
                      <w:kern w:val="0"/>
                      <w:sz w:val="18"/>
                      <w:szCs w:val="18"/>
                    </w:rPr>
                  </w:pPr>
                  <w:r>
                    <w:rPr>
                      <w:kern w:val="0"/>
                      <w:sz w:val="18"/>
                      <w:szCs w:val="18"/>
                    </w:rPr>
                    <w:t>49</w:t>
                  </w:r>
                </w:p>
              </w:tc>
              <w:tc>
                <w:tcPr>
                  <w:tcW w:w="666" w:type="dxa"/>
                  <w:vAlign w:val="center"/>
                </w:tcPr>
                <w:p>
                  <w:pPr>
                    <w:widowControl/>
                    <w:jc w:val="center"/>
                    <w:rPr>
                      <w:kern w:val="0"/>
                      <w:sz w:val="18"/>
                      <w:szCs w:val="18"/>
                    </w:rPr>
                  </w:pPr>
                  <w:r>
                    <w:rPr>
                      <w:kern w:val="0"/>
                      <w:sz w:val="18"/>
                      <w:szCs w:val="18"/>
                    </w:rPr>
                    <w:t>47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jc w:val="center"/>
              </w:trPr>
              <w:tc>
                <w:tcPr>
                  <w:tcW w:w="819" w:type="dxa"/>
                  <w:vMerge w:val="continue"/>
                  <w:vAlign w:val="center"/>
                </w:tcPr>
                <w:p>
                  <w:pPr>
                    <w:jc w:val="center"/>
                    <w:rPr>
                      <w:kern w:val="0"/>
                      <w:sz w:val="18"/>
                      <w:szCs w:val="18"/>
                    </w:rPr>
                  </w:pPr>
                </w:p>
              </w:tc>
              <w:tc>
                <w:tcPr>
                  <w:tcW w:w="1190" w:type="dxa"/>
                  <w:vAlign w:val="center"/>
                </w:tcPr>
                <w:p>
                  <w:pPr>
                    <w:tabs>
                      <w:tab w:val="center" w:pos="4153"/>
                    </w:tabs>
                    <w:jc w:val="center"/>
                    <w:rPr>
                      <w:kern w:val="24"/>
                      <w:sz w:val="18"/>
                      <w:szCs w:val="18"/>
                    </w:rPr>
                  </w:pPr>
                  <w:r>
                    <w:rPr>
                      <w:kern w:val="24"/>
                      <w:sz w:val="18"/>
                      <w:szCs w:val="18"/>
                    </w:rPr>
                    <w:t>大型载重车</w:t>
                  </w:r>
                </w:p>
              </w:tc>
              <w:tc>
                <w:tcPr>
                  <w:tcW w:w="595" w:type="dxa"/>
                  <w:vAlign w:val="center"/>
                </w:tcPr>
                <w:p>
                  <w:pPr>
                    <w:jc w:val="center"/>
                    <w:rPr>
                      <w:kern w:val="24"/>
                      <w:sz w:val="18"/>
                      <w:szCs w:val="18"/>
                    </w:rPr>
                  </w:pPr>
                  <w:r>
                    <w:rPr>
                      <w:kern w:val="0"/>
                      <w:sz w:val="18"/>
                      <w:szCs w:val="18"/>
                    </w:rPr>
                    <w:t>89</w:t>
                  </w:r>
                </w:p>
              </w:tc>
              <w:tc>
                <w:tcPr>
                  <w:tcW w:w="620" w:type="dxa"/>
                  <w:vAlign w:val="center"/>
                </w:tcPr>
                <w:p>
                  <w:pPr>
                    <w:jc w:val="center"/>
                    <w:rPr>
                      <w:kern w:val="0"/>
                      <w:sz w:val="18"/>
                      <w:szCs w:val="18"/>
                    </w:rPr>
                  </w:pPr>
                  <w:r>
                    <w:rPr>
                      <w:kern w:val="0"/>
                      <w:sz w:val="18"/>
                      <w:szCs w:val="18"/>
                    </w:rPr>
                    <w:t>69</w:t>
                  </w:r>
                </w:p>
              </w:tc>
              <w:tc>
                <w:tcPr>
                  <w:tcW w:w="587" w:type="dxa"/>
                  <w:vAlign w:val="center"/>
                </w:tcPr>
                <w:p>
                  <w:pPr>
                    <w:jc w:val="center"/>
                    <w:rPr>
                      <w:kern w:val="0"/>
                      <w:sz w:val="18"/>
                      <w:szCs w:val="18"/>
                    </w:rPr>
                  </w:pPr>
                  <w:r>
                    <w:rPr>
                      <w:kern w:val="0"/>
                      <w:sz w:val="18"/>
                      <w:szCs w:val="18"/>
                    </w:rPr>
                    <w:t>63</w:t>
                  </w:r>
                </w:p>
              </w:tc>
              <w:tc>
                <w:tcPr>
                  <w:tcW w:w="589" w:type="dxa"/>
                  <w:vAlign w:val="center"/>
                </w:tcPr>
                <w:p>
                  <w:pPr>
                    <w:jc w:val="center"/>
                    <w:rPr>
                      <w:kern w:val="0"/>
                      <w:sz w:val="18"/>
                      <w:szCs w:val="18"/>
                    </w:rPr>
                  </w:pPr>
                  <w:r>
                    <w:rPr>
                      <w:kern w:val="0"/>
                      <w:sz w:val="18"/>
                      <w:szCs w:val="18"/>
                    </w:rPr>
                    <w:t>59</w:t>
                  </w:r>
                </w:p>
              </w:tc>
              <w:tc>
                <w:tcPr>
                  <w:tcW w:w="589" w:type="dxa"/>
                  <w:vAlign w:val="center"/>
                </w:tcPr>
                <w:p>
                  <w:pPr>
                    <w:jc w:val="center"/>
                    <w:rPr>
                      <w:kern w:val="0"/>
                      <w:sz w:val="18"/>
                      <w:szCs w:val="18"/>
                    </w:rPr>
                  </w:pPr>
                  <w:r>
                    <w:rPr>
                      <w:kern w:val="0"/>
                      <w:sz w:val="18"/>
                      <w:szCs w:val="18"/>
                    </w:rPr>
                    <w:t>55</w:t>
                  </w:r>
                </w:p>
              </w:tc>
              <w:tc>
                <w:tcPr>
                  <w:tcW w:w="589" w:type="dxa"/>
                  <w:vAlign w:val="center"/>
                </w:tcPr>
                <w:p>
                  <w:pPr>
                    <w:jc w:val="center"/>
                    <w:rPr>
                      <w:kern w:val="0"/>
                      <w:sz w:val="18"/>
                      <w:szCs w:val="18"/>
                    </w:rPr>
                  </w:pPr>
                  <w:r>
                    <w:rPr>
                      <w:kern w:val="0"/>
                      <w:sz w:val="18"/>
                      <w:szCs w:val="18"/>
                    </w:rPr>
                    <w:t>53</w:t>
                  </w:r>
                </w:p>
              </w:tc>
              <w:tc>
                <w:tcPr>
                  <w:tcW w:w="589" w:type="dxa"/>
                  <w:vAlign w:val="center"/>
                </w:tcPr>
                <w:p>
                  <w:pPr>
                    <w:jc w:val="center"/>
                    <w:rPr>
                      <w:kern w:val="0"/>
                      <w:sz w:val="18"/>
                      <w:szCs w:val="18"/>
                    </w:rPr>
                  </w:pPr>
                  <w:r>
                    <w:rPr>
                      <w:kern w:val="0"/>
                      <w:sz w:val="18"/>
                      <w:szCs w:val="18"/>
                    </w:rPr>
                    <w:t>51</w:t>
                  </w:r>
                </w:p>
              </w:tc>
              <w:tc>
                <w:tcPr>
                  <w:tcW w:w="666" w:type="dxa"/>
                  <w:vAlign w:val="center"/>
                </w:tcPr>
                <w:p>
                  <w:pPr>
                    <w:jc w:val="center"/>
                    <w:rPr>
                      <w:kern w:val="0"/>
                      <w:sz w:val="18"/>
                      <w:szCs w:val="18"/>
                    </w:rPr>
                  </w:pPr>
                  <w:r>
                    <w:rPr>
                      <w:kern w:val="0"/>
                      <w:sz w:val="18"/>
                      <w:szCs w:val="18"/>
                    </w:rPr>
                    <w:t>49</w:t>
                  </w:r>
                </w:p>
              </w:tc>
              <w:tc>
                <w:tcPr>
                  <w:tcW w:w="666" w:type="dxa"/>
                  <w:vAlign w:val="center"/>
                </w:tcPr>
                <w:p>
                  <w:pPr>
                    <w:jc w:val="center"/>
                    <w:rPr>
                      <w:kern w:val="0"/>
                      <w:sz w:val="18"/>
                      <w:szCs w:val="18"/>
                    </w:rPr>
                  </w:pPr>
                  <w:r>
                    <w:rPr>
                      <w:kern w:val="0"/>
                      <w:sz w:val="18"/>
                      <w:szCs w:val="18"/>
                    </w:rPr>
                    <w:t>45</w:t>
                  </w:r>
                </w:p>
              </w:tc>
              <w:tc>
                <w:tcPr>
                  <w:tcW w:w="666" w:type="dxa"/>
                  <w:vAlign w:val="center"/>
                </w:tcPr>
                <w:p>
                  <w:pPr>
                    <w:jc w:val="center"/>
                    <w:rPr>
                      <w:kern w:val="0"/>
                      <w:sz w:val="18"/>
                      <w:szCs w:val="18"/>
                    </w:rPr>
                  </w:pPr>
                  <w:r>
                    <w:rPr>
                      <w:kern w:val="0"/>
                      <w:sz w:val="18"/>
                      <w:szCs w:val="18"/>
                    </w:rPr>
                    <w:t>43</w:t>
                  </w:r>
                </w:p>
              </w:tc>
              <w:tc>
                <w:tcPr>
                  <w:tcW w:w="666" w:type="dxa"/>
                  <w:vAlign w:val="center"/>
                </w:tcPr>
                <w:p>
                  <w:pPr>
                    <w:jc w:val="center"/>
                    <w:rPr>
                      <w:kern w:val="0"/>
                      <w:sz w:val="18"/>
                      <w:szCs w:val="18"/>
                    </w:rPr>
                  </w:pPr>
                  <w:r>
                    <w:rPr>
                      <w:kern w:val="0"/>
                      <w:sz w:val="18"/>
                      <w:szCs w:val="18"/>
                    </w:rPr>
                    <w:t>41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widowControl/>
                    <w:jc w:val="center"/>
                    <w:rPr>
                      <w:kern w:val="0"/>
                      <w:sz w:val="18"/>
                      <w:szCs w:val="18"/>
                    </w:rPr>
                  </w:pPr>
                </w:p>
              </w:tc>
              <w:tc>
                <w:tcPr>
                  <w:tcW w:w="1190" w:type="dxa"/>
                  <w:vAlign w:val="center"/>
                </w:tcPr>
                <w:p>
                  <w:pPr>
                    <w:tabs>
                      <w:tab w:val="center" w:pos="4153"/>
                    </w:tabs>
                    <w:jc w:val="center"/>
                    <w:rPr>
                      <w:kern w:val="24"/>
                      <w:sz w:val="18"/>
                      <w:szCs w:val="18"/>
                    </w:rPr>
                  </w:pPr>
                  <w:r>
                    <w:rPr>
                      <w:kern w:val="24"/>
                      <w:sz w:val="18"/>
                      <w:szCs w:val="18"/>
                    </w:rPr>
                    <w:t>空压机</w:t>
                  </w:r>
                </w:p>
              </w:tc>
              <w:tc>
                <w:tcPr>
                  <w:tcW w:w="595" w:type="dxa"/>
                  <w:vAlign w:val="center"/>
                </w:tcPr>
                <w:p>
                  <w:pPr>
                    <w:tabs>
                      <w:tab w:val="center" w:pos="4153"/>
                    </w:tabs>
                    <w:jc w:val="center"/>
                    <w:rPr>
                      <w:kern w:val="24"/>
                      <w:sz w:val="18"/>
                      <w:szCs w:val="18"/>
                    </w:rPr>
                  </w:pPr>
                  <w:r>
                    <w:rPr>
                      <w:kern w:val="24"/>
                      <w:sz w:val="18"/>
                      <w:szCs w:val="18"/>
                    </w:rPr>
                    <w:t>85</w:t>
                  </w:r>
                </w:p>
              </w:tc>
              <w:tc>
                <w:tcPr>
                  <w:tcW w:w="620" w:type="dxa"/>
                  <w:vAlign w:val="center"/>
                </w:tcPr>
                <w:p>
                  <w:pPr>
                    <w:widowControl/>
                    <w:jc w:val="center"/>
                    <w:rPr>
                      <w:kern w:val="0"/>
                      <w:sz w:val="18"/>
                      <w:szCs w:val="18"/>
                    </w:rPr>
                  </w:pPr>
                  <w:r>
                    <w:rPr>
                      <w:kern w:val="0"/>
                      <w:sz w:val="18"/>
                      <w:szCs w:val="18"/>
                    </w:rPr>
                    <w:t>65</w:t>
                  </w:r>
                </w:p>
              </w:tc>
              <w:tc>
                <w:tcPr>
                  <w:tcW w:w="587" w:type="dxa"/>
                  <w:vAlign w:val="center"/>
                </w:tcPr>
                <w:p>
                  <w:pPr>
                    <w:widowControl/>
                    <w:jc w:val="center"/>
                    <w:rPr>
                      <w:kern w:val="0"/>
                      <w:sz w:val="18"/>
                      <w:szCs w:val="18"/>
                    </w:rPr>
                  </w:pPr>
                  <w:r>
                    <w:rPr>
                      <w:kern w:val="0"/>
                      <w:sz w:val="18"/>
                      <w:szCs w:val="18"/>
                    </w:rPr>
                    <w:t>59</w:t>
                  </w:r>
                </w:p>
              </w:tc>
              <w:tc>
                <w:tcPr>
                  <w:tcW w:w="589" w:type="dxa"/>
                  <w:vAlign w:val="center"/>
                </w:tcPr>
                <w:p>
                  <w:pPr>
                    <w:widowControl/>
                    <w:jc w:val="center"/>
                    <w:rPr>
                      <w:kern w:val="0"/>
                      <w:sz w:val="18"/>
                      <w:szCs w:val="18"/>
                    </w:rPr>
                  </w:pPr>
                  <w:r>
                    <w:rPr>
                      <w:kern w:val="0"/>
                      <w:sz w:val="18"/>
                      <w:szCs w:val="18"/>
                    </w:rPr>
                    <w:t>55</w:t>
                  </w:r>
                </w:p>
              </w:tc>
              <w:tc>
                <w:tcPr>
                  <w:tcW w:w="589" w:type="dxa"/>
                  <w:vAlign w:val="center"/>
                </w:tcPr>
                <w:p>
                  <w:pPr>
                    <w:widowControl/>
                    <w:jc w:val="center"/>
                    <w:rPr>
                      <w:kern w:val="0"/>
                      <w:sz w:val="18"/>
                      <w:szCs w:val="18"/>
                    </w:rPr>
                  </w:pPr>
                  <w:r>
                    <w:rPr>
                      <w:kern w:val="0"/>
                      <w:sz w:val="18"/>
                      <w:szCs w:val="18"/>
                    </w:rPr>
                    <w:t>51</w:t>
                  </w:r>
                </w:p>
              </w:tc>
              <w:tc>
                <w:tcPr>
                  <w:tcW w:w="589" w:type="dxa"/>
                  <w:vAlign w:val="center"/>
                </w:tcPr>
                <w:p>
                  <w:pPr>
                    <w:widowControl/>
                    <w:jc w:val="center"/>
                    <w:rPr>
                      <w:kern w:val="0"/>
                      <w:sz w:val="18"/>
                      <w:szCs w:val="18"/>
                    </w:rPr>
                  </w:pPr>
                  <w:r>
                    <w:rPr>
                      <w:kern w:val="0"/>
                      <w:sz w:val="18"/>
                      <w:szCs w:val="18"/>
                    </w:rPr>
                    <w:t>49</w:t>
                  </w:r>
                </w:p>
              </w:tc>
              <w:tc>
                <w:tcPr>
                  <w:tcW w:w="589" w:type="dxa"/>
                  <w:vAlign w:val="center"/>
                </w:tcPr>
                <w:p>
                  <w:pPr>
                    <w:widowControl/>
                    <w:jc w:val="center"/>
                    <w:rPr>
                      <w:kern w:val="0"/>
                      <w:sz w:val="18"/>
                      <w:szCs w:val="18"/>
                    </w:rPr>
                  </w:pPr>
                  <w:r>
                    <w:rPr>
                      <w:kern w:val="0"/>
                      <w:sz w:val="18"/>
                      <w:szCs w:val="18"/>
                    </w:rPr>
                    <w:t>47</w:t>
                  </w:r>
                </w:p>
              </w:tc>
              <w:tc>
                <w:tcPr>
                  <w:tcW w:w="666" w:type="dxa"/>
                  <w:vAlign w:val="center"/>
                </w:tcPr>
                <w:p>
                  <w:pPr>
                    <w:widowControl/>
                    <w:jc w:val="center"/>
                    <w:rPr>
                      <w:kern w:val="0"/>
                      <w:sz w:val="18"/>
                      <w:szCs w:val="18"/>
                    </w:rPr>
                  </w:pPr>
                  <w:r>
                    <w:rPr>
                      <w:kern w:val="0"/>
                      <w:sz w:val="18"/>
                      <w:szCs w:val="18"/>
                    </w:rPr>
                    <w:t>45</w:t>
                  </w:r>
                </w:p>
              </w:tc>
              <w:tc>
                <w:tcPr>
                  <w:tcW w:w="666" w:type="dxa"/>
                  <w:vAlign w:val="center"/>
                </w:tcPr>
                <w:p>
                  <w:pPr>
                    <w:widowControl/>
                    <w:jc w:val="center"/>
                    <w:rPr>
                      <w:kern w:val="0"/>
                      <w:sz w:val="18"/>
                      <w:szCs w:val="18"/>
                    </w:rPr>
                  </w:pPr>
                  <w:r>
                    <w:rPr>
                      <w:kern w:val="0"/>
                      <w:sz w:val="18"/>
                      <w:szCs w:val="18"/>
                    </w:rPr>
                    <w:t>41</w:t>
                  </w:r>
                </w:p>
              </w:tc>
              <w:tc>
                <w:tcPr>
                  <w:tcW w:w="666" w:type="dxa"/>
                  <w:vAlign w:val="center"/>
                </w:tcPr>
                <w:p>
                  <w:pPr>
                    <w:widowControl/>
                    <w:jc w:val="center"/>
                    <w:rPr>
                      <w:kern w:val="0"/>
                      <w:sz w:val="18"/>
                      <w:szCs w:val="18"/>
                    </w:rPr>
                  </w:pPr>
                  <w:r>
                    <w:rPr>
                      <w:kern w:val="0"/>
                      <w:sz w:val="18"/>
                      <w:szCs w:val="18"/>
                    </w:rPr>
                    <w:t>39</w:t>
                  </w:r>
                </w:p>
              </w:tc>
              <w:tc>
                <w:tcPr>
                  <w:tcW w:w="666" w:type="dxa"/>
                  <w:vAlign w:val="center"/>
                </w:tcPr>
                <w:p>
                  <w:pPr>
                    <w:widowControl/>
                    <w:jc w:val="center"/>
                    <w:rPr>
                      <w:kern w:val="0"/>
                      <w:sz w:val="18"/>
                      <w:szCs w:val="18"/>
                    </w:rPr>
                  </w:pPr>
                  <w:r>
                    <w:rPr>
                      <w:kern w:val="0"/>
                      <w:sz w:val="18"/>
                      <w:szCs w:val="18"/>
                    </w:rPr>
                    <w:t>37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restart"/>
                  <w:vAlign w:val="center"/>
                </w:tcPr>
                <w:p>
                  <w:pPr>
                    <w:widowControl/>
                    <w:ind w:left="-1" w:leftChars="-37" w:hanging="77" w:hangingChars="43"/>
                    <w:jc w:val="center"/>
                    <w:rPr>
                      <w:kern w:val="0"/>
                      <w:sz w:val="18"/>
                      <w:szCs w:val="18"/>
                    </w:rPr>
                  </w:pPr>
                  <w:r>
                    <w:rPr>
                      <w:kern w:val="0"/>
                      <w:sz w:val="18"/>
                      <w:szCs w:val="18"/>
                    </w:rPr>
                    <w:t>结构阶段</w:t>
                  </w:r>
                </w:p>
              </w:tc>
              <w:tc>
                <w:tcPr>
                  <w:tcW w:w="1190" w:type="dxa"/>
                  <w:vAlign w:val="center"/>
                </w:tcPr>
                <w:p>
                  <w:pPr>
                    <w:tabs>
                      <w:tab w:val="center" w:pos="4153"/>
                    </w:tabs>
                    <w:jc w:val="center"/>
                    <w:rPr>
                      <w:kern w:val="24"/>
                      <w:sz w:val="18"/>
                      <w:szCs w:val="18"/>
                    </w:rPr>
                  </w:pPr>
                  <w:r>
                    <w:rPr>
                      <w:kern w:val="24"/>
                      <w:sz w:val="18"/>
                      <w:szCs w:val="18"/>
                    </w:rPr>
                    <w:t>振捣器</w:t>
                  </w:r>
                </w:p>
              </w:tc>
              <w:tc>
                <w:tcPr>
                  <w:tcW w:w="595" w:type="dxa"/>
                  <w:vAlign w:val="center"/>
                </w:tcPr>
                <w:p>
                  <w:pPr>
                    <w:tabs>
                      <w:tab w:val="center" w:pos="4153"/>
                    </w:tabs>
                    <w:jc w:val="center"/>
                    <w:rPr>
                      <w:kern w:val="24"/>
                      <w:sz w:val="18"/>
                      <w:szCs w:val="18"/>
                    </w:rPr>
                  </w:pPr>
                  <w:r>
                    <w:rPr>
                      <w:kern w:val="24"/>
                      <w:sz w:val="18"/>
                      <w:szCs w:val="18"/>
                    </w:rPr>
                    <w:t>105</w:t>
                  </w:r>
                </w:p>
              </w:tc>
              <w:tc>
                <w:tcPr>
                  <w:tcW w:w="620" w:type="dxa"/>
                  <w:vAlign w:val="center"/>
                </w:tcPr>
                <w:p>
                  <w:pPr>
                    <w:widowControl/>
                    <w:jc w:val="center"/>
                    <w:rPr>
                      <w:kern w:val="0"/>
                      <w:sz w:val="18"/>
                      <w:szCs w:val="18"/>
                    </w:rPr>
                  </w:pPr>
                  <w:r>
                    <w:rPr>
                      <w:kern w:val="0"/>
                      <w:sz w:val="18"/>
                      <w:szCs w:val="18"/>
                    </w:rPr>
                    <w:t>85</w:t>
                  </w:r>
                </w:p>
              </w:tc>
              <w:tc>
                <w:tcPr>
                  <w:tcW w:w="587" w:type="dxa"/>
                  <w:vAlign w:val="center"/>
                </w:tcPr>
                <w:p>
                  <w:pPr>
                    <w:widowControl/>
                    <w:jc w:val="center"/>
                    <w:rPr>
                      <w:kern w:val="0"/>
                      <w:sz w:val="18"/>
                      <w:szCs w:val="18"/>
                    </w:rPr>
                  </w:pPr>
                  <w:r>
                    <w:rPr>
                      <w:kern w:val="0"/>
                      <w:sz w:val="18"/>
                      <w:szCs w:val="18"/>
                    </w:rPr>
                    <w:t>79</w:t>
                  </w:r>
                </w:p>
              </w:tc>
              <w:tc>
                <w:tcPr>
                  <w:tcW w:w="589" w:type="dxa"/>
                  <w:vAlign w:val="center"/>
                </w:tcPr>
                <w:p>
                  <w:pPr>
                    <w:widowControl/>
                    <w:jc w:val="center"/>
                    <w:rPr>
                      <w:kern w:val="0"/>
                      <w:sz w:val="18"/>
                      <w:szCs w:val="18"/>
                    </w:rPr>
                  </w:pPr>
                  <w:r>
                    <w:rPr>
                      <w:kern w:val="0"/>
                      <w:sz w:val="18"/>
                      <w:szCs w:val="18"/>
                    </w:rPr>
                    <w:t>75</w:t>
                  </w:r>
                </w:p>
              </w:tc>
              <w:tc>
                <w:tcPr>
                  <w:tcW w:w="589" w:type="dxa"/>
                  <w:vAlign w:val="center"/>
                </w:tcPr>
                <w:p>
                  <w:pPr>
                    <w:widowControl/>
                    <w:jc w:val="center"/>
                    <w:rPr>
                      <w:kern w:val="0"/>
                      <w:sz w:val="18"/>
                      <w:szCs w:val="18"/>
                    </w:rPr>
                  </w:pPr>
                  <w:r>
                    <w:rPr>
                      <w:kern w:val="0"/>
                      <w:sz w:val="18"/>
                      <w:szCs w:val="18"/>
                    </w:rPr>
                    <w:t>71</w:t>
                  </w:r>
                </w:p>
              </w:tc>
              <w:tc>
                <w:tcPr>
                  <w:tcW w:w="589" w:type="dxa"/>
                  <w:vAlign w:val="center"/>
                </w:tcPr>
                <w:p>
                  <w:pPr>
                    <w:widowControl/>
                    <w:jc w:val="center"/>
                    <w:rPr>
                      <w:kern w:val="0"/>
                      <w:sz w:val="18"/>
                      <w:szCs w:val="18"/>
                    </w:rPr>
                  </w:pPr>
                  <w:r>
                    <w:rPr>
                      <w:kern w:val="0"/>
                      <w:sz w:val="18"/>
                      <w:szCs w:val="18"/>
                    </w:rPr>
                    <w:t>69</w:t>
                  </w:r>
                </w:p>
              </w:tc>
              <w:tc>
                <w:tcPr>
                  <w:tcW w:w="589" w:type="dxa"/>
                  <w:vAlign w:val="center"/>
                </w:tcPr>
                <w:p>
                  <w:pPr>
                    <w:widowControl/>
                    <w:jc w:val="center"/>
                    <w:rPr>
                      <w:kern w:val="0"/>
                      <w:sz w:val="18"/>
                      <w:szCs w:val="18"/>
                    </w:rPr>
                  </w:pPr>
                  <w:r>
                    <w:rPr>
                      <w:kern w:val="0"/>
                      <w:sz w:val="18"/>
                      <w:szCs w:val="18"/>
                    </w:rPr>
                    <w:t>67</w:t>
                  </w:r>
                </w:p>
              </w:tc>
              <w:tc>
                <w:tcPr>
                  <w:tcW w:w="666" w:type="dxa"/>
                  <w:vAlign w:val="center"/>
                </w:tcPr>
                <w:p>
                  <w:pPr>
                    <w:widowControl/>
                    <w:jc w:val="center"/>
                    <w:rPr>
                      <w:kern w:val="0"/>
                      <w:sz w:val="18"/>
                      <w:szCs w:val="18"/>
                    </w:rPr>
                  </w:pPr>
                  <w:r>
                    <w:rPr>
                      <w:kern w:val="0"/>
                      <w:sz w:val="18"/>
                      <w:szCs w:val="18"/>
                    </w:rPr>
                    <w:t>65</w:t>
                  </w:r>
                </w:p>
              </w:tc>
              <w:tc>
                <w:tcPr>
                  <w:tcW w:w="666" w:type="dxa"/>
                  <w:vAlign w:val="center"/>
                </w:tcPr>
                <w:p>
                  <w:pPr>
                    <w:widowControl/>
                    <w:jc w:val="center"/>
                    <w:rPr>
                      <w:kern w:val="0"/>
                      <w:sz w:val="18"/>
                      <w:szCs w:val="18"/>
                    </w:rPr>
                  </w:pPr>
                  <w:r>
                    <w:rPr>
                      <w:kern w:val="0"/>
                      <w:sz w:val="18"/>
                      <w:szCs w:val="18"/>
                    </w:rPr>
                    <w:t>61</w:t>
                  </w:r>
                </w:p>
              </w:tc>
              <w:tc>
                <w:tcPr>
                  <w:tcW w:w="666" w:type="dxa"/>
                  <w:vAlign w:val="center"/>
                </w:tcPr>
                <w:p>
                  <w:pPr>
                    <w:widowControl/>
                    <w:jc w:val="center"/>
                    <w:rPr>
                      <w:kern w:val="0"/>
                      <w:sz w:val="18"/>
                      <w:szCs w:val="18"/>
                    </w:rPr>
                  </w:pPr>
                  <w:r>
                    <w:rPr>
                      <w:kern w:val="0"/>
                      <w:sz w:val="18"/>
                      <w:szCs w:val="18"/>
                    </w:rPr>
                    <w:t>59</w:t>
                  </w:r>
                </w:p>
              </w:tc>
              <w:tc>
                <w:tcPr>
                  <w:tcW w:w="666" w:type="dxa"/>
                  <w:vAlign w:val="center"/>
                </w:tcPr>
                <w:p>
                  <w:pPr>
                    <w:widowControl/>
                    <w:jc w:val="center"/>
                    <w:rPr>
                      <w:kern w:val="0"/>
                      <w:sz w:val="18"/>
                      <w:szCs w:val="18"/>
                    </w:rPr>
                  </w:pPr>
                  <w:r>
                    <w:rPr>
                      <w:kern w:val="0"/>
                      <w:sz w:val="18"/>
                      <w:szCs w:val="18"/>
                    </w:rPr>
                    <w:t>57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widowControl/>
                    <w:ind w:left="-1" w:leftChars="-37" w:hanging="77" w:hangingChars="43"/>
                    <w:jc w:val="center"/>
                    <w:rPr>
                      <w:kern w:val="0"/>
                      <w:sz w:val="18"/>
                      <w:szCs w:val="18"/>
                    </w:rPr>
                  </w:pPr>
                </w:p>
              </w:tc>
              <w:tc>
                <w:tcPr>
                  <w:tcW w:w="1190" w:type="dxa"/>
                  <w:vAlign w:val="center"/>
                </w:tcPr>
                <w:p>
                  <w:pPr>
                    <w:tabs>
                      <w:tab w:val="center" w:pos="4153"/>
                    </w:tabs>
                    <w:ind w:left="0" w:leftChars="-26" w:hanging="55" w:hangingChars="31"/>
                    <w:jc w:val="center"/>
                    <w:rPr>
                      <w:kern w:val="24"/>
                      <w:sz w:val="18"/>
                      <w:szCs w:val="18"/>
                    </w:rPr>
                  </w:pPr>
                  <w:r>
                    <w:rPr>
                      <w:kern w:val="24"/>
                      <w:sz w:val="18"/>
                      <w:szCs w:val="18"/>
                    </w:rPr>
                    <w:t>混凝土输送泵</w:t>
                  </w:r>
                </w:p>
              </w:tc>
              <w:tc>
                <w:tcPr>
                  <w:tcW w:w="595" w:type="dxa"/>
                  <w:vAlign w:val="center"/>
                </w:tcPr>
                <w:p>
                  <w:pPr>
                    <w:tabs>
                      <w:tab w:val="center" w:pos="4153"/>
                    </w:tabs>
                    <w:jc w:val="center"/>
                    <w:rPr>
                      <w:kern w:val="24"/>
                      <w:sz w:val="18"/>
                      <w:szCs w:val="18"/>
                    </w:rPr>
                  </w:pPr>
                  <w:r>
                    <w:rPr>
                      <w:kern w:val="24"/>
                      <w:sz w:val="18"/>
                      <w:szCs w:val="18"/>
                    </w:rPr>
                    <w:t>100</w:t>
                  </w:r>
                </w:p>
              </w:tc>
              <w:tc>
                <w:tcPr>
                  <w:tcW w:w="620" w:type="dxa"/>
                  <w:vAlign w:val="center"/>
                </w:tcPr>
                <w:p>
                  <w:pPr>
                    <w:widowControl/>
                    <w:jc w:val="center"/>
                    <w:rPr>
                      <w:kern w:val="0"/>
                      <w:sz w:val="18"/>
                      <w:szCs w:val="18"/>
                    </w:rPr>
                  </w:pPr>
                  <w:r>
                    <w:rPr>
                      <w:kern w:val="0"/>
                      <w:sz w:val="18"/>
                      <w:szCs w:val="18"/>
                    </w:rPr>
                    <w:t>80</w:t>
                  </w:r>
                </w:p>
              </w:tc>
              <w:tc>
                <w:tcPr>
                  <w:tcW w:w="587" w:type="dxa"/>
                  <w:vAlign w:val="center"/>
                </w:tcPr>
                <w:p>
                  <w:pPr>
                    <w:widowControl/>
                    <w:jc w:val="center"/>
                    <w:rPr>
                      <w:kern w:val="0"/>
                      <w:sz w:val="18"/>
                      <w:szCs w:val="18"/>
                    </w:rPr>
                  </w:pPr>
                  <w:r>
                    <w:rPr>
                      <w:kern w:val="0"/>
                      <w:sz w:val="18"/>
                      <w:szCs w:val="18"/>
                    </w:rPr>
                    <w:t>74</w:t>
                  </w:r>
                </w:p>
              </w:tc>
              <w:tc>
                <w:tcPr>
                  <w:tcW w:w="589" w:type="dxa"/>
                  <w:vAlign w:val="center"/>
                </w:tcPr>
                <w:p>
                  <w:pPr>
                    <w:widowControl/>
                    <w:jc w:val="center"/>
                    <w:rPr>
                      <w:kern w:val="0"/>
                      <w:sz w:val="18"/>
                      <w:szCs w:val="18"/>
                    </w:rPr>
                  </w:pPr>
                  <w:r>
                    <w:rPr>
                      <w:kern w:val="0"/>
                      <w:sz w:val="18"/>
                      <w:szCs w:val="18"/>
                    </w:rPr>
                    <w:t>69</w:t>
                  </w:r>
                </w:p>
              </w:tc>
              <w:tc>
                <w:tcPr>
                  <w:tcW w:w="589" w:type="dxa"/>
                  <w:vAlign w:val="center"/>
                </w:tcPr>
                <w:p>
                  <w:pPr>
                    <w:widowControl/>
                    <w:jc w:val="center"/>
                    <w:rPr>
                      <w:kern w:val="0"/>
                      <w:sz w:val="18"/>
                      <w:szCs w:val="18"/>
                    </w:rPr>
                  </w:pPr>
                  <w:r>
                    <w:rPr>
                      <w:kern w:val="0"/>
                      <w:sz w:val="18"/>
                      <w:szCs w:val="18"/>
                    </w:rPr>
                    <w:t>65</w:t>
                  </w:r>
                </w:p>
              </w:tc>
              <w:tc>
                <w:tcPr>
                  <w:tcW w:w="589" w:type="dxa"/>
                  <w:vAlign w:val="center"/>
                </w:tcPr>
                <w:p>
                  <w:pPr>
                    <w:widowControl/>
                    <w:jc w:val="center"/>
                    <w:rPr>
                      <w:kern w:val="0"/>
                      <w:sz w:val="18"/>
                      <w:szCs w:val="18"/>
                    </w:rPr>
                  </w:pPr>
                  <w:r>
                    <w:rPr>
                      <w:kern w:val="0"/>
                      <w:sz w:val="18"/>
                      <w:szCs w:val="18"/>
                    </w:rPr>
                    <w:t>63</w:t>
                  </w:r>
                </w:p>
              </w:tc>
              <w:tc>
                <w:tcPr>
                  <w:tcW w:w="589" w:type="dxa"/>
                  <w:vAlign w:val="center"/>
                </w:tcPr>
                <w:p>
                  <w:pPr>
                    <w:widowControl/>
                    <w:jc w:val="center"/>
                    <w:rPr>
                      <w:kern w:val="0"/>
                      <w:sz w:val="18"/>
                      <w:szCs w:val="18"/>
                    </w:rPr>
                  </w:pPr>
                  <w:r>
                    <w:rPr>
                      <w:kern w:val="0"/>
                      <w:sz w:val="18"/>
                      <w:szCs w:val="18"/>
                    </w:rPr>
                    <w:t>61</w:t>
                  </w:r>
                </w:p>
              </w:tc>
              <w:tc>
                <w:tcPr>
                  <w:tcW w:w="666" w:type="dxa"/>
                  <w:vAlign w:val="center"/>
                </w:tcPr>
                <w:p>
                  <w:pPr>
                    <w:widowControl/>
                    <w:jc w:val="center"/>
                    <w:rPr>
                      <w:kern w:val="0"/>
                      <w:sz w:val="18"/>
                      <w:szCs w:val="18"/>
                    </w:rPr>
                  </w:pPr>
                  <w:r>
                    <w:rPr>
                      <w:kern w:val="0"/>
                      <w:sz w:val="18"/>
                      <w:szCs w:val="18"/>
                    </w:rPr>
                    <w:t>60</w:t>
                  </w:r>
                </w:p>
              </w:tc>
              <w:tc>
                <w:tcPr>
                  <w:tcW w:w="666" w:type="dxa"/>
                  <w:vAlign w:val="center"/>
                </w:tcPr>
                <w:p>
                  <w:pPr>
                    <w:widowControl/>
                    <w:jc w:val="center"/>
                    <w:rPr>
                      <w:kern w:val="0"/>
                      <w:sz w:val="18"/>
                      <w:szCs w:val="18"/>
                    </w:rPr>
                  </w:pPr>
                  <w:r>
                    <w:rPr>
                      <w:kern w:val="0"/>
                      <w:sz w:val="18"/>
                      <w:szCs w:val="18"/>
                    </w:rPr>
                    <w:t>56</w:t>
                  </w:r>
                </w:p>
              </w:tc>
              <w:tc>
                <w:tcPr>
                  <w:tcW w:w="666" w:type="dxa"/>
                  <w:vAlign w:val="center"/>
                </w:tcPr>
                <w:p>
                  <w:pPr>
                    <w:widowControl/>
                    <w:jc w:val="center"/>
                    <w:rPr>
                      <w:kern w:val="0"/>
                      <w:sz w:val="18"/>
                      <w:szCs w:val="18"/>
                    </w:rPr>
                  </w:pPr>
                  <w:r>
                    <w:rPr>
                      <w:kern w:val="0"/>
                      <w:sz w:val="18"/>
                      <w:szCs w:val="18"/>
                    </w:rPr>
                    <w:t>54</w:t>
                  </w:r>
                </w:p>
              </w:tc>
              <w:tc>
                <w:tcPr>
                  <w:tcW w:w="666" w:type="dxa"/>
                  <w:vAlign w:val="center"/>
                </w:tcPr>
                <w:p>
                  <w:pPr>
                    <w:widowControl/>
                    <w:jc w:val="center"/>
                    <w:rPr>
                      <w:kern w:val="0"/>
                      <w:sz w:val="18"/>
                      <w:szCs w:val="18"/>
                    </w:rPr>
                  </w:pPr>
                  <w:r>
                    <w:rPr>
                      <w:kern w:val="0"/>
                      <w:sz w:val="18"/>
                      <w:szCs w:val="18"/>
                    </w:rPr>
                    <w:t>52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widowControl/>
                    <w:jc w:val="center"/>
                    <w:rPr>
                      <w:kern w:val="0"/>
                      <w:sz w:val="18"/>
                      <w:szCs w:val="18"/>
                    </w:rPr>
                  </w:pPr>
                </w:p>
              </w:tc>
              <w:tc>
                <w:tcPr>
                  <w:tcW w:w="1190" w:type="dxa"/>
                  <w:vAlign w:val="center"/>
                </w:tcPr>
                <w:p>
                  <w:pPr>
                    <w:tabs>
                      <w:tab w:val="center" w:pos="4153"/>
                    </w:tabs>
                    <w:jc w:val="center"/>
                    <w:rPr>
                      <w:kern w:val="24"/>
                      <w:sz w:val="18"/>
                      <w:szCs w:val="18"/>
                    </w:rPr>
                  </w:pPr>
                  <w:r>
                    <w:rPr>
                      <w:rFonts w:hint="eastAsia"/>
                      <w:kern w:val="24"/>
                      <w:sz w:val="18"/>
                      <w:szCs w:val="18"/>
                    </w:rPr>
                    <w:t>电锯</w:t>
                  </w:r>
                </w:p>
              </w:tc>
              <w:tc>
                <w:tcPr>
                  <w:tcW w:w="595" w:type="dxa"/>
                  <w:vAlign w:val="center"/>
                </w:tcPr>
                <w:p>
                  <w:pPr>
                    <w:tabs>
                      <w:tab w:val="center" w:pos="4153"/>
                    </w:tabs>
                    <w:jc w:val="center"/>
                    <w:rPr>
                      <w:kern w:val="24"/>
                      <w:sz w:val="18"/>
                      <w:szCs w:val="18"/>
                    </w:rPr>
                  </w:pPr>
                  <w:r>
                    <w:rPr>
                      <w:kern w:val="24"/>
                      <w:sz w:val="18"/>
                      <w:szCs w:val="18"/>
                    </w:rPr>
                    <w:t>105</w:t>
                  </w:r>
                </w:p>
              </w:tc>
              <w:tc>
                <w:tcPr>
                  <w:tcW w:w="620" w:type="dxa"/>
                  <w:vAlign w:val="center"/>
                </w:tcPr>
                <w:p>
                  <w:pPr>
                    <w:widowControl/>
                    <w:jc w:val="center"/>
                    <w:rPr>
                      <w:kern w:val="0"/>
                      <w:sz w:val="18"/>
                      <w:szCs w:val="18"/>
                    </w:rPr>
                  </w:pPr>
                  <w:r>
                    <w:rPr>
                      <w:kern w:val="0"/>
                      <w:sz w:val="18"/>
                      <w:szCs w:val="18"/>
                    </w:rPr>
                    <w:t>85</w:t>
                  </w:r>
                </w:p>
              </w:tc>
              <w:tc>
                <w:tcPr>
                  <w:tcW w:w="587" w:type="dxa"/>
                  <w:vAlign w:val="center"/>
                </w:tcPr>
                <w:p>
                  <w:pPr>
                    <w:widowControl/>
                    <w:jc w:val="center"/>
                    <w:rPr>
                      <w:kern w:val="0"/>
                      <w:sz w:val="18"/>
                      <w:szCs w:val="18"/>
                    </w:rPr>
                  </w:pPr>
                  <w:r>
                    <w:rPr>
                      <w:kern w:val="0"/>
                      <w:sz w:val="18"/>
                      <w:szCs w:val="18"/>
                    </w:rPr>
                    <w:t>79</w:t>
                  </w:r>
                </w:p>
              </w:tc>
              <w:tc>
                <w:tcPr>
                  <w:tcW w:w="589" w:type="dxa"/>
                  <w:vAlign w:val="center"/>
                </w:tcPr>
                <w:p>
                  <w:pPr>
                    <w:widowControl/>
                    <w:jc w:val="center"/>
                    <w:rPr>
                      <w:kern w:val="0"/>
                      <w:sz w:val="18"/>
                      <w:szCs w:val="18"/>
                    </w:rPr>
                  </w:pPr>
                  <w:r>
                    <w:rPr>
                      <w:kern w:val="0"/>
                      <w:sz w:val="18"/>
                      <w:szCs w:val="18"/>
                    </w:rPr>
                    <w:t>75</w:t>
                  </w:r>
                </w:p>
              </w:tc>
              <w:tc>
                <w:tcPr>
                  <w:tcW w:w="589" w:type="dxa"/>
                  <w:vAlign w:val="center"/>
                </w:tcPr>
                <w:p>
                  <w:pPr>
                    <w:widowControl/>
                    <w:jc w:val="center"/>
                    <w:rPr>
                      <w:kern w:val="0"/>
                      <w:sz w:val="18"/>
                      <w:szCs w:val="18"/>
                    </w:rPr>
                  </w:pPr>
                  <w:r>
                    <w:rPr>
                      <w:kern w:val="0"/>
                      <w:sz w:val="18"/>
                      <w:szCs w:val="18"/>
                    </w:rPr>
                    <w:t>71</w:t>
                  </w:r>
                </w:p>
              </w:tc>
              <w:tc>
                <w:tcPr>
                  <w:tcW w:w="589" w:type="dxa"/>
                  <w:vAlign w:val="center"/>
                </w:tcPr>
                <w:p>
                  <w:pPr>
                    <w:widowControl/>
                    <w:jc w:val="center"/>
                    <w:rPr>
                      <w:kern w:val="0"/>
                      <w:sz w:val="18"/>
                      <w:szCs w:val="18"/>
                    </w:rPr>
                  </w:pPr>
                  <w:r>
                    <w:rPr>
                      <w:kern w:val="0"/>
                      <w:sz w:val="18"/>
                      <w:szCs w:val="18"/>
                    </w:rPr>
                    <w:t>69</w:t>
                  </w:r>
                </w:p>
              </w:tc>
              <w:tc>
                <w:tcPr>
                  <w:tcW w:w="589" w:type="dxa"/>
                  <w:vAlign w:val="center"/>
                </w:tcPr>
                <w:p>
                  <w:pPr>
                    <w:widowControl/>
                    <w:jc w:val="center"/>
                    <w:rPr>
                      <w:kern w:val="0"/>
                      <w:sz w:val="18"/>
                      <w:szCs w:val="18"/>
                    </w:rPr>
                  </w:pPr>
                  <w:r>
                    <w:rPr>
                      <w:kern w:val="0"/>
                      <w:sz w:val="18"/>
                      <w:szCs w:val="18"/>
                    </w:rPr>
                    <w:t>67</w:t>
                  </w:r>
                </w:p>
              </w:tc>
              <w:tc>
                <w:tcPr>
                  <w:tcW w:w="666" w:type="dxa"/>
                  <w:vAlign w:val="center"/>
                </w:tcPr>
                <w:p>
                  <w:pPr>
                    <w:widowControl/>
                    <w:jc w:val="center"/>
                    <w:rPr>
                      <w:kern w:val="0"/>
                      <w:sz w:val="18"/>
                      <w:szCs w:val="18"/>
                    </w:rPr>
                  </w:pPr>
                  <w:r>
                    <w:rPr>
                      <w:kern w:val="0"/>
                      <w:sz w:val="18"/>
                      <w:szCs w:val="18"/>
                    </w:rPr>
                    <w:t>65</w:t>
                  </w:r>
                </w:p>
              </w:tc>
              <w:tc>
                <w:tcPr>
                  <w:tcW w:w="666" w:type="dxa"/>
                  <w:vAlign w:val="center"/>
                </w:tcPr>
                <w:p>
                  <w:pPr>
                    <w:widowControl/>
                    <w:jc w:val="center"/>
                    <w:rPr>
                      <w:kern w:val="0"/>
                      <w:sz w:val="18"/>
                      <w:szCs w:val="18"/>
                    </w:rPr>
                  </w:pPr>
                  <w:r>
                    <w:rPr>
                      <w:kern w:val="0"/>
                      <w:sz w:val="18"/>
                      <w:szCs w:val="18"/>
                    </w:rPr>
                    <w:t>61</w:t>
                  </w:r>
                </w:p>
              </w:tc>
              <w:tc>
                <w:tcPr>
                  <w:tcW w:w="666" w:type="dxa"/>
                  <w:vAlign w:val="center"/>
                </w:tcPr>
                <w:p>
                  <w:pPr>
                    <w:widowControl/>
                    <w:jc w:val="center"/>
                    <w:rPr>
                      <w:kern w:val="0"/>
                      <w:sz w:val="18"/>
                      <w:szCs w:val="18"/>
                    </w:rPr>
                  </w:pPr>
                  <w:r>
                    <w:rPr>
                      <w:kern w:val="0"/>
                      <w:sz w:val="18"/>
                      <w:szCs w:val="18"/>
                    </w:rPr>
                    <w:t>59</w:t>
                  </w:r>
                </w:p>
              </w:tc>
              <w:tc>
                <w:tcPr>
                  <w:tcW w:w="666" w:type="dxa"/>
                  <w:vAlign w:val="center"/>
                </w:tcPr>
                <w:p>
                  <w:pPr>
                    <w:widowControl/>
                    <w:jc w:val="center"/>
                    <w:rPr>
                      <w:kern w:val="0"/>
                      <w:sz w:val="18"/>
                      <w:szCs w:val="18"/>
                    </w:rPr>
                  </w:pPr>
                  <w:r>
                    <w:rPr>
                      <w:kern w:val="0"/>
                      <w:sz w:val="18"/>
                      <w:szCs w:val="18"/>
                    </w:rPr>
                    <w:t>57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widowControl/>
                    <w:jc w:val="center"/>
                    <w:rPr>
                      <w:kern w:val="0"/>
                      <w:sz w:val="18"/>
                      <w:szCs w:val="18"/>
                    </w:rPr>
                  </w:pPr>
                </w:p>
              </w:tc>
              <w:tc>
                <w:tcPr>
                  <w:tcW w:w="1190" w:type="dxa"/>
                  <w:vAlign w:val="center"/>
                </w:tcPr>
                <w:p>
                  <w:pPr>
                    <w:tabs>
                      <w:tab w:val="center" w:pos="4153"/>
                    </w:tabs>
                    <w:jc w:val="center"/>
                    <w:rPr>
                      <w:kern w:val="24"/>
                      <w:sz w:val="18"/>
                      <w:szCs w:val="18"/>
                    </w:rPr>
                  </w:pPr>
                  <w:r>
                    <w:rPr>
                      <w:kern w:val="24"/>
                      <w:sz w:val="18"/>
                      <w:szCs w:val="18"/>
                    </w:rPr>
                    <w:t>电焊机</w:t>
                  </w:r>
                </w:p>
              </w:tc>
              <w:tc>
                <w:tcPr>
                  <w:tcW w:w="595" w:type="dxa"/>
                  <w:vAlign w:val="center"/>
                </w:tcPr>
                <w:p>
                  <w:pPr>
                    <w:tabs>
                      <w:tab w:val="center" w:pos="4153"/>
                    </w:tabs>
                    <w:jc w:val="center"/>
                    <w:rPr>
                      <w:kern w:val="24"/>
                      <w:sz w:val="18"/>
                      <w:szCs w:val="18"/>
                    </w:rPr>
                  </w:pPr>
                  <w:r>
                    <w:rPr>
                      <w:kern w:val="24"/>
                      <w:sz w:val="18"/>
                      <w:szCs w:val="18"/>
                    </w:rPr>
                    <w:t>95</w:t>
                  </w:r>
                </w:p>
              </w:tc>
              <w:tc>
                <w:tcPr>
                  <w:tcW w:w="620" w:type="dxa"/>
                  <w:vAlign w:val="center"/>
                </w:tcPr>
                <w:p>
                  <w:pPr>
                    <w:widowControl/>
                    <w:jc w:val="center"/>
                    <w:rPr>
                      <w:kern w:val="0"/>
                      <w:sz w:val="18"/>
                      <w:szCs w:val="18"/>
                    </w:rPr>
                  </w:pPr>
                  <w:r>
                    <w:rPr>
                      <w:kern w:val="0"/>
                      <w:sz w:val="18"/>
                      <w:szCs w:val="18"/>
                    </w:rPr>
                    <w:t>75</w:t>
                  </w:r>
                </w:p>
              </w:tc>
              <w:tc>
                <w:tcPr>
                  <w:tcW w:w="587" w:type="dxa"/>
                  <w:vAlign w:val="center"/>
                </w:tcPr>
                <w:p>
                  <w:pPr>
                    <w:widowControl/>
                    <w:jc w:val="center"/>
                    <w:rPr>
                      <w:kern w:val="0"/>
                      <w:sz w:val="18"/>
                      <w:szCs w:val="18"/>
                    </w:rPr>
                  </w:pPr>
                  <w:r>
                    <w:rPr>
                      <w:kern w:val="0"/>
                      <w:sz w:val="18"/>
                      <w:szCs w:val="18"/>
                    </w:rPr>
                    <w:t>69</w:t>
                  </w:r>
                </w:p>
              </w:tc>
              <w:tc>
                <w:tcPr>
                  <w:tcW w:w="589" w:type="dxa"/>
                  <w:vAlign w:val="center"/>
                </w:tcPr>
                <w:p>
                  <w:pPr>
                    <w:widowControl/>
                    <w:jc w:val="center"/>
                    <w:rPr>
                      <w:kern w:val="0"/>
                      <w:sz w:val="18"/>
                      <w:szCs w:val="18"/>
                    </w:rPr>
                  </w:pPr>
                  <w:r>
                    <w:rPr>
                      <w:kern w:val="0"/>
                      <w:sz w:val="18"/>
                      <w:szCs w:val="18"/>
                    </w:rPr>
                    <w:t>65</w:t>
                  </w:r>
                </w:p>
              </w:tc>
              <w:tc>
                <w:tcPr>
                  <w:tcW w:w="589" w:type="dxa"/>
                  <w:vAlign w:val="center"/>
                </w:tcPr>
                <w:p>
                  <w:pPr>
                    <w:widowControl/>
                    <w:jc w:val="center"/>
                    <w:rPr>
                      <w:kern w:val="0"/>
                      <w:sz w:val="18"/>
                      <w:szCs w:val="18"/>
                    </w:rPr>
                  </w:pPr>
                  <w:r>
                    <w:rPr>
                      <w:kern w:val="0"/>
                      <w:sz w:val="18"/>
                      <w:szCs w:val="18"/>
                    </w:rPr>
                    <w:t>61</w:t>
                  </w:r>
                </w:p>
              </w:tc>
              <w:tc>
                <w:tcPr>
                  <w:tcW w:w="589" w:type="dxa"/>
                  <w:vAlign w:val="center"/>
                </w:tcPr>
                <w:p>
                  <w:pPr>
                    <w:widowControl/>
                    <w:jc w:val="center"/>
                    <w:rPr>
                      <w:kern w:val="0"/>
                      <w:sz w:val="18"/>
                      <w:szCs w:val="18"/>
                    </w:rPr>
                  </w:pPr>
                  <w:r>
                    <w:rPr>
                      <w:kern w:val="0"/>
                      <w:sz w:val="18"/>
                      <w:szCs w:val="18"/>
                    </w:rPr>
                    <w:t>59</w:t>
                  </w:r>
                </w:p>
              </w:tc>
              <w:tc>
                <w:tcPr>
                  <w:tcW w:w="589" w:type="dxa"/>
                  <w:vAlign w:val="center"/>
                </w:tcPr>
                <w:p>
                  <w:pPr>
                    <w:widowControl/>
                    <w:jc w:val="center"/>
                    <w:rPr>
                      <w:kern w:val="0"/>
                      <w:sz w:val="18"/>
                      <w:szCs w:val="18"/>
                    </w:rPr>
                  </w:pPr>
                  <w:r>
                    <w:rPr>
                      <w:kern w:val="0"/>
                      <w:sz w:val="18"/>
                      <w:szCs w:val="18"/>
                    </w:rPr>
                    <w:t>57</w:t>
                  </w:r>
                </w:p>
              </w:tc>
              <w:tc>
                <w:tcPr>
                  <w:tcW w:w="666" w:type="dxa"/>
                  <w:vAlign w:val="center"/>
                </w:tcPr>
                <w:p>
                  <w:pPr>
                    <w:widowControl/>
                    <w:jc w:val="center"/>
                    <w:rPr>
                      <w:kern w:val="0"/>
                      <w:sz w:val="18"/>
                      <w:szCs w:val="18"/>
                    </w:rPr>
                  </w:pPr>
                  <w:r>
                    <w:rPr>
                      <w:kern w:val="0"/>
                      <w:sz w:val="18"/>
                      <w:szCs w:val="18"/>
                    </w:rPr>
                    <w:t>55</w:t>
                  </w:r>
                </w:p>
              </w:tc>
              <w:tc>
                <w:tcPr>
                  <w:tcW w:w="666" w:type="dxa"/>
                  <w:vAlign w:val="center"/>
                </w:tcPr>
                <w:p>
                  <w:pPr>
                    <w:widowControl/>
                    <w:jc w:val="center"/>
                    <w:rPr>
                      <w:kern w:val="0"/>
                      <w:sz w:val="18"/>
                      <w:szCs w:val="18"/>
                    </w:rPr>
                  </w:pPr>
                  <w:r>
                    <w:rPr>
                      <w:kern w:val="0"/>
                      <w:sz w:val="18"/>
                      <w:szCs w:val="18"/>
                    </w:rPr>
                    <w:t>51</w:t>
                  </w:r>
                </w:p>
              </w:tc>
              <w:tc>
                <w:tcPr>
                  <w:tcW w:w="666" w:type="dxa"/>
                  <w:vAlign w:val="center"/>
                </w:tcPr>
                <w:p>
                  <w:pPr>
                    <w:widowControl/>
                    <w:jc w:val="center"/>
                    <w:rPr>
                      <w:kern w:val="0"/>
                      <w:sz w:val="18"/>
                      <w:szCs w:val="18"/>
                    </w:rPr>
                  </w:pPr>
                  <w:r>
                    <w:rPr>
                      <w:kern w:val="0"/>
                      <w:sz w:val="18"/>
                      <w:szCs w:val="18"/>
                    </w:rPr>
                    <w:t>49</w:t>
                  </w:r>
                </w:p>
              </w:tc>
              <w:tc>
                <w:tcPr>
                  <w:tcW w:w="666" w:type="dxa"/>
                  <w:vAlign w:val="center"/>
                </w:tcPr>
                <w:p>
                  <w:pPr>
                    <w:widowControl/>
                    <w:jc w:val="center"/>
                    <w:rPr>
                      <w:kern w:val="0"/>
                      <w:sz w:val="18"/>
                      <w:szCs w:val="18"/>
                    </w:rPr>
                  </w:pPr>
                  <w:r>
                    <w:rPr>
                      <w:kern w:val="0"/>
                      <w:sz w:val="18"/>
                      <w:szCs w:val="18"/>
                    </w:rPr>
                    <w:t>47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widowControl/>
                    <w:jc w:val="center"/>
                    <w:rPr>
                      <w:kern w:val="0"/>
                      <w:sz w:val="18"/>
                      <w:szCs w:val="18"/>
                    </w:rPr>
                  </w:pPr>
                </w:p>
              </w:tc>
              <w:tc>
                <w:tcPr>
                  <w:tcW w:w="1190" w:type="dxa"/>
                  <w:vAlign w:val="center"/>
                </w:tcPr>
                <w:p>
                  <w:pPr>
                    <w:tabs>
                      <w:tab w:val="center" w:pos="4153"/>
                    </w:tabs>
                    <w:jc w:val="center"/>
                    <w:rPr>
                      <w:kern w:val="24"/>
                      <w:sz w:val="18"/>
                      <w:szCs w:val="18"/>
                    </w:rPr>
                  </w:pPr>
                  <w:r>
                    <w:rPr>
                      <w:kern w:val="24"/>
                      <w:sz w:val="18"/>
                      <w:szCs w:val="18"/>
                    </w:rPr>
                    <w:t>载重车</w:t>
                  </w:r>
                </w:p>
              </w:tc>
              <w:tc>
                <w:tcPr>
                  <w:tcW w:w="595" w:type="dxa"/>
                  <w:vAlign w:val="center"/>
                </w:tcPr>
                <w:p>
                  <w:pPr>
                    <w:widowControl/>
                    <w:jc w:val="center"/>
                    <w:rPr>
                      <w:kern w:val="0"/>
                      <w:sz w:val="18"/>
                      <w:szCs w:val="18"/>
                    </w:rPr>
                  </w:pPr>
                  <w:r>
                    <w:rPr>
                      <w:kern w:val="0"/>
                      <w:sz w:val="18"/>
                      <w:szCs w:val="18"/>
                    </w:rPr>
                    <w:t>85</w:t>
                  </w:r>
                </w:p>
              </w:tc>
              <w:tc>
                <w:tcPr>
                  <w:tcW w:w="620" w:type="dxa"/>
                  <w:vAlign w:val="center"/>
                </w:tcPr>
                <w:p>
                  <w:pPr>
                    <w:widowControl/>
                    <w:jc w:val="center"/>
                    <w:rPr>
                      <w:kern w:val="0"/>
                      <w:sz w:val="18"/>
                      <w:szCs w:val="18"/>
                    </w:rPr>
                  </w:pPr>
                  <w:r>
                    <w:rPr>
                      <w:kern w:val="0"/>
                      <w:sz w:val="18"/>
                      <w:szCs w:val="18"/>
                    </w:rPr>
                    <w:t>65</w:t>
                  </w:r>
                </w:p>
              </w:tc>
              <w:tc>
                <w:tcPr>
                  <w:tcW w:w="587" w:type="dxa"/>
                  <w:vAlign w:val="center"/>
                </w:tcPr>
                <w:p>
                  <w:pPr>
                    <w:widowControl/>
                    <w:jc w:val="center"/>
                    <w:rPr>
                      <w:kern w:val="0"/>
                      <w:sz w:val="18"/>
                      <w:szCs w:val="18"/>
                    </w:rPr>
                  </w:pPr>
                  <w:r>
                    <w:rPr>
                      <w:kern w:val="0"/>
                      <w:sz w:val="18"/>
                      <w:szCs w:val="18"/>
                    </w:rPr>
                    <w:t>59</w:t>
                  </w:r>
                </w:p>
              </w:tc>
              <w:tc>
                <w:tcPr>
                  <w:tcW w:w="589" w:type="dxa"/>
                  <w:vAlign w:val="center"/>
                </w:tcPr>
                <w:p>
                  <w:pPr>
                    <w:widowControl/>
                    <w:jc w:val="center"/>
                    <w:rPr>
                      <w:kern w:val="0"/>
                      <w:sz w:val="18"/>
                      <w:szCs w:val="18"/>
                    </w:rPr>
                  </w:pPr>
                  <w:r>
                    <w:rPr>
                      <w:kern w:val="0"/>
                      <w:sz w:val="18"/>
                      <w:szCs w:val="18"/>
                    </w:rPr>
                    <w:t>55</w:t>
                  </w:r>
                </w:p>
              </w:tc>
              <w:tc>
                <w:tcPr>
                  <w:tcW w:w="589" w:type="dxa"/>
                  <w:vAlign w:val="center"/>
                </w:tcPr>
                <w:p>
                  <w:pPr>
                    <w:widowControl/>
                    <w:jc w:val="center"/>
                    <w:rPr>
                      <w:kern w:val="0"/>
                      <w:sz w:val="18"/>
                      <w:szCs w:val="18"/>
                    </w:rPr>
                  </w:pPr>
                  <w:r>
                    <w:rPr>
                      <w:kern w:val="0"/>
                      <w:sz w:val="18"/>
                      <w:szCs w:val="18"/>
                    </w:rPr>
                    <w:t>51</w:t>
                  </w:r>
                </w:p>
              </w:tc>
              <w:tc>
                <w:tcPr>
                  <w:tcW w:w="589" w:type="dxa"/>
                  <w:vAlign w:val="center"/>
                </w:tcPr>
                <w:p>
                  <w:pPr>
                    <w:widowControl/>
                    <w:jc w:val="center"/>
                    <w:rPr>
                      <w:kern w:val="0"/>
                      <w:sz w:val="18"/>
                      <w:szCs w:val="18"/>
                    </w:rPr>
                  </w:pPr>
                  <w:r>
                    <w:rPr>
                      <w:kern w:val="0"/>
                      <w:sz w:val="18"/>
                      <w:szCs w:val="18"/>
                    </w:rPr>
                    <w:t>49</w:t>
                  </w:r>
                </w:p>
              </w:tc>
              <w:tc>
                <w:tcPr>
                  <w:tcW w:w="589" w:type="dxa"/>
                  <w:vAlign w:val="center"/>
                </w:tcPr>
                <w:p>
                  <w:pPr>
                    <w:widowControl/>
                    <w:jc w:val="center"/>
                    <w:rPr>
                      <w:kern w:val="0"/>
                      <w:sz w:val="18"/>
                      <w:szCs w:val="18"/>
                    </w:rPr>
                  </w:pPr>
                  <w:r>
                    <w:rPr>
                      <w:kern w:val="0"/>
                      <w:sz w:val="18"/>
                      <w:szCs w:val="18"/>
                    </w:rPr>
                    <w:t>47</w:t>
                  </w:r>
                </w:p>
              </w:tc>
              <w:tc>
                <w:tcPr>
                  <w:tcW w:w="666" w:type="dxa"/>
                  <w:vAlign w:val="center"/>
                </w:tcPr>
                <w:p>
                  <w:pPr>
                    <w:widowControl/>
                    <w:jc w:val="center"/>
                    <w:rPr>
                      <w:kern w:val="0"/>
                      <w:sz w:val="18"/>
                      <w:szCs w:val="18"/>
                    </w:rPr>
                  </w:pPr>
                  <w:r>
                    <w:rPr>
                      <w:kern w:val="0"/>
                      <w:sz w:val="18"/>
                      <w:szCs w:val="18"/>
                    </w:rPr>
                    <w:t>45</w:t>
                  </w:r>
                </w:p>
              </w:tc>
              <w:tc>
                <w:tcPr>
                  <w:tcW w:w="666" w:type="dxa"/>
                  <w:vAlign w:val="center"/>
                </w:tcPr>
                <w:p>
                  <w:pPr>
                    <w:widowControl/>
                    <w:jc w:val="center"/>
                    <w:rPr>
                      <w:kern w:val="0"/>
                      <w:sz w:val="18"/>
                      <w:szCs w:val="18"/>
                    </w:rPr>
                  </w:pPr>
                  <w:r>
                    <w:rPr>
                      <w:kern w:val="0"/>
                      <w:sz w:val="18"/>
                      <w:szCs w:val="18"/>
                    </w:rPr>
                    <w:t>41</w:t>
                  </w:r>
                </w:p>
              </w:tc>
              <w:tc>
                <w:tcPr>
                  <w:tcW w:w="666" w:type="dxa"/>
                  <w:vAlign w:val="center"/>
                </w:tcPr>
                <w:p>
                  <w:pPr>
                    <w:widowControl/>
                    <w:jc w:val="center"/>
                    <w:rPr>
                      <w:kern w:val="0"/>
                      <w:sz w:val="18"/>
                      <w:szCs w:val="18"/>
                    </w:rPr>
                  </w:pPr>
                  <w:r>
                    <w:rPr>
                      <w:kern w:val="0"/>
                      <w:sz w:val="18"/>
                      <w:szCs w:val="18"/>
                    </w:rPr>
                    <w:t>39</w:t>
                  </w:r>
                </w:p>
              </w:tc>
              <w:tc>
                <w:tcPr>
                  <w:tcW w:w="666" w:type="dxa"/>
                  <w:vAlign w:val="center"/>
                </w:tcPr>
                <w:p>
                  <w:pPr>
                    <w:widowControl/>
                    <w:jc w:val="center"/>
                    <w:rPr>
                      <w:kern w:val="0"/>
                      <w:sz w:val="18"/>
                      <w:szCs w:val="18"/>
                    </w:rPr>
                  </w:pPr>
                  <w:r>
                    <w:rPr>
                      <w:kern w:val="0"/>
                      <w:sz w:val="18"/>
                      <w:szCs w:val="18"/>
                    </w:rPr>
                    <w:t>37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restart"/>
                  <w:vAlign w:val="center"/>
                </w:tcPr>
                <w:p>
                  <w:pPr>
                    <w:widowControl/>
                    <w:ind w:left="-1" w:leftChars="-37" w:hanging="77" w:hangingChars="43"/>
                    <w:jc w:val="center"/>
                    <w:rPr>
                      <w:kern w:val="0"/>
                      <w:sz w:val="18"/>
                      <w:szCs w:val="18"/>
                    </w:rPr>
                  </w:pPr>
                  <w:r>
                    <w:rPr>
                      <w:kern w:val="0"/>
                      <w:sz w:val="18"/>
                      <w:szCs w:val="18"/>
                    </w:rPr>
                    <w:t>装修、</w:t>
                  </w:r>
                </w:p>
                <w:p>
                  <w:pPr>
                    <w:widowControl/>
                    <w:ind w:left="-3" w:leftChars="-70" w:hanging="144" w:hangingChars="80"/>
                    <w:jc w:val="center"/>
                    <w:rPr>
                      <w:kern w:val="0"/>
                      <w:sz w:val="18"/>
                      <w:szCs w:val="18"/>
                    </w:rPr>
                  </w:pPr>
                  <w:r>
                    <w:rPr>
                      <w:kern w:val="0"/>
                      <w:sz w:val="18"/>
                      <w:szCs w:val="18"/>
                    </w:rPr>
                    <w:t>安装阶段</w:t>
                  </w:r>
                </w:p>
              </w:tc>
              <w:tc>
                <w:tcPr>
                  <w:tcW w:w="1190" w:type="dxa"/>
                  <w:vAlign w:val="center"/>
                </w:tcPr>
                <w:p>
                  <w:pPr>
                    <w:tabs>
                      <w:tab w:val="center" w:pos="4153"/>
                    </w:tabs>
                    <w:jc w:val="center"/>
                    <w:rPr>
                      <w:kern w:val="24"/>
                      <w:sz w:val="18"/>
                      <w:szCs w:val="18"/>
                    </w:rPr>
                  </w:pPr>
                  <w:r>
                    <w:rPr>
                      <w:kern w:val="24"/>
                      <w:sz w:val="18"/>
                      <w:szCs w:val="18"/>
                    </w:rPr>
                    <w:t>电钻</w:t>
                  </w:r>
                </w:p>
              </w:tc>
              <w:tc>
                <w:tcPr>
                  <w:tcW w:w="595" w:type="dxa"/>
                  <w:vAlign w:val="center"/>
                </w:tcPr>
                <w:p>
                  <w:pPr>
                    <w:tabs>
                      <w:tab w:val="center" w:pos="4153"/>
                    </w:tabs>
                    <w:jc w:val="center"/>
                    <w:rPr>
                      <w:kern w:val="24"/>
                      <w:sz w:val="18"/>
                      <w:szCs w:val="18"/>
                    </w:rPr>
                  </w:pPr>
                  <w:r>
                    <w:rPr>
                      <w:kern w:val="24"/>
                      <w:sz w:val="18"/>
                      <w:szCs w:val="18"/>
                    </w:rPr>
                    <w:t>105</w:t>
                  </w:r>
                </w:p>
              </w:tc>
              <w:tc>
                <w:tcPr>
                  <w:tcW w:w="620" w:type="dxa"/>
                  <w:vAlign w:val="center"/>
                </w:tcPr>
                <w:p>
                  <w:pPr>
                    <w:widowControl/>
                    <w:jc w:val="center"/>
                    <w:rPr>
                      <w:kern w:val="0"/>
                      <w:sz w:val="18"/>
                      <w:szCs w:val="18"/>
                    </w:rPr>
                  </w:pPr>
                  <w:r>
                    <w:rPr>
                      <w:kern w:val="0"/>
                      <w:sz w:val="18"/>
                      <w:szCs w:val="18"/>
                    </w:rPr>
                    <w:t>85</w:t>
                  </w:r>
                </w:p>
              </w:tc>
              <w:tc>
                <w:tcPr>
                  <w:tcW w:w="587" w:type="dxa"/>
                  <w:vAlign w:val="center"/>
                </w:tcPr>
                <w:p>
                  <w:pPr>
                    <w:widowControl/>
                    <w:jc w:val="center"/>
                    <w:rPr>
                      <w:kern w:val="0"/>
                      <w:sz w:val="18"/>
                      <w:szCs w:val="18"/>
                    </w:rPr>
                  </w:pPr>
                  <w:r>
                    <w:rPr>
                      <w:kern w:val="0"/>
                      <w:sz w:val="18"/>
                      <w:szCs w:val="18"/>
                    </w:rPr>
                    <w:t>79</w:t>
                  </w:r>
                </w:p>
              </w:tc>
              <w:tc>
                <w:tcPr>
                  <w:tcW w:w="589" w:type="dxa"/>
                  <w:vAlign w:val="center"/>
                </w:tcPr>
                <w:p>
                  <w:pPr>
                    <w:widowControl/>
                    <w:jc w:val="center"/>
                    <w:rPr>
                      <w:kern w:val="0"/>
                      <w:sz w:val="18"/>
                      <w:szCs w:val="18"/>
                    </w:rPr>
                  </w:pPr>
                  <w:r>
                    <w:rPr>
                      <w:kern w:val="0"/>
                      <w:sz w:val="18"/>
                      <w:szCs w:val="18"/>
                    </w:rPr>
                    <w:t>75</w:t>
                  </w:r>
                </w:p>
              </w:tc>
              <w:tc>
                <w:tcPr>
                  <w:tcW w:w="589" w:type="dxa"/>
                  <w:vAlign w:val="center"/>
                </w:tcPr>
                <w:p>
                  <w:pPr>
                    <w:widowControl/>
                    <w:jc w:val="center"/>
                    <w:rPr>
                      <w:kern w:val="0"/>
                      <w:sz w:val="18"/>
                      <w:szCs w:val="18"/>
                    </w:rPr>
                  </w:pPr>
                  <w:r>
                    <w:rPr>
                      <w:kern w:val="0"/>
                      <w:sz w:val="18"/>
                      <w:szCs w:val="18"/>
                    </w:rPr>
                    <w:t>71</w:t>
                  </w:r>
                </w:p>
              </w:tc>
              <w:tc>
                <w:tcPr>
                  <w:tcW w:w="589" w:type="dxa"/>
                  <w:vAlign w:val="center"/>
                </w:tcPr>
                <w:p>
                  <w:pPr>
                    <w:widowControl/>
                    <w:jc w:val="center"/>
                    <w:rPr>
                      <w:kern w:val="0"/>
                      <w:sz w:val="18"/>
                      <w:szCs w:val="18"/>
                    </w:rPr>
                  </w:pPr>
                  <w:r>
                    <w:rPr>
                      <w:kern w:val="0"/>
                      <w:sz w:val="18"/>
                      <w:szCs w:val="18"/>
                    </w:rPr>
                    <w:t>69</w:t>
                  </w:r>
                </w:p>
              </w:tc>
              <w:tc>
                <w:tcPr>
                  <w:tcW w:w="589" w:type="dxa"/>
                  <w:vAlign w:val="center"/>
                </w:tcPr>
                <w:p>
                  <w:pPr>
                    <w:widowControl/>
                    <w:jc w:val="center"/>
                    <w:rPr>
                      <w:kern w:val="0"/>
                      <w:sz w:val="18"/>
                      <w:szCs w:val="18"/>
                    </w:rPr>
                  </w:pPr>
                  <w:r>
                    <w:rPr>
                      <w:kern w:val="0"/>
                      <w:sz w:val="18"/>
                      <w:szCs w:val="18"/>
                    </w:rPr>
                    <w:t>67</w:t>
                  </w:r>
                </w:p>
              </w:tc>
              <w:tc>
                <w:tcPr>
                  <w:tcW w:w="666" w:type="dxa"/>
                  <w:vAlign w:val="center"/>
                </w:tcPr>
                <w:p>
                  <w:pPr>
                    <w:widowControl/>
                    <w:jc w:val="center"/>
                    <w:rPr>
                      <w:kern w:val="0"/>
                      <w:sz w:val="18"/>
                      <w:szCs w:val="18"/>
                    </w:rPr>
                  </w:pPr>
                  <w:r>
                    <w:rPr>
                      <w:kern w:val="0"/>
                      <w:sz w:val="18"/>
                      <w:szCs w:val="18"/>
                    </w:rPr>
                    <w:t>65</w:t>
                  </w:r>
                </w:p>
              </w:tc>
              <w:tc>
                <w:tcPr>
                  <w:tcW w:w="666" w:type="dxa"/>
                  <w:vAlign w:val="center"/>
                </w:tcPr>
                <w:p>
                  <w:pPr>
                    <w:widowControl/>
                    <w:jc w:val="center"/>
                    <w:rPr>
                      <w:kern w:val="0"/>
                      <w:sz w:val="18"/>
                      <w:szCs w:val="18"/>
                    </w:rPr>
                  </w:pPr>
                  <w:r>
                    <w:rPr>
                      <w:kern w:val="0"/>
                      <w:sz w:val="18"/>
                      <w:szCs w:val="18"/>
                    </w:rPr>
                    <w:t>61</w:t>
                  </w:r>
                </w:p>
              </w:tc>
              <w:tc>
                <w:tcPr>
                  <w:tcW w:w="666" w:type="dxa"/>
                  <w:vAlign w:val="center"/>
                </w:tcPr>
                <w:p>
                  <w:pPr>
                    <w:widowControl/>
                    <w:jc w:val="center"/>
                    <w:rPr>
                      <w:kern w:val="0"/>
                      <w:sz w:val="18"/>
                      <w:szCs w:val="18"/>
                    </w:rPr>
                  </w:pPr>
                  <w:r>
                    <w:rPr>
                      <w:kern w:val="0"/>
                      <w:sz w:val="18"/>
                      <w:szCs w:val="18"/>
                    </w:rPr>
                    <w:t>59</w:t>
                  </w:r>
                </w:p>
              </w:tc>
              <w:tc>
                <w:tcPr>
                  <w:tcW w:w="666" w:type="dxa"/>
                  <w:vAlign w:val="center"/>
                </w:tcPr>
                <w:p>
                  <w:pPr>
                    <w:widowControl/>
                    <w:jc w:val="center"/>
                    <w:rPr>
                      <w:kern w:val="0"/>
                      <w:sz w:val="18"/>
                      <w:szCs w:val="18"/>
                    </w:rPr>
                  </w:pPr>
                  <w:r>
                    <w:rPr>
                      <w:kern w:val="0"/>
                      <w:sz w:val="18"/>
                      <w:szCs w:val="18"/>
                    </w:rPr>
                    <w:t>57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8" w:hRule="atLeast"/>
                <w:jc w:val="center"/>
              </w:trPr>
              <w:tc>
                <w:tcPr>
                  <w:tcW w:w="819" w:type="dxa"/>
                  <w:vMerge w:val="continue"/>
                  <w:vAlign w:val="center"/>
                </w:tcPr>
                <w:p>
                  <w:pPr>
                    <w:widowControl/>
                    <w:jc w:val="center"/>
                    <w:rPr>
                      <w:kern w:val="0"/>
                      <w:sz w:val="18"/>
                      <w:szCs w:val="18"/>
                    </w:rPr>
                  </w:pPr>
                </w:p>
              </w:tc>
              <w:tc>
                <w:tcPr>
                  <w:tcW w:w="1190" w:type="dxa"/>
                  <w:vAlign w:val="center"/>
                </w:tcPr>
                <w:p>
                  <w:pPr>
                    <w:tabs>
                      <w:tab w:val="center" w:pos="4153"/>
                    </w:tabs>
                    <w:jc w:val="center"/>
                    <w:rPr>
                      <w:kern w:val="24"/>
                      <w:sz w:val="18"/>
                      <w:szCs w:val="18"/>
                    </w:rPr>
                  </w:pPr>
                  <w:r>
                    <w:rPr>
                      <w:kern w:val="24"/>
                      <w:sz w:val="18"/>
                      <w:szCs w:val="18"/>
                    </w:rPr>
                    <w:t>电锤</w:t>
                  </w:r>
                </w:p>
              </w:tc>
              <w:tc>
                <w:tcPr>
                  <w:tcW w:w="595" w:type="dxa"/>
                  <w:vAlign w:val="center"/>
                </w:tcPr>
                <w:p>
                  <w:pPr>
                    <w:tabs>
                      <w:tab w:val="center" w:pos="4153"/>
                    </w:tabs>
                    <w:jc w:val="center"/>
                    <w:rPr>
                      <w:kern w:val="24"/>
                      <w:sz w:val="18"/>
                      <w:szCs w:val="18"/>
                    </w:rPr>
                  </w:pPr>
                  <w:r>
                    <w:rPr>
                      <w:kern w:val="24"/>
                      <w:sz w:val="18"/>
                      <w:szCs w:val="18"/>
                    </w:rPr>
                    <w:t>105</w:t>
                  </w:r>
                </w:p>
              </w:tc>
              <w:tc>
                <w:tcPr>
                  <w:tcW w:w="620" w:type="dxa"/>
                  <w:vAlign w:val="center"/>
                </w:tcPr>
                <w:p>
                  <w:pPr>
                    <w:widowControl/>
                    <w:jc w:val="center"/>
                    <w:rPr>
                      <w:kern w:val="0"/>
                      <w:sz w:val="18"/>
                      <w:szCs w:val="18"/>
                    </w:rPr>
                  </w:pPr>
                  <w:r>
                    <w:rPr>
                      <w:kern w:val="0"/>
                      <w:sz w:val="18"/>
                      <w:szCs w:val="18"/>
                    </w:rPr>
                    <w:t>85</w:t>
                  </w:r>
                </w:p>
              </w:tc>
              <w:tc>
                <w:tcPr>
                  <w:tcW w:w="587" w:type="dxa"/>
                  <w:vAlign w:val="center"/>
                </w:tcPr>
                <w:p>
                  <w:pPr>
                    <w:widowControl/>
                    <w:jc w:val="center"/>
                    <w:rPr>
                      <w:kern w:val="0"/>
                      <w:sz w:val="18"/>
                      <w:szCs w:val="18"/>
                    </w:rPr>
                  </w:pPr>
                  <w:r>
                    <w:rPr>
                      <w:kern w:val="0"/>
                      <w:sz w:val="18"/>
                      <w:szCs w:val="18"/>
                    </w:rPr>
                    <w:t>79</w:t>
                  </w:r>
                </w:p>
              </w:tc>
              <w:tc>
                <w:tcPr>
                  <w:tcW w:w="589" w:type="dxa"/>
                  <w:vAlign w:val="center"/>
                </w:tcPr>
                <w:p>
                  <w:pPr>
                    <w:widowControl/>
                    <w:jc w:val="center"/>
                    <w:rPr>
                      <w:kern w:val="0"/>
                      <w:sz w:val="18"/>
                      <w:szCs w:val="18"/>
                    </w:rPr>
                  </w:pPr>
                  <w:r>
                    <w:rPr>
                      <w:kern w:val="0"/>
                      <w:sz w:val="18"/>
                      <w:szCs w:val="18"/>
                    </w:rPr>
                    <w:t>75</w:t>
                  </w:r>
                </w:p>
              </w:tc>
              <w:tc>
                <w:tcPr>
                  <w:tcW w:w="589" w:type="dxa"/>
                  <w:vAlign w:val="center"/>
                </w:tcPr>
                <w:p>
                  <w:pPr>
                    <w:widowControl/>
                    <w:jc w:val="center"/>
                    <w:rPr>
                      <w:kern w:val="0"/>
                      <w:sz w:val="18"/>
                      <w:szCs w:val="18"/>
                    </w:rPr>
                  </w:pPr>
                  <w:r>
                    <w:rPr>
                      <w:kern w:val="0"/>
                      <w:sz w:val="18"/>
                      <w:szCs w:val="18"/>
                    </w:rPr>
                    <w:t>71</w:t>
                  </w:r>
                </w:p>
              </w:tc>
              <w:tc>
                <w:tcPr>
                  <w:tcW w:w="589" w:type="dxa"/>
                  <w:vAlign w:val="center"/>
                </w:tcPr>
                <w:p>
                  <w:pPr>
                    <w:widowControl/>
                    <w:jc w:val="center"/>
                    <w:rPr>
                      <w:kern w:val="0"/>
                      <w:sz w:val="18"/>
                      <w:szCs w:val="18"/>
                    </w:rPr>
                  </w:pPr>
                  <w:r>
                    <w:rPr>
                      <w:kern w:val="0"/>
                      <w:sz w:val="18"/>
                      <w:szCs w:val="18"/>
                    </w:rPr>
                    <w:t>69</w:t>
                  </w:r>
                </w:p>
              </w:tc>
              <w:tc>
                <w:tcPr>
                  <w:tcW w:w="589" w:type="dxa"/>
                  <w:vAlign w:val="center"/>
                </w:tcPr>
                <w:p>
                  <w:pPr>
                    <w:widowControl/>
                    <w:jc w:val="center"/>
                    <w:rPr>
                      <w:kern w:val="0"/>
                      <w:sz w:val="18"/>
                      <w:szCs w:val="18"/>
                    </w:rPr>
                  </w:pPr>
                  <w:r>
                    <w:rPr>
                      <w:kern w:val="0"/>
                      <w:sz w:val="18"/>
                      <w:szCs w:val="18"/>
                    </w:rPr>
                    <w:t>67</w:t>
                  </w:r>
                </w:p>
              </w:tc>
              <w:tc>
                <w:tcPr>
                  <w:tcW w:w="666" w:type="dxa"/>
                  <w:vAlign w:val="center"/>
                </w:tcPr>
                <w:p>
                  <w:pPr>
                    <w:widowControl/>
                    <w:jc w:val="center"/>
                    <w:rPr>
                      <w:kern w:val="0"/>
                      <w:sz w:val="18"/>
                      <w:szCs w:val="18"/>
                    </w:rPr>
                  </w:pPr>
                  <w:r>
                    <w:rPr>
                      <w:kern w:val="0"/>
                      <w:sz w:val="18"/>
                      <w:szCs w:val="18"/>
                    </w:rPr>
                    <w:t>65</w:t>
                  </w:r>
                </w:p>
              </w:tc>
              <w:tc>
                <w:tcPr>
                  <w:tcW w:w="666" w:type="dxa"/>
                  <w:vAlign w:val="center"/>
                </w:tcPr>
                <w:p>
                  <w:pPr>
                    <w:widowControl/>
                    <w:jc w:val="center"/>
                    <w:rPr>
                      <w:kern w:val="0"/>
                      <w:sz w:val="18"/>
                      <w:szCs w:val="18"/>
                    </w:rPr>
                  </w:pPr>
                  <w:r>
                    <w:rPr>
                      <w:kern w:val="0"/>
                      <w:sz w:val="18"/>
                      <w:szCs w:val="18"/>
                    </w:rPr>
                    <w:t>61</w:t>
                  </w:r>
                </w:p>
              </w:tc>
              <w:tc>
                <w:tcPr>
                  <w:tcW w:w="666" w:type="dxa"/>
                  <w:vAlign w:val="center"/>
                </w:tcPr>
                <w:p>
                  <w:pPr>
                    <w:widowControl/>
                    <w:jc w:val="center"/>
                    <w:rPr>
                      <w:kern w:val="0"/>
                      <w:sz w:val="18"/>
                      <w:szCs w:val="18"/>
                    </w:rPr>
                  </w:pPr>
                  <w:r>
                    <w:rPr>
                      <w:kern w:val="0"/>
                      <w:sz w:val="18"/>
                      <w:szCs w:val="18"/>
                    </w:rPr>
                    <w:t>59</w:t>
                  </w:r>
                </w:p>
              </w:tc>
              <w:tc>
                <w:tcPr>
                  <w:tcW w:w="666" w:type="dxa"/>
                  <w:vAlign w:val="center"/>
                </w:tcPr>
                <w:p>
                  <w:pPr>
                    <w:widowControl/>
                    <w:jc w:val="center"/>
                    <w:rPr>
                      <w:kern w:val="0"/>
                      <w:sz w:val="18"/>
                      <w:szCs w:val="18"/>
                    </w:rPr>
                  </w:pPr>
                  <w:r>
                    <w:rPr>
                      <w:kern w:val="0"/>
                      <w:sz w:val="18"/>
                      <w:szCs w:val="18"/>
                    </w:rPr>
                    <w:t>57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widowControl/>
                    <w:jc w:val="center"/>
                    <w:rPr>
                      <w:kern w:val="0"/>
                      <w:sz w:val="18"/>
                      <w:szCs w:val="18"/>
                    </w:rPr>
                  </w:pPr>
                </w:p>
              </w:tc>
              <w:tc>
                <w:tcPr>
                  <w:tcW w:w="1190" w:type="dxa"/>
                  <w:vAlign w:val="center"/>
                </w:tcPr>
                <w:p>
                  <w:pPr>
                    <w:tabs>
                      <w:tab w:val="center" w:pos="4153"/>
                    </w:tabs>
                    <w:jc w:val="center"/>
                    <w:rPr>
                      <w:kern w:val="24"/>
                      <w:sz w:val="18"/>
                      <w:szCs w:val="18"/>
                    </w:rPr>
                  </w:pPr>
                  <w:r>
                    <w:rPr>
                      <w:kern w:val="24"/>
                      <w:sz w:val="18"/>
                      <w:szCs w:val="18"/>
                    </w:rPr>
                    <w:t>无齿锯</w:t>
                  </w:r>
                </w:p>
              </w:tc>
              <w:tc>
                <w:tcPr>
                  <w:tcW w:w="595" w:type="dxa"/>
                  <w:vAlign w:val="center"/>
                </w:tcPr>
                <w:p>
                  <w:pPr>
                    <w:tabs>
                      <w:tab w:val="center" w:pos="4153"/>
                    </w:tabs>
                    <w:jc w:val="center"/>
                    <w:rPr>
                      <w:kern w:val="24"/>
                      <w:sz w:val="18"/>
                      <w:szCs w:val="18"/>
                    </w:rPr>
                  </w:pPr>
                  <w:r>
                    <w:rPr>
                      <w:kern w:val="24"/>
                      <w:sz w:val="18"/>
                      <w:szCs w:val="18"/>
                    </w:rPr>
                    <w:t>105</w:t>
                  </w:r>
                </w:p>
              </w:tc>
              <w:tc>
                <w:tcPr>
                  <w:tcW w:w="620" w:type="dxa"/>
                  <w:vAlign w:val="center"/>
                </w:tcPr>
                <w:p>
                  <w:pPr>
                    <w:widowControl/>
                    <w:jc w:val="center"/>
                    <w:rPr>
                      <w:kern w:val="0"/>
                      <w:sz w:val="18"/>
                      <w:szCs w:val="18"/>
                    </w:rPr>
                  </w:pPr>
                  <w:r>
                    <w:rPr>
                      <w:kern w:val="0"/>
                      <w:sz w:val="18"/>
                      <w:szCs w:val="18"/>
                    </w:rPr>
                    <w:t>85</w:t>
                  </w:r>
                </w:p>
              </w:tc>
              <w:tc>
                <w:tcPr>
                  <w:tcW w:w="587" w:type="dxa"/>
                  <w:vAlign w:val="center"/>
                </w:tcPr>
                <w:p>
                  <w:pPr>
                    <w:widowControl/>
                    <w:jc w:val="center"/>
                    <w:rPr>
                      <w:kern w:val="0"/>
                      <w:sz w:val="18"/>
                      <w:szCs w:val="18"/>
                    </w:rPr>
                  </w:pPr>
                  <w:r>
                    <w:rPr>
                      <w:kern w:val="0"/>
                      <w:sz w:val="18"/>
                      <w:szCs w:val="18"/>
                    </w:rPr>
                    <w:t>79</w:t>
                  </w:r>
                </w:p>
              </w:tc>
              <w:tc>
                <w:tcPr>
                  <w:tcW w:w="589" w:type="dxa"/>
                  <w:vAlign w:val="center"/>
                </w:tcPr>
                <w:p>
                  <w:pPr>
                    <w:widowControl/>
                    <w:jc w:val="center"/>
                    <w:rPr>
                      <w:kern w:val="0"/>
                      <w:sz w:val="18"/>
                      <w:szCs w:val="18"/>
                    </w:rPr>
                  </w:pPr>
                  <w:r>
                    <w:rPr>
                      <w:kern w:val="0"/>
                      <w:sz w:val="18"/>
                      <w:szCs w:val="18"/>
                    </w:rPr>
                    <w:t>75</w:t>
                  </w:r>
                </w:p>
              </w:tc>
              <w:tc>
                <w:tcPr>
                  <w:tcW w:w="589" w:type="dxa"/>
                  <w:vAlign w:val="center"/>
                </w:tcPr>
                <w:p>
                  <w:pPr>
                    <w:widowControl/>
                    <w:jc w:val="center"/>
                    <w:rPr>
                      <w:kern w:val="0"/>
                      <w:sz w:val="18"/>
                      <w:szCs w:val="18"/>
                    </w:rPr>
                  </w:pPr>
                  <w:r>
                    <w:rPr>
                      <w:kern w:val="0"/>
                      <w:sz w:val="18"/>
                      <w:szCs w:val="18"/>
                    </w:rPr>
                    <w:t>71</w:t>
                  </w:r>
                </w:p>
              </w:tc>
              <w:tc>
                <w:tcPr>
                  <w:tcW w:w="589" w:type="dxa"/>
                  <w:vAlign w:val="center"/>
                </w:tcPr>
                <w:p>
                  <w:pPr>
                    <w:widowControl/>
                    <w:jc w:val="center"/>
                    <w:rPr>
                      <w:kern w:val="0"/>
                      <w:sz w:val="18"/>
                      <w:szCs w:val="18"/>
                    </w:rPr>
                  </w:pPr>
                  <w:r>
                    <w:rPr>
                      <w:kern w:val="0"/>
                      <w:sz w:val="18"/>
                      <w:szCs w:val="18"/>
                    </w:rPr>
                    <w:t>69</w:t>
                  </w:r>
                </w:p>
              </w:tc>
              <w:tc>
                <w:tcPr>
                  <w:tcW w:w="589" w:type="dxa"/>
                  <w:vAlign w:val="center"/>
                </w:tcPr>
                <w:p>
                  <w:pPr>
                    <w:widowControl/>
                    <w:jc w:val="center"/>
                    <w:rPr>
                      <w:kern w:val="0"/>
                      <w:sz w:val="18"/>
                      <w:szCs w:val="18"/>
                    </w:rPr>
                  </w:pPr>
                  <w:r>
                    <w:rPr>
                      <w:kern w:val="0"/>
                      <w:sz w:val="18"/>
                      <w:szCs w:val="18"/>
                    </w:rPr>
                    <w:t>67</w:t>
                  </w:r>
                </w:p>
              </w:tc>
              <w:tc>
                <w:tcPr>
                  <w:tcW w:w="666" w:type="dxa"/>
                  <w:vAlign w:val="center"/>
                </w:tcPr>
                <w:p>
                  <w:pPr>
                    <w:widowControl/>
                    <w:jc w:val="center"/>
                    <w:rPr>
                      <w:kern w:val="0"/>
                      <w:sz w:val="18"/>
                      <w:szCs w:val="18"/>
                    </w:rPr>
                  </w:pPr>
                  <w:r>
                    <w:rPr>
                      <w:kern w:val="0"/>
                      <w:sz w:val="18"/>
                      <w:szCs w:val="18"/>
                    </w:rPr>
                    <w:t>65</w:t>
                  </w:r>
                </w:p>
              </w:tc>
              <w:tc>
                <w:tcPr>
                  <w:tcW w:w="666" w:type="dxa"/>
                  <w:vAlign w:val="center"/>
                </w:tcPr>
                <w:p>
                  <w:pPr>
                    <w:widowControl/>
                    <w:jc w:val="center"/>
                    <w:rPr>
                      <w:kern w:val="0"/>
                      <w:sz w:val="18"/>
                      <w:szCs w:val="18"/>
                    </w:rPr>
                  </w:pPr>
                  <w:r>
                    <w:rPr>
                      <w:kern w:val="0"/>
                      <w:sz w:val="18"/>
                      <w:szCs w:val="18"/>
                    </w:rPr>
                    <w:t>61</w:t>
                  </w:r>
                </w:p>
              </w:tc>
              <w:tc>
                <w:tcPr>
                  <w:tcW w:w="666" w:type="dxa"/>
                  <w:vAlign w:val="center"/>
                </w:tcPr>
                <w:p>
                  <w:pPr>
                    <w:widowControl/>
                    <w:jc w:val="center"/>
                    <w:rPr>
                      <w:kern w:val="0"/>
                      <w:sz w:val="18"/>
                      <w:szCs w:val="18"/>
                    </w:rPr>
                  </w:pPr>
                  <w:r>
                    <w:rPr>
                      <w:kern w:val="0"/>
                      <w:sz w:val="18"/>
                      <w:szCs w:val="18"/>
                    </w:rPr>
                    <w:t>59</w:t>
                  </w:r>
                </w:p>
              </w:tc>
              <w:tc>
                <w:tcPr>
                  <w:tcW w:w="666" w:type="dxa"/>
                  <w:vAlign w:val="center"/>
                </w:tcPr>
                <w:p>
                  <w:pPr>
                    <w:widowControl/>
                    <w:jc w:val="center"/>
                    <w:rPr>
                      <w:kern w:val="0"/>
                      <w:sz w:val="18"/>
                      <w:szCs w:val="18"/>
                    </w:rPr>
                  </w:pPr>
                  <w:r>
                    <w:rPr>
                      <w:kern w:val="0"/>
                      <w:sz w:val="18"/>
                      <w:szCs w:val="18"/>
                    </w:rPr>
                    <w:t>57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widowControl/>
                    <w:jc w:val="center"/>
                    <w:rPr>
                      <w:kern w:val="0"/>
                      <w:sz w:val="18"/>
                      <w:szCs w:val="18"/>
                    </w:rPr>
                  </w:pPr>
                </w:p>
              </w:tc>
              <w:tc>
                <w:tcPr>
                  <w:tcW w:w="1190" w:type="dxa"/>
                  <w:vAlign w:val="center"/>
                </w:tcPr>
                <w:p>
                  <w:pPr>
                    <w:tabs>
                      <w:tab w:val="center" w:pos="4153"/>
                    </w:tabs>
                    <w:jc w:val="center"/>
                    <w:rPr>
                      <w:kern w:val="24"/>
                      <w:sz w:val="18"/>
                      <w:szCs w:val="18"/>
                    </w:rPr>
                  </w:pPr>
                  <w:r>
                    <w:rPr>
                      <w:kern w:val="24"/>
                      <w:sz w:val="18"/>
                      <w:szCs w:val="18"/>
                    </w:rPr>
                    <w:t>手工钻</w:t>
                  </w:r>
                </w:p>
              </w:tc>
              <w:tc>
                <w:tcPr>
                  <w:tcW w:w="595" w:type="dxa"/>
                  <w:vAlign w:val="center"/>
                </w:tcPr>
                <w:p>
                  <w:pPr>
                    <w:tabs>
                      <w:tab w:val="center" w:pos="4153"/>
                    </w:tabs>
                    <w:jc w:val="center"/>
                    <w:rPr>
                      <w:kern w:val="24"/>
                      <w:sz w:val="18"/>
                      <w:szCs w:val="18"/>
                    </w:rPr>
                  </w:pPr>
                  <w:r>
                    <w:rPr>
                      <w:kern w:val="24"/>
                      <w:sz w:val="18"/>
                      <w:szCs w:val="18"/>
                    </w:rPr>
                    <w:t>105</w:t>
                  </w:r>
                </w:p>
              </w:tc>
              <w:tc>
                <w:tcPr>
                  <w:tcW w:w="620" w:type="dxa"/>
                  <w:vAlign w:val="center"/>
                </w:tcPr>
                <w:p>
                  <w:pPr>
                    <w:widowControl/>
                    <w:jc w:val="center"/>
                    <w:rPr>
                      <w:kern w:val="0"/>
                      <w:sz w:val="18"/>
                      <w:szCs w:val="18"/>
                    </w:rPr>
                  </w:pPr>
                  <w:r>
                    <w:rPr>
                      <w:kern w:val="0"/>
                      <w:sz w:val="18"/>
                      <w:szCs w:val="18"/>
                    </w:rPr>
                    <w:t>85</w:t>
                  </w:r>
                </w:p>
              </w:tc>
              <w:tc>
                <w:tcPr>
                  <w:tcW w:w="587" w:type="dxa"/>
                  <w:vAlign w:val="center"/>
                </w:tcPr>
                <w:p>
                  <w:pPr>
                    <w:widowControl/>
                    <w:jc w:val="center"/>
                    <w:rPr>
                      <w:kern w:val="0"/>
                      <w:sz w:val="18"/>
                      <w:szCs w:val="18"/>
                    </w:rPr>
                  </w:pPr>
                  <w:r>
                    <w:rPr>
                      <w:kern w:val="0"/>
                      <w:sz w:val="18"/>
                      <w:szCs w:val="18"/>
                    </w:rPr>
                    <w:t>79</w:t>
                  </w:r>
                </w:p>
              </w:tc>
              <w:tc>
                <w:tcPr>
                  <w:tcW w:w="589" w:type="dxa"/>
                  <w:vAlign w:val="center"/>
                </w:tcPr>
                <w:p>
                  <w:pPr>
                    <w:widowControl/>
                    <w:jc w:val="center"/>
                    <w:rPr>
                      <w:kern w:val="0"/>
                      <w:sz w:val="18"/>
                      <w:szCs w:val="18"/>
                    </w:rPr>
                  </w:pPr>
                  <w:r>
                    <w:rPr>
                      <w:kern w:val="0"/>
                      <w:sz w:val="18"/>
                      <w:szCs w:val="18"/>
                    </w:rPr>
                    <w:t>75</w:t>
                  </w:r>
                </w:p>
              </w:tc>
              <w:tc>
                <w:tcPr>
                  <w:tcW w:w="589" w:type="dxa"/>
                  <w:vAlign w:val="center"/>
                </w:tcPr>
                <w:p>
                  <w:pPr>
                    <w:widowControl/>
                    <w:jc w:val="center"/>
                    <w:rPr>
                      <w:kern w:val="0"/>
                      <w:sz w:val="18"/>
                      <w:szCs w:val="18"/>
                    </w:rPr>
                  </w:pPr>
                  <w:r>
                    <w:rPr>
                      <w:kern w:val="0"/>
                      <w:sz w:val="18"/>
                      <w:szCs w:val="18"/>
                    </w:rPr>
                    <w:t>71</w:t>
                  </w:r>
                </w:p>
              </w:tc>
              <w:tc>
                <w:tcPr>
                  <w:tcW w:w="589" w:type="dxa"/>
                  <w:vAlign w:val="center"/>
                </w:tcPr>
                <w:p>
                  <w:pPr>
                    <w:widowControl/>
                    <w:jc w:val="center"/>
                    <w:rPr>
                      <w:kern w:val="0"/>
                      <w:sz w:val="18"/>
                      <w:szCs w:val="18"/>
                    </w:rPr>
                  </w:pPr>
                  <w:r>
                    <w:rPr>
                      <w:kern w:val="0"/>
                      <w:sz w:val="18"/>
                      <w:szCs w:val="18"/>
                    </w:rPr>
                    <w:t>69</w:t>
                  </w:r>
                </w:p>
              </w:tc>
              <w:tc>
                <w:tcPr>
                  <w:tcW w:w="589" w:type="dxa"/>
                  <w:vAlign w:val="center"/>
                </w:tcPr>
                <w:p>
                  <w:pPr>
                    <w:widowControl/>
                    <w:jc w:val="center"/>
                    <w:rPr>
                      <w:kern w:val="0"/>
                      <w:sz w:val="18"/>
                      <w:szCs w:val="18"/>
                    </w:rPr>
                  </w:pPr>
                  <w:r>
                    <w:rPr>
                      <w:kern w:val="0"/>
                      <w:sz w:val="18"/>
                      <w:szCs w:val="18"/>
                    </w:rPr>
                    <w:t>67</w:t>
                  </w:r>
                </w:p>
              </w:tc>
              <w:tc>
                <w:tcPr>
                  <w:tcW w:w="666" w:type="dxa"/>
                  <w:vAlign w:val="center"/>
                </w:tcPr>
                <w:p>
                  <w:pPr>
                    <w:widowControl/>
                    <w:jc w:val="center"/>
                    <w:rPr>
                      <w:kern w:val="0"/>
                      <w:sz w:val="18"/>
                      <w:szCs w:val="18"/>
                    </w:rPr>
                  </w:pPr>
                  <w:r>
                    <w:rPr>
                      <w:kern w:val="0"/>
                      <w:sz w:val="18"/>
                      <w:szCs w:val="18"/>
                    </w:rPr>
                    <w:t>65</w:t>
                  </w:r>
                </w:p>
              </w:tc>
              <w:tc>
                <w:tcPr>
                  <w:tcW w:w="666" w:type="dxa"/>
                  <w:vAlign w:val="center"/>
                </w:tcPr>
                <w:p>
                  <w:pPr>
                    <w:widowControl/>
                    <w:jc w:val="center"/>
                    <w:rPr>
                      <w:kern w:val="0"/>
                      <w:sz w:val="18"/>
                      <w:szCs w:val="18"/>
                    </w:rPr>
                  </w:pPr>
                  <w:r>
                    <w:rPr>
                      <w:kern w:val="0"/>
                      <w:sz w:val="18"/>
                      <w:szCs w:val="18"/>
                    </w:rPr>
                    <w:t>61</w:t>
                  </w:r>
                </w:p>
              </w:tc>
              <w:tc>
                <w:tcPr>
                  <w:tcW w:w="666" w:type="dxa"/>
                  <w:vAlign w:val="center"/>
                </w:tcPr>
                <w:p>
                  <w:pPr>
                    <w:widowControl/>
                    <w:jc w:val="center"/>
                    <w:rPr>
                      <w:kern w:val="0"/>
                      <w:sz w:val="18"/>
                      <w:szCs w:val="18"/>
                    </w:rPr>
                  </w:pPr>
                  <w:r>
                    <w:rPr>
                      <w:kern w:val="0"/>
                      <w:sz w:val="18"/>
                      <w:szCs w:val="18"/>
                    </w:rPr>
                    <w:t>59</w:t>
                  </w:r>
                </w:p>
              </w:tc>
              <w:tc>
                <w:tcPr>
                  <w:tcW w:w="666" w:type="dxa"/>
                  <w:vAlign w:val="center"/>
                </w:tcPr>
                <w:p>
                  <w:pPr>
                    <w:widowControl/>
                    <w:jc w:val="center"/>
                    <w:rPr>
                      <w:kern w:val="0"/>
                      <w:sz w:val="18"/>
                      <w:szCs w:val="18"/>
                    </w:rPr>
                  </w:pPr>
                  <w:r>
                    <w:rPr>
                      <w:kern w:val="0"/>
                      <w:sz w:val="18"/>
                      <w:szCs w:val="18"/>
                    </w:rPr>
                    <w:t>57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widowControl/>
                    <w:jc w:val="center"/>
                    <w:rPr>
                      <w:kern w:val="0"/>
                      <w:sz w:val="18"/>
                      <w:szCs w:val="18"/>
                    </w:rPr>
                  </w:pPr>
                </w:p>
              </w:tc>
              <w:tc>
                <w:tcPr>
                  <w:tcW w:w="1190" w:type="dxa"/>
                  <w:vAlign w:val="center"/>
                </w:tcPr>
                <w:p>
                  <w:pPr>
                    <w:tabs>
                      <w:tab w:val="center" w:pos="4153"/>
                    </w:tabs>
                    <w:jc w:val="center"/>
                    <w:rPr>
                      <w:kern w:val="24"/>
                      <w:sz w:val="18"/>
                      <w:szCs w:val="18"/>
                    </w:rPr>
                  </w:pPr>
                  <w:r>
                    <w:rPr>
                      <w:kern w:val="24"/>
                      <w:sz w:val="18"/>
                      <w:szCs w:val="18"/>
                    </w:rPr>
                    <w:t>轻型卡车</w:t>
                  </w:r>
                </w:p>
              </w:tc>
              <w:tc>
                <w:tcPr>
                  <w:tcW w:w="595" w:type="dxa"/>
                  <w:vAlign w:val="center"/>
                </w:tcPr>
                <w:p>
                  <w:pPr>
                    <w:widowControl/>
                    <w:jc w:val="center"/>
                    <w:rPr>
                      <w:kern w:val="0"/>
                      <w:sz w:val="18"/>
                      <w:szCs w:val="18"/>
                    </w:rPr>
                  </w:pPr>
                  <w:r>
                    <w:rPr>
                      <w:kern w:val="0"/>
                      <w:sz w:val="18"/>
                      <w:szCs w:val="18"/>
                    </w:rPr>
                    <w:t>80</w:t>
                  </w:r>
                </w:p>
              </w:tc>
              <w:tc>
                <w:tcPr>
                  <w:tcW w:w="620" w:type="dxa"/>
                  <w:vAlign w:val="center"/>
                </w:tcPr>
                <w:p>
                  <w:pPr>
                    <w:widowControl/>
                    <w:jc w:val="center"/>
                    <w:rPr>
                      <w:kern w:val="0"/>
                      <w:sz w:val="18"/>
                      <w:szCs w:val="18"/>
                    </w:rPr>
                  </w:pPr>
                  <w:r>
                    <w:rPr>
                      <w:kern w:val="0"/>
                      <w:sz w:val="18"/>
                      <w:szCs w:val="18"/>
                    </w:rPr>
                    <w:t>60</w:t>
                  </w:r>
                </w:p>
              </w:tc>
              <w:tc>
                <w:tcPr>
                  <w:tcW w:w="587" w:type="dxa"/>
                  <w:vAlign w:val="center"/>
                </w:tcPr>
                <w:p>
                  <w:pPr>
                    <w:widowControl/>
                    <w:jc w:val="center"/>
                    <w:rPr>
                      <w:kern w:val="0"/>
                      <w:sz w:val="18"/>
                      <w:szCs w:val="18"/>
                    </w:rPr>
                  </w:pPr>
                  <w:r>
                    <w:rPr>
                      <w:kern w:val="0"/>
                      <w:sz w:val="18"/>
                      <w:szCs w:val="18"/>
                    </w:rPr>
                    <w:t>54</w:t>
                  </w:r>
                </w:p>
              </w:tc>
              <w:tc>
                <w:tcPr>
                  <w:tcW w:w="589" w:type="dxa"/>
                  <w:vAlign w:val="center"/>
                </w:tcPr>
                <w:p>
                  <w:pPr>
                    <w:widowControl/>
                    <w:jc w:val="center"/>
                    <w:rPr>
                      <w:kern w:val="0"/>
                      <w:sz w:val="18"/>
                      <w:szCs w:val="18"/>
                    </w:rPr>
                  </w:pPr>
                  <w:r>
                    <w:rPr>
                      <w:kern w:val="0"/>
                      <w:sz w:val="18"/>
                      <w:szCs w:val="18"/>
                    </w:rPr>
                    <w:t>60</w:t>
                  </w:r>
                </w:p>
              </w:tc>
              <w:tc>
                <w:tcPr>
                  <w:tcW w:w="589" w:type="dxa"/>
                  <w:vAlign w:val="center"/>
                </w:tcPr>
                <w:p>
                  <w:pPr>
                    <w:widowControl/>
                    <w:jc w:val="center"/>
                    <w:rPr>
                      <w:kern w:val="0"/>
                      <w:sz w:val="18"/>
                      <w:szCs w:val="18"/>
                    </w:rPr>
                  </w:pPr>
                  <w:r>
                    <w:rPr>
                      <w:kern w:val="0"/>
                      <w:sz w:val="18"/>
                      <w:szCs w:val="18"/>
                    </w:rPr>
                    <w:t>56</w:t>
                  </w:r>
                </w:p>
              </w:tc>
              <w:tc>
                <w:tcPr>
                  <w:tcW w:w="589" w:type="dxa"/>
                  <w:vAlign w:val="center"/>
                </w:tcPr>
                <w:p>
                  <w:pPr>
                    <w:widowControl/>
                    <w:jc w:val="center"/>
                    <w:rPr>
                      <w:kern w:val="0"/>
                      <w:sz w:val="18"/>
                      <w:szCs w:val="18"/>
                    </w:rPr>
                  </w:pPr>
                  <w:r>
                    <w:rPr>
                      <w:kern w:val="0"/>
                      <w:sz w:val="18"/>
                      <w:szCs w:val="18"/>
                    </w:rPr>
                    <w:t>54</w:t>
                  </w:r>
                </w:p>
              </w:tc>
              <w:tc>
                <w:tcPr>
                  <w:tcW w:w="589" w:type="dxa"/>
                  <w:vAlign w:val="center"/>
                </w:tcPr>
                <w:p>
                  <w:pPr>
                    <w:widowControl/>
                    <w:jc w:val="center"/>
                    <w:rPr>
                      <w:kern w:val="0"/>
                      <w:sz w:val="18"/>
                      <w:szCs w:val="18"/>
                    </w:rPr>
                  </w:pPr>
                  <w:r>
                    <w:rPr>
                      <w:kern w:val="0"/>
                      <w:sz w:val="18"/>
                      <w:szCs w:val="18"/>
                    </w:rPr>
                    <w:t>52</w:t>
                  </w:r>
                </w:p>
              </w:tc>
              <w:tc>
                <w:tcPr>
                  <w:tcW w:w="666" w:type="dxa"/>
                  <w:vAlign w:val="center"/>
                </w:tcPr>
                <w:p>
                  <w:pPr>
                    <w:widowControl/>
                    <w:jc w:val="center"/>
                    <w:rPr>
                      <w:kern w:val="0"/>
                      <w:sz w:val="18"/>
                      <w:szCs w:val="18"/>
                    </w:rPr>
                  </w:pPr>
                  <w:r>
                    <w:rPr>
                      <w:kern w:val="0"/>
                      <w:sz w:val="18"/>
                      <w:szCs w:val="18"/>
                    </w:rPr>
                    <w:t>40</w:t>
                  </w:r>
                </w:p>
              </w:tc>
              <w:tc>
                <w:tcPr>
                  <w:tcW w:w="666" w:type="dxa"/>
                  <w:vAlign w:val="center"/>
                </w:tcPr>
                <w:p>
                  <w:pPr>
                    <w:widowControl/>
                    <w:jc w:val="center"/>
                    <w:rPr>
                      <w:kern w:val="0"/>
                      <w:sz w:val="18"/>
                      <w:szCs w:val="18"/>
                    </w:rPr>
                  </w:pPr>
                  <w:r>
                    <w:rPr>
                      <w:kern w:val="0"/>
                      <w:sz w:val="18"/>
                      <w:szCs w:val="18"/>
                    </w:rPr>
                    <w:t>36</w:t>
                  </w:r>
                </w:p>
              </w:tc>
              <w:tc>
                <w:tcPr>
                  <w:tcW w:w="666" w:type="dxa"/>
                  <w:vAlign w:val="center"/>
                </w:tcPr>
                <w:p>
                  <w:pPr>
                    <w:widowControl/>
                    <w:jc w:val="center"/>
                    <w:rPr>
                      <w:kern w:val="0"/>
                      <w:sz w:val="18"/>
                      <w:szCs w:val="18"/>
                    </w:rPr>
                  </w:pPr>
                  <w:r>
                    <w:rPr>
                      <w:kern w:val="0"/>
                      <w:sz w:val="18"/>
                      <w:szCs w:val="18"/>
                    </w:rPr>
                    <w:t>34</w:t>
                  </w:r>
                </w:p>
              </w:tc>
              <w:tc>
                <w:tcPr>
                  <w:tcW w:w="666" w:type="dxa"/>
                  <w:vAlign w:val="center"/>
                </w:tcPr>
                <w:p>
                  <w:pPr>
                    <w:widowControl/>
                    <w:jc w:val="center"/>
                    <w:rPr>
                      <w:kern w:val="0"/>
                      <w:sz w:val="18"/>
                      <w:szCs w:val="18"/>
                    </w:rPr>
                  </w:pPr>
                  <w:r>
                    <w:rPr>
                      <w:kern w:val="0"/>
                      <w:sz w:val="18"/>
                      <w:szCs w:val="18"/>
                    </w:rPr>
                    <w:t>32</w:t>
                  </w:r>
                </w:p>
              </w:tc>
            </w:tr>
          </w:tbl>
          <w:p>
            <w:pPr>
              <w:spacing w:before="120" w:beforeLines="50" w:line="360" w:lineRule="auto"/>
              <w:ind w:firstLine="480" w:firstLineChars="200"/>
              <w:rPr>
                <w:kern w:val="24"/>
                <w:sz w:val="24"/>
              </w:rPr>
            </w:pPr>
            <w:r>
              <w:rPr>
                <w:kern w:val="24"/>
                <w:sz w:val="24"/>
              </w:rPr>
              <w:t>根据噪声叠加公式：</w:t>
            </w:r>
          </w:p>
          <w:p>
            <w:pPr>
              <w:spacing w:line="360" w:lineRule="auto"/>
              <w:ind w:firstLine="480" w:firstLineChars="200"/>
              <w:jc w:val="center"/>
              <w:rPr>
                <w:kern w:val="24"/>
                <w:sz w:val="24"/>
              </w:rPr>
            </w:pPr>
            <w:r>
              <w:rPr>
                <w:kern w:val="24"/>
                <w:sz w:val="24"/>
              </w:rPr>
              <w:t>Leq＝10lg∑（10</w:t>
            </w:r>
            <w:r>
              <w:rPr>
                <w:kern w:val="24"/>
                <w:sz w:val="24"/>
                <w:vertAlign w:val="superscript"/>
              </w:rPr>
              <w:t>0.1L1</w:t>
            </w:r>
            <w:r>
              <w:rPr>
                <w:kern w:val="24"/>
                <w:sz w:val="24"/>
              </w:rPr>
              <w:t>+10</w:t>
            </w:r>
            <w:r>
              <w:rPr>
                <w:kern w:val="24"/>
                <w:sz w:val="24"/>
                <w:vertAlign w:val="superscript"/>
              </w:rPr>
              <w:t>0.1L2</w:t>
            </w:r>
            <w:r>
              <w:rPr>
                <w:kern w:val="24"/>
                <w:sz w:val="24"/>
              </w:rPr>
              <w:t>+…10</w:t>
            </w:r>
            <w:r>
              <w:rPr>
                <w:kern w:val="24"/>
                <w:sz w:val="24"/>
                <w:vertAlign w:val="superscript"/>
              </w:rPr>
              <w:t>0.1L</w:t>
            </w:r>
            <w:r>
              <w:rPr>
                <w:b/>
                <w:kern w:val="24"/>
                <w:sz w:val="24"/>
                <w:vertAlign w:val="superscript"/>
              </w:rPr>
              <w:t>ｉ</w:t>
            </w:r>
            <w:r>
              <w:rPr>
                <w:kern w:val="24"/>
                <w:sz w:val="24"/>
              </w:rPr>
              <w:t>）</w:t>
            </w:r>
          </w:p>
          <w:p>
            <w:pPr>
              <w:spacing w:line="360" w:lineRule="auto"/>
              <w:ind w:firstLine="2160" w:firstLineChars="900"/>
              <w:rPr>
                <w:kern w:val="24"/>
                <w:sz w:val="24"/>
              </w:rPr>
            </w:pPr>
            <w:r>
              <w:rPr>
                <w:kern w:val="24"/>
                <w:sz w:val="24"/>
              </w:rPr>
              <w:t>式中：Li——其中单个噪声源的声级数，dB（A）</w:t>
            </w:r>
          </w:p>
          <w:p>
            <w:pPr>
              <w:spacing w:line="360" w:lineRule="auto"/>
              <w:ind w:firstLine="2880" w:firstLineChars="1200"/>
              <w:rPr>
                <w:kern w:val="24"/>
                <w:sz w:val="24"/>
              </w:rPr>
            </w:pPr>
            <w:r>
              <w:rPr>
                <w:kern w:val="24"/>
                <w:sz w:val="24"/>
              </w:rPr>
              <w:t>Leq——噪声源叠加后的值</w:t>
            </w:r>
          </w:p>
          <w:p>
            <w:pPr>
              <w:spacing w:line="360" w:lineRule="auto"/>
              <w:ind w:firstLine="480" w:firstLineChars="200"/>
              <w:rPr>
                <w:kern w:val="24"/>
                <w:sz w:val="24"/>
              </w:rPr>
            </w:pPr>
            <w:r>
              <w:rPr>
                <w:kern w:val="24"/>
                <w:sz w:val="24"/>
              </w:rPr>
              <w:t>根据噪声叠加公式计算得出各阶段不同距离噪声叠加值见2</w:t>
            </w:r>
            <w:r>
              <w:rPr>
                <w:rFonts w:hint="eastAsia"/>
                <w:kern w:val="24"/>
                <w:sz w:val="24"/>
              </w:rPr>
              <w:t>7。</w:t>
            </w:r>
          </w:p>
          <w:p>
            <w:pPr>
              <w:ind w:firstLine="422" w:firstLineChars="200"/>
              <w:jc w:val="center"/>
              <w:rPr>
                <w:b/>
                <w:bCs/>
                <w:kern w:val="24"/>
                <w:szCs w:val="21"/>
              </w:rPr>
            </w:pPr>
            <w:r>
              <w:rPr>
                <w:b/>
                <w:bCs/>
                <w:kern w:val="24"/>
                <w:szCs w:val="21"/>
              </w:rPr>
              <w:t>表2</w:t>
            </w:r>
            <w:r>
              <w:rPr>
                <w:rFonts w:hint="eastAsia"/>
                <w:b/>
                <w:bCs/>
                <w:kern w:val="24"/>
                <w:szCs w:val="21"/>
              </w:rPr>
              <w:t>7</w:t>
            </w:r>
            <w:r>
              <w:rPr>
                <w:b/>
                <w:bCs/>
                <w:kern w:val="24"/>
                <w:szCs w:val="21"/>
              </w:rPr>
              <w:t xml:space="preserve"> </w:t>
            </w:r>
            <w:r>
              <w:rPr>
                <w:rFonts w:hint="eastAsia"/>
                <w:b/>
                <w:bCs/>
                <w:kern w:val="24"/>
                <w:szCs w:val="21"/>
              </w:rPr>
              <w:t xml:space="preserve">   </w:t>
            </w:r>
            <w:r>
              <w:rPr>
                <w:b/>
                <w:bCs/>
                <w:kern w:val="24"/>
                <w:szCs w:val="21"/>
              </w:rPr>
              <w:t>各阶段噪声在不同距离叠加源强</w:t>
            </w:r>
          </w:p>
          <w:tbl>
            <w:tblPr>
              <w:tblStyle w:val="39"/>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23"/>
              <w:gridCol w:w="637"/>
              <w:gridCol w:w="640"/>
              <w:gridCol w:w="641"/>
              <w:gridCol w:w="641"/>
              <w:gridCol w:w="726"/>
              <w:gridCol w:w="645"/>
              <w:gridCol w:w="637"/>
              <w:gridCol w:w="637"/>
              <w:gridCol w:w="642"/>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jc w:val="center"/>
              </w:trPr>
              <w:tc>
                <w:tcPr>
                  <w:tcW w:w="1620" w:type="dxa"/>
                </w:tcPr>
                <w:p>
                  <w:pPr>
                    <w:tabs>
                      <w:tab w:val="left" w:pos="990"/>
                    </w:tabs>
                    <w:ind w:left="210" w:leftChars="100"/>
                    <w:rPr>
                      <w:kern w:val="24"/>
                      <w:sz w:val="18"/>
                      <w:szCs w:val="18"/>
                    </w:rPr>
                  </w:pPr>
                  <w:r>
                    <w:rPr>
                      <w:kern w:val="24"/>
                      <w:sz w:val="18"/>
                      <w:szCs w:val="18"/>
                    </w:rPr>
                    <w:pict>
                      <v:group id="__TH_G22五号19" o:spid="_x0000_s1036" o:spt="203" style="position:absolute;left:0pt;margin-left:-3.95pt;margin-top:-0.5pt;height:57.55pt;width:75.95pt;z-index:251670528;mso-width-relative:page;mso-height-relative:page;" coordsize="1538,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">
                        <o:lock v:ext="edit"/>
                        <v:line id="__TH_L17" o:spid="_x0000_s1027" o:spt="20" style="position:absolute;left:769;top:0;height:1390;width:769;"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0S98EAAADbAAAADwAAAGRycy9kb3ducmV2LnhtbERPTYvCMBC9C/6HMII3TVdEpGsUVxGE&#10;PUitl70NzdhWm0lJotb99UZY2Ns83ucsVp1pxJ2cry0r+BgnIIgLq2suFZzy3WgOwgdkjY1lUvAk&#10;D6tlv7fAVNsHZ3Q/hlLEEPYpKqhCaFMpfVGRQT+2LXHkztYZDBG6UmqHjxhuGjlJkpk0WHNsqLCl&#10;TUXF9XgzCuZ567fPzc/OHtzlN/ueZjTFL6WGg279CSJQF/7Ff+69jvMn8P4lHi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HRL3wQAAANsAAAAPAAAAAAAAAAAAAAAA&#10;AKECAABkcnMvZG93bnJldi54bWxQSwUGAAAAAAQABAD5AAAAjwMAAAAA&#10;">
                          <v:path arrowok="t"/>
                          <v:fill focussize="0,0"/>
                          <v:stroke weight="0.5pt"/>
                          <v:imagedata o:title=""/>
                          <o:lock v:ext="edit"/>
                        </v:line>
                        <v:line id="__TH_L18" o:spid="_x0000_s1028" o:spt="20" style="position:absolute;left:0;top:695;height:695;width:1538;"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gvGMEAAADbAAAADwAAAGRycy9kb3ducmV2LnhtbERPS4vCMBC+C/6HMII3TV3KItUoPhCE&#10;PSxVL96GZmyrzaQkWa376zcLgrf5+J4zX3amEXdyvrasYDJOQBAXVtdcKjgdd6MpCB+QNTaWScGT&#10;PCwX/d4cM20fnNP9EEoRQ9hnqKAKoc2k9EVFBv3YtsSRu1hnMEToSqkdPmK4aeRHknxKgzXHhgpb&#10;2lRU3A4/RsH02Prtc3Pe2W93/c2/0pxSXCs1HHSrGYhAXXiLX+69jvNT+P8lHi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uC8YwQAAANsAAAAPAAAAAAAAAAAAAAAA&#10;AKECAABkcnMvZG93bnJldi54bWxQSwUGAAAAAAQABAD5AAAAjwMAAAAA&#10;">
                          <v:path arrowok="t"/>
                          <v:fill focussize="0,0"/>
                          <v:stroke weight="0.5pt"/>
                          <v:imagedata o:title=""/>
                          <o:lock v:ext="edit"/>
                        </v:line>
                      </v:group>
                    </w:pict>
                  </w:r>
                  <w:r>
                    <w:rPr>
                      <w:kern w:val="24"/>
                      <w:sz w:val="18"/>
                      <w:szCs w:val="18"/>
                    </w:rPr>
                    <w:pict>
                      <v:shape id="Text Box 4586" o:spid="_x0000_s1035" o:spt="202" type="#_x0000_t202" style="position:absolute;left:0pt;margin-left:-3.95pt;margin-top:36.7pt;height:23.25pt;width:39.6pt;z-index:25167257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gp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">
                        <v:path/>
                        <v:fill on="f" focussize="0,0"/>
                        <v:stroke on="f" joinstyle="miter"/>
                        <v:imagedata o:title=""/>
                        <o:lock v:ext="edit"/>
                        <v:textbox>
                          <w:txbxContent>
                            <w:p>
                              <w:pPr>
                                <w:rPr>
                                  <w:sz w:val="18"/>
                                  <w:szCs w:val="18"/>
                                </w:rPr>
                              </w:pPr>
                              <w:r>
                                <w:rPr>
                                  <w:rFonts w:hint="eastAsia"/>
                                  <w:sz w:val="18"/>
                                  <w:szCs w:val="18"/>
                                </w:rPr>
                                <w:t>工段</w:t>
                              </w:r>
                            </w:p>
                            <w:p/>
                          </w:txbxContent>
                        </v:textbox>
                      </v:shape>
                    </w:pict>
                  </w:r>
                  <w:r>
                    <w:rPr>
                      <w:kern w:val="24"/>
                      <w:sz w:val="18"/>
                      <w:szCs w:val="18"/>
                    </w:rPr>
                    <w:pict>
                      <v:shape id="Text Box 4585" o:spid="_x0000_s1034" o:spt="202" type="#_x0000_t202" style="position:absolute;left:0pt;margin-left:-9pt;margin-top:-0.5pt;height:46.8pt;width:81pt;z-index:-25164492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P0uw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">
                        <v:path/>
                        <v:fill on="f" focussize="0,0"/>
                        <v:stroke on="f" joinstyle="miter"/>
                        <v:imagedata o:title=""/>
                        <o:lock v:ext="edit"/>
                        <v:textbox>
                          <w:txbxContent>
                            <w:p>
                              <w:pPr>
                                <w:ind w:firstLine="180" w:firstLineChars="100"/>
                                <w:rPr>
                                  <w:sz w:val="18"/>
                                  <w:szCs w:val="18"/>
                                </w:rPr>
                              </w:pPr>
                              <w:r>
                                <w:rPr>
                                  <w:rFonts w:hint="eastAsia"/>
                                  <w:sz w:val="18"/>
                                  <w:szCs w:val="18"/>
                                </w:rPr>
                                <w:t>Leq</w:t>
                              </w:r>
                            </w:p>
                            <w:p>
                              <w:pPr>
                                <w:ind w:left="-6" w:leftChars="-16" w:hanging="28" w:hangingChars="16"/>
                                <w:rPr>
                                  <w:sz w:val="18"/>
                                  <w:szCs w:val="18"/>
                                </w:rPr>
                              </w:pPr>
                              <w:r>
                                <w:rPr>
                                  <w:rFonts w:hint="eastAsia"/>
                                  <w:sz w:val="18"/>
                                  <w:szCs w:val="18"/>
                                </w:rPr>
                                <w:t>（dB（A））</w:t>
                              </w:r>
                            </w:p>
                          </w:txbxContent>
                        </v:textbox>
                      </v:shape>
                    </w:pict>
                  </w:r>
                  <w:r>
                    <w:rPr>
                      <w:kern w:val="24"/>
                      <w:sz w:val="18"/>
                      <w:szCs w:val="18"/>
                    </w:rPr>
                    <w:tab/>
                  </w:r>
                  <w:r>
                    <w:rPr>
                      <w:kern w:val="24"/>
                      <w:sz w:val="18"/>
                      <w:szCs w:val="18"/>
                    </w:rPr>
                    <w:t>距离</w:t>
                  </w:r>
                </w:p>
                <w:p>
                  <w:pPr>
                    <w:ind w:firstLine="990" w:firstLineChars="550"/>
                    <w:rPr>
                      <w:kern w:val="24"/>
                      <w:sz w:val="18"/>
                      <w:szCs w:val="18"/>
                    </w:rPr>
                  </w:pPr>
                  <w:r>
                    <w:rPr>
                      <w:kern w:val="24"/>
                      <w:sz w:val="18"/>
                      <w:szCs w:val="18"/>
                    </w:rPr>
                    <w:t>（m）</w:t>
                  </w:r>
                </w:p>
                <w:p>
                  <w:pPr>
                    <w:tabs>
                      <w:tab w:val="left" w:pos="1080"/>
                    </w:tabs>
                    <w:ind w:firstLine="420"/>
                    <w:rPr>
                      <w:kern w:val="24"/>
                      <w:sz w:val="18"/>
                      <w:szCs w:val="18"/>
                    </w:rPr>
                  </w:pPr>
                </w:p>
              </w:tc>
              <w:tc>
                <w:tcPr>
                  <w:tcW w:w="723" w:type="dxa"/>
                  <w:vAlign w:val="center"/>
                </w:tcPr>
                <w:p>
                  <w:pPr>
                    <w:jc w:val="center"/>
                    <w:rPr>
                      <w:kern w:val="24"/>
                      <w:sz w:val="18"/>
                      <w:szCs w:val="18"/>
                    </w:rPr>
                  </w:pPr>
                  <w:r>
                    <w:rPr>
                      <w:kern w:val="24"/>
                      <w:sz w:val="18"/>
                      <w:szCs w:val="18"/>
                    </w:rPr>
                    <w:t>1</w:t>
                  </w:r>
                </w:p>
              </w:tc>
              <w:tc>
                <w:tcPr>
                  <w:tcW w:w="637" w:type="dxa"/>
                  <w:vAlign w:val="center"/>
                </w:tcPr>
                <w:p>
                  <w:pPr>
                    <w:jc w:val="center"/>
                    <w:rPr>
                      <w:kern w:val="24"/>
                      <w:sz w:val="18"/>
                      <w:szCs w:val="18"/>
                    </w:rPr>
                  </w:pPr>
                  <w:r>
                    <w:rPr>
                      <w:kern w:val="24"/>
                      <w:sz w:val="18"/>
                      <w:szCs w:val="18"/>
                    </w:rPr>
                    <w:t>10</w:t>
                  </w:r>
                </w:p>
              </w:tc>
              <w:tc>
                <w:tcPr>
                  <w:tcW w:w="640" w:type="dxa"/>
                  <w:vAlign w:val="center"/>
                </w:tcPr>
                <w:p>
                  <w:pPr>
                    <w:jc w:val="center"/>
                    <w:rPr>
                      <w:kern w:val="24"/>
                      <w:sz w:val="18"/>
                      <w:szCs w:val="18"/>
                    </w:rPr>
                  </w:pPr>
                  <w:r>
                    <w:rPr>
                      <w:kern w:val="24"/>
                      <w:sz w:val="18"/>
                      <w:szCs w:val="18"/>
                    </w:rPr>
                    <w:t>20</w:t>
                  </w:r>
                </w:p>
              </w:tc>
              <w:tc>
                <w:tcPr>
                  <w:tcW w:w="641" w:type="dxa"/>
                  <w:vAlign w:val="center"/>
                </w:tcPr>
                <w:p>
                  <w:pPr>
                    <w:jc w:val="center"/>
                    <w:rPr>
                      <w:kern w:val="24"/>
                      <w:sz w:val="18"/>
                      <w:szCs w:val="18"/>
                    </w:rPr>
                  </w:pPr>
                  <w:r>
                    <w:rPr>
                      <w:kern w:val="24"/>
                      <w:sz w:val="18"/>
                      <w:szCs w:val="18"/>
                    </w:rPr>
                    <w:t>30</w:t>
                  </w:r>
                </w:p>
              </w:tc>
              <w:tc>
                <w:tcPr>
                  <w:tcW w:w="641" w:type="dxa"/>
                  <w:vAlign w:val="center"/>
                </w:tcPr>
                <w:p>
                  <w:pPr>
                    <w:jc w:val="center"/>
                    <w:rPr>
                      <w:kern w:val="24"/>
                      <w:sz w:val="18"/>
                      <w:szCs w:val="18"/>
                    </w:rPr>
                  </w:pPr>
                  <w:r>
                    <w:rPr>
                      <w:kern w:val="24"/>
                      <w:sz w:val="18"/>
                      <w:szCs w:val="18"/>
                    </w:rPr>
                    <w:t>50</w:t>
                  </w:r>
                </w:p>
              </w:tc>
              <w:tc>
                <w:tcPr>
                  <w:tcW w:w="726" w:type="dxa"/>
                  <w:vAlign w:val="center"/>
                </w:tcPr>
                <w:p>
                  <w:pPr>
                    <w:jc w:val="center"/>
                    <w:rPr>
                      <w:kern w:val="24"/>
                      <w:sz w:val="18"/>
                      <w:szCs w:val="18"/>
                    </w:rPr>
                  </w:pPr>
                  <w:r>
                    <w:rPr>
                      <w:kern w:val="24"/>
                      <w:sz w:val="18"/>
                      <w:szCs w:val="18"/>
                    </w:rPr>
                    <w:t>60</w:t>
                  </w:r>
                </w:p>
              </w:tc>
              <w:tc>
                <w:tcPr>
                  <w:tcW w:w="645" w:type="dxa"/>
                  <w:vAlign w:val="center"/>
                </w:tcPr>
                <w:p>
                  <w:pPr>
                    <w:jc w:val="center"/>
                    <w:rPr>
                      <w:kern w:val="24"/>
                      <w:sz w:val="18"/>
                      <w:szCs w:val="18"/>
                    </w:rPr>
                  </w:pPr>
                  <w:r>
                    <w:rPr>
                      <w:kern w:val="24"/>
                      <w:sz w:val="18"/>
                      <w:szCs w:val="18"/>
                    </w:rPr>
                    <w:t>80</w:t>
                  </w:r>
                </w:p>
              </w:tc>
              <w:tc>
                <w:tcPr>
                  <w:tcW w:w="637" w:type="dxa"/>
                  <w:vAlign w:val="center"/>
                </w:tcPr>
                <w:p>
                  <w:pPr>
                    <w:jc w:val="center"/>
                    <w:rPr>
                      <w:kern w:val="24"/>
                      <w:sz w:val="18"/>
                      <w:szCs w:val="18"/>
                    </w:rPr>
                  </w:pPr>
                  <w:r>
                    <w:rPr>
                      <w:kern w:val="24"/>
                      <w:sz w:val="18"/>
                      <w:szCs w:val="18"/>
                    </w:rPr>
                    <w:t>100</w:t>
                  </w:r>
                </w:p>
              </w:tc>
              <w:tc>
                <w:tcPr>
                  <w:tcW w:w="637" w:type="dxa"/>
                  <w:vAlign w:val="center"/>
                </w:tcPr>
                <w:p>
                  <w:pPr>
                    <w:jc w:val="center"/>
                    <w:rPr>
                      <w:kern w:val="24"/>
                      <w:sz w:val="18"/>
                      <w:szCs w:val="18"/>
                    </w:rPr>
                  </w:pPr>
                  <w:r>
                    <w:rPr>
                      <w:kern w:val="24"/>
                      <w:sz w:val="18"/>
                      <w:szCs w:val="18"/>
                    </w:rPr>
                    <w:t>150</w:t>
                  </w:r>
                </w:p>
              </w:tc>
              <w:tc>
                <w:tcPr>
                  <w:tcW w:w="642" w:type="dxa"/>
                  <w:vAlign w:val="center"/>
                </w:tcPr>
                <w:p>
                  <w:pPr>
                    <w:jc w:val="center"/>
                    <w:rPr>
                      <w:kern w:val="24"/>
                      <w:sz w:val="18"/>
                      <w:szCs w:val="18"/>
                    </w:rPr>
                  </w:pPr>
                  <w:r>
                    <w:rPr>
                      <w:kern w:val="24"/>
                      <w:sz w:val="18"/>
                      <w:szCs w:val="18"/>
                    </w:rPr>
                    <w:t>200</w:t>
                  </w:r>
                </w:p>
              </w:tc>
              <w:tc>
                <w:tcPr>
                  <w:tcW w:w="642" w:type="dxa"/>
                  <w:vAlign w:val="center"/>
                </w:tcPr>
                <w:p>
                  <w:pPr>
                    <w:jc w:val="center"/>
                    <w:rPr>
                      <w:kern w:val="24"/>
                      <w:sz w:val="18"/>
                      <w:szCs w:val="18"/>
                    </w:rPr>
                  </w:pPr>
                  <w:r>
                    <w:rPr>
                      <w:kern w:val="24"/>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0" w:type="dxa"/>
                </w:tcPr>
                <w:p>
                  <w:pPr>
                    <w:rPr>
                      <w:kern w:val="24"/>
                      <w:sz w:val="18"/>
                      <w:szCs w:val="18"/>
                    </w:rPr>
                  </w:pPr>
                  <w:r>
                    <w:rPr>
                      <w:kern w:val="24"/>
                      <w:sz w:val="18"/>
                      <w:szCs w:val="18"/>
                    </w:rPr>
                    <w:t>土石方、基础阶段</w:t>
                  </w:r>
                </w:p>
              </w:tc>
              <w:tc>
                <w:tcPr>
                  <w:tcW w:w="723" w:type="dxa"/>
                  <w:vAlign w:val="center"/>
                </w:tcPr>
                <w:p>
                  <w:pPr>
                    <w:jc w:val="center"/>
                    <w:rPr>
                      <w:kern w:val="24"/>
                      <w:sz w:val="18"/>
                      <w:szCs w:val="18"/>
                    </w:rPr>
                  </w:pPr>
                  <w:r>
                    <w:rPr>
                      <w:kern w:val="24"/>
                      <w:sz w:val="18"/>
                      <w:szCs w:val="18"/>
                    </w:rPr>
                    <w:t>100.58</w:t>
                  </w:r>
                </w:p>
              </w:tc>
              <w:tc>
                <w:tcPr>
                  <w:tcW w:w="637" w:type="dxa"/>
                  <w:vAlign w:val="center"/>
                </w:tcPr>
                <w:p>
                  <w:pPr>
                    <w:jc w:val="center"/>
                    <w:rPr>
                      <w:kern w:val="24"/>
                      <w:sz w:val="18"/>
                      <w:szCs w:val="18"/>
                    </w:rPr>
                  </w:pPr>
                  <w:r>
                    <w:rPr>
                      <w:kern w:val="24"/>
                      <w:sz w:val="18"/>
                      <w:szCs w:val="18"/>
                    </w:rPr>
                    <w:t>80.58</w:t>
                  </w:r>
                </w:p>
              </w:tc>
              <w:tc>
                <w:tcPr>
                  <w:tcW w:w="640" w:type="dxa"/>
                  <w:vAlign w:val="center"/>
                </w:tcPr>
                <w:p>
                  <w:pPr>
                    <w:jc w:val="center"/>
                    <w:rPr>
                      <w:kern w:val="24"/>
                      <w:sz w:val="18"/>
                      <w:szCs w:val="18"/>
                    </w:rPr>
                  </w:pPr>
                  <w:r>
                    <w:rPr>
                      <w:kern w:val="24"/>
                      <w:sz w:val="18"/>
                      <w:szCs w:val="18"/>
                    </w:rPr>
                    <w:t>74.58</w:t>
                  </w:r>
                </w:p>
              </w:tc>
              <w:tc>
                <w:tcPr>
                  <w:tcW w:w="641" w:type="dxa"/>
                  <w:vAlign w:val="center"/>
                </w:tcPr>
                <w:p>
                  <w:pPr>
                    <w:jc w:val="center"/>
                    <w:rPr>
                      <w:kern w:val="24"/>
                      <w:sz w:val="18"/>
                      <w:szCs w:val="18"/>
                    </w:rPr>
                  </w:pPr>
                  <w:r>
                    <w:rPr>
                      <w:kern w:val="24"/>
                      <w:sz w:val="18"/>
                      <w:szCs w:val="18"/>
                    </w:rPr>
                    <w:t>70.58</w:t>
                  </w:r>
                </w:p>
              </w:tc>
              <w:tc>
                <w:tcPr>
                  <w:tcW w:w="641" w:type="dxa"/>
                  <w:vAlign w:val="center"/>
                </w:tcPr>
                <w:p>
                  <w:pPr>
                    <w:jc w:val="center"/>
                    <w:rPr>
                      <w:kern w:val="24"/>
                      <w:sz w:val="18"/>
                      <w:szCs w:val="18"/>
                    </w:rPr>
                  </w:pPr>
                  <w:r>
                    <w:rPr>
                      <w:kern w:val="24"/>
                      <w:sz w:val="18"/>
                      <w:szCs w:val="18"/>
                    </w:rPr>
                    <w:t>66.58</w:t>
                  </w:r>
                </w:p>
              </w:tc>
              <w:tc>
                <w:tcPr>
                  <w:tcW w:w="726" w:type="dxa"/>
                  <w:vAlign w:val="center"/>
                </w:tcPr>
                <w:p>
                  <w:pPr>
                    <w:jc w:val="center"/>
                    <w:rPr>
                      <w:kern w:val="24"/>
                      <w:sz w:val="18"/>
                      <w:szCs w:val="18"/>
                    </w:rPr>
                  </w:pPr>
                  <w:r>
                    <w:rPr>
                      <w:kern w:val="24"/>
                      <w:sz w:val="18"/>
                      <w:szCs w:val="18"/>
                    </w:rPr>
                    <w:t>64.58</w:t>
                  </w:r>
                </w:p>
              </w:tc>
              <w:tc>
                <w:tcPr>
                  <w:tcW w:w="645" w:type="dxa"/>
                  <w:vAlign w:val="center"/>
                </w:tcPr>
                <w:p>
                  <w:pPr>
                    <w:jc w:val="center"/>
                    <w:rPr>
                      <w:kern w:val="24"/>
                      <w:sz w:val="18"/>
                      <w:szCs w:val="18"/>
                    </w:rPr>
                  </w:pPr>
                  <w:r>
                    <w:rPr>
                      <w:kern w:val="24"/>
                      <w:sz w:val="18"/>
                      <w:szCs w:val="18"/>
                    </w:rPr>
                    <w:t>62.58</w:t>
                  </w:r>
                </w:p>
              </w:tc>
              <w:tc>
                <w:tcPr>
                  <w:tcW w:w="637" w:type="dxa"/>
                  <w:vAlign w:val="center"/>
                </w:tcPr>
                <w:p>
                  <w:pPr>
                    <w:jc w:val="center"/>
                    <w:rPr>
                      <w:kern w:val="24"/>
                      <w:sz w:val="18"/>
                      <w:szCs w:val="18"/>
                    </w:rPr>
                  </w:pPr>
                  <w:r>
                    <w:rPr>
                      <w:kern w:val="24"/>
                      <w:sz w:val="18"/>
                      <w:szCs w:val="18"/>
                    </w:rPr>
                    <w:t>60.58</w:t>
                  </w:r>
                </w:p>
              </w:tc>
              <w:tc>
                <w:tcPr>
                  <w:tcW w:w="637" w:type="dxa"/>
                  <w:vAlign w:val="center"/>
                </w:tcPr>
                <w:p>
                  <w:pPr>
                    <w:jc w:val="center"/>
                    <w:rPr>
                      <w:kern w:val="24"/>
                      <w:sz w:val="18"/>
                      <w:szCs w:val="18"/>
                    </w:rPr>
                  </w:pPr>
                  <w:r>
                    <w:rPr>
                      <w:kern w:val="24"/>
                      <w:sz w:val="18"/>
                      <w:szCs w:val="18"/>
                    </w:rPr>
                    <w:t>56.58</w:t>
                  </w:r>
                </w:p>
              </w:tc>
              <w:tc>
                <w:tcPr>
                  <w:tcW w:w="642" w:type="dxa"/>
                  <w:vAlign w:val="center"/>
                </w:tcPr>
                <w:p>
                  <w:pPr>
                    <w:jc w:val="center"/>
                    <w:rPr>
                      <w:kern w:val="24"/>
                      <w:sz w:val="18"/>
                      <w:szCs w:val="18"/>
                    </w:rPr>
                  </w:pPr>
                  <w:r>
                    <w:rPr>
                      <w:kern w:val="24"/>
                      <w:sz w:val="18"/>
                      <w:szCs w:val="18"/>
                    </w:rPr>
                    <w:t>54.58</w:t>
                  </w:r>
                </w:p>
              </w:tc>
              <w:tc>
                <w:tcPr>
                  <w:tcW w:w="642" w:type="dxa"/>
                  <w:vAlign w:val="center"/>
                </w:tcPr>
                <w:p>
                  <w:pPr>
                    <w:jc w:val="center"/>
                    <w:rPr>
                      <w:kern w:val="24"/>
                      <w:sz w:val="18"/>
                      <w:szCs w:val="18"/>
                    </w:rPr>
                  </w:pPr>
                  <w:r>
                    <w:rPr>
                      <w:kern w:val="24"/>
                      <w:sz w:val="18"/>
                      <w:szCs w:val="18"/>
                    </w:rPr>
                    <w:t>52.58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1620" w:type="dxa"/>
                  <w:vAlign w:val="center"/>
                </w:tcPr>
                <w:p>
                  <w:pPr>
                    <w:jc w:val="center"/>
                    <w:rPr>
                      <w:kern w:val="24"/>
                      <w:sz w:val="18"/>
                      <w:szCs w:val="18"/>
                    </w:rPr>
                  </w:pPr>
                  <w:r>
                    <w:rPr>
                      <w:kern w:val="24"/>
                      <w:sz w:val="18"/>
                      <w:szCs w:val="18"/>
                    </w:rPr>
                    <w:t>结构阶段</w:t>
                  </w:r>
                </w:p>
              </w:tc>
              <w:tc>
                <w:tcPr>
                  <w:tcW w:w="723" w:type="dxa"/>
                  <w:vAlign w:val="center"/>
                </w:tcPr>
                <w:p>
                  <w:pPr>
                    <w:jc w:val="center"/>
                    <w:rPr>
                      <w:kern w:val="24"/>
                      <w:sz w:val="18"/>
                      <w:szCs w:val="18"/>
                    </w:rPr>
                  </w:pPr>
                  <w:r>
                    <w:rPr>
                      <w:kern w:val="24"/>
                      <w:sz w:val="18"/>
                      <w:szCs w:val="18"/>
                    </w:rPr>
                    <w:t>100.85</w:t>
                  </w:r>
                </w:p>
              </w:tc>
              <w:tc>
                <w:tcPr>
                  <w:tcW w:w="637" w:type="dxa"/>
                  <w:vAlign w:val="center"/>
                </w:tcPr>
                <w:p>
                  <w:pPr>
                    <w:jc w:val="center"/>
                    <w:rPr>
                      <w:kern w:val="24"/>
                      <w:sz w:val="18"/>
                      <w:szCs w:val="18"/>
                    </w:rPr>
                  </w:pPr>
                  <w:r>
                    <w:rPr>
                      <w:kern w:val="24"/>
                      <w:sz w:val="18"/>
                      <w:szCs w:val="18"/>
                    </w:rPr>
                    <w:t>88.85</w:t>
                  </w:r>
                </w:p>
              </w:tc>
              <w:tc>
                <w:tcPr>
                  <w:tcW w:w="640" w:type="dxa"/>
                  <w:vAlign w:val="center"/>
                </w:tcPr>
                <w:p>
                  <w:pPr>
                    <w:jc w:val="center"/>
                    <w:rPr>
                      <w:kern w:val="24"/>
                      <w:sz w:val="18"/>
                      <w:szCs w:val="18"/>
                    </w:rPr>
                  </w:pPr>
                  <w:r>
                    <w:rPr>
                      <w:kern w:val="24"/>
                      <w:sz w:val="18"/>
                      <w:szCs w:val="18"/>
                    </w:rPr>
                    <w:t>82.85</w:t>
                  </w:r>
                </w:p>
              </w:tc>
              <w:tc>
                <w:tcPr>
                  <w:tcW w:w="641" w:type="dxa"/>
                  <w:vAlign w:val="center"/>
                </w:tcPr>
                <w:p>
                  <w:pPr>
                    <w:jc w:val="center"/>
                    <w:rPr>
                      <w:kern w:val="24"/>
                      <w:sz w:val="18"/>
                      <w:szCs w:val="18"/>
                    </w:rPr>
                  </w:pPr>
                  <w:r>
                    <w:rPr>
                      <w:kern w:val="24"/>
                      <w:sz w:val="18"/>
                      <w:szCs w:val="18"/>
                    </w:rPr>
                    <w:t>78.73</w:t>
                  </w:r>
                </w:p>
              </w:tc>
              <w:tc>
                <w:tcPr>
                  <w:tcW w:w="641" w:type="dxa"/>
                  <w:vAlign w:val="center"/>
                </w:tcPr>
                <w:p>
                  <w:pPr>
                    <w:jc w:val="center"/>
                    <w:rPr>
                      <w:kern w:val="24"/>
                      <w:sz w:val="18"/>
                      <w:szCs w:val="18"/>
                    </w:rPr>
                  </w:pPr>
                  <w:r>
                    <w:rPr>
                      <w:kern w:val="24"/>
                      <w:sz w:val="18"/>
                      <w:szCs w:val="18"/>
                    </w:rPr>
                    <w:t>74.34</w:t>
                  </w:r>
                </w:p>
              </w:tc>
              <w:tc>
                <w:tcPr>
                  <w:tcW w:w="726" w:type="dxa"/>
                  <w:vAlign w:val="center"/>
                </w:tcPr>
                <w:p>
                  <w:pPr>
                    <w:jc w:val="center"/>
                    <w:rPr>
                      <w:kern w:val="24"/>
                      <w:sz w:val="18"/>
                      <w:szCs w:val="18"/>
                    </w:rPr>
                  </w:pPr>
                  <w:r>
                    <w:rPr>
                      <w:kern w:val="24"/>
                      <w:sz w:val="18"/>
                      <w:szCs w:val="18"/>
                    </w:rPr>
                    <w:t>72.73</w:t>
                  </w:r>
                </w:p>
              </w:tc>
              <w:tc>
                <w:tcPr>
                  <w:tcW w:w="645" w:type="dxa"/>
                  <w:vAlign w:val="center"/>
                </w:tcPr>
                <w:p>
                  <w:pPr>
                    <w:jc w:val="center"/>
                    <w:rPr>
                      <w:kern w:val="24"/>
                      <w:sz w:val="18"/>
                      <w:szCs w:val="18"/>
                    </w:rPr>
                  </w:pPr>
                  <w:r>
                    <w:rPr>
                      <w:kern w:val="24"/>
                      <w:sz w:val="18"/>
                      <w:szCs w:val="18"/>
                    </w:rPr>
                    <w:t>70.73</w:t>
                  </w:r>
                </w:p>
              </w:tc>
              <w:tc>
                <w:tcPr>
                  <w:tcW w:w="637" w:type="dxa"/>
                  <w:vAlign w:val="center"/>
                </w:tcPr>
                <w:p>
                  <w:pPr>
                    <w:jc w:val="center"/>
                    <w:rPr>
                      <w:kern w:val="24"/>
                      <w:sz w:val="18"/>
                      <w:szCs w:val="18"/>
                    </w:rPr>
                  </w:pPr>
                  <w:r>
                    <w:rPr>
                      <w:kern w:val="24"/>
                      <w:sz w:val="18"/>
                      <w:szCs w:val="18"/>
                    </w:rPr>
                    <w:t>68.85</w:t>
                  </w:r>
                </w:p>
              </w:tc>
              <w:tc>
                <w:tcPr>
                  <w:tcW w:w="637" w:type="dxa"/>
                  <w:vAlign w:val="center"/>
                </w:tcPr>
                <w:p>
                  <w:pPr>
                    <w:jc w:val="center"/>
                    <w:rPr>
                      <w:kern w:val="24"/>
                      <w:sz w:val="18"/>
                      <w:szCs w:val="18"/>
                    </w:rPr>
                  </w:pPr>
                  <w:r>
                    <w:rPr>
                      <w:kern w:val="24"/>
                      <w:sz w:val="18"/>
                      <w:szCs w:val="18"/>
                    </w:rPr>
                    <w:t>64.85</w:t>
                  </w:r>
                </w:p>
              </w:tc>
              <w:tc>
                <w:tcPr>
                  <w:tcW w:w="642" w:type="dxa"/>
                  <w:vAlign w:val="center"/>
                </w:tcPr>
                <w:p>
                  <w:pPr>
                    <w:jc w:val="center"/>
                    <w:rPr>
                      <w:kern w:val="24"/>
                      <w:sz w:val="18"/>
                      <w:szCs w:val="18"/>
                    </w:rPr>
                  </w:pPr>
                  <w:r>
                    <w:rPr>
                      <w:kern w:val="24"/>
                      <w:sz w:val="18"/>
                      <w:szCs w:val="18"/>
                    </w:rPr>
                    <w:t>62.85</w:t>
                  </w:r>
                </w:p>
              </w:tc>
              <w:tc>
                <w:tcPr>
                  <w:tcW w:w="642" w:type="dxa"/>
                  <w:vAlign w:val="center"/>
                </w:tcPr>
                <w:p>
                  <w:pPr>
                    <w:jc w:val="center"/>
                    <w:rPr>
                      <w:kern w:val="24"/>
                      <w:sz w:val="18"/>
                      <w:szCs w:val="18"/>
                    </w:rPr>
                  </w:pPr>
                  <w:r>
                    <w:rPr>
                      <w:kern w:val="24"/>
                      <w:sz w:val="18"/>
                      <w:szCs w:val="18"/>
                    </w:rPr>
                    <w:t>60.85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0" w:type="dxa"/>
                </w:tcPr>
                <w:p>
                  <w:pPr>
                    <w:rPr>
                      <w:kern w:val="24"/>
                      <w:sz w:val="18"/>
                      <w:szCs w:val="18"/>
                    </w:rPr>
                  </w:pPr>
                  <w:r>
                    <w:rPr>
                      <w:kern w:val="24"/>
                      <w:sz w:val="18"/>
                      <w:szCs w:val="18"/>
                    </w:rPr>
                    <w:t>装修、安装阶段</w:t>
                  </w:r>
                </w:p>
              </w:tc>
              <w:tc>
                <w:tcPr>
                  <w:tcW w:w="723" w:type="dxa"/>
                  <w:vAlign w:val="center"/>
                </w:tcPr>
                <w:p>
                  <w:pPr>
                    <w:jc w:val="center"/>
                    <w:rPr>
                      <w:kern w:val="24"/>
                      <w:sz w:val="18"/>
                      <w:szCs w:val="18"/>
                    </w:rPr>
                  </w:pPr>
                  <w:r>
                    <w:rPr>
                      <w:kern w:val="24"/>
                      <w:sz w:val="18"/>
                      <w:szCs w:val="18"/>
                    </w:rPr>
                    <w:t>111.02</w:t>
                  </w:r>
                </w:p>
              </w:tc>
              <w:tc>
                <w:tcPr>
                  <w:tcW w:w="637" w:type="dxa"/>
                  <w:vAlign w:val="center"/>
                </w:tcPr>
                <w:p>
                  <w:pPr>
                    <w:jc w:val="center"/>
                    <w:rPr>
                      <w:kern w:val="24"/>
                      <w:sz w:val="18"/>
                      <w:szCs w:val="18"/>
                    </w:rPr>
                  </w:pPr>
                  <w:r>
                    <w:rPr>
                      <w:kern w:val="24"/>
                      <w:sz w:val="18"/>
                      <w:szCs w:val="18"/>
                    </w:rPr>
                    <w:t>91.02</w:t>
                  </w:r>
                </w:p>
              </w:tc>
              <w:tc>
                <w:tcPr>
                  <w:tcW w:w="640" w:type="dxa"/>
                  <w:vAlign w:val="center"/>
                </w:tcPr>
                <w:p>
                  <w:pPr>
                    <w:jc w:val="center"/>
                    <w:rPr>
                      <w:kern w:val="24"/>
                      <w:sz w:val="18"/>
                      <w:szCs w:val="18"/>
                    </w:rPr>
                  </w:pPr>
                  <w:r>
                    <w:rPr>
                      <w:kern w:val="24"/>
                      <w:sz w:val="18"/>
                      <w:szCs w:val="18"/>
                    </w:rPr>
                    <w:t>85.02</w:t>
                  </w:r>
                </w:p>
              </w:tc>
              <w:tc>
                <w:tcPr>
                  <w:tcW w:w="641" w:type="dxa"/>
                  <w:vAlign w:val="center"/>
                </w:tcPr>
                <w:p>
                  <w:pPr>
                    <w:jc w:val="center"/>
                    <w:rPr>
                      <w:kern w:val="24"/>
                      <w:sz w:val="18"/>
                      <w:szCs w:val="18"/>
                    </w:rPr>
                  </w:pPr>
                  <w:r>
                    <w:rPr>
                      <w:kern w:val="24"/>
                      <w:sz w:val="18"/>
                      <w:szCs w:val="18"/>
                    </w:rPr>
                    <w:t>81.05</w:t>
                  </w:r>
                </w:p>
              </w:tc>
              <w:tc>
                <w:tcPr>
                  <w:tcW w:w="641" w:type="dxa"/>
                  <w:vAlign w:val="center"/>
                </w:tcPr>
                <w:p>
                  <w:pPr>
                    <w:jc w:val="center"/>
                    <w:rPr>
                      <w:kern w:val="24"/>
                      <w:sz w:val="18"/>
                      <w:szCs w:val="18"/>
                    </w:rPr>
                  </w:pPr>
                  <w:r>
                    <w:rPr>
                      <w:kern w:val="24"/>
                      <w:sz w:val="18"/>
                      <w:szCs w:val="18"/>
                    </w:rPr>
                    <w:t>77.05</w:t>
                  </w:r>
                </w:p>
              </w:tc>
              <w:tc>
                <w:tcPr>
                  <w:tcW w:w="726" w:type="dxa"/>
                  <w:vAlign w:val="center"/>
                </w:tcPr>
                <w:p>
                  <w:pPr>
                    <w:jc w:val="center"/>
                    <w:rPr>
                      <w:kern w:val="24"/>
                      <w:sz w:val="18"/>
                      <w:szCs w:val="18"/>
                    </w:rPr>
                  </w:pPr>
                  <w:r>
                    <w:rPr>
                      <w:kern w:val="24"/>
                      <w:sz w:val="18"/>
                      <w:szCs w:val="18"/>
                    </w:rPr>
                    <w:t>75.05</w:t>
                  </w:r>
                </w:p>
              </w:tc>
              <w:tc>
                <w:tcPr>
                  <w:tcW w:w="645" w:type="dxa"/>
                  <w:vAlign w:val="center"/>
                </w:tcPr>
                <w:p>
                  <w:pPr>
                    <w:jc w:val="center"/>
                    <w:rPr>
                      <w:kern w:val="24"/>
                      <w:sz w:val="18"/>
                      <w:szCs w:val="18"/>
                    </w:rPr>
                  </w:pPr>
                  <w:r>
                    <w:rPr>
                      <w:kern w:val="24"/>
                      <w:sz w:val="18"/>
                      <w:szCs w:val="18"/>
                    </w:rPr>
                    <w:t>73.05</w:t>
                  </w:r>
                </w:p>
              </w:tc>
              <w:tc>
                <w:tcPr>
                  <w:tcW w:w="637" w:type="dxa"/>
                  <w:vAlign w:val="center"/>
                </w:tcPr>
                <w:p>
                  <w:pPr>
                    <w:jc w:val="center"/>
                    <w:rPr>
                      <w:kern w:val="24"/>
                      <w:sz w:val="18"/>
                      <w:szCs w:val="18"/>
                    </w:rPr>
                  </w:pPr>
                  <w:r>
                    <w:rPr>
                      <w:kern w:val="24"/>
                      <w:sz w:val="18"/>
                      <w:szCs w:val="18"/>
                    </w:rPr>
                    <w:t>71.02</w:t>
                  </w:r>
                </w:p>
              </w:tc>
              <w:tc>
                <w:tcPr>
                  <w:tcW w:w="637" w:type="dxa"/>
                  <w:vAlign w:val="center"/>
                </w:tcPr>
                <w:p>
                  <w:pPr>
                    <w:jc w:val="center"/>
                    <w:rPr>
                      <w:kern w:val="24"/>
                      <w:sz w:val="18"/>
                      <w:szCs w:val="18"/>
                    </w:rPr>
                  </w:pPr>
                  <w:r>
                    <w:rPr>
                      <w:kern w:val="24"/>
                      <w:sz w:val="18"/>
                      <w:szCs w:val="18"/>
                    </w:rPr>
                    <w:t>67.02</w:t>
                  </w:r>
                </w:p>
              </w:tc>
              <w:tc>
                <w:tcPr>
                  <w:tcW w:w="642" w:type="dxa"/>
                  <w:vAlign w:val="center"/>
                </w:tcPr>
                <w:p>
                  <w:pPr>
                    <w:jc w:val="center"/>
                    <w:rPr>
                      <w:kern w:val="24"/>
                      <w:sz w:val="18"/>
                      <w:szCs w:val="18"/>
                    </w:rPr>
                  </w:pPr>
                  <w:r>
                    <w:rPr>
                      <w:kern w:val="24"/>
                      <w:sz w:val="18"/>
                      <w:szCs w:val="18"/>
                    </w:rPr>
                    <w:t>65.02</w:t>
                  </w:r>
                </w:p>
              </w:tc>
              <w:tc>
                <w:tcPr>
                  <w:tcW w:w="642" w:type="dxa"/>
                  <w:vAlign w:val="center"/>
                </w:tcPr>
                <w:p>
                  <w:pPr>
                    <w:jc w:val="center"/>
                    <w:rPr>
                      <w:kern w:val="24"/>
                      <w:sz w:val="18"/>
                      <w:szCs w:val="18"/>
                    </w:rPr>
                  </w:pPr>
                  <w:r>
                    <w:rPr>
                      <w:kern w:val="24"/>
                      <w:sz w:val="18"/>
                      <w:szCs w:val="18"/>
                    </w:rPr>
                    <w:t>63.02</w:t>
                  </w:r>
                </w:p>
              </w:tc>
            </w:tr>
          </w:tbl>
          <w:p>
            <w:pPr>
              <w:spacing w:before="120" w:beforeLines="50"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2 \* GB2</w:instrText>
            </w:r>
            <w:r>
              <w:rPr>
                <w:sz w:val="24"/>
              </w:rPr>
              <w:instrText xml:space="preserve"> </w:instrText>
            </w:r>
            <w:r>
              <w:rPr>
                <w:sz w:val="24"/>
              </w:rPr>
              <w:fldChar w:fldCharType="separate"/>
            </w:r>
            <w:r>
              <w:rPr>
                <w:rFonts w:hint="eastAsia"/>
                <w:sz w:val="24"/>
              </w:rPr>
              <w:t>⑵</w:t>
            </w:r>
            <w:r>
              <w:rPr>
                <w:sz w:val="24"/>
              </w:rPr>
              <w:fldChar w:fldCharType="end"/>
            </w:r>
            <w:r>
              <w:rPr>
                <w:rFonts w:hint="eastAsia"/>
                <w:sz w:val="24"/>
              </w:rPr>
              <w:t xml:space="preserve"> </w:t>
            </w:r>
            <w:r>
              <w:rPr>
                <w:sz w:val="24"/>
              </w:rPr>
              <w:t>施工噪声预测结果分析</w:t>
            </w:r>
          </w:p>
          <w:p>
            <w:pPr>
              <w:spacing w:line="360" w:lineRule="auto"/>
              <w:ind w:firstLine="480" w:firstLineChars="200"/>
              <w:rPr>
                <w:bCs/>
                <w:kern w:val="24"/>
                <w:sz w:val="24"/>
              </w:rPr>
            </w:pPr>
            <w:r>
              <w:rPr>
                <w:bCs/>
                <w:kern w:val="24"/>
                <w:sz w:val="24"/>
              </w:rPr>
              <w:t>项目施工过程均在昼间进行，夜间不施工，因此本次环评仅对施工期昼间噪声进行影响分析，不对施工期夜间噪声进行分析。</w:t>
            </w:r>
          </w:p>
          <w:p>
            <w:pPr>
              <w:spacing w:line="360" w:lineRule="auto"/>
              <w:ind w:firstLine="480" w:firstLineChars="200"/>
              <w:rPr>
                <w:bCs/>
                <w:kern w:val="24"/>
                <w:sz w:val="24"/>
              </w:rPr>
            </w:pPr>
            <w:r>
              <w:rPr>
                <w:bCs/>
                <w:kern w:val="24"/>
                <w:sz w:val="24"/>
              </w:rPr>
              <w:t>根据表2</w:t>
            </w:r>
            <w:r>
              <w:rPr>
                <w:rFonts w:hint="eastAsia"/>
                <w:bCs/>
                <w:kern w:val="24"/>
                <w:sz w:val="24"/>
              </w:rPr>
              <w:t>7</w:t>
            </w:r>
            <w:r>
              <w:rPr>
                <w:bCs/>
                <w:kern w:val="24"/>
                <w:sz w:val="24"/>
              </w:rPr>
              <w:t>的预测结果，在不考虑任何降噪措施的情况下，土石方、基础阶段在距离噪声源30m以外时，施工噪声昼间能够满足《建筑施工场界环境噪声排放标准》（GB12523</w:t>
            </w:r>
            <w:r>
              <w:rPr>
                <w:rFonts w:hint="eastAsia"/>
                <w:bCs/>
                <w:kern w:val="24"/>
                <w:sz w:val="24"/>
              </w:rPr>
              <w:t>-</w:t>
            </w:r>
            <w:r>
              <w:rPr>
                <w:bCs/>
                <w:kern w:val="24"/>
                <w:sz w:val="24"/>
              </w:rPr>
              <w:t>2011）限值；结构阶段在距离噪声源80m以外时，施工噪声昼间能够满足《建筑施工场界环境噪声排放标准》（GB12523</w:t>
            </w:r>
            <w:r>
              <w:rPr>
                <w:rFonts w:hint="eastAsia"/>
                <w:bCs/>
                <w:kern w:val="24"/>
                <w:sz w:val="24"/>
              </w:rPr>
              <w:t>-</w:t>
            </w:r>
            <w:r>
              <w:rPr>
                <w:bCs/>
                <w:kern w:val="24"/>
                <w:sz w:val="24"/>
              </w:rPr>
              <w:t>2011）限值</w:t>
            </w:r>
            <w:r>
              <w:rPr>
                <w:rFonts w:hint="eastAsia"/>
                <w:bCs/>
                <w:kern w:val="24"/>
                <w:sz w:val="24"/>
              </w:rPr>
              <w:t>；</w:t>
            </w:r>
            <w:r>
              <w:rPr>
                <w:kern w:val="24"/>
                <w:sz w:val="24"/>
              </w:rPr>
              <w:t>室内外装修、设备安装</w:t>
            </w:r>
            <w:r>
              <w:rPr>
                <w:bCs/>
                <w:kern w:val="24"/>
                <w:sz w:val="24"/>
              </w:rPr>
              <w:t>阶段在距离噪声源100m以外时，施工噪声昼间能够满足《建筑施工场界环境噪声排放标准》（GB12523</w:t>
            </w:r>
            <w:r>
              <w:rPr>
                <w:rFonts w:hint="eastAsia"/>
                <w:bCs/>
                <w:kern w:val="24"/>
                <w:sz w:val="24"/>
              </w:rPr>
              <w:t>-</w:t>
            </w:r>
            <w:r>
              <w:rPr>
                <w:bCs/>
                <w:kern w:val="24"/>
                <w:sz w:val="24"/>
              </w:rPr>
              <w:t>2011）限值，但该阶段使用机械设备时一般都在室内进行，噪声源强经墙体阻隔后将大幅减小，且工程量及施工范围小，根据经验数据可知封闭240砖墙的面密度为520kg/m</w:t>
            </w:r>
            <w:r>
              <w:rPr>
                <w:bCs/>
                <w:kern w:val="24"/>
                <w:sz w:val="24"/>
                <w:vertAlign w:val="superscript"/>
              </w:rPr>
              <w:t>2</w:t>
            </w:r>
            <w:r>
              <w:rPr>
                <w:bCs/>
                <w:kern w:val="24"/>
                <w:sz w:val="24"/>
              </w:rPr>
              <w:t>，隔音量为52</w:t>
            </w:r>
            <w:r>
              <w:rPr>
                <w:rFonts w:hint="eastAsia"/>
                <w:bCs/>
                <w:kern w:val="24"/>
                <w:sz w:val="24"/>
              </w:rPr>
              <w:t>～</w:t>
            </w:r>
            <w:r>
              <w:rPr>
                <w:bCs/>
                <w:kern w:val="24"/>
                <w:sz w:val="24"/>
              </w:rPr>
              <w:t>54dB(A)，使实际影响范围大大减小。</w:t>
            </w:r>
          </w:p>
          <w:p>
            <w:pPr>
              <w:spacing w:line="360" w:lineRule="auto"/>
              <w:ind w:firstLine="480" w:firstLineChars="200"/>
              <w:rPr>
                <w:sz w:val="24"/>
              </w:rPr>
            </w:pPr>
            <w:r>
              <w:rPr>
                <w:sz w:val="24"/>
              </w:rPr>
              <w:t>根据项目四邻关系，项目200m范围内</w:t>
            </w:r>
            <w:r>
              <w:rPr>
                <w:rFonts w:hint="eastAsia"/>
                <w:sz w:val="24"/>
              </w:rPr>
              <w:t>有无居民</w:t>
            </w:r>
            <w:r>
              <w:rPr>
                <w:sz w:val="24"/>
              </w:rPr>
              <w:t>分布，施工噪声</w:t>
            </w:r>
            <w:r>
              <w:rPr>
                <w:rFonts w:hint="eastAsia"/>
                <w:sz w:val="24"/>
              </w:rPr>
              <w:t>不会对</w:t>
            </w:r>
            <w:r>
              <w:rPr>
                <w:sz w:val="24"/>
              </w:rPr>
              <w:t>居民生活</w:t>
            </w:r>
            <w:r>
              <w:rPr>
                <w:rFonts w:hint="eastAsia"/>
                <w:sz w:val="24"/>
              </w:rPr>
              <w:t>产生影响</w:t>
            </w:r>
            <w:r>
              <w:rPr>
                <w:sz w:val="24"/>
              </w:rPr>
              <w:t>，</w:t>
            </w:r>
            <w:r>
              <w:rPr>
                <w:rFonts w:hint="eastAsia"/>
                <w:sz w:val="24"/>
              </w:rPr>
              <w:t>但</w:t>
            </w:r>
            <w:r>
              <w:rPr>
                <w:sz w:val="24"/>
              </w:rPr>
              <w:t>为最大限度地减少施工噪声对环境的影响，要求建设单位在工程建设期采取以下噪声控制措施：</w:t>
            </w:r>
          </w:p>
          <w:p>
            <w:pPr>
              <w:spacing w:line="360" w:lineRule="auto"/>
              <w:ind w:firstLine="480" w:firstLineChars="200"/>
              <w:rPr>
                <w:sz w:val="24"/>
              </w:rPr>
            </w:pPr>
            <w:r>
              <w:rPr>
                <w:rFonts w:hint="eastAsia" w:ascii="宋体" w:hAnsi="宋体" w:cs="宋体"/>
                <w:sz w:val="24"/>
              </w:rPr>
              <w:t>①</w:t>
            </w:r>
            <w:r>
              <w:rPr>
                <w:sz w:val="24"/>
              </w:rPr>
              <w:t xml:space="preserve"> 根据不同季节合理安排施工计划，尽可能避开午休时间动用高噪声设备，禁止夜间（22：00～06：00）进行产生环境噪声污染的建筑施工作业，避免扰民。如根据工况要求在夜间需连续作业，必须取得环保部门的同意或者有关主管部门的证明，并且必须公告附近公民，协调好与周边居民之间的关系，取得民众的理解，避免引起噪声投诉。</w:t>
            </w:r>
          </w:p>
          <w:p>
            <w:pPr>
              <w:spacing w:line="360" w:lineRule="auto"/>
              <w:ind w:firstLine="480" w:firstLineChars="200"/>
              <w:rPr>
                <w:sz w:val="24"/>
              </w:rPr>
            </w:pPr>
            <w:r>
              <w:rPr>
                <w:rFonts w:hint="eastAsia" w:ascii="宋体" w:hAnsi="宋体" w:cs="宋体"/>
                <w:sz w:val="24"/>
              </w:rPr>
              <w:t>②</w:t>
            </w:r>
            <w:r>
              <w:rPr>
                <w:sz w:val="24"/>
              </w:rPr>
              <w:t xml:space="preserve"> 采用低噪声的施工机械和先进的施工技术，严格限制或禁止使用高噪声设备，使噪声污染从源头得到控制；</w:t>
            </w:r>
          </w:p>
          <w:p>
            <w:pPr>
              <w:spacing w:line="360" w:lineRule="auto"/>
              <w:ind w:firstLine="480" w:firstLineChars="200"/>
              <w:rPr>
                <w:sz w:val="24"/>
              </w:rPr>
            </w:pPr>
            <w:r>
              <w:rPr>
                <w:rFonts w:hint="eastAsia" w:ascii="宋体" w:hAnsi="宋体" w:cs="宋体"/>
                <w:sz w:val="24"/>
              </w:rPr>
              <w:t>③</w:t>
            </w:r>
            <w:r>
              <w:rPr>
                <w:sz w:val="24"/>
              </w:rPr>
              <w:t xml:space="preserve"> 因施工期噪声不可避免，而对局部施工单位采取隔声降噪措施又不现实，建设单位必须对施工时段作统筹安排，尽量将高噪声作业安排在昼间非敏感时段。</w:t>
            </w:r>
          </w:p>
          <w:p>
            <w:pPr>
              <w:spacing w:line="360" w:lineRule="auto"/>
              <w:ind w:firstLine="480" w:firstLineChars="200"/>
              <w:rPr>
                <w:sz w:val="24"/>
              </w:rPr>
            </w:pPr>
            <w:r>
              <w:rPr>
                <w:rFonts w:hint="eastAsia" w:ascii="宋体" w:hAnsi="宋体" w:cs="宋体"/>
                <w:sz w:val="24"/>
              </w:rPr>
              <w:t>④</w:t>
            </w:r>
            <w:r>
              <w:rPr>
                <w:sz w:val="24"/>
              </w:rPr>
              <w:t xml:space="preserve"> 引进施工设备时将设备噪声作为一项重要的选取指标，尽量引进低噪声设备，并对产生噪声的施工设备加强维护和维修工作，以减少机械故障噪声的产生。</w:t>
            </w:r>
          </w:p>
          <w:p>
            <w:pPr>
              <w:spacing w:line="360" w:lineRule="auto"/>
              <w:ind w:firstLine="480" w:firstLineChars="200"/>
              <w:rPr>
                <w:sz w:val="24"/>
              </w:rPr>
            </w:pPr>
            <w:r>
              <w:rPr>
                <w:sz w:val="24"/>
              </w:rPr>
              <w:fldChar w:fldCharType="begin"/>
            </w:r>
            <w:r>
              <w:rPr>
                <w:sz w:val="24"/>
              </w:rPr>
              <w:instrText xml:space="preserve"> = 2 \* GB2 </w:instrText>
            </w:r>
            <w:r>
              <w:rPr>
                <w:sz w:val="24"/>
              </w:rPr>
              <w:fldChar w:fldCharType="separate"/>
            </w:r>
            <w:r>
              <w:rPr>
                <w:rFonts w:hint="eastAsia" w:ascii="宋体" w:hAnsi="宋体" w:cs="宋体"/>
                <w:sz w:val="24"/>
              </w:rPr>
              <w:t>⑵</w:t>
            </w:r>
            <w:r>
              <w:rPr>
                <w:sz w:val="24"/>
              </w:rPr>
              <w:fldChar w:fldCharType="end"/>
            </w:r>
            <w:r>
              <w:rPr>
                <w:sz w:val="24"/>
              </w:rPr>
              <w:t xml:space="preserve"> 运输车辆交通噪声</w:t>
            </w:r>
          </w:p>
          <w:p>
            <w:pPr>
              <w:spacing w:line="360" w:lineRule="auto"/>
              <w:ind w:firstLine="480" w:firstLineChars="200"/>
              <w:rPr>
                <w:sz w:val="24"/>
              </w:rPr>
            </w:pPr>
            <w:r>
              <w:rPr>
                <w:sz w:val="24"/>
              </w:rPr>
              <w:t>项目施工车辆往来，会对沿线的</w:t>
            </w:r>
            <w:r>
              <w:rPr>
                <w:rFonts w:hint="eastAsia"/>
                <w:sz w:val="24"/>
              </w:rPr>
              <w:t>村庄</w:t>
            </w:r>
            <w:r>
              <w:rPr>
                <w:sz w:val="24"/>
              </w:rPr>
              <w:t>声环境带来一定的影响。</w:t>
            </w:r>
          </w:p>
          <w:p>
            <w:pPr>
              <w:spacing w:line="360" w:lineRule="auto"/>
              <w:ind w:firstLine="480" w:firstLineChars="200"/>
              <w:rPr>
                <w:sz w:val="24"/>
              </w:rPr>
            </w:pPr>
            <w:r>
              <w:rPr>
                <w:sz w:val="24"/>
              </w:rPr>
              <w:t>为此，评价要求项目施工车辆出入经过村庄时应限速，禁止长时间鸣笛，应合理安排建筑材料运输时间，运输车辆出入尽量避开居民休息时间。</w:t>
            </w:r>
          </w:p>
          <w:p>
            <w:pPr>
              <w:spacing w:line="360" w:lineRule="auto"/>
              <w:ind w:firstLine="480" w:firstLineChars="200"/>
              <w:rPr>
                <w:sz w:val="24"/>
              </w:rPr>
            </w:pPr>
            <w:r>
              <w:rPr>
                <w:sz w:val="24"/>
              </w:rPr>
              <w:t>综上，施工期环境噪声影响是短期的，随着施工期的结束而消失，预计在采取有效的防护措施后，项目施工期噪声对环境影响较小。</w:t>
            </w:r>
          </w:p>
          <w:p>
            <w:pPr>
              <w:adjustRightInd w:val="0"/>
              <w:spacing w:line="360" w:lineRule="auto"/>
              <w:ind w:firstLine="482" w:firstLineChars="200"/>
              <w:rPr>
                <w:b/>
                <w:sz w:val="24"/>
                <w:szCs w:val="22"/>
              </w:rPr>
            </w:pPr>
            <w:bookmarkStart w:id="120" w:name="OLE_LINK3"/>
            <w:bookmarkStart w:id="121" w:name="OLE_LINK4"/>
            <w:r>
              <w:rPr>
                <w:b/>
                <w:sz w:val="24"/>
                <w:szCs w:val="22"/>
              </w:rPr>
              <w:t>4、固体废物对环境的影响分析</w:t>
            </w:r>
            <w:bookmarkEnd w:id="120"/>
            <w:bookmarkEnd w:id="121"/>
          </w:p>
          <w:p>
            <w:pPr>
              <w:autoSpaceDE w:val="0"/>
              <w:autoSpaceDN w:val="0"/>
              <w:adjustRightInd w:val="0"/>
              <w:spacing w:line="360" w:lineRule="auto"/>
              <w:ind w:firstLine="480" w:firstLineChars="200"/>
              <w:rPr>
                <w:kern w:val="24"/>
                <w:sz w:val="24"/>
              </w:rPr>
            </w:pPr>
            <w:r>
              <w:rPr>
                <w:kern w:val="24"/>
                <w:sz w:val="24"/>
              </w:rPr>
              <w:t>项目施工期固体废弃物为</w:t>
            </w:r>
            <w:r>
              <w:rPr>
                <w:rFonts w:hint="eastAsia"/>
                <w:kern w:val="24"/>
                <w:sz w:val="24"/>
              </w:rPr>
              <w:t>施工弃土、</w:t>
            </w:r>
            <w:r>
              <w:rPr>
                <w:kern w:val="24"/>
                <w:sz w:val="24"/>
              </w:rPr>
              <w:t>建筑垃圾及生活垃圾。</w:t>
            </w:r>
          </w:p>
          <w:p>
            <w:pPr>
              <w:autoSpaceDE w:val="0"/>
              <w:autoSpaceDN w:val="0"/>
              <w:adjustRightInd w:val="0"/>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1 \* GB2</w:instrText>
            </w:r>
            <w:r>
              <w:rPr>
                <w:kern w:val="24"/>
                <w:sz w:val="24"/>
              </w:rPr>
              <w:instrText xml:space="preserve"> </w:instrText>
            </w:r>
            <w:r>
              <w:rPr>
                <w:kern w:val="24"/>
                <w:sz w:val="24"/>
              </w:rPr>
              <w:fldChar w:fldCharType="separate"/>
            </w:r>
            <w:r>
              <w:rPr>
                <w:rFonts w:hint="eastAsia"/>
                <w:kern w:val="24"/>
                <w:sz w:val="24"/>
              </w:rPr>
              <w:t>⑴</w:t>
            </w:r>
            <w:r>
              <w:rPr>
                <w:kern w:val="24"/>
                <w:sz w:val="24"/>
              </w:rPr>
              <w:fldChar w:fldCharType="end"/>
            </w:r>
            <w:r>
              <w:rPr>
                <w:rFonts w:hint="eastAsia"/>
                <w:kern w:val="24"/>
                <w:sz w:val="24"/>
              </w:rPr>
              <w:t xml:space="preserve"> 施工弃土</w:t>
            </w:r>
          </w:p>
          <w:p>
            <w:pPr>
              <w:autoSpaceDE w:val="0"/>
              <w:autoSpaceDN w:val="0"/>
              <w:adjustRightInd w:val="0"/>
              <w:spacing w:line="360" w:lineRule="auto"/>
              <w:ind w:firstLine="480" w:firstLineChars="200"/>
              <w:rPr>
                <w:kern w:val="24"/>
                <w:sz w:val="24"/>
              </w:rPr>
            </w:pPr>
            <w:r>
              <w:rPr>
                <w:sz w:val="24"/>
                <w:szCs w:val="20"/>
              </w:rPr>
              <w:t>项目建设需要开挖</w:t>
            </w:r>
            <w:r>
              <w:rPr>
                <w:rFonts w:hint="eastAsia"/>
                <w:sz w:val="24"/>
                <w:szCs w:val="20"/>
              </w:rPr>
              <w:t>混凝土桩</w:t>
            </w:r>
            <w:r>
              <w:rPr>
                <w:sz w:val="24"/>
                <w:szCs w:val="20"/>
              </w:rPr>
              <w:t>基础，</w:t>
            </w:r>
            <w:r>
              <w:rPr>
                <w:rFonts w:hint="eastAsia"/>
                <w:sz w:val="24"/>
                <w:szCs w:val="20"/>
              </w:rPr>
              <w:t>土石方量</w:t>
            </w:r>
            <w:r>
              <w:rPr>
                <w:sz w:val="24"/>
                <w:szCs w:val="20"/>
              </w:rPr>
              <w:t>较少，</w:t>
            </w:r>
            <w:r>
              <w:rPr>
                <w:rFonts w:hint="eastAsia"/>
                <w:sz w:val="24"/>
                <w:szCs w:val="20"/>
              </w:rPr>
              <w:t>开挖土方除部分回填外，多余</w:t>
            </w:r>
            <w:r>
              <w:rPr>
                <w:sz w:val="24"/>
                <w:szCs w:val="20"/>
              </w:rPr>
              <w:t>剩余部分尽量做到综合利用，不能综合利用部分</w:t>
            </w:r>
            <w:r>
              <w:rPr>
                <w:kern w:val="24"/>
                <w:sz w:val="24"/>
              </w:rPr>
              <w:t>由施工建设单位统一清运至</w:t>
            </w:r>
            <w:r>
              <w:rPr>
                <w:sz w:val="24"/>
                <w:szCs w:val="20"/>
              </w:rPr>
              <w:t>有关部门指定</w:t>
            </w:r>
            <w:r>
              <w:rPr>
                <w:rFonts w:hint="eastAsia"/>
                <w:sz w:val="24"/>
                <w:szCs w:val="20"/>
              </w:rPr>
              <w:t>建筑垃圾填埋场</w:t>
            </w:r>
            <w:r>
              <w:rPr>
                <w:sz w:val="24"/>
                <w:szCs w:val="20"/>
              </w:rPr>
              <w:t>妥善处置。</w:t>
            </w:r>
          </w:p>
          <w:p>
            <w:pPr>
              <w:autoSpaceDE w:val="0"/>
              <w:autoSpaceDN w:val="0"/>
              <w:adjustRightInd w:val="0"/>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2 \* GB2</w:instrText>
            </w:r>
            <w:r>
              <w:rPr>
                <w:kern w:val="24"/>
                <w:sz w:val="24"/>
              </w:rPr>
              <w:instrText xml:space="preserve"> </w:instrText>
            </w:r>
            <w:r>
              <w:rPr>
                <w:kern w:val="24"/>
                <w:sz w:val="24"/>
              </w:rPr>
              <w:fldChar w:fldCharType="separate"/>
            </w:r>
            <w:r>
              <w:rPr>
                <w:rFonts w:hint="eastAsia"/>
                <w:kern w:val="24"/>
                <w:sz w:val="24"/>
              </w:rPr>
              <w:t>⑵</w:t>
            </w:r>
            <w:r>
              <w:rPr>
                <w:kern w:val="24"/>
                <w:sz w:val="24"/>
              </w:rPr>
              <w:fldChar w:fldCharType="end"/>
            </w:r>
            <w:r>
              <w:rPr>
                <w:rFonts w:hint="eastAsia"/>
                <w:kern w:val="24"/>
                <w:sz w:val="24"/>
              </w:rPr>
              <w:t xml:space="preserve"> </w:t>
            </w:r>
            <w:r>
              <w:rPr>
                <w:kern w:val="24"/>
                <w:sz w:val="24"/>
              </w:rPr>
              <w:t>建筑垃圾</w:t>
            </w:r>
          </w:p>
          <w:p>
            <w:pPr>
              <w:autoSpaceDE w:val="0"/>
              <w:autoSpaceDN w:val="0"/>
              <w:adjustRightInd w:val="0"/>
              <w:spacing w:line="360" w:lineRule="auto"/>
              <w:ind w:firstLine="480" w:firstLineChars="200"/>
              <w:rPr>
                <w:kern w:val="24"/>
                <w:sz w:val="24"/>
              </w:rPr>
            </w:pPr>
            <w:r>
              <w:rPr>
                <w:kern w:val="24"/>
                <w:sz w:val="24"/>
              </w:rPr>
              <w:t>建筑垃圾应进行分类收集处置，废金属、</w:t>
            </w:r>
            <w:r>
              <w:rPr>
                <w:rFonts w:hint="eastAsia"/>
                <w:kern w:val="24"/>
                <w:sz w:val="24"/>
              </w:rPr>
              <w:t>废塑料</w:t>
            </w:r>
            <w:r>
              <w:rPr>
                <w:kern w:val="24"/>
                <w:sz w:val="24"/>
              </w:rPr>
              <w:t>等回收利用；混凝土凝结渣、废</w:t>
            </w:r>
            <w:r>
              <w:rPr>
                <w:rFonts w:hint="eastAsia"/>
                <w:kern w:val="24"/>
                <w:sz w:val="24"/>
              </w:rPr>
              <w:t>瓦</w:t>
            </w:r>
            <w:r>
              <w:rPr>
                <w:kern w:val="24"/>
                <w:sz w:val="24"/>
              </w:rPr>
              <w:t>块等由施工建设单位统一清运至</w:t>
            </w:r>
            <w:r>
              <w:rPr>
                <w:sz w:val="24"/>
                <w:szCs w:val="20"/>
              </w:rPr>
              <w:t>有关部门指定</w:t>
            </w:r>
            <w:r>
              <w:rPr>
                <w:rFonts w:hint="eastAsia"/>
                <w:sz w:val="24"/>
                <w:szCs w:val="20"/>
              </w:rPr>
              <w:t>建筑垃圾填埋场</w:t>
            </w:r>
            <w:r>
              <w:rPr>
                <w:sz w:val="24"/>
                <w:szCs w:val="20"/>
              </w:rPr>
              <w:t>妥善处置。</w:t>
            </w:r>
          </w:p>
          <w:p>
            <w:pPr>
              <w:autoSpaceDE w:val="0"/>
              <w:autoSpaceDN w:val="0"/>
              <w:adjustRightInd w:val="0"/>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3 \* GB2</w:instrText>
            </w:r>
            <w:r>
              <w:rPr>
                <w:kern w:val="24"/>
                <w:sz w:val="24"/>
              </w:rPr>
              <w:instrText xml:space="preserve"> </w:instrText>
            </w:r>
            <w:r>
              <w:rPr>
                <w:kern w:val="24"/>
                <w:sz w:val="24"/>
              </w:rPr>
              <w:fldChar w:fldCharType="separate"/>
            </w:r>
            <w:r>
              <w:rPr>
                <w:rFonts w:hint="eastAsia"/>
                <w:kern w:val="24"/>
                <w:sz w:val="24"/>
              </w:rPr>
              <w:t>⑶</w:t>
            </w:r>
            <w:r>
              <w:rPr>
                <w:kern w:val="24"/>
                <w:sz w:val="24"/>
              </w:rPr>
              <w:fldChar w:fldCharType="end"/>
            </w:r>
            <w:r>
              <w:rPr>
                <w:rFonts w:hint="eastAsia"/>
                <w:kern w:val="24"/>
                <w:sz w:val="24"/>
              </w:rPr>
              <w:t xml:space="preserve"> </w:t>
            </w:r>
            <w:r>
              <w:rPr>
                <w:kern w:val="24"/>
                <w:sz w:val="24"/>
              </w:rPr>
              <w:t>生活垃圾</w:t>
            </w:r>
          </w:p>
          <w:p>
            <w:pPr>
              <w:autoSpaceDE w:val="0"/>
              <w:autoSpaceDN w:val="0"/>
              <w:adjustRightInd w:val="0"/>
              <w:spacing w:line="360" w:lineRule="auto"/>
              <w:ind w:firstLine="480" w:firstLineChars="200"/>
              <w:rPr>
                <w:kern w:val="24"/>
                <w:sz w:val="24"/>
              </w:rPr>
            </w:pPr>
            <w:r>
              <w:rPr>
                <w:kern w:val="24"/>
                <w:sz w:val="24"/>
              </w:rPr>
              <w:t>根据工程分析，项目施工期生活垃圾产生总量为3.06t</w:t>
            </w:r>
            <w:r>
              <w:rPr>
                <w:rFonts w:hint="eastAsia"/>
                <w:sz w:val="24"/>
                <w:szCs w:val="20"/>
              </w:rPr>
              <w:t>，统一收集后纳入正阳镇生活垃圾清运系统处置。</w:t>
            </w:r>
          </w:p>
          <w:p>
            <w:pPr>
              <w:spacing w:line="360" w:lineRule="auto"/>
              <w:ind w:firstLine="480" w:firstLineChars="200"/>
              <w:contextualSpacing/>
              <w:rPr>
                <w:kern w:val="24"/>
                <w:sz w:val="24"/>
              </w:rPr>
            </w:pPr>
            <w:r>
              <w:rPr>
                <w:kern w:val="24"/>
                <w:sz w:val="24"/>
              </w:rPr>
              <w:fldChar w:fldCharType="begin"/>
            </w:r>
            <w:r>
              <w:rPr>
                <w:kern w:val="24"/>
                <w:sz w:val="24"/>
              </w:rPr>
              <w:instrText xml:space="preserve"> </w:instrText>
            </w:r>
            <w:r>
              <w:rPr>
                <w:rFonts w:hint="eastAsia"/>
                <w:kern w:val="24"/>
                <w:sz w:val="24"/>
              </w:rPr>
              <w:instrText xml:space="preserve">= 4 \* GB2</w:instrText>
            </w:r>
            <w:r>
              <w:rPr>
                <w:kern w:val="24"/>
                <w:sz w:val="24"/>
              </w:rPr>
              <w:instrText xml:space="preserve"> </w:instrText>
            </w:r>
            <w:r>
              <w:rPr>
                <w:kern w:val="24"/>
                <w:sz w:val="24"/>
              </w:rPr>
              <w:fldChar w:fldCharType="separate"/>
            </w:r>
            <w:r>
              <w:rPr>
                <w:rFonts w:hint="eastAsia"/>
                <w:kern w:val="24"/>
                <w:sz w:val="24"/>
              </w:rPr>
              <w:t>⑷</w:t>
            </w:r>
            <w:r>
              <w:rPr>
                <w:kern w:val="24"/>
                <w:sz w:val="24"/>
              </w:rPr>
              <w:fldChar w:fldCharType="end"/>
            </w:r>
            <w:r>
              <w:rPr>
                <w:rFonts w:hint="eastAsia"/>
                <w:kern w:val="24"/>
                <w:sz w:val="24"/>
              </w:rPr>
              <w:t xml:space="preserve"> </w:t>
            </w:r>
            <w:r>
              <w:rPr>
                <w:kern w:val="24"/>
                <w:sz w:val="24"/>
              </w:rPr>
              <w:t>为减缓施工期固体废物环境影响，</w:t>
            </w:r>
            <w:r>
              <w:rPr>
                <w:rFonts w:hint="eastAsia"/>
                <w:kern w:val="24"/>
                <w:sz w:val="24"/>
              </w:rPr>
              <w:t>评价要求</w:t>
            </w:r>
            <w:r>
              <w:rPr>
                <w:kern w:val="24"/>
                <w:sz w:val="24"/>
              </w:rPr>
              <w:t>采取</w:t>
            </w:r>
            <w:r>
              <w:rPr>
                <w:rFonts w:hint="eastAsia"/>
                <w:kern w:val="24"/>
                <w:sz w:val="24"/>
              </w:rPr>
              <w:t>以下防治</w:t>
            </w:r>
            <w:r>
              <w:rPr>
                <w:kern w:val="24"/>
                <w:sz w:val="24"/>
              </w:rPr>
              <w:t>措施</w:t>
            </w:r>
            <w:r>
              <w:rPr>
                <w:rFonts w:hint="eastAsia"/>
                <w:kern w:val="24"/>
                <w:sz w:val="24"/>
              </w:rPr>
              <w:t>：</w:t>
            </w:r>
          </w:p>
          <w:p>
            <w:pPr>
              <w:autoSpaceDE w:val="0"/>
              <w:autoSpaceDN w:val="0"/>
              <w:adjustRightInd w:val="0"/>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1 \* GB3</w:instrText>
            </w:r>
            <w:r>
              <w:rPr>
                <w:kern w:val="24"/>
                <w:sz w:val="24"/>
              </w:rPr>
              <w:instrText xml:space="preserve"> </w:instrText>
            </w:r>
            <w:r>
              <w:rPr>
                <w:kern w:val="24"/>
                <w:sz w:val="24"/>
              </w:rPr>
              <w:fldChar w:fldCharType="separate"/>
            </w:r>
            <w:r>
              <w:rPr>
                <w:rFonts w:hint="eastAsia"/>
                <w:kern w:val="24"/>
                <w:sz w:val="24"/>
              </w:rPr>
              <w:t>①</w:t>
            </w:r>
            <w:r>
              <w:rPr>
                <w:kern w:val="24"/>
                <w:sz w:val="24"/>
              </w:rPr>
              <w:fldChar w:fldCharType="end"/>
            </w:r>
            <w:r>
              <w:rPr>
                <w:rFonts w:hint="eastAsia"/>
                <w:kern w:val="24"/>
                <w:sz w:val="24"/>
              </w:rPr>
              <w:t xml:space="preserve"> </w:t>
            </w:r>
            <w:r>
              <w:rPr>
                <w:kern w:val="24"/>
                <w:sz w:val="24"/>
              </w:rPr>
              <w:t>暴雨期间禁止施工，合理安排施工期，应尽量避开雨季。</w:t>
            </w:r>
          </w:p>
          <w:p>
            <w:pPr>
              <w:autoSpaceDE w:val="0"/>
              <w:autoSpaceDN w:val="0"/>
              <w:adjustRightInd w:val="0"/>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2 \* GB3</w:instrText>
            </w:r>
            <w:r>
              <w:rPr>
                <w:kern w:val="24"/>
                <w:sz w:val="24"/>
              </w:rPr>
              <w:instrText xml:space="preserve"> </w:instrText>
            </w:r>
            <w:r>
              <w:rPr>
                <w:kern w:val="24"/>
                <w:sz w:val="24"/>
              </w:rPr>
              <w:fldChar w:fldCharType="separate"/>
            </w:r>
            <w:r>
              <w:rPr>
                <w:rFonts w:hint="eastAsia"/>
                <w:kern w:val="24"/>
                <w:sz w:val="24"/>
              </w:rPr>
              <w:t>②</w:t>
            </w:r>
            <w:r>
              <w:rPr>
                <w:kern w:val="24"/>
                <w:sz w:val="24"/>
              </w:rPr>
              <w:fldChar w:fldCharType="end"/>
            </w:r>
            <w:r>
              <w:rPr>
                <w:rFonts w:hint="eastAsia"/>
                <w:kern w:val="24"/>
                <w:sz w:val="24"/>
              </w:rPr>
              <w:t xml:space="preserve"> </w:t>
            </w:r>
            <w:r>
              <w:rPr>
                <w:kern w:val="24"/>
                <w:sz w:val="24"/>
              </w:rPr>
              <w:t>对水泥、砂石料等建筑材料存放应加强管理，并采取遮盖措施；施工场地周围设置截水沟，防止场外雨水冲刷；场内设施排水沟，引导地面径流。</w:t>
            </w:r>
          </w:p>
          <w:p>
            <w:pPr>
              <w:autoSpaceDE w:val="0"/>
              <w:autoSpaceDN w:val="0"/>
              <w:adjustRightInd w:val="0"/>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3 \* GB3</w:instrText>
            </w:r>
            <w:r>
              <w:rPr>
                <w:kern w:val="24"/>
                <w:sz w:val="24"/>
              </w:rPr>
              <w:instrText xml:space="preserve"> </w:instrText>
            </w:r>
            <w:r>
              <w:rPr>
                <w:kern w:val="24"/>
                <w:sz w:val="24"/>
              </w:rPr>
              <w:fldChar w:fldCharType="separate"/>
            </w:r>
            <w:r>
              <w:rPr>
                <w:rFonts w:hint="eastAsia"/>
                <w:kern w:val="24"/>
                <w:sz w:val="24"/>
              </w:rPr>
              <w:t>③</w:t>
            </w:r>
            <w:r>
              <w:rPr>
                <w:kern w:val="24"/>
                <w:sz w:val="24"/>
              </w:rPr>
              <w:fldChar w:fldCharType="end"/>
            </w:r>
            <w:r>
              <w:rPr>
                <w:kern w:val="24"/>
                <w:sz w:val="24"/>
              </w:rPr>
              <w:t xml:space="preserve"> 加强监督管理，确保施工期固体废物有效处置。</w:t>
            </w:r>
          </w:p>
          <w:p>
            <w:pPr>
              <w:autoSpaceDE w:val="0"/>
              <w:autoSpaceDN w:val="0"/>
              <w:adjustRightInd w:val="0"/>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4 \* GB3</w:instrText>
            </w:r>
            <w:r>
              <w:rPr>
                <w:kern w:val="24"/>
                <w:sz w:val="24"/>
              </w:rPr>
              <w:instrText xml:space="preserve"> </w:instrText>
            </w:r>
            <w:r>
              <w:rPr>
                <w:kern w:val="24"/>
                <w:sz w:val="24"/>
              </w:rPr>
              <w:fldChar w:fldCharType="separate"/>
            </w:r>
            <w:r>
              <w:rPr>
                <w:rFonts w:hint="eastAsia"/>
                <w:kern w:val="24"/>
                <w:sz w:val="24"/>
              </w:rPr>
              <w:t>④</w:t>
            </w:r>
            <w:r>
              <w:rPr>
                <w:kern w:val="24"/>
                <w:sz w:val="24"/>
              </w:rPr>
              <w:fldChar w:fldCharType="end"/>
            </w:r>
            <w:r>
              <w:rPr>
                <w:kern w:val="24"/>
                <w:sz w:val="24"/>
              </w:rPr>
              <w:t xml:space="preserve"> 建筑垃圾分类处置，可回收利用的应回收利用；不可回收利用的由施工单位统一清运处置。</w:t>
            </w:r>
          </w:p>
          <w:p>
            <w:pPr>
              <w:autoSpaceDE w:val="0"/>
              <w:autoSpaceDN w:val="0"/>
              <w:adjustRightInd w:val="0"/>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5 \* GB3</w:instrText>
            </w:r>
            <w:r>
              <w:rPr>
                <w:kern w:val="24"/>
                <w:sz w:val="24"/>
              </w:rPr>
              <w:instrText xml:space="preserve"> </w:instrText>
            </w:r>
            <w:r>
              <w:rPr>
                <w:kern w:val="24"/>
                <w:sz w:val="24"/>
              </w:rPr>
              <w:fldChar w:fldCharType="separate"/>
            </w:r>
            <w:r>
              <w:rPr>
                <w:rFonts w:hint="eastAsia"/>
                <w:kern w:val="24"/>
                <w:sz w:val="24"/>
              </w:rPr>
              <w:t>⑤</w:t>
            </w:r>
            <w:r>
              <w:rPr>
                <w:kern w:val="24"/>
                <w:sz w:val="24"/>
              </w:rPr>
              <w:fldChar w:fldCharType="end"/>
            </w:r>
            <w:r>
              <w:rPr>
                <w:kern w:val="24"/>
                <w:sz w:val="24"/>
              </w:rPr>
              <w:t xml:space="preserve"> 施工人员生活垃圾集中收集后</w:t>
            </w:r>
            <w:r>
              <w:rPr>
                <w:rFonts w:hint="eastAsia"/>
                <w:sz w:val="24"/>
                <w:szCs w:val="20"/>
              </w:rPr>
              <w:t>纳入正阳镇生活垃圾清运系统处置。</w:t>
            </w:r>
          </w:p>
          <w:p>
            <w:pPr>
              <w:autoSpaceDE w:val="0"/>
              <w:autoSpaceDN w:val="0"/>
              <w:adjustRightInd w:val="0"/>
              <w:spacing w:line="360" w:lineRule="auto"/>
              <w:ind w:firstLine="480" w:firstLineChars="200"/>
              <w:rPr>
                <w:kern w:val="24"/>
                <w:sz w:val="24"/>
              </w:rPr>
            </w:pPr>
            <w:r>
              <w:rPr>
                <w:kern w:val="24"/>
                <w:sz w:val="24"/>
              </w:rPr>
              <w:t>综上所述，通过采取措施后，项目施工固体废物都得到了妥善有效处置，其对当地的环境影响不大。</w:t>
            </w:r>
          </w:p>
          <w:p>
            <w:pPr>
              <w:widowControl/>
              <w:spacing w:line="336" w:lineRule="auto"/>
              <w:ind w:firstLine="472" w:firstLineChars="196"/>
              <w:rPr>
                <w:b/>
                <w:sz w:val="24"/>
                <w:szCs w:val="22"/>
              </w:rPr>
            </w:pPr>
            <w:r>
              <w:rPr>
                <w:b/>
                <w:sz w:val="24"/>
                <w:szCs w:val="22"/>
              </w:rPr>
              <w:t>5、生态影响分析</w:t>
            </w:r>
          </w:p>
          <w:p>
            <w:pPr>
              <w:spacing w:line="360" w:lineRule="auto"/>
              <w:ind w:firstLine="480" w:firstLineChars="200"/>
              <w:contextualSpacing/>
              <w:rPr>
                <w:sz w:val="24"/>
                <w:szCs w:val="20"/>
              </w:rPr>
            </w:pPr>
            <w:r>
              <w:rPr>
                <w:rFonts w:hint="eastAsia"/>
                <w:sz w:val="24"/>
                <w:szCs w:val="20"/>
              </w:rPr>
              <w:t>项目在现有</w:t>
            </w:r>
            <w:r>
              <w:rPr>
                <w:sz w:val="24"/>
                <w:szCs w:val="20"/>
              </w:rPr>
              <w:t>露天煤厂占地范围内施工，</w:t>
            </w:r>
            <w:r>
              <w:rPr>
                <w:rFonts w:hint="eastAsia"/>
                <w:sz w:val="24"/>
                <w:szCs w:val="20"/>
              </w:rPr>
              <w:t>不破坏</w:t>
            </w:r>
            <w:r>
              <w:rPr>
                <w:sz w:val="24"/>
                <w:szCs w:val="20"/>
              </w:rPr>
              <w:t>植被，在采取降尘、降噪措施后，项目施工对</w:t>
            </w:r>
            <w:r>
              <w:rPr>
                <w:rFonts w:hint="eastAsia"/>
                <w:sz w:val="24"/>
                <w:szCs w:val="20"/>
              </w:rPr>
              <w:t>周边动植物</w:t>
            </w:r>
            <w:r>
              <w:rPr>
                <w:sz w:val="24"/>
                <w:szCs w:val="20"/>
              </w:rPr>
              <w:t>影响</w:t>
            </w:r>
            <w:r>
              <w:rPr>
                <w:rFonts w:hint="eastAsia"/>
                <w:sz w:val="24"/>
                <w:szCs w:val="20"/>
              </w:rPr>
              <w:t>轻微。</w:t>
            </w:r>
          </w:p>
          <w:p>
            <w:pPr>
              <w:spacing w:line="360" w:lineRule="auto"/>
              <w:ind w:firstLine="482" w:firstLineChars="200"/>
              <w:jc w:val="left"/>
              <w:textAlignment w:val="baseline"/>
              <w:rPr>
                <w:sz w:val="24"/>
              </w:rPr>
            </w:pPr>
            <w:r>
              <w:rPr>
                <w:b/>
                <w:sz w:val="24"/>
              </w:rPr>
              <w:t>二、运行期环境影响分析</w:t>
            </w:r>
          </w:p>
          <w:p>
            <w:pPr>
              <w:widowControl/>
              <w:spacing w:line="336" w:lineRule="auto"/>
              <w:ind w:firstLine="472" w:firstLineChars="196"/>
              <w:rPr>
                <w:b/>
                <w:sz w:val="24"/>
                <w:szCs w:val="22"/>
              </w:rPr>
            </w:pPr>
            <w:bookmarkStart w:id="122" w:name="_Toc477877272"/>
            <w:bookmarkStart w:id="123" w:name="_Toc477877347"/>
            <w:bookmarkStart w:id="124" w:name="_Toc24042"/>
            <w:r>
              <w:rPr>
                <w:b/>
                <w:sz w:val="24"/>
                <w:szCs w:val="22"/>
              </w:rPr>
              <w:t>1、环境空气影响分析</w:t>
            </w:r>
          </w:p>
          <w:p>
            <w:pPr>
              <w:spacing w:line="360" w:lineRule="auto"/>
              <w:ind w:firstLine="480" w:firstLineChars="200"/>
              <w:rPr>
                <w:b/>
                <w:kern w:val="24"/>
                <w:sz w:val="24"/>
              </w:rPr>
            </w:pPr>
            <w:r>
              <w:rPr>
                <w:sz w:val="24"/>
              </w:rPr>
              <w:fldChar w:fldCharType="begin"/>
            </w:r>
            <w:r>
              <w:rPr>
                <w:sz w:val="24"/>
              </w:rPr>
              <w:instrText xml:space="preserve"> </w:instrText>
            </w:r>
            <w:r>
              <w:rPr>
                <w:rFonts w:hint="eastAsia"/>
                <w:sz w:val="24"/>
              </w:rPr>
              <w:instrText xml:space="preserve">= 1 \* GB2</w:instrText>
            </w:r>
            <w:r>
              <w:rPr>
                <w:sz w:val="24"/>
              </w:rPr>
              <w:instrText xml:space="preserve"> </w:instrText>
            </w:r>
            <w:r>
              <w:rPr>
                <w:sz w:val="24"/>
              </w:rPr>
              <w:fldChar w:fldCharType="separate"/>
            </w:r>
            <w:r>
              <w:rPr>
                <w:rFonts w:hint="eastAsia"/>
                <w:sz w:val="24"/>
              </w:rPr>
              <w:t>⑴</w:t>
            </w:r>
            <w:r>
              <w:rPr>
                <w:sz w:val="24"/>
              </w:rPr>
              <w:fldChar w:fldCharType="end"/>
            </w:r>
            <w:r>
              <w:rPr>
                <w:rFonts w:hint="eastAsia"/>
                <w:sz w:val="24"/>
              </w:rPr>
              <w:t xml:space="preserve"> </w:t>
            </w:r>
            <w:r>
              <w:rPr>
                <w:rFonts w:hint="eastAsia"/>
                <w:kern w:val="24"/>
                <w:sz w:val="24"/>
              </w:rPr>
              <w:t>污染源</w:t>
            </w:r>
          </w:p>
          <w:p>
            <w:pPr>
              <w:spacing w:line="360" w:lineRule="auto"/>
              <w:ind w:firstLine="480" w:firstLineChars="200"/>
              <w:rPr>
                <w:kern w:val="24"/>
                <w:sz w:val="24"/>
              </w:rPr>
            </w:pPr>
            <w:r>
              <w:rPr>
                <w:rFonts w:hint="eastAsia"/>
                <w:kern w:val="24"/>
                <w:sz w:val="24"/>
              </w:rPr>
              <w:t>项目为露天</w:t>
            </w:r>
            <w:r>
              <w:rPr>
                <w:kern w:val="24"/>
                <w:sz w:val="24"/>
              </w:rPr>
              <w:t>煤场全封闭改造工程，</w:t>
            </w:r>
            <w:r>
              <w:rPr>
                <w:rFonts w:hint="eastAsia"/>
                <w:kern w:val="24"/>
                <w:sz w:val="24"/>
              </w:rPr>
              <w:t>属于</w:t>
            </w:r>
            <w:r>
              <w:rPr>
                <w:kern w:val="24"/>
                <w:sz w:val="24"/>
              </w:rPr>
              <w:t>环保型项目</w:t>
            </w:r>
            <w:r>
              <w:rPr>
                <w:rFonts w:hint="eastAsia"/>
                <w:kern w:val="24"/>
                <w:sz w:val="24"/>
              </w:rPr>
              <w:t>。</w:t>
            </w:r>
            <w:r>
              <w:rPr>
                <w:kern w:val="24"/>
                <w:sz w:val="24"/>
              </w:rPr>
              <w:t>根据工程分析，项目</w:t>
            </w:r>
            <w:r>
              <w:rPr>
                <w:rFonts w:hint="eastAsia"/>
                <w:kern w:val="24"/>
                <w:sz w:val="24"/>
              </w:rPr>
              <w:t>改造</w:t>
            </w:r>
            <w:r>
              <w:rPr>
                <w:kern w:val="24"/>
                <w:sz w:val="24"/>
              </w:rPr>
              <w:t>完成后，</w:t>
            </w:r>
            <w:r>
              <w:rPr>
                <w:rFonts w:hint="eastAsia"/>
                <w:kern w:val="24"/>
                <w:sz w:val="24"/>
              </w:rPr>
              <w:t>无组成</w:t>
            </w:r>
            <w:r>
              <w:rPr>
                <w:kern w:val="24"/>
                <w:sz w:val="24"/>
              </w:rPr>
              <w:t>粉尘排放量13.18</w:t>
            </w:r>
            <w:r>
              <w:rPr>
                <w:rFonts w:hint="eastAsia"/>
                <w:kern w:val="24"/>
                <w:sz w:val="24"/>
              </w:rPr>
              <w:t>t/a。相对</w:t>
            </w:r>
            <w:r>
              <w:rPr>
                <w:kern w:val="24"/>
                <w:sz w:val="24"/>
              </w:rPr>
              <w:t>现状露天煤场无组织排放粉尘排放量减少41.98</w:t>
            </w:r>
            <w:r>
              <w:rPr>
                <w:rFonts w:hint="eastAsia"/>
                <w:kern w:val="24"/>
                <w:sz w:val="24"/>
              </w:rPr>
              <w:t>t/a</w:t>
            </w:r>
            <w:r>
              <w:rPr>
                <w:kern w:val="24"/>
                <w:sz w:val="24"/>
              </w:rPr>
              <w:t>，项目建设</w:t>
            </w:r>
            <w:r>
              <w:rPr>
                <w:rFonts w:hint="eastAsia"/>
                <w:kern w:val="24"/>
                <w:sz w:val="24"/>
              </w:rPr>
              <w:t>可</w:t>
            </w:r>
            <w:r>
              <w:rPr>
                <w:kern w:val="24"/>
                <w:sz w:val="24"/>
              </w:rPr>
              <w:t>有效降低煤场煤尘排放量、改善区域环境空气质量，对周围环境影响具有正效益。</w:t>
            </w:r>
          </w:p>
          <w:p>
            <w:pPr>
              <w:spacing w:line="360" w:lineRule="auto"/>
              <w:ind w:firstLine="480" w:firstLineChars="200"/>
              <w:rPr>
                <w:sz w:val="24"/>
                <w:lang w:bidi="en-US"/>
              </w:rPr>
            </w:pPr>
            <w:r>
              <w:rPr>
                <w:sz w:val="24"/>
                <w:lang w:bidi="en-US"/>
              </w:rPr>
              <w:fldChar w:fldCharType="begin"/>
            </w:r>
            <w:r>
              <w:rPr>
                <w:sz w:val="24"/>
                <w:lang w:bidi="en-US"/>
              </w:rPr>
              <w:instrText xml:space="preserve"> </w:instrText>
            </w:r>
            <w:r>
              <w:rPr>
                <w:rFonts w:hint="eastAsia"/>
                <w:sz w:val="24"/>
                <w:lang w:bidi="en-US"/>
              </w:rPr>
              <w:instrText xml:space="preserve">= 2 \* GB2</w:instrText>
            </w:r>
            <w:r>
              <w:rPr>
                <w:sz w:val="24"/>
                <w:lang w:bidi="en-US"/>
              </w:rPr>
              <w:instrText xml:space="preserve"> </w:instrText>
            </w:r>
            <w:r>
              <w:rPr>
                <w:sz w:val="24"/>
                <w:lang w:bidi="en-US"/>
              </w:rPr>
              <w:fldChar w:fldCharType="separate"/>
            </w:r>
            <w:r>
              <w:rPr>
                <w:rFonts w:hint="eastAsia"/>
                <w:sz w:val="24"/>
                <w:lang w:bidi="en-US"/>
              </w:rPr>
              <w:t>⑵</w:t>
            </w:r>
            <w:r>
              <w:rPr>
                <w:sz w:val="24"/>
                <w:lang w:bidi="en-US"/>
              </w:rPr>
              <w:fldChar w:fldCharType="end"/>
            </w:r>
            <w:r>
              <w:rPr>
                <w:sz w:val="24"/>
                <w:lang w:bidi="en-US"/>
              </w:rPr>
              <w:t xml:space="preserve"> </w:t>
            </w:r>
            <w:r>
              <w:rPr>
                <w:rFonts w:hint="eastAsia"/>
                <w:sz w:val="24"/>
                <w:lang w:bidi="en-US"/>
              </w:rPr>
              <w:t>预测参数</w:t>
            </w:r>
          </w:p>
          <w:p>
            <w:pPr>
              <w:spacing w:line="360" w:lineRule="auto"/>
              <w:ind w:firstLine="480" w:firstLineChars="200"/>
              <w:rPr>
                <w:sz w:val="24"/>
              </w:rPr>
            </w:pPr>
            <w:r>
              <w:rPr>
                <w:sz w:val="24"/>
              </w:rPr>
              <w:t>本次评价依据《环境影响评价技术导则-大气环境》(HJ2.2-2018)中5.3节工作等级的确定方法，结合项目工程分析结果，选择正常排放的主要污染物及排放参数，采用附录A推荐模型中的AERSCREEN模式计算项目污染源的最大环境影响。</w:t>
            </w:r>
            <w:r>
              <w:rPr>
                <w:rFonts w:hint="eastAsia"/>
                <w:sz w:val="24"/>
              </w:rPr>
              <w:t>主要废气污染源</w:t>
            </w:r>
            <w:r>
              <w:rPr>
                <w:sz w:val="24"/>
              </w:rPr>
              <w:t>参数见表28</w:t>
            </w:r>
            <w:r>
              <w:rPr>
                <w:rFonts w:hint="eastAsia"/>
                <w:sz w:val="24"/>
              </w:rPr>
              <w:t>，估算</w:t>
            </w:r>
            <w:r>
              <w:rPr>
                <w:sz w:val="24"/>
              </w:rPr>
              <w:t>模型参数见表29。</w:t>
            </w:r>
          </w:p>
          <w:p>
            <w:pPr>
              <w:jc w:val="center"/>
              <w:rPr>
                <w:b/>
                <w:bCs/>
                <w:szCs w:val="21"/>
              </w:rPr>
            </w:pPr>
            <w:r>
              <w:rPr>
                <w:b/>
                <w:bCs/>
                <w:szCs w:val="21"/>
              </w:rPr>
              <w:t>表</w:t>
            </w:r>
            <w:r>
              <w:rPr>
                <w:rFonts w:hint="eastAsia"/>
                <w:b/>
                <w:bCs/>
                <w:szCs w:val="21"/>
              </w:rPr>
              <w:t>28</w:t>
            </w:r>
            <w:r>
              <w:rPr>
                <w:b/>
                <w:bCs/>
                <w:szCs w:val="21"/>
              </w:rPr>
              <w:t xml:space="preserve">    </w:t>
            </w:r>
            <w:r>
              <w:rPr>
                <w:rFonts w:hint="eastAsia"/>
                <w:b/>
                <w:bCs/>
                <w:szCs w:val="21"/>
              </w:rPr>
              <w:t>无组织</w:t>
            </w:r>
            <w:r>
              <w:rPr>
                <w:b/>
                <w:bCs/>
                <w:szCs w:val="21"/>
              </w:rPr>
              <w:t>面源参数取值表</w:t>
            </w:r>
          </w:p>
          <w:tbl>
            <w:tblPr>
              <w:tblStyle w:val="39"/>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651"/>
              <w:gridCol w:w="714"/>
              <w:gridCol w:w="770"/>
              <w:gridCol w:w="700"/>
              <w:gridCol w:w="709"/>
              <w:gridCol w:w="709"/>
              <w:gridCol w:w="850"/>
              <w:gridCol w:w="851"/>
              <w:gridCol w:w="709"/>
              <w:gridCol w:w="75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470" w:type="dxa"/>
                  <w:vMerge w:val="restart"/>
                  <w:vAlign w:val="center"/>
                </w:tcPr>
                <w:p>
                  <w:pPr>
                    <w:jc w:val="center"/>
                    <w:rPr>
                      <w:szCs w:val="21"/>
                    </w:rPr>
                  </w:pPr>
                  <w:r>
                    <w:rPr>
                      <w:rFonts w:hint="eastAsia"/>
                      <w:szCs w:val="21"/>
                    </w:rPr>
                    <w:t>编号</w:t>
                  </w:r>
                </w:p>
              </w:tc>
              <w:tc>
                <w:tcPr>
                  <w:tcW w:w="651" w:type="dxa"/>
                  <w:vMerge w:val="restart"/>
                  <w:vAlign w:val="center"/>
                </w:tcPr>
                <w:p>
                  <w:pPr>
                    <w:jc w:val="center"/>
                    <w:rPr>
                      <w:szCs w:val="21"/>
                    </w:rPr>
                  </w:pPr>
                  <w:r>
                    <w:rPr>
                      <w:rFonts w:hint="eastAsia"/>
                      <w:szCs w:val="21"/>
                    </w:rPr>
                    <w:t>名称</w:t>
                  </w:r>
                </w:p>
              </w:tc>
              <w:tc>
                <w:tcPr>
                  <w:tcW w:w="1484" w:type="dxa"/>
                  <w:gridSpan w:val="2"/>
                  <w:vAlign w:val="center"/>
                </w:tcPr>
                <w:p>
                  <w:pPr>
                    <w:jc w:val="center"/>
                    <w:rPr>
                      <w:szCs w:val="21"/>
                    </w:rPr>
                  </w:pPr>
                  <w:r>
                    <w:rPr>
                      <w:rFonts w:hint="eastAsia"/>
                      <w:szCs w:val="21"/>
                    </w:rPr>
                    <w:t>面源起点</w:t>
                  </w:r>
                  <w:r>
                    <w:rPr>
                      <w:szCs w:val="21"/>
                    </w:rPr>
                    <w:t>坐标</w:t>
                  </w:r>
                </w:p>
              </w:tc>
              <w:tc>
                <w:tcPr>
                  <w:tcW w:w="700" w:type="dxa"/>
                  <w:vMerge w:val="restart"/>
                  <w:vAlign w:val="center"/>
                </w:tcPr>
                <w:p>
                  <w:pPr>
                    <w:jc w:val="center"/>
                    <w:rPr>
                      <w:szCs w:val="21"/>
                    </w:rPr>
                  </w:pPr>
                  <w:r>
                    <w:rPr>
                      <w:rFonts w:hint="eastAsia"/>
                      <w:szCs w:val="21"/>
                    </w:rPr>
                    <w:t>面源</w:t>
                  </w:r>
                  <w:r>
                    <w:rPr>
                      <w:szCs w:val="21"/>
                    </w:rPr>
                    <w:t>海拔高度（</w:t>
                  </w:r>
                  <w:r>
                    <w:rPr>
                      <w:rFonts w:hint="eastAsia"/>
                      <w:szCs w:val="21"/>
                    </w:rPr>
                    <w:t>m</w:t>
                  </w:r>
                  <w:r>
                    <w:rPr>
                      <w:szCs w:val="21"/>
                    </w:rPr>
                    <w:t>）</w:t>
                  </w:r>
                </w:p>
              </w:tc>
              <w:tc>
                <w:tcPr>
                  <w:tcW w:w="709" w:type="dxa"/>
                  <w:vMerge w:val="restart"/>
                  <w:vAlign w:val="center"/>
                </w:tcPr>
                <w:p>
                  <w:pPr>
                    <w:jc w:val="center"/>
                    <w:rPr>
                      <w:szCs w:val="21"/>
                    </w:rPr>
                  </w:pPr>
                  <w:r>
                    <w:rPr>
                      <w:szCs w:val="21"/>
                    </w:rPr>
                    <w:t>面源长度（m）</w:t>
                  </w:r>
                </w:p>
              </w:tc>
              <w:tc>
                <w:tcPr>
                  <w:tcW w:w="709" w:type="dxa"/>
                  <w:vMerge w:val="restart"/>
                  <w:vAlign w:val="center"/>
                </w:tcPr>
                <w:p>
                  <w:pPr>
                    <w:jc w:val="center"/>
                    <w:rPr>
                      <w:szCs w:val="21"/>
                    </w:rPr>
                  </w:pPr>
                  <w:r>
                    <w:rPr>
                      <w:szCs w:val="21"/>
                    </w:rPr>
                    <w:t>面源宽度（m）</w:t>
                  </w:r>
                </w:p>
              </w:tc>
              <w:tc>
                <w:tcPr>
                  <w:tcW w:w="850" w:type="dxa"/>
                  <w:vMerge w:val="restart"/>
                  <w:vAlign w:val="center"/>
                </w:tcPr>
                <w:p>
                  <w:pPr>
                    <w:jc w:val="center"/>
                    <w:rPr>
                      <w:szCs w:val="21"/>
                    </w:rPr>
                  </w:pPr>
                  <w:r>
                    <w:rPr>
                      <w:rFonts w:hint="eastAsia"/>
                      <w:szCs w:val="21"/>
                    </w:rPr>
                    <w:t>与正北向</w:t>
                  </w:r>
                  <w:r>
                    <w:rPr>
                      <w:szCs w:val="21"/>
                    </w:rPr>
                    <w:t>夹角（</w:t>
                  </w:r>
                  <w:r>
                    <w:rPr>
                      <w:rFonts w:hint="eastAsia"/>
                      <w:szCs w:val="21"/>
                    </w:rPr>
                    <w:t>°</w:t>
                  </w:r>
                  <w:r>
                    <w:rPr>
                      <w:szCs w:val="21"/>
                    </w:rPr>
                    <w:t>）</w:t>
                  </w:r>
                </w:p>
              </w:tc>
              <w:tc>
                <w:tcPr>
                  <w:tcW w:w="851" w:type="dxa"/>
                  <w:vMerge w:val="restart"/>
                  <w:vAlign w:val="center"/>
                </w:tcPr>
                <w:p>
                  <w:pPr>
                    <w:jc w:val="center"/>
                    <w:rPr>
                      <w:szCs w:val="21"/>
                    </w:rPr>
                  </w:pPr>
                  <w:r>
                    <w:rPr>
                      <w:szCs w:val="21"/>
                    </w:rPr>
                    <w:t>面源</w:t>
                  </w:r>
                  <w:r>
                    <w:rPr>
                      <w:rFonts w:hint="eastAsia"/>
                      <w:szCs w:val="21"/>
                    </w:rPr>
                    <w:t>有效</w:t>
                  </w:r>
                  <w:r>
                    <w:rPr>
                      <w:szCs w:val="21"/>
                    </w:rPr>
                    <w:t>排放高度（m）</w:t>
                  </w:r>
                </w:p>
              </w:tc>
              <w:tc>
                <w:tcPr>
                  <w:tcW w:w="709" w:type="dxa"/>
                  <w:vMerge w:val="restart"/>
                  <w:vAlign w:val="center"/>
                </w:tcPr>
                <w:p>
                  <w:pPr>
                    <w:jc w:val="center"/>
                    <w:rPr>
                      <w:szCs w:val="21"/>
                    </w:rPr>
                  </w:pPr>
                  <w:r>
                    <w:rPr>
                      <w:rFonts w:hint="eastAsia"/>
                      <w:szCs w:val="21"/>
                    </w:rPr>
                    <w:t>年排放</w:t>
                  </w:r>
                  <w:r>
                    <w:rPr>
                      <w:szCs w:val="21"/>
                    </w:rPr>
                    <w:t>小时数（</w:t>
                  </w:r>
                  <w:r>
                    <w:rPr>
                      <w:rFonts w:hint="eastAsia"/>
                      <w:szCs w:val="21"/>
                    </w:rPr>
                    <w:t>h</w:t>
                  </w:r>
                  <w:r>
                    <w:rPr>
                      <w:szCs w:val="21"/>
                    </w:rPr>
                    <w:t>）</w:t>
                  </w:r>
                </w:p>
              </w:tc>
              <w:tc>
                <w:tcPr>
                  <w:tcW w:w="750" w:type="dxa"/>
                  <w:vMerge w:val="restart"/>
                  <w:vAlign w:val="center"/>
                </w:tcPr>
                <w:p>
                  <w:pPr>
                    <w:jc w:val="center"/>
                    <w:rPr>
                      <w:szCs w:val="21"/>
                    </w:rPr>
                  </w:pPr>
                  <w:r>
                    <w:rPr>
                      <w:rFonts w:hint="eastAsia"/>
                      <w:szCs w:val="21"/>
                    </w:rPr>
                    <w:t>排放工况</w:t>
                  </w:r>
                </w:p>
              </w:tc>
              <w:tc>
                <w:tcPr>
                  <w:tcW w:w="948" w:type="dxa"/>
                  <w:vMerge w:val="restart"/>
                  <w:vAlign w:val="center"/>
                </w:tcPr>
                <w:p>
                  <w:pPr>
                    <w:jc w:val="center"/>
                    <w:rPr>
                      <w:szCs w:val="21"/>
                    </w:rPr>
                  </w:pPr>
                  <w:r>
                    <w:rPr>
                      <w:rFonts w:hint="eastAsia"/>
                      <w:szCs w:val="21"/>
                    </w:rPr>
                    <w:t>污染物排放</w:t>
                  </w:r>
                  <w:r>
                    <w:rPr>
                      <w:szCs w:val="21"/>
                    </w:rPr>
                    <w:t>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70" w:type="dxa"/>
                  <w:vMerge w:val="continue"/>
                  <w:vAlign w:val="center"/>
                </w:tcPr>
                <w:p>
                  <w:pPr>
                    <w:jc w:val="center"/>
                    <w:rPr>
                      <w:szCs w:val="21"/>
                    </w:rPr>
                  </w:pPr>
                </w:p>
              </w:tc>
              <w:tc>
                <w:tcPr>
                  <w:tcW w:w="651" w:type="dxa"/>
                  <w:vMerge w:val="continue"/>
                  <w:vAlign w:val="center"/>
                </w:tcPr>
                <w:p>
                  <w:pPr>
                    <w:jc w:val="center"/>
                    <w:rPr>
                      <w:szCs w:val="21"/>
                    </w:rPr>
                  </w:pPr>
                </w:p>
              </w:tc>
              <w:tc>
                <w:tcPr>
                  <w:tcW w:w="714" w:type="dxa"/>
                  <w:vAlign w:val="center"/>
                </w:tcPr>
                <w:p>
                  <w:pPr>
                    <w:jc w:val="center"/>
                    <w:rPr>
                      <w:szCs w:val="21"/>
                    </w:rPr>
                  </w:pPr>
                  <w:r>
                    <w:rPr>
                      <w:rFonts w:hint="eastAsia"/>
                      <w:szCs w:val="21"/>
                    </w:rPr>
                    <w:t>X</w:t>
                  </w:r>
                </w:p>
              </w:tc>
              <w:tc>
                <w:tcPr>
                  <w:tcW w:w="770" w:type="dxa"/>
                  <w:vAlign w:val="center"/>
                </w:tcPr>
                <w:p>
                  <w:pPr>
                    <w:jc w:val="center"/>
                    <w:rPr>
                      <w:szCs w:val="21"/>
                    </w:rPr>
                  </w:pPr>
                  <w:r>
                    <w:rPr>
                      <w:rFonts w:hint="eastAsia"/>
                      <w:szCs w:val="21"/>
                    </w:rPr>
                    <w:t>Y</w:t>
                  </w:r>
                </w:p>
              </w:tc>
              <w:tc>
                <w:tcPr>
                  <w:tcW w:w="700" w:type="dxa"/>
                  <w:vMerge w:val="continue"/>
                  <w:vAlign w:val="center"/>
                </w:tcPr>
                <w:p>
                  <w:pPr>
                    <w:jc w:val="center"/>
                    <w:rPr>
                      <w:szCs w:val="21"/>
                    </w:rPr>
                  </w:pPr>
                </w:p>
              </w:tc>
              <w:tc>
                <w:tcPr>
                  <w:tcW w:w="709" w:type="dxa"/>
                  <w:vMerge w:val="continue"/>
                  <w:vAlign w:val="center"/>
                </w:tcPr>
                <w:p>
                  <w:pPr>
                    <w:jc w:val="center"/>
                    <w:rPr>
                      <w:szCs w:val="21"/>
                    </w:rPr>
                  </w:pPr>
                </w:p>
              </w:tc>
              <w:tc>
                <w:tcPr>
                  <w:tcW w:w="709"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Merge w:val="continue"/>
                  <w:vAlign w:val="center"/>
                </w:tcPr>
                <w:p>
                  <w:pPr>
                    <w:jc w:val="center"/>
                    <w:rPr>
                      <w:szCs w:val="21"/>
                    </w:rPr>
                  </w:pPr>
                </w:p>
              </w:tc>
              <w:tc>
                <w:tcPr>
                  <w:tcW w:w="709" w:type="dxa"/>
                  <w:vMerge w:val="continue"/>
                  <w:vAlign w:val="center"/>
                </w:tcPr>
                <w:p>
                  <w:pPr>
                    <w:jc w:val="center"/>
                    <w:rPr>
                      <w:szCs w:val="21"/>
                    </w:rPr>
                  </w:pPr>
                </w:p>
              </w:tc>
              <w:tc>
                <w:tcPr>
                  <w:tcW w:w="750" w:type="dxa"/>
                  <w:vMerge w:val="continue"/>
                  <w:vAlign w:val="center"/>
                </w:tcPr>
                <w:p>
                  <w:pPr>
                    <w:jc w:val="center"/>
                    <w:rPr>
                      <w:szCs w:val="21"/>
                    </w:rPr>
                  </w:pPr>
                </w:p>
              </w:tc>
              <w:tc>
                <w:tcPr>
                  <w:tcW w:w="948"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470" w:type="dxa"/>
                  <w:vAlign w:val="center"/>
                </w:tcPr>
                <w:p>
                  <w:pPr>
                    <w:jc w:val="center"/>
                    <w:rPr>
                      <w:szCs w:val="21"/>
                    </w:rPr>
                  </w:pPr>
                  <w:r>
                    <w:rPr>
                      <w:rFonts w:hint="eastAsia"/>
                      <w:szCs w:val="21"/>
                    </w:rPr>
                    <w:t>1</w:t>
                  </w:r>
                </w:p>
              </w:tc>
              <w:tc>
                <w:tcPr>
                  <w:tcW w:w="651" w:type="dxa"/>
                  <w:vAlign w:val="center"/>
                </w:tcPr>
                <w:p>
                  <w:pPr>
                    <w:jc w:val="center"/>
                    <w:rPr>
                      <w:szCs w:val="21"/>
                    </w:rPr>
                  </w:pPr>
                  <w:r>
                    <w:rPr>
                      <w:rFonts w:hint="eastAsia"/>
                      <w:szCs w:val="21"/>
                    </w:rPr>
                    <w:t>封闭煤场</w:t>
                  </w:r>
                </w:p>
              </w:tc>
              <w:tc>
                <w:tcPr>
                  <w:tcW w:w="714" w:type="dxa"/>
                  <w:vAlign w:val="center"/>
                </w:tcPr>
                <w:p>
                  <w:pPr>
                    <w:jc w:val="center"/>
                    <w:rPr>
                      <w:szCs w:val="21"/>
                    </w:rPr>
                  </w:pPr>
                  <w:r>
                    <w:rPr>
                      <w:rFonts w:hint="eastAsia"/>
                      <w:szCs w:val="21"/>
                    </w:rPr>
                    <w:t>34.42</w:t>
                  </w:r>
                  <w:r>
                    <w:rPr>
                      <w:szCs w:val="21"/>
                    </w:rPr>
                    <w:t>6559</w:t>
                  </w:r>
                </w:p>
              </w:tc>
              <w:tc>
                <w:tcPr>
                  <w:tcW w:w="770" w:type="dxa"/>
                  <w:vAlign w:val="center"/>
                </w:tcPr>
                <w:p>
                  <w:pPr>
                    <w:jc w:val="center"/>
                    <w:rPr>
                      <w:szCs w:val="21"/>
                    </w:rPr>
                  </w:pPr>
                  <w:r>
                    <w:rPr>
                      <w:rFonts w:hint="eastAsia"/>
                      <w:szCs w:val="21"/>
                    </w:rPr>
                    <w:t>108.91</w:t>
                  </w:r>
                  <w:r>
                    <w:rPr>
                      <w:szCs w:val="21"/>
                    </w:rPr>
                    <w:t>0963</w:t>
                  </w:r>
                </w:p>
              </w:tc>
              <w:tc>
                <w:tcPr>
                  <w:tcW w:w="700" w:type="dxa"/>
                  <w:vAlign w:val="center"/>
                </w:tcPr>
                <w:p>
                  <w:pPr>
                    <w:jc w:val="center"/>
                    <w:rPr>
                      <w:szCs w:val="21"/>
                    </w:rPr>
                  </w:pPr>
                  <w:r>
                    <w:rPr>
                      <w:rFonts w:hint="eastAsia"/>
                      <w:szCs w:val="21"/>
                    </w:rPr>
                    <w:t>379</w:t>
                  </w:r>
                </w:p>
              </w:tc>
              <w:tc>
                <w:tcPr>
                  <w:tcW w:w="709" w:type="dxa"/>
                  <w:vAlign w:val="center"/>
                </w:tcPr>
                <w:p>
                  <w:pPr>
                    <w:jc w:val="center"/>
                    <w:rPr>
                      <w:szCs w:val="21"/>
                    </w:rPr>
                  </w:pPr>
                  <w:r>
                    <w:rPr>
                      <w:rFonts w:hint="eastAsia"/>
                      <w:szCs w:val="21"/>
                    </w:rPr>
                    <w:t>210</w:t>
                  </w:r>
                </w:p>
              </w:tc>
              <w:tc>
                <w:tcPr>
                  <w:tcW w:w="709" w:type="dxa"/>
                  <w:vAlign w:val="center"/>
                </w:tcPr>
                <w:p>
                  <w:pPr>
                    <w:jc w:val="center"/>
                    <w:rPr>
                      <w:szCs w:val="21"/>
                    </w:rPr>
                  </w:pPr>
                  <w:r>
                    <w:rPr>
                      <w:rFonts w:hint="eastAsia"/>
                      <w:szCs w:val="21"/>
                    </w:rPr>
                    <w:t>180</w:t>
                  </w:r>
                </w:p>
              </w:tc>
              <w:tc>
                <w:tcPr>
                  <w:tcW w:w="850" w:type="dxa"/>
                  <w:vAlign w:val="center"/>
                </w:tcPr>
                <w:p>
                  <w:pPr>
                    <w:jc w:val="center"/>
                    <w:rPr>
                      <w:szCs w:val="21"/>
                    </w:rPr>
                  </w:pPr>
                  <w:r>
                    <w:rPr>
                      <w:rFonts w:hint="eastAsia"/>
                      <w:szCs w:val="21"/>
                    </w:rPr>
                    <w:t>60</w:t>
                  </w:r>
                </w:p>
              </w:tc>
              <w:tc>
                <w:tcPr>
                  <w:tcW w:w="851" w:type="dxa"/>
                  <w:vAlign w:val="center"/>
                </w:tcPr>
                <w:p>
                  <w:pPr>
                    <w:jc w:val="center"/>
                    <w:rPr>
                      <w:szCs w:val="21"/>
                    </w:rPr>
                  </w:pPr>
                  <w:r>
                    <w:rPr>
                      <w:rFonts w:hint="eastAsia"/>
                      <w:szCs w:val="21"/>
                    </w:rPr>
                    <w:t>55</w:t>
                  </w:r>
                </w:p>
              </w:tc>
              <w:tc>
                <w:tcPr>
                  <w:tcW w:w="709" w:type="dxa"/>
                  <w:vAlign w:val="center"/>
                </w:tcPr>
                <w:p>
                  <w:pPr>
                    <w:jc w:val="center"/>
                    <w:rPr>
                      <w:szCs w:val="21"/>
                    </w:rPr>
                  </w:pPr>
                  <w:r>
                    <w:rPr>
                      <w:rFonts w:hint="eastAsia"/>
                      <w:szCs w:val="21"/>
                    </w:rPr>
                    <w:t>8760</w:t>
                  </w:r>
                </w:p>
              </w:tc>
              <w:tc>
                <w:tcPr>
                  <w:tcW w:w="750" w:type="dxa"/>
                  <w:vAlign w:val="center"/>
                </w:tcPr>
                <w:p>
                  <w:pPr>
                    <w:jc w:val="center"/>
                    <w:rPr>
                      <w:szCs w:val="21"/>
                    </w:rPr>
                  </w:pPr>
                  <w:r>
                    <w:rPr>
                      <w:rFonts w:hint="eastAsia"/>
                      <w:szCs w:val="21"/>
                    </w:rPr>
                    <w:t>正常</w:t>
                  </w:r>
                  <w:r>
                    <w:rPr>
                      <w:szCs w:val="21"/>
                    </w:rPr>
                    <w:t>排放</w:t>
                  </w:r>
                </w:p>
              </w:tc>
              <w:tc>
                <w:tcPr>
                  <w:tcW w:w="948" w:type="dxa"/>
                  <w:vAlign w:val="center"/>
                </w:tcPr>
                <w:p>
                  <w:pPr>
                    <w:jc w:val="center"/>
                    <w:rPr>
                      <w:szCs w:val="21"/>
                    </w:rPr>
                  </w:pPr>
                  <w:r>
                    <w:rPr>
                      <w:szCs w:val="21"/>
                    </w:rPr>
                    <w:t>1.50</w:t>
                  </w:r>
                </w:p>
              </w:tc>
            </w:tr>
          </w:tbl>
          <w:p>
            <w:pPr>
              <w:jc w:val="center"/>
              <w:rPr>
                <w:b/>
                <w:szCs w:val="21"/>
              </w:rPr>
            </w:pPr>
            <w:r>
              <w:rPr>
                <w:b/>
                <w:szCs w:val="21"/>
              </w:rPr>
              <w:t>表29    估算模型参数表</w:t>
            </w:r>
          </w:p>
          <w:tbl>
            <w:tblPr>
              <w:tblStyle w:val="40"/>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2748"/>
              <w:gridCol w:w="3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33" w:type="dxa"/>
                  <w:gridSpan w:val="2"/>
                  <w:vAlign w:val="center"/>
                </w:tcPr>
                <w:p>
                  <w:pPr>
                    <w:jc w:val="center"/>
                    <w:rPr>
                      <w:szCs w:val="21"/>
                    </w:rPr>
                  </w:pPr>
                  <w:r>
                    <w:rPr>
                      <w:szCs w:val="21"/>
                    </w:rPr>
                    <w:t>参数</w:t>
                  </w:r>
                </w:p>
              </w:tc>
              <w:tc>
                <w:tcPr>
                  <w:tcW w:w="3698" w:type="dxa"/>
                  <w:vAlign w:val="center"/>
                </w:tcPr>
                <w:p>
                  <w:pPr>
                    <w:jc w:val="center"/>
                    <w:rPr>
                      <w:szCs w:val="21"/>
                    </w:rPr>
                  </w:pPr>
                  <w:r>
                    <w:rPr>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85" w:type="dxa"/>
                  <w:vAlign w:val="center"/>
                </w:tcPr>
                <w:p>
                  <w:pPr>
                    <w:jc w:val="center"/>
                    <w:rPr>
                      <w:szCs w:val="21"/>
                    </w:rPr>
                  </w:pPr>
                  <w:r>
                    <w:rPr>
                      <w:szCs w:val="21"/>
                    </w:rPr>
                    <w:t>城市农村/选项</w:t>
                  </w:r>
                </w:p>
              </w:tc>
              <w:tc>
                <w:tcPr>
                  <w:tcW w:w="2748" w:type="dxa"/>
                  <w:vAlign w:val="center"/>
                </w:tcPr>
                <w:p>
                  <w:pPr>
                    <w:jc w:val="center"/>
                    <w:rPr>
                      <w:szCs w:val="21"/>
                    </w:rPr>
                  </w:pPr>
                  <w:r>
                    <w:rPr>
                      <w:szCs w:val="21"/>
                    </w:rPr>
                    <w:t>城市/农村</w:t>
                  </w:r>
                </w:p>
              </w:tc>
              <w:tc>
                <w:tcPr>
                  <w:tcW w:w="3698" w:type="dxa"/>
                  <w:vAlign w:val="center"/>
                </w:tcPr>
                <w:p>
                  <w:pPr>
                    <w:jc w:val="center"/>
                    <w:rPr>
                      <w:szCs w:val="21"/>
                    </w:rPr>
                  </w:pPr>
                  <w:r>
                    <w:rPr>
                      <w:rFonts w:hint="eastAsia"/>
                      <w:szCs w:val="21"/>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33" w:type="dxa"/>
                  <w:gridSpan w:val="2"/>
                  <w:vAlign w:val="center"/>
                </w:tcPr>
                <w:p>
                  <w:pPr>
                    <w:jc w:val="center"/>
                    <w:rPr>
                      <w:szCs w:val="21"/>
                    </w:rPr>
                  </w:pPr>
                  <w:r>
                    <w:rPr>
                      <w:szCs w:val="21"/>
                    </w:rPr>
                    <w:t>最高环境温度</w:t>
                  </w:r>
                </w:p>
              </w:tc>
              <w:tc>
                <w:tcPr>
                  <w:tcW w:w="3698" w:type="dxa"/>
                  <w:vAlign w:val="center"/>
                </w:tcPr>
                <w:p>
                  <w:pPr>
                    <w:jc w:val="center"/>
                    <w:rPr>
                      <w:szCs w:val="21"/>
                    </w:rPr>
                  </w:pPr>
                  <w:r>
                    <w:rPr>
                      <w:szCs w:val="21"/>
                    </w:rPr>
                    <w:t>39.8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33" w:type="dxa"/>
                  <w:gridSpan w:val="2"/>
                  <w:vAlign w:val="center"/>
                </w:tcPr>
                <w:p>
                  <w:pPr>
                    <w:jc w:val="center"/>
                    <w:rPr>
                      <w:szCs w:val="21"/>
                    </w:rPr>
                  </w:pPr>
                  <w:r>
                    <w:rPr>
                      <w:szCs w:val="21"/>
                    </w:rPr>
                    <w:t>最低环境温度</w:t>
                  </w:r>
                </w:p>
              </w:tc>
              <w:tc>
                <w:tcPr>
                  <w:tcW w:w="3698" w:type="dxa"/>
                  <w:vAlign w:val="center"/>
                </w:tcPr>
                <w:p>
                  <w:pPr>
                    <w:jc w:val="center"/>
                    <w:rPr>
                      <w:szCs w:val="21"/>
                    </w:rPr>
                  </w:pPr>
                  <w:r>
                    <w:rPr>
                      <w:szCs w:val="21"/>
                    </w:rPr>
                    <w:t>-8.6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33" w:type="dxa"/>
                  <w:gridSpan w:val="2"/>
                  <w:vAlign w:val="center"/>
                </w:tcPr>
                <w:p>
                  <w:pPr>
                    <w:jc w:val="center"/>
                    <w:rPr>
                      <w:szCs w:val="21"/>
                    </w:rPr>
                  </w:pPr>
                  <w:r>
                    <w:rPr>
                      <w:szCs w:val="21"/>
                    </w:rPr>
                    <w:t>土地利用类型</w:t>
                  </w:r>
                </w:p>
              </w:tc>
              <w:tc>
                <w:tcPr>
                  <w:tcW w:w="3698" w:type="dxa"/>
                  <w:vAlign w:val="center"/>
                </w:tcPr>
                <w:p>
                  <w:pPr>
                    <w:jc w:val="center"/>
                    <w:rPr>
                      <w:szCs w:val="21"/>
                    </w:rPr>
                  </w:pPr>
                  <w:r>
                    <w:rPr>
                      <w:rFonts w:hint="eastAsia"/>
                      <w:szCs w:val="21"/>
                    </w:rPr>
                    <w:t>农田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33" w:type="dxa"/>
                  <w:gridSpan w:val="2"/>
                  <w:vAlign w:val="center"/>
                </w:tcPr>
                <w:p>
                  <w:pPr>
                    <w:jc w:val="center"/>
                    <w:rPr>
                      <w:szCs w:val="21"/>
                    </w:rPr>
                  </w:pPr>
                  <w:r>
                    <w:rPr>
                      <w:szCs w:val="21"/>
                    </w:rPr>
                    <w:t>区域湿度条件</w:t>
                  </w:r>
                </w:p>
              </w:tc>
              <w:tc>
                <w:tcPr>
                  <w:tcW w:w="3698" w:type="dxa"/>
                  <w:vAlign w:val="center"/>
                </w:tcPr>
                <w:p>
                  <w:pPr>
                    <w:jc w:val="center"/>
                    <w:rPr>
                      <w:szCs w:val="21"/>
                    </w:rPr>
                  </w:pPr>
                  <w:r>
                    <w:rPr>
                      <w:szCs w:val="21"/>
                    </w:rPr>
                    <w:t>中等湿度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85" w:type="dxa"/>
                  <w:vMerge w:val="restart"/>
                  <w:vAlign w:val="center"/>
                </w:tcPr>
                <w:p>
                  <w:pPr>
                    <w:jc w:val="center"/>
                    <w:rPr>
                      <w:szCs w:val="21"/>
                    </w:rPr>
                  </w:pPr>
                  <w:r>
                    <w:rPr>
                      <w:szCs w:val="21"/>
                    </w:rPr>
                    <w:t>是否考虑地形</w:t>
                  </w:r>
                </w:p>
              </w:tc>
              <w:tc>
                <w:tcPr>
                  <w:tcW w:w="2748" w:type="dxa"/>
                  <w:vAlign w:val="center"/>
                </w:tcPr>
                <w:p>
                  <w:pPr>
                    <w:jc w:val="center"/>
                    <w:rPr>
                      <w:szCs w:val="21"/>
                    </w:rPr>
                  </w:pPr>
                  <w:r>
                    <w:rPr>
                      <w:szCs w:val="21"/>
                    </w:rPr>
                    <w:t>考虑地形</w:t>
                  </w:r>
                </w:p>
              </w:tc>
              <w:tc>
                <w:tcPr>
                  <w:tcW w:w="3698" w:type="dxa"/>
                  <w:vAlign w:val="center"/>
                </w:tcPr>
                <w:p>
                  <w:pPr>
                    <w:jc w:val="center"/>
                    <w:rPr>
                      <w:szCs w:val="21"/>
                    </w:rPr>
                  </w:pPr>
                  <w:r>
                    <w:rPr>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85" w:type="dxa"/>
                  <w:vMerge w:val="continue"/>
                  <w:vAlign w:val="center"/>
                </w:tcPr>
                <w:p>
                  <w:pPr>
                    <w:jc w:val="center"/>
                    <w:rPr>
                      <w:szCs w:val="21"/>
                    </w:rPr>
                  </w:pPr>
                </w:p>
              </w:tc>
              <w:tc>
                <w:tcPr>
                  <w:tcW w:w="2748" w:type="dxa"/>
                  <w:vAlign w:val="center"/>
                </w:tcPr>
                <w:p>
                  <w:pPr>
                    <w:jc w:val="center"/>
                    <w:rPr>
                      <w:szCs w:val="21"/>
                    </w:rPr>
                  </w:pPr>
                  <w:r>
                    <w:rPr>
                      <w:szCs w:val="21"/>
                    </w:rPr>
                    <w:t>地形数据分辨率(m)</w:t>
                  </w:r>
                </w:p>
              </w:tc>
              <w:tc>
                <w:tcPr>
                  <w:tcW w:w="3698" w:type="dxa"/>
                  <w:vAlign w:val="center"/>
                </w:tcPr>
                <w:p>
                  <w:pPr>
                    <w:jc w:val="center"/>
                    <w:rPr>
                      <w:szCs w:val="21"/>
                    </w:rPr>
                  </w:pPr>
                  <w:r>
                    <w:rPr>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85" w:type="dxa"/>
                  <w:vMerge w:val="restart"/>
                  <w:vAlign w:val="center"/>
                </w:tcPr>
                <w:p>
                  <w:pPr>
                    <w:jc w:val="center"/>
                    <w:rPr>
                      <w:szCs w:val="21"/>
                    </w:rPr>
                  </w:pPr>
                  <w:r>
                    <w:rPr>
                      <w:szCs w:val="21"/>
                    </w:rPr>
                    <w:t>是否考虑海岸线熏烟</w:t>
                  </w:r>
                </w:p>
              </w:tc>
              <w:tc>
                <w:tcPr>
                  <w:tcW w:w="2748" w:type="dxa"/>
                  <w:vAlign w:val="center"/>
                </w:tcPr>
                <w:p>
                  <w:pPr>
                    <w:jc w:val="center"/>
                    <w:rPr>
                      <w:szCs w:val="21"/>
                    </w:rPr>
                  </w:pPr>
                  <w:r>
                    <w:rPr>
                      <w:szCs w:val="21"/>
                    </w:rPr>
                    <w:t>考虑海岸线熏烟</w:t>
                  </w:r>
                </w:p>
              </w:tc>
              <w:tc>
                <w:tcPr>
                  <w:tcW w:w="3698" w:type="dxa"/>
                  <w:vAlign w:val="center"/>
                </w:tcPr>
                <w:p>
                  <w:pPr>
                    <w:jc w:val="center"/>
                    <w:rPr>
                      <w:szCs w:val="21"/>
                    </w:rPr>
                  </w:pP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85" w:type="dxa"/>
                  <w:vMerge w:val="continue"/>
                  <w:vAlign w:val="center"/>
                </w:tcPr>
                <w:p>
                  <w:pPr>
                    <w:jc w:val="center"/>
                    <w:rPr>
                      <w:szCs w:val="21"/>
                    </w:rPr>
                  </w:pPr>
                </w:p>
              </w:tc>
              <w:tc>
                <w:tcPr>
                  <w:tcW w:w="2748" w:type="dxa"/>
                  <w:vAlign w:val="center"/>
                </w:tcPr>
                <w:p>
                  <w:pPr>
                    <w:jc w:val="center"/>
                    <w:rPr>
                      <w:szCs w:val="21"/>
                    </w:rPr>
                  </w:pPr>
                  <w:r>
                    <w:rPr>
                      <w:szCs w:val="21"/>
                    </w:rPr>
                    <w:t>海岸线距离/km</w:t>
                  </w:r>
                </w:p>
              </w:tc>
              <w:tc>
                <w:tcPr>
                  <w:tcW w:w="3698" w:type="dxa"/>
                  <w:vAlign w:val="center"/>
                </w:tcPr>
                <w:p>
                  <w:pPr>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85" w:type="dxa"/>
                  <w:vMerge w:val="continue"/>
                  <w:vAlign w:val="center"/>
                </w:tcPr>
                <w:p>
                  <w:pPr>
                    <w:jc w:val="center"/>
                    <w:rPr>
                      <w:szCs w:val="21"/>
                    </w:rPr>
                  </w:pPr>
                </w:p>
              </w:tc>
              <w:tc>
                <w:tcPr>
                  <w:tcW w:w="2748" w:type="dxa"/>
                  <w:vAlign w:val="center"/>
                </w:tcPr>
                <w:p>
                  <w:pPr>
                    <w:jc w:val="center"/>
                    <w:rPr>
                      <w:szCs w:val="21"/>
                    </w:rPr>
                  </w:pPr>
                  <w:r>
                    <w:rPr>
                      <w:szCs w:val="21"/>
                    </w:rPr>
                    <w:t>海岸线方向</w:t>
                  </w:r>
                </w:p>
              </w:tc>
              <w:tc>
                <w:tcPr>
                  <w:tcW w:w="3698" w:type="dxa"/>
                  <w:vAlign w:val="center"/>
                </w:tcPr>
                <w:p>
                  <w:pPr>
                    <w:jc w:val="center"/>
                    <w:rPr>
                      <w:szCs w:val="21"/>
                    </w:rPr>
                  </w:pPr>
                  <w:r>
                    <w:rPr>
                      <w:szCs w:val="21"/>
                    </w:rPr>
                    <w:t>/</w:t>
                  </w:r>
                </w:p>
              </w:tc>
            </w:tr>
          </w:tbl>
          <w:p>
            <w:pPr>
              <w:spacing w:before="120" w:beforeLines="50"/>
              <w:ind w:firstLine="480" w:firstLineChars="200"/>
              <w:jc w:val="left"/>
              <w:rPr>
                <w:sz w:val="24"/>
              </w:rPr>
            </w:pPr>
            <w:r>
              <w:rPr>
                <w:sz w:val="24"/>
              </w:rPr>
              <w:fldChar w:fldCharType="begin"/>
            </w:r>
            <w:r>
              <w:rPr>
                <w:sz w:val="24"/>
              </w:rPr>
              <w:instrText xml:space="preserve"> </w:instrText>
            </w:r>
            <w:r>
              <w:rPr>
                <w:rFonts w:hint="eastAsia"/>
                <w:sz w:val="24"/>
              </w:rPr>
              <w:instrText xml:space="preserve">= 3 \* GB2</w:instrText>
            </w:r>
            <w:r>
              <w:rPr>
                <w:sz w:val="24"/>
              </w:rPr>
              <w:instrText xml:space="preserve"> </w:instrText>
            </w:r>
            <w:r>
              <w:rPr>
                <w:sz w:val="24"/>
              </w:rPr>
              <w:fldChar w:fldCharType="separate"/>
            </w:r>
            <w:r>
              <w:rPr>
                <w:rFonts w:hint="eastAsia"/>
                <w:sz w:val="24"/>
              </w:rPr>
              <w:t>⑶</w:t>
            </w:r>
            <w:r>
              <w:rPr>
                <w:sz w:val="24"/>
              </w:rPr>
              <w:fldChar w:fldCharType="end"/>
            </w:r>
            <w:r>
              <w:rPr>
                <w:sz w:val="24"/>
              </w:rPr>
              <w:t xml:space="preserve"> </w:t>
            </w:r>
            <w:r>
              <w:rPr>
                <w:rFonts w:hint="eastAsia"/>
                <w:sz w:val="24"/>
              </w:rPr>
              <w:t>预测</w:t>
            </w:r>
            <w:r>
              <w:rPr>
                <w:sz w:val="24"/>
              </w:rPr>
              <w:t>结果及分析</w:t>
            </w:r>
          </w:p>
          <w:p>
            <w:pPr>
              <w:spacing w:before="120" w:beforeLines="50"/>
              <w:ind w:firstLine="480" w:firstLineChars="200"/>
              <w:jc w:val="left"/>
              <w:rPr>
                <w:sz w:val="24"/>
              </w:rPr>
            </w:pPr>
            <w:r>
              <w:rPr>
                <w:sz w:val="24"/>
              </w:rPr>
              <w:t>预测结果见表30。</w:t>
            </w:r>
          </w:p>
          <w:p>
            <w:pPr>
              <w:jc w:val="center"/>
              <w:rPr>
                <w:b/>
                <w:bCs/>
                <w:szCs w:val="21"/>
              </w:rPr>
            </w:pPr>
            <w:r>
              <w:rPr>
                <w:b/>
                <w:bCs/>
                <w:szCs w:val="21"/>
              </w:rPr>
              <w:t xml:space="preserve">表30    </w:t>
            </w:r>
            <w:r>
              <w:rPr>
                <w:rFonts w:hint="eastAsia"/>
                <w:b/>
                <w:bCs/>
                <w:szCs w:val="21"/>
              </w:rPr>
              <w:t>封闭煤场</w:t>
            </w:r>
            <w:r>
              <w:rPr>
                <w:b/>
                <w:bCs/>
                <w:szCs w:val="21"/>
              </w:rPr>
              <w:t>预测结果</w:t>
            </w:r>
          </w:p>
          <w:tbl>
            <w:tblPr>
              <w:tblStyle w:val="39"/>
              <w:tblW w:w="8831" w:type="dxa"/>
              <w:jc w:val="center"/>
              <w:tblInd w:w="0" w:type="dxa"/>
              <w:tblLayout w:type="fixed"/>
              <w:tblCellMar>
                <w:top w:w="0" w:type="dxa"/>
                <w:left w:w="108" w:type="dxa"/>
                <w:bottom w:w="0" w:type="dxa"/>
                <w:right w:w="108" w:type="dxa"/>
              </w:tblCellMar>
            </w:tblPr>
            <w:tblGrid>
              <w:gridCol w:w="1069"/>
              <w:gridCol w:w="2461"/>
              <w:gridCol w:w="2744"/>
              <w:gridCol w:w="2557"/>
            </w:tblGrid>
            <w:tr>
              <w:tblPrEx>
                <w:tblLayout w:type="fixed"/>
                <w:tblCellMar>
                  <w:top w:w="0" w:type="dxa"/>
                  <w:left w:w="108" w:type="dxa"/>
                  <w:bottom w:w="0" w:type="dxa"/>
                  <w:right w:w="108" w:type="dxa"/>
                </w:tblCellMar>
              </w:tblPrEx>
              <w:trPr>
                <w:trHeight w:val="70" w:hRule="atLeast"/>
                <w:jc w:val="center"/>
              </w:trPr>
              <w:tc>
                <w:tcPr>
                  <w:tcW w:w="1069" w:type="dxa"/>
                  <w:vMerge w:val="restart"/>
                  <w:tcBorders>
                    <w:top w:val="single" w:color="auto" w:sz="4" w:space="0"/>
                    <w:left w:val="single" w:color="auto" w:sz="4" w:space="0"/>
                    <w:right w:val="single" w:color="auto" w:sz="4" w:space="0"/>
                  </w:tcBorders>
                  <w:vAlign w:val="center"/>
                </w:tcPr>
                <w:p>
                  <w:pPr>
                    <w:jc w:val="center"/>
                    <w:rPr>
                      <w:sz w:val="24"/>
                    </w:rPr>
                  </w:pPr>
                  <w:r>
                    <w:t>序号</w:t>
                  </w:r>
                </w:p>
              </w:tc>
              <w:tc>
                <w:tcPr>
                  <w:tcW w:w="2461" w:type="dxa"/>
                  <w:vMerge w:val="restart"/>
                  <w:tcBorders>
                    <w:top w:val="single" w:color="auto" w:sz="4" w:space="0"/>
                    <w:left w:val="nil"/>
                    <w:right w:val="single" w:color="auto" w:sz="4" w:space="0"/>
                  </w:tcBorders>
                  <w:vAlign w:val="center"/>
                </w:tcPr>
                <w:p>
                  <w:pPr>
                    <w:jc w:val="center"/>
                  </w:pPr>
                  <w:r>
                    <w:rPr>
                      <w:szCs w:val="21"/>
                    </w:rPr>
                    <w:t>下风向浓度对应距离（m）</w:t>
                  </w:r>
                </w:p>
              </w:tc>
              <w:tc>
                <w:tcPr>
                  <w:tcW w:w="5301" w:type="dxa"/>
                  <w:gridSpan w:val="2"/>
                  <w:tcBorders>
                    <w:top w:val="single" w:color="auto" w:sz="4" w:space="0"/>
                    <w:left w:val="nil"/>
                    <w:bottom w:val="single" w:color="auto" w:sz="4" w:space="0"/>
                    <w:right w:val="single" w:color="auto" w:sz="4" w:space="0"/>
                  </w:tcBorders>
                  <w:vAlign w:val="center"/>
                </w:tcPr>
                <w:p>
                  <w:pPr>
                    <w:jc w:val="center"/>
                  </w:pPr>
                  <w:r>
                    <w:rPr>
                      <w:rFonts w:hint="eastAsia"/>
                    </w:rPr>
                    <w:t>封闭</w:t>
                  </w:r>
                  <w:r>
                    <w:t>煤场</w:t>
                  </w:r>
                </w:p>
              </w:tc>
            </w:tr>
            <w:tr>
              <w:tblPrEx>
                <w:tblLayout w:type="fixed"/>
                <w:tblCellMar>
                  <w:top w:w="0" w:type="dxa"/>
                  <w:left w:w="108" w:type="dxa"/>
                  <w:bottom w:w="0" w:type="dxa"/>
                  <w:right w:w="108" w:type="dxa"/>
                </w:tblCellMar>
              </w:tblPrEx>
              <w:trPr>
                <w:trHeight w:val="70" w:hRule="atLeast"/>
                <w:jc w:val="center"/>
              </w:trPr>
              <w:tc>
                <w:tcPr>
                  <w:tcW w:w="1069" w:type="dxa"/>
                  <w:vMerge w:val="continue"/>
                  <w:tcBorders>
                    <w:left w:val="single" w:color="auto" w:sz="4" w:space="0"/>
                    <w:bottom w:val="single" w:color="auto" w:sz="4" w:space="0"/>
                    <w:right w:val="single" w:color="auto" w:sz="4" w:space="0"/>
                  </w:tcBorders>
                  <w:vAlign w:val="center"/>
                </w:tcPr>
                <w:p>
                  <w:pPr>
                    <w:jc w:val="center"/>
                    <w:rPr>
                      <w:sz w:val="24"/>
                    </w:rPr>
                  </w:pPr>
                </w:p>
              </w:tc>
              <w:tc>
                <w:tcPr>
                  <w:tcW w:w="2461" w:type="dxa"/>
                  <w:vMerge w:val="continue"/>
                  <w:tcBorders>
                    <w:left w:val="nil"/>
                    <w:bottom w:val="single" w:color="auto" w:sz="4" w:space="0"/>
                    <w:right w:val="single" w:color="auto" w:sz="4" w:space="0"/>
                  </w:tcBorders>
                  <w:vAlign w:val="center"/>
                </w:tcPr>
                <w:p>
                  <w:pPr>
                    <w:jc w:val="center"/>
                  </w:pPr>
                </w:p>
              </w:tc>
              <w:tc>
                <w:tcPr>
                  <w:tcW w:w="2744" w:type="dxa"/>
                  <w:tcBorders>
                    <w:top w:val="single" w:color="auto" w:sz="4" w:space="0"/>
                    <w:left w:val="nil"/>
                    <w:bottom w:val="single" w:color="auto" w:sz="4" w:space="0"/>
                    <w:right w:val="single" w:color="auto" w:sz="4" w:space="0"/>
                  </w:tcBorders>
                  <w:vAlign w:val="center"/>
                </w:tcPr>
                <w:p>
                  <w:pPr>
                    <w:jc w:val="center"/>
                  </w:pPr>
                  <w:r>
                    <w:t>TSP（μg/m</w:t>
                  </w:r>
                  <w:r>
                    <w:rPr>
                      <w:vertAlign w:val="superscript"/>
                    </w:rPr>
                    <w:t>3</w:t>
                  </w:r>
                  <w:r>
                    <w:t>）</w:t>
                  </w:r>
                </w:p>
              </w:tc>
              <w:tc>
                <w:tcPr>
                  <w:tcW w:w="2557" w:type="dxa"/>
                  <w:tcBorders>
                    <w:top w:val="single" w:color="auto" w:sz="4" w:space="0"/>
                    <w:left w:val="nil"/>
                    <w:bottom w:val="single" w:color="auto" w:sz="4" w:space="0"/>
                    <w:right w:val="single" w:color="auto" w:sz="4" w:space="0"/>
                  </w:tcBorders>
                  <w:vAlign w:val="center"/>
                </w:tcPr>
                <w:p>
                  <w:pPr>
                    <w:jc w:val="center"/>
                  </w:pPr>
                  <w:r>
                    <w:t>占标率（%）</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t>1</w:t>
                  </w:r>
                </w:p>
              </w:tc>
              <w:tc>
                <w:tcPr>
                  <w:tcW w:w="2461" w:type="dxa"/>
                  <w:tcBorders>
                    <w:top w:val="single" w:color="auto" w:sz="4" w:space="0"/>
                    <w:left w:val="nil"/>
                    <w:bottom w:val="single" w:color="auto" w:sz="4" w:space="0"/>
                    <w:right w:val="single" w:color="auto" w:sz="4" w:space="0"/>
                  </w:tcBorders>
                  <w:vAlign w:val="center"/>
                </w:tcPr>
                <w:p>
                  <w:pPr>
                    <w:jc w:val="center"/>
                  </w:pPr>
                  <w:r>
                    <w:t>50</w:t>
                  </w:r>
                </w:p>
              </w:tc>
              <w:tc>
                <w:tcPr>
                  <w:tcW w:w="2744" w:type="dxa"/>
                  <w:tcBorders>
                    <w:top w:val="single" w:color="auto" w:sz="4" w:space="0"/>
                    <w:left w:val="nil"/>
                    <w:bottom w:val="single" w:color="auto" w:sz="4" w:space="0"/>
                    <w:right w:val="single" w:color="auto" w:sz="4" w:space="0"/>
                  </w:tcBorders>
                  <w:vAlign w:val="center"/>
                </w:tcPr>
                <w:p>
                  <w:pPr>
                    <w:jc w:val="center"/>
                  </w:pPr>
                  <w:r>
                    <w:t>27.5370</w:t>
                  </w:r>
                </w:p>
              </w:tc>
              <w:tc>
                <w:tcPr>
                  <w:tcW w:w="2557" w:type="dxa"/>
                  <w:tcBorders>
                    <w:top w:val="single" w:color="auto" w:sz="4" w:space="0"/>
                    <w:left w:val="nil"/>
                    <w:bottom w:val="single" w:color="auto" w:sz="4" w:space="0"/>
                    <w:right w:val="single" w:color="auto" w:sz="4" w:space="0"/>
                  </w:tcBorders>
                  <w:vAlign w:val="center"/>
                </w:tcPr>
                <w:p>
                  <w:pPr>
                    <w:jc w:val="center"/>
                  </w:pPr>
                  <w:r>
                    <w:t>3.0597</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t>2</w:t>
                  </w:r>
                </w:p>
              </w:tc>
              <w:tc>
                <w:tcPr>
                  <w:tcW w:w="2461" w:type="dxa"/>
                  <w:tcBorders>
                    <w:top w:val="single" w:color="auto" w:sz="4" w:space="0"/>
                    <w:left w:val="nil"/>
                    <w:bottom w:val="single" w:color="auto" w:sz="4" w:space="0"/>
                    <w:right w:val="single" w:color="auto" w:sz="4" w:space="0"/>
                  </w:tcBorders>
                  <w:vAlign w:val="center"/>
                </w:tcPr>
                <w:p>
                  <w:pPr>
                    <w:jc w:val="center"/>
                  </w:pPr>
                  <w:r>
                    <w:t>100</w:t>
                  </w:r>
                </w:p>
              </w:tc>
              <w:tc>
                <w:tcPr>
                  <w:tcW w:w="2744" w:type="dxa"/>
                  <w:tcBorders>
                    <w:top w:val="single" w:color="auto" w:sz="4" w:space="0"/>
                    <w:left w:val="nil"/>
                    <w:bottom w:val="single" w:color="auto" w:sz="4" w:space="0"/>
                    <w:right w:val="single" w:color="auto" w:sz="4" w:space="0"/>
                  </w:tcBorders>
                  <w:vAlign w:val="center"/>
                </w:tcPr>
                <w:p>
                  <w:pPr>
                    <w:jc w:val="center"/>
                  </w:pPr>
                  <w:r>
                    <w:t>42.5910</w:t>
                  </w:r>
                </w:p>
              </w:tc>
              <w:tc>
                <w:tcPr>
                  <w:tcW w:w="2557" w:type="dxa"/>
                  <w:tcBorders>
                    <w:top w:val="single" w:color="auto" w:sz="4" w:space="0"/>
                    <w:left w:val="nil"/>
                    <w:bottom w:val="single" w:color="auto" w:sz="4" w:space="0"/>
                    <w:right w:val="single" w:color="auto" w:sz="4" w:space="0"/>
                  </w:tcBorders>
                  <w:vAlign w:val="center"/>
                </w:tcPr>
                <w:p>
                  <w:pPr>
                    <w:jc w:val="center"/>
                  </w:pPr>
                  <w:r>
                    <w:t>4.7323</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t>3</w:t>
                  </w:r>
                </w:p>
              </w:tc>
              <w:tc>
                <w:tcPr>
                  <w:tcW w:w="2461" w:type="dxa"/>
                  <w:tcBorders>
                    <w:top w:val="single" w:color="auto" w:sz="4" w:space="0"/>
                    <w:left w:val="nil"/>
                    <w:bottom w:val="single" w:color="auto" w:sz="4" w:space="0"/>
                    <w:right w:val="single" w:color="auto" w:sz="4" w:space="0"/>
                  </w:tcBorders>
                  <w:vAlign w:val="center"/>
                </w:tcPr>
                <w:p>
                  <w:pPr>
                    <w:jc w:val="center"/>
                  </w:pPr>
                  <w:r>
                    <w:t>200</w:t>
                  </w:r>
                </w:p>
              </w:tc>
              <w:tc>
                <w:tcPr>
                  <w:tcW w:w="2744" w:type="dxa"/>
                  <w:tcBorders>
                    <w:top w:val="single" w:color="auto" w:sz="4" w:space="0"/>
                    <w:left w:val="nil"/>
                    <w:bottom w:val="single" w:color="auto" w:sz="4" w:space="0"/>
                    <w:right w:val="single" w:color="auto" w:sz="4" w:space="0"/>
                  </w:tcBorders>
                  <w:vAlign w:val="center"/>
                </w:tcPr>
                <w:p>
                  <w:pPr>
                    <w:jc w:val="center"/>
                  </w:pPr>
                  <w:r>
                    <w:t>62.5120</w:t>
                  </w:r>
                </w:p>
              </w:tc>
              <w:tc>
                <w:tcPr>
                  <w:tcW w:w="2557" w:type="dxa"/>
                  <w:tcBorders>
                    <w:top w:val="single" w:color="auto" w:sz="4" w:space="0"/>
                    <w:left w:val="nil"/>
                    <w:bottom w:val="single" w:color="auto" w:sz="4" w:space="0"/>
                    <w:right w:val="single" w:color="auto" w:sz="4" w:space="0"/>
                  </w:tcBorders>
                  <w:vAlign w:val="center"/>
                </w:tcPr>
                <w:p>
                  <w:pPr>
                    <w:jc w:val="center"/>
                  </w:pPr>
                  <w:r>
                    <w:t>6.9458</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t>4</w:t>
                  </w:r>
                </w:p>
              </w:tc>
              <w:tc>
                <w:tcPr>
                  <w:tcW w:w="2461" w:type="dxa"/>
                  <w:tcBorders>
                    <w:top w:val="single" w:color="auto" w:sz="4" w:space="0"/>
                    <w:left w:val="nil"/>
                    <w:bottom w:val="single" w:color="auto" w:sz="4" w:space="0"/>
                    <w:right w:val="single" w:color="auto" w:sz="4" w:space="0"/>
                  </w:tcBorders>
                  <w:vAlign w:val="center"/>
                </w:tcPr>
                <w:p>
                  <w:pPr>
                    <w:jc w:val="center"/>
                  </w:pPr>
                  <w:r>
                    <w:t>300</w:t>
                  </w:r>
                </w:p>
              </w:tc>
              <w:tc>
                <w:tcPr>
                  <w:tcW w:w="2744" w:type="dxa"/>
                  <w:tcBorders>
                    <w:top w:val="single" w:color="auto" w:sz="4" w:space="0"/>
                    <w:left w:val="nil"/>
                    <w:bottom w:val="single" w:color="auto" w:sz="4" w:space="0"/>
                    <w:right w:val="single" w:color="auto" w:sz="4" w:space="0"/>
                  </w:tcBorders>
                  <w:vAlign w:val="center"/>
                </w:tcPr>
                <w:p>
                  <w:pPr>
                    <w:jc w:val="center"/>
                  </w:pPr>
                  <w:r>
                    <w:t>52.4910</w:t>
                  </w:r>
                </w:p>
              </w:tc>
              <w:tc>
                <w:tcPr>
                  <w:tcW w:w="2557" w:type="dxa"/>
                  <w:tcBorders>
                    <w:top w:val="single" w:color="auto" w:sz="4" w:space="0"/>
                    <w:left w:val="nil"/>
                    <w:bottom w:val="single" w:color="auto" w:sz="4" w:space="0"/>
                    <w:right w:val="single" w:color="auto" w:sz="4" w:space="0"/>
                  </w:tcBorders>
                  <w:vAlign w:val="center"/>
                </w:tcPr>
                <w:p>
                  <w:pPr>
                    <w:jc w:val="center"/>
                  </w:pPr>
                  <w:r>
                    <w:t>5.8323</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w:t>
                  </w:r>
                </w:p>
              </w:tc>
              <w:tc>
                <w:tcPr>
                  <w:tcW w:w="2461" w:type="dxa"/>
                  <w:tcBorders>
                    <w:top w:val="single" w:color="auto" w:sz="4" w:space="0"/>
                    <w:left w:val="nil"/>
                    <w:bottom w:val="single" w:color="auto" w:sz="4" w:space="0"/>
                    <w:right w:val="single" w:color="auto" w:sz="4" w:space="0"/>
                  </w:tcBorders>
                  <w:vAlign w:val="center"/>
                </w:tcPr>
                <w:p>
                  <w:pPr>
                    <w:jc w:val="center"/>
                  </w:pPr>
                  <w:r>
                    <w:t>400</w:t>
                  </w:r>
                </w:p>
              </w:tc>
              <w:tc>
                <w:tcPr>
                  <w:tcW w:w="2744" w:type="dxa"/>
                  <w:tcBorders>
                    <w:top w:val="single" w:color="auto" w:sz="4" w:space="0"/>
                    <w:left w:val="nil"/>
                    <w:bottom w:val="single" w:color="auto" w:sz="4" w:space="0"/>
                    <w:right w:val="single" w:color="auto" w:sz="4" w:space="0"/>
                  </w:tcBorders>
                  <w:vAlign w:val="center"/>
                </w:tcPr>
                <w:p>
                  <w:pPr>
                    <w:jc w:val="center"/>
                  </w:pPr>
                  <w:r>
                    <w:t>43.4030</w:t>
                  </w:r>
                </w:p>
              </w:tc>
              <w:tc>
                <w:tcPr>
                  <w:tcW w:w="2557" w:type="dxa"/>
                  <w:tcBorders>
                    <w:top w:val="single" w:color="auto" w:sz="4" w:space="0"/>
                    <w:left w:val="nil"/>
                    <w:bottom w:val="single" w:color="auto" w:sz="4" w:space="0"/>
                    <w:right w:val="single" w:color="auto" w:sz="4" w:space="0"/>
                  </w:tcBorders>
                  <w:vAlign w:val="center"/>
                </w:tcPr>
                <w:p>
                  <w:pPr>
                    <w:jc w:val="center"/>
                  </w:pPr>
                  <w:r>
                    <w:t>4.8226</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w:t>
                  </w:r>
                </w:p>
              </w:tc>
              <w:tc>
                <w:tcPr>
                  <w:tcW w:w="2461" w:type="dxa"/>
                  <w:tcBorders>
                    <w:top w:val="single" w:color="auto" w:sz="4" w:space="0"/>
                    <w:left w:val="nil"/>
                    <w:bottom w:val="single" w:color="auto" w:sz="4" w:space="0"/>
                    <w:right w:val="single" w:color="auto" w:sz="4" w:space="0"/>
                  </w:tcBorders>
                  <w:vAlign w:val="center"/>
                </w:tcPr>
                <w:p>
                  <w:pPr>
                    <w:jc w:val="center"/>
                  </w:pPr>
                  <w:r>
                    <w:t>500</w:t>
                  </w:r>
                </w:p>
              </w:tc>
              <w:tc>
                <w:tcPr>
                  <w:tcW w:w="2744" w:type="dxa"/>
                  <w:tcBorders>
                    <w:top w:val="single" w:color="auto" w:sz="4" w:space="0"/>
                    <w:left w:val="nil"/>
                    <w:bottom w:val="single" w:color="auto" w:sz="4" w:space="0"/>
                    <w:right w:val="single" w:color="auto" w:sz="4" w:space="0"/>
                  </w:tcBorders>
                  <w:vAlign w:val="center"/>
                </w:tcPr>
                <w:p>
                  <w:pPr>
                    <w:jc w:val="center"/>
                  </w:pPr>
                  <w:r>
                    <w:t>37.1590</w:t>
                  </w:r>
                </w:p>
              </w:tc>
              <w:tc>
                <w:tcPr>
                  <w:tcW w:w="2557" w:type="dxa"/>
                  <w:tcBorders>
                    <w:top w:val="single" w:color="auto" w:sz="4" w:space="0"/>
                    <w:left w:val="nil"/>
                    <w:bottom w:val="single" w:color="auto" w:sz="4" w:space="0"/>
                    <w:right w:val="single" w:color="auto" w:sz="4" w:space="0"/>
                  </w:tcBorders>
                  <w:vAlign w:val="center"/>
                </w:tcPr>
                <w:p>
                  <w:pPr>
                    <w:jc w:val="center"/>
                  </w:pPr>
                  <w:r>
                    <w:t>4.1288</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7</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600</w:t>
                  </w:r>
                </w:p>
              </w:tc>
              <w:tc>
                <w:tcPr>
                  <w:tcW w:w="2744" w:type="dxa"/>
                  <w:tcBorders>
                    <w:top w:val="single" w:color="auto" w:sz="4" w:space="0"/>
                    <w:left w:val="nil"/>
                    <w:bottom w:val="single" w:color="auto" w:sz="4" w:space="0"/>
                    <w:right w:val="single" w:color="auto" w:sz="4" w:space="0"/>
                  </w:tcBorders>
                  <w:vAlign w:val="center"/>
                </w:tcPr>
                <w:p>
                  <w:pPr>
                    <w:jc w:val="center"/>
                  </w:pPr>
                  <w:r>
                    <w:t>32.6420</w:t>
                  </w:r>
                </w:p>
              </w:tc>
              <w:tc>
                <w:tcPr>
                  <w:tcW w:w="2557" w:type="dxa"/>
                  <w:tcBorders>
                    <w:top w:val="single" w:color="auto" w:sz="4" w:space="0"/>
                    <w:left w:val="nil"/>
                    <w:bottom w:val="single" w:color="auto" w:sz="4" w:space="0"/>
                    <w:right w:val="single" w:color="auto" w:sz="4" w:space="0"/>
                  </w:tcBorders>
                  <w:vAlign w:val="center"/>
                </w:tcPr>
                <w:p>
                  <w:pPr>
                    <w:jc w:val="center"/>
                  </w:pPr>
                  <w:r>
                    <w:t>3.6269</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8</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700</w:t>
                  </w:r>
                </w:p>
              </w:tc>
              <w:tc>
                <w:tcPr>
                  <w:tcW w:w="2744" w:type="dxa"/>
                  <w:tcBorders>
                    <w:top w:val="single" w:color="auto" w:sz="4" w:space="0"/>
                    <w:left w:val="nil"/>
                    <w:bottom w:val="single" w:color="auto" w:sz="4" w:space="0"/>
                    <w:right w:val="single" w:color="auto" w:sz="4" w:space="0"/>
                  </w:tcBorders>
                  <w:vAlign w:val="center"/>
                </w:tcPr>
                <w:p>
                  <w:pPr>
                    <w:jc w:val="center"/>
                  </w:pPr>
                  <w:r>
                    <w:t>29.2270</w:t>
                  </w:r>
                </w:p>
              </w:tc>
              <w:tc>
                <w:tcPr>
                  <w:tcW w:w="2557" w:type="dxa"/>
                  <w:tcBorders>
                    <w:top w:val="single" w:color="auto" w:sz="4" w:space="0"/>
                    <w:left w:val="nil"/>
                    <w:bottom w:val="single" w:color="auto" w:sz="4" w:space="0"/>
                    <w:right w:val="single" w:color="auto" w:sz="4" w:space="0"/>
                  </w:tcBorders>
                  <w:vAlign w:val="center"/>
                </w:tcPr>
                <w:p>
                  <w:pPr>
                    <w:jc w:val="center"/>
                  </w:pPr>
                  <w:r>
                    <w:t>3.2474</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800</w:t>
                  </w:r>
                </w:p>
              </w:tc>
              <w:tc>
                <w:tcPr>
                  <w:tcW w:w="2744" w:type="dxa"/>
                  <w:tcBorders>
                    <w:top w:val="single" w:color="auto" w:sz="4" w:space="0"/>
                    <w:left w:val="nil"/>
                    <w:bottom w:val="single" w:color="auto" w:sz="4" w:space="0"/>
                    <w:right w:val="single" w:color="auto" w:sz="4" w:space="0"/>
                  </w:tcBorders>
                  <w:vAlign w:val="center"/>
                </w:tcPr>
                <w:p>
                  <w:pPr>
                    <w:jc w:val="center"/>
                  </w:pPr>
                  <w:r>
                    <w:t>26.5480</w:t>
                  </w:r>
                </w:p>
              </w:tc>
              <w:tc>
                <w:tcPr>
                  <w:tcW w:w="2557" w:type="dxa"/>
                  <w:tcBorders>
                    <w:top w:val="single" w:color="auto" w:sz="4" w:space="0"/>
                    <w:left w:val="nil"/>
                    <w:bottom w:val="single" w:color="auto" w:sz="4" w:space="0"/>
                    <w:right w:val="single" w:color="auto" w:sz="4" w:space="0"/>
                  </w:tcBorders>
                  <w:vAlign w:val="center"/>
                </w:tcPr>
                <w:p>
                  <w:pPr>
                    <w:jc w:val="center"/>
                  </w:pPr>
                  <w:r>
                    <w:t>2.9498</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r>
                    <w:t>0</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900</w:t>
                  </w:r>
                </w:p>
              </w:tc>
              <w:tc>
                <w:tcPr>
                  <w:tcW w:w="2744" w:type="dxa"/>
                  <w:tcBorders>
                    <w:top w:val="single" w:color="auto" w:sz="4" w:space="0"/>
                    <w:left w:val="nil"/>
                    <w:bottom w:val="single" w:color="auto" w:sz="4" w:space="0"/>
                    <w:right w:val="single" w:color="auto" w:sz="4" w:space="0"/>
                  </w:tcBorders>
                  <w:vAlign w:val="center"/>
                </w:tcPr>
                <w:p>
                  <w:pPr>
                    <w:jc w:val="center"/>
                  </w:pPr>
                  <w:r>
                    <w:t>24.3830</w:t>
                  </w:r>
                </w:p>
              </w:tc>
              <w:tc>
                <w:tcPr>
                  <w:tcW w:w="2557" w:type="dxa"/>
                  <w:tcBorders>
                    <w:top w:val="single" w:color="auto" w:sz="4" w:space="0"/>
                    <w:left w:val="nil"/>
                    <w:bottom w:val="single" w:color="auto" w:sz="4" w:space="0"/>
                    <w:right w:val="single" w:color="auto" w:sz="4" w:space="0"/>
                  </w:tcBorders>
                  <w:vAlign w:val="center"/>
                </w:tcPr>
                <w:p>
                  <w:pPr>
                    <w:jc w:val="center"/>
                  </w:pPr>
                  <w:r>
                    <w:t>2.7092</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r>
                    <w:t>1</w:t>
                  </w:r>
                </w:p>
              </w:tc>
              <w:tc>
                <w:tcPr>
                  <w:tcW w:w="2461" w:type="dxa"/>
                  <w:tcBorders>
                    <w:top w:val="single" w:color="auto" w:sz="4" w:space="0"/>
                    <w:left w:val="nil"/>
                    <w:bottom w:val="single" w:color="auto" w:sz="4" w:space="0"/>
                    <w:right w:val="single" w:color="auto" w:sz="4" w:space="0"/>
                  </w:tcBorders>
                  <w:vAlign w:val="center"/>
                </w:tcPr>
                <w:p>
                  <w:pPr>
                    <w:jc w:val="center"/>
                  </w:pPr>
                  <w:r>
                    <w:t>1000</w:t>
                  </w:r>
                </w:p>
              </w:tc>
              <w:tc>
                <w:tcPr>
                  <w:tcW w:w="2744" w:type="dxa"/>
                  <w:tcBorders>
                    <w:top w:val="single" w:color="auto" w:sz="4" w:space="0"/>
                    <w:left w:val="nil"/>
                    <w:bottom w:val="single" w:color="auto" w:sz="4" w:space="0"/>
                    <w:right w:val="single" w:color="auto" w:sz="4" w:space="0"/>
                  </w:tcBorders>
                  <w:vAlign w:val="center"/>
                </w:tcPr>
                <w:p>
                  <w:pPr>
                    <w:jc w:val="center"/>
                  </w:pPr>
                  <w:r>
                    <w:t>23.0280</w:t>
                  </w:r>
                </w:p>
              </w:tc>
              <w:tc>
                <w:tcPr>
                  <w:tcW w:w="2557" w:type="dxa"/>
                  <w:tcBorders>
                    <w:top w:val="single" w:color="auto" w:sz="4" w:space="0"/>
                    <w:left w:val="nil"/>
                    <w:bottom w:val="single" w:color="auto" w:sz="4" w:space="0"/>
                    <w:right w:val="single" w:color="auto" w:sz="4" w:space="0"/>
                  </w:tcBorders>
                  <w:vAlign w:val="center"/>
                </w:tcPr>
                <w:p>
                  <w:pPr>
                    <w:jc w:val="center"/>
                  </w:pPr>
                  <w:r>
                    <w:t>2.5587</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12</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1200</w:t>
                  </w:r>
                </w:p>
              </w:tc>
              <w:tc>
                <w:tcPr>
                  <w:tcW w:w="2744" w:type="dxa"/>
                  <w:tcBorders>
                    <w:top w:val="single" w:color="auto" w:sz="4" w:space="0"/>
                    <w:left w:val="nil"/>
                    <w:bottom w:val="single" w:color="auto" w:sz="4" w:space="0"/>
                    <w:right w:val="single" w:color="auto" w:sz="4" w:space="0"/>
                  </w:tcBorders>
                  <w:vAlign w:val="center"/>
                </w:tcPr>
                <w:p>
                  <w:pPr>
                    <w:jc w:val="center"/>
                  </w:pPr>
                  <w:r>
                    <w:t>20.1030</w:t>
                  </w:r>
                </w:p>
              </w:tc>
              <w:tc>
                <w:tcPr>
                  <w:tcW w:w="2557" w:type="dxa"/>
                  <w:tcBorders>
                    <w:top w:val="single" w:color="auto" w:sz="4" w:space="0"/>
                    <w:left w:val="nil"/>
                    <w:bottom w:val="single" w:color="auto" w:sz="4" w:space="0"/>
                    <w:right w:val="single" w:color="auto" w:sz="4" w:space="0"/>
                  </w:tcBorders>
                  <w:vAlign w:val="center"/>
                </w:tcPr>
                <w:p>
                  <w:pPr>
                    <w:jc w:val="center"/>
                  </w:pPr>
                  <w:r>
                    <w:t>2.2337</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13</w:t>
                  </w:r>
                </w:p>
              </w:tc>
              <w:tc>
                <w:tcPr>
                  <w:tcW w:w="2461" w:type="dxa"/>
                  <w:tcBorders>
                    <w:top w:val="single" w:color="auto" w:sz="4" w:space="0"/>
                    <w:left w:val="nil"/>
                    <w:bottom w:val="single" w:color="auto" w:sz="4" w:space="0"/>
                    <w:right w:val="single" w:color="auto" w:sz="4" w:space="0"/>
                  </w:tcBorders>
                  <w:vAlign w:val="center"/>
                </w:tcPr>
                <w:p>
                  <w:pPr>
                    <w:jc w:val="center"/>
                  </w:pPr>
                  <w:r>
                    <w:t>1400</w:t>
                  </w:r>
                </w:p>
              </w:tc>
              <w:tc>
                <w:tcPr>
                  <w:tcW w:w="2744" w:type="dxa"/>
                  <w:tcBorders>
                    <w:top w:val="single" w:color="auto" w:sz="4" w:space="0"/>
                    <w:left w:val="nil"/>
                    <w:bottom w:val="single" w:color="auto" w:sz="4" w:space="0"/>
                    <w:right w:val="single" w:color="auto" w:sz="4" w:space="0"/>
                  </w:tcBorders>
                  <w:vAlign w:val="center"/>
                </w:tcPr>
                <w:p>
                  <w:pPr>
                    <w:jc w:val="center"/>
                  </w:pPr>
                  <w:r>
                    <w:t>17.9390</w:t>
                  </w:r>
                </w:p>
              </w:tc>
              <w:tc>
                <w:tcPr>
                  <w:tcW w:w="2557" w:type="dxa"/>
                  <w:tcBorders>
                    <w:top w:val="single" w:color="auto" w:sz="4" w:space="0"/>
                    <w:left w:val="nil"/>
                    <w:bottom w:val="single" w:color="auto" w:sz="4" w:space="0"/>
                    <w:right w:val="single" w:color="auto" w:sz="4" w:space="0"/>
                  </w:tcBorders>
                  <w:vAlign w:val="center"/>
                </w:tcPr>
                <w:p>
                  <w:pPr>
                    <w:jc w:val="center"/>
                  </w:pPr>
                  <w:r>
                    <w:t>1.9932</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14</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1600</w:t>
                  </w:r>
                </w:p>
              </w:tc>
              <w:tc>
                <w:tcPr>
                  <w:tcW w:w="2744" w:type="dxa"/>
                  <w:tcBorders>
                    <w:top w:val="single" w:color="auto" w:sz="4" w:space="0"/>
                    <w:left w:val="nil"/>
                    <w:bottom w:val="single" w:color="auto" w:sz="4" w:space="0"/>
                    <w:right w:val="single" w:color="auto" w:sz="4" w:space="0"/>
                  </w:tcBorders>
                  <w:vAlign w:val="center"/>
                </w:tcPr>
                <w:p>
                  <w:pPr>
                    <w:jc w:val="center"/>
                  </w:pPr>
                  <w:r>
                    <w:t>16.2640</w:t>
                  </w:r>
                </w:p>
              </w:tc>
              <w:tc>
                <w:tcPr>
                  <w:tcW w:w="2557" w:type="dxa"/>
                  <w:tcBorders>
                    <w:top w:val="single" w:color="auto" w:sz="4" w:space="0"/>
                    <w:left w:val="nil"/>
                    <w:bottom w:val="single" w:color="auto" w:sz="4" w:space="0"/>
                    <w:right w:val="single" w:color="auto" w:sz="4" w:space="0"/>
                  </w:tcBorders>
                  <w:vAlign w:val="center"/>
                </w:tcPr>
                <w:p>
                  <w:pPr>
                    <w:jc w:val="center"/>
                  </w:pPr>
                  <w:r>
                    <w:t>1.8071</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15</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1800</w:t>
                  </w:r>
                </w:p>
              </w:tc>
              <w:tc>
                <w:tcPr>
                  <w:tcW w:w="2744" w:type="dxa"/>
                  <w:tcBorders>
                    <w:top w:val="single" w:color="auto" w:sz="4" w:space="0"/>
                    <w:left w:val="nil"/>
                    <w:bottom w:val="single" w:color="auto" w:sz="4" w:space="0"/>
                    <w:right w:val="single" w:color="auto" w:sz="4" w:space="0"/>
                  </w:tcBorders>
                  <w:vAlign w:val="center"/>
                </w:tcPr>
                <w:p>
                  <w:pPr>
                    <w:jc w:val="center"/>
                  </w:pPr>
                  <w:r>
                    <w:t>14.9230</w:t>
                  </w:r>
                </w:p>
              </w:tc>
              <w:tc>
                <w:tcPr>
                  <w:tcW w:w="2557" w:type="dxa"/>
                  <w:tcBorders>
                    <w:top w:val="single" w:color="auto" w:sz="4" w:space="0"/>
                    <w:left w:val="nil"/>
                    <w:bottom w:val="single" w:color="auto" w:sz="4" w:space="0"/>
                    <w:right w:val="single" w:color="auto" w:sz="4" w:space="0"/>
                  </w:tcBorders>
                  <w:vAlign w:val="center"/>
                </w:tcPr>
                <w:p>
                  <w:pPr>
                    <w:jc w:val="center"/>
                  </w:pPr>
                  <w:r>
                    <w:t>1.6581</w:t>
                  </w:r>
                </w:p>
              </w:tc>
            </w:tr>
            <w:tr>
              <w:tblPrEx>
                <w:tblLayout w:type="fixed"/>
                <w:tblCellMar>
                  <w:top w:w="0" w:type="dxa"/>
                  <w:left w:w="108" w:type="dxa"/>
                  <w:bottom w:w="0" w:type="dxa"/>
                  <w:right w:w="108" w:type="dxa"/>
                </w:tblCellMar>
              </w:tblPrEx>
              <w:trPr>
                <w:trHeight w:val="172"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16</w:t>
                  </w:r>
                </w:p>
              </w:tc>
              <w:tc>
                <w:tcPr>
                  <w:tcW w:w="2461" w:type="dxa"/>
                  <w:tcBorders>
                    <w:top w:val="single" w:color="auto" w:sz="4" w:space="0"/>
                    <w:left w:val="nil"/>
                    <w:bottom w:val="single" w:color="auto" w:sz="4" w:space="0"/>
                    <w:right w:val="single" w:color="auto" w:sz="4" w:space="0"/>
                  </w:tcBorders>
                  <w:vAlign w:val="center"/>
                </w:tcPr>
                <w:p>
                  <w:pPr>
                    <w:jc w:val="center"/>
                  </w:pPr>
                  <w:r>
                    <w:t>2000</w:t>
                  </w:r>
                </w:p>
              </w:tc>
              <w:tc>
                <w:tcPr>
                  <w:tcW w:w="2744" w:type="dxa"/>
                  <w:tcBorders>
                    <w:top w:val="single" w:color="auto" w:sz="4" w:space="0"/>
                    <w:left w:val="nil"/>
                    <w:bottom w:val="single" w:color="auto" w:sz="4" w:space="0"/>
                    <w:right w:val="single" w:color="auto" w:sz="4" w:space="0"/>
                  </w:tcBorders>
                  <w:vAlign w:val="center"/>
                </w:tcPr>
                <w:p>
                  <w:pPr>
                    <w:jc w:val="center"/>
                  </w:pPr>
                  <w:r>
                    <w:t>13.8210</w:t>
                  </w:r>
                </w:p>
              </w:tc>
              <w:tc>
                <w:tcPr>
                  <w:tcW w:w="2557" w:type="dxa"/>
                  <w:tcBorders>
                    <w:top w:val="single" w:color="auto" w:sz="4" w:space="0"/>
                    <w:left w:val="nil"/>
                    <w:bottom w:val="single" w:color="auto" w:sz="4" w:space="0"/>
                    <w:right w:val="single" w:color="auto" w:sz="4" w:space="0"/>
                  </w:tcBorders>
                  <w:vAlign w:val="center"/>
                </w:tcPr>
                <w:p>
                  <w:pPr>
                    <w:jc w:val="center"/>
                  </w:pPr>
                  <w:r>
                    <w:t>1.5357</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17</w:t>
                  </w:r>
                </w:p>
              </w:tc>
              <w:tc>
                <w:tcPr>
                  <w:tcW w:w="2461" w:type="dxa"/>
                  <w:tcBorders>
                    <w:top w:val="single" w:color="auto" w:sz="4" w:space="0"/>
                    <w:left w:val="nil"/>
                    <w:bottom w:val="single" w:color="auto" w:sz="4" w:space="0"/>
                    <w:right w:val="single" w:color="auto" w:sz="4" w:space="0"/>
                  </w:tcBorders>
                  <w:vAlign w:val="center"/>
                </w:tcPr>
                <w:p>
                  <w:pPr>
                    <w:jc w:val="center"/>
                  </w:pPr>
                  <w:r>
                    <w:t>2500</w:t>
                  </w:r>
                </w:p>
              </w:tc>
              <w:tc>
                <w:tcPr>
                  <w:tcW w:w="2744" w:type="dxa"/>
                  <w:tcBorders>
                    <w:top w:val="single" w:color="auto" w:sz="4" w:space="0"/>
                    <w:left w:val="nil"/>
                    <w:bottom w:val="single" w:color="auto" w:sz="4" w:space="0"/>
                    <w:right w:val="single" w:color="auto" w:sz="4" w:space="0"/>
                  </w:tcBorders>
                  <w:vAlign w:val="center"/>
                </w:tcPr>
                <w:p>
                  <w:pPr>
                    <w:jc w:val="center"/>
                  </w:pPr>
                  <w:r>
                    <w:t>11.7600</w:t>
                  </w:r>
                </w:p>
              </w:tc>
              <w:tc>
                <w:tcPr>
                  <w:tcW w:w="2557" w:type="dxa"/>
                  <w:tcBorders>
                    <w:top w:val="single" w:color="auto" w:sz="4" w:space="0"/>
                    <w:left w:val="nil"/>
                    <w:bottom w:val="single" w:color="auto" w:sz="4" w:space="0"/>
                    <w:right w:val="single" w:color="auto" w:sz="4" w:space="0"/>
                  </w:tcBorders>
                  <w:vAlign w:val="center"/>
                </w:tcPr>
                <w:p>
                  <w:pPr>
                    <w:jc w:val="center"/>
                  </w:pPr>
                  <w:r>
                    <w:t>1.3067</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18</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3000</w:t>
                  </w:r>
                </w:p>
              </w:tc>
              <w:tc>
                <w:tcPr>
                  <w:tcW w:w="2744" w:type="dxa"/>
                  <w:tcBorders>
                    <w:top w:val="single" w:color="auto" w:sz="4" w:space="0"/>
                    <w:left w:val="nil"/>
                    <w:bottom w:val="single" w:color="auto" w:sz="4" w:space="0"/>
                    <w:right w:val="single" w:color="auto" w:sz="4" w:space="0"/>
                  </w:tcBorders>
                  <w:vAlign w:val="center"/>
                </w:tcPr>
                <w:p>
                  <w:pPr>
                    <w:jc w:val="center"/>
                  </w:pPr>
                  <w:r>
                    <w:t>10.3140</w:t>
                  </w:r>
                </w:p>
              </w:tc>
              <w:tc>
                <w:tcPr>
                  <w:tcW w:w="2557" w:type="dxa"/>
                  <w:tcBorders>
                    <w:top w:val="single" w:color="auto" w:sz="4" w:space="0"/>
                    <w:left w:val="nil"/>
                    <w:bottom w:val="single" w:color="auto" w:sz="4" w:space="0"/>
                    <w:right w:val="single" w:color="auto" w:sz="4" w:space="0"/>
                  </w:tcBorders>
                  <w:vAlign w:val="center"/>
                </w:tcPr>
                <w:p>
                  <w:pPr>
                    <w:jc w:val="center"/>
                  </w:pPr>
                  <w:r>
                    <w:t>1.146</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19</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3500</w:t>
                  </w:r>
                </w:p>
              </w:tc>
              <w:tc>
                <w:tcPr>
                  <w:tcW w:w="2744" w:type="dxa"/>
                  <w:tcBorders>
                    <w:top w:val="single" w:color="auto" w:sz="4" w:space="0"/>
                    <w:left w:val="nil"/>
                    <w:bottom w:val="single" w:color="auto" w:sz="4" w:space="0"/>
                    <w:right w:val="single" w:color="auto" w:sz="4" w:space="0"/>
                  </w:tcBorders>
                  <w:vAlign w:val="center"/>
                </w:tcPr>
                <w:p>
                  <w:pPr>
                    <w:jc w:val="center"/>
                  </w:pPr>
                  <w:r>
                    <w:t>9.2346</w:t>
                  </w:r>
                </w:p>
              </w:tc>
              <w:tc>
                <w:tcPr>
                  <w:tcW w:w="2557" w:type="dxa"/>
                  <w:tcBorders>
                    <w:top w:val="single" w:color="auto" w:sz="4" w:space="0"/>
                    <w:left w:val="nil"/>
                    <w:bottom w:val="single" w:color="auto" w:sz="4" w:space="0"/>
                    <w:right w:val="single" w:color="auto" w:sz="4" w:space="0"/>
                  </w:tcBorders>
                  <w:vAlign w:val="center"/>
                </w:tcPr>
                <w:p>
                  <w:pPr>
                    <w:jc w:val="center"/>
                  </w:pPr>
                  <w:r>
                    <w:t>1.0261</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20</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4000</w:t>
                  </w:r>
                </w:p>
              </w:tc>
              <w:tc>
                <w:tcPr>
                  <w:tcW w:w="2744" w:type="dxa"/>
                  <w:tcBorders>
                    <w:top w:val="single" w:color="auto" w:sz="4" w:space="0"/>
                    <w:left w:val="nil"/>
                    <w:bottom w:val="single" w:color="auto" w:sz="4" w:space="0"/>
                    <w:right w:val="single" w:color="auto" w:sz="4" w:space="0"/>
                  </w:tcBorders>
                  <w:vAlign w:val="center"/>
                </w:tcPr>
                <w:p>
                  <w:pPr>
                    <w:jc w:val="center"/>
                  </w:pPr>
                  <w:r>
                    <w:t>8.3940</w:t>
                  </w:r>
                </w:p>
              </w:tc>
              <w:tc>
                <w:tcPr>
                  <w:tcW w:w="2557" w:type="dxa"/>
                  <w:tcBorders>
                    <w:top w:val="single" w:color="auto" w:sz="4" w:space="0"/>
                    <w:left w:val="nil"/>
                    <w:bottom w:val="single" w:color="auto" w:sz="4" w:space="0"/>
                    <w:right w:val="single" w:color="auto" w:sz="4" w:space="0"/>
                  </w:tcBorders>
                  <w:vAlign w:val="center"/>
                </w:tcPr>
                <w:p>
                  <w:pPr>
                    <w:jc w:val="center"/>
                  </w:pPr>
                  <w:r>
                    <w:t>0.9327</w:t>
                  </w:r>
                </w:p>
              </w:tc>
            </w:tr>
            <w:tr>
              <w:tblPrEx>
                <w:tblLayout w:type="fixed"/>
                <w:tblCellMar>
                  <w:top w:w="0" w:type="dxa"/>
                  <w:left w:w="108" w:type="dxa"/>
                  <w:bottom w:w="0" w:type="dxa"/>
                  <w:right w:w="108" w:type="dxa"/>
                </w:tblCellMar>
              </w:tblPrEx>
              <w:trPr>
                <w:trHeight w:val="177"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21</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5000</w:t>
                  </w:r>
                </w:p>
              </w:tc>
              <w:tc>
                <w:tcPr>
                  <w:tcW w:w="2744" w:type="dxa"/>
                  <w:tcBorders>
                    <w:top w:val="single" w:color="auto" w:sz="4" w:space="0"/>
                    <w:left w:val="nil"/>
                    <w:bottom w:val="single" w:color="auto" w:sz="4" w:space="0"/>
                    <w:right w:val="single" w:color="auto" w:sz="4" w:space="0"/>
                  </w:tcBorders>
                  <w:vAlign w:val="center"/>
                </w:tcPr>
                <w:p>
                  <w:pPr>
                    <w:jc w:val="center"/>
                  </w:pPr>
                  <w:r>
                    <w:t>7.1603</w:t>
                  </w:r>
                </w:p>
              </w:tc>
              <w:tc>
                <w:tcPr>
                  <w:tcW w:w="2557" w:type="dxa"/>
                  <w:tcBorders>
                    <w:top w:val="single" w:color="auto" w:sz="4" w:space="0"/>
                    <w:left w:val="nil"/>
                    <w:bottom w:val="single" w:color="auto" w:sz="4" w:space="0"/>
                    <w:right w:val="single" w:color="auto" w:sz="4" w:space="0"/>
                  </w:tcBorders>
                  <w:vAlign w:val="center"/>
                </w:tcPr>
                <w:p>
                  <w:pPr>
                    <w:jc w:val="center"/>
                  </w:pPr>
                  <w:r>
                    <w:t>0.7956</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22</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最大浓度值及占标率</w:t>
                  </w:r>
                </w:p>
              </w:tc>
              <w:tc>
                <w:tcPr>
                  <w:tcW w:w="2744" w:type="dxa"/>
                  <w:tcBorders>
                    <w:top w:val="single" w:color="auto" w:sz="4" w:space="0"/>
                    <w:left w:val="nil"/>
                    <w:bottom w:val="single" w:color="auto" w:sz="4" w:space="0"/>
                    <w:right w:val="single" w:color="auto" w:sz="4" w:space="0"/>
                  </w:tcBorders>
                  <w:vAlign w:val="center"/>
                </w:tcPr>
                <w:p>
                  <w:pPr>
                    <w:jc w:val="center"/>
                  </w:pPr>
                  <w:r>
                    <w:t>62.5220</w:t>
                  </w:r>
                </w:p>
              </w:tc>
              <w:tc>
                <w:tcPr>
                  <w:tcW w:w="2557" w:type="dxa"/>
                  <w:tcBorders>
                    <w:top w:val="single" w:color="auto" w:sz="4" w:space="0"/>
                    <w:left w:val="nil"/>
                    <w:bottom w:val="single" w:color="auto" w:sz="4" w:space="0"/>
                    <w:right w:val="single" w:color="auto" w:sz="4" w:space="0"/>
                  </w:tcBorders>
                  <w:vAlign w:val="center"/>
                </w:tcPr>
                <w:p>
                  <w:pPr>
                    <w:jc w:val="center"/>
                  </w:pPr>
                  <w:r>
                    <w:t>6.9469</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23</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D10%最远距离</w:t>
                  </w:r>
                </w:p>
              </w:tc>
              <w:tc>
                <w:tcPr>
                  <w:tcW w:w="2744" w:type="dxa"/>
                  <w:tcBorders>
                    <w:top w:val="single" w:color="auto" w:sz="4" w:space="0"/>
                    <w:left w:val="nil"/>
                    <w:bottom w:val="single" w:color="auto" w:sz="4" w:space="0"/>
                    <w:right w:val="single" w:color="auto" w:sz="4" w:space="0"/>
                  </w:tcBorders>
                </w:tcPr>
                <w:p>
                  <w:pPr>
                    <w:jc w:val="center"/>
                  </w:pPr>
                  <w:r>
                    <w:rPr>
                      <w:rFonts w:hint="eastAsia"/>
                    </w:rPr>
                    <w:t>/</w:t>
                  </w:r>
                </w:p>
              </w:tc>
              <w:tc>
                <w:tcPr>
                  <w:tcW w:w="2557" w:type="dxa"/>
                  <w:tcBorders>
                    <w:top w:val="single" w:color="auto" w:sz="4" w:space="0"/>
                    <w:left w:val="nil"/>
                    <w:bottom w:val="single" w:color="auto" w:sz="4" w:space="0"/>
                    <w:right w:val="single" w:color="auto" w:sz="4" w:space="0"/>
                  </w:tcBorders>
                </w:tcPr>
                <w:p>
                  <w:pPr>
                    <w:jc w:val="center"/>
                  </w:pPr>
                  <w:r>
                    <w:rPr>
                      <w:rFonts w:hint="eastAsia"/>
                    </w:rPr>
                    <w:t>/</w:t>
                  </w:r>
                </w:p>
              </w:tc>
            </w:tr>
          </w:tbl>
          <w:p>
            <w:pPr>
              <w:spacing w:before="120" w:beforeLines="50" w:line="360" w:lineRule="auto"/>
              <w:ind w:firstLine="480" w:firstLineChars="200"/>
              <w:rPr>
                <w:kern w:val="24"/>
                <w:sz w:val="24"/>
              </w:rPr>
            </w:pPr>
            <w:r>
              <w:rPr>
                <w:rFonts w:hint="eastAsia"/>
                <w:kern w:val="24"/>
                <w:sz w:val="24"/>
              </w:rPr>
              <w:t>根据</w:t>
            </w:r>
            <w:r>
              <w:rPr>
                <w:kern w:val="24"/>
                <w:sz w:val="24"/>
              </w:rPr>
              <w:t>预测结果，项目</w:t>
            </w:r>
            <w:r>
              <w:rPr>
                <w:rFonts w:hint="eastAsia"/>
                <w:kern w:val="24"/>
                <w:sz w:val="24"/>
              </w:rPr>
              <w:t>封闭煤场T</w:t>
            </w:r>
            <w:r>
              <w:rPr>
                <w:kern w:val="24"/>
                <w:sz w:val="24"/>
              </w:rPr>
              <w:t>SP最大</w:t>
            </w:r>
            <w:r>
              <w:rPr>
                <w:rFonts w:hint="eastAsia"/>
                <w:kern w:val="24"/>
                <w:sz w:val="24"/>
              </w:rPr>
              <w:t>落地</w:t>
            </w:r>
            <w:r>
              <w:rPr>
                <w:kern w:val="24"/>
                <w:sz w:val="24"/>
              </w:rPr>
              <w:t>浓度为62.5220μg/m</w:t>
            </w:r>
            <w:r>
              <w:rPr>
                <w:kern w:val="24"/>
                <w:sz w:val="24"/>
                <w:vertAlign w:val="superscript"/>
              </w:rPr>
              <w:t>3</w:t>
            </w:r>
            <w:r>
              <w:rPr>
                <w:kern w:val="24"/>
                <w:sz w:val="24"/>
              </w:rPr>
              <w:t>，</w:t>
            </w:r>
            <w:r>
              <w:rPr>
                <w:rFonts w:hint="eastAsia"/>
                <w:kern w:val="24"/>
                <w:sz w:val="24"/>
              </w:rPr>
              <w:t>小于300</w:t>
            </w:r>
            <w:r>
              <w:rPr>
                <w:kern w:val="24"/>
                <w:sz w:val="24"/>
              </w:rPr>
              <w:t>μg/m</w:t>
            </w:r>
            <w:r>
              <w:rPr>
                <w:kern w:val="24"/>
                <w:sz w:val="24"/>
                <w:vertAlign w:val="superscript"/>
              </w:rPr>
              <w:t>3</w:t>
            </w:r>
            <w:r>
              <w:rPr>
                <w:kern w:val="24"/>
                <w:sz w:val="24"/>
              </w:rPr>
              <w:t>，最大占标率为6.9469%。</w:t>
            </w:r>
            <w:r>
              <w:rPr>
                <w:rFonts w:hint="eastAsia"/>
                <w:kern w:val="24"/>
                <w:sz w:val="24"/>
              </w:rPr>
              <w:t>因而</w:t>
            </w:r>
            <w:r>
              <w:rPr>
                <w:kern w:val="24"/>
                <w:sz w:val="24"/>
              </w:rPr>
              <w:t>，项目无组织粉尘对环境影响较小。</w:t>
            </w:r>
          </w:p>
          <w:p>
            <w:pPr>
              <w:spacing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4 \* GB2</w:instrText>
            </w:r>
            <w:r>
              <w:rPr>
                <w:sz w:val="24"/>
              </w:rPr>
              <w:instrText xml:space="preserve"> </w:instrText>
            </w:r>
            <w:r>
              <w:rPr>
                <w:sz w:val="24"/>
              </w:rPr>
              <w:fldChar w:fldCharType="separate"/>
            </w:r>
            <w:r>
              <w:rPr>
                <w:rFonts w:hint="eastAsia"/>
                <w:sz w:val="24"/>
              </w:rPr>
              <w:t>⑷</w:t>
            </w:r>
            <w:r>
              <w:rPr>
                <w:sz w:val="24"/>
              </w:rPr>
              <w:fldChar w:fldCharType="end"/>
            </w:r>
            <w:r>
              <w:rPr>
                <w:sz w:val="24"/>
              </w:rPr>
              <w:t xml:space="preserve"> </w:t>
            </w:r>
            <w:r>
              <w:rPr>
                <w:rFonts w:hint="eastAsia"/>
                <w:sz w:val="24"/>
              </w:rPr>
              <w:t>大气</w:t>
            </w:r>
            <w:r>
              <w:rPr>
                <w:sz w:val="24"/>
              </w:rPr>
              <w:t>环境防护距离</w:t>
            </w:r>
          </w:p>
          <w:p>
            <w:pPr>
              <w:autoSpaceDE w:val="0"/>
              <w:autoSpaceDN w:val="0"/>
              <w:adjustRightInd w:val="0"/>
              <w:spacing w:line="360" w:lineRule="auto"/>
              <w:ind w:firstLine="480" w:firstLineChars="200"/>
              <w:jc w:val="left"/>
              <w:rPr>
                <w:kern w:val="0"/>
                <w:sz w:val="24"/>
              </w:rPr>
            </w:pPr>
            <w:r>
              <w:rPr>
                <w:kern w:val="0"/>
                <w:sz w:val="24"/>
              </w:rPr>
              <w:t>根据《环境影响评价技术导则 大气环境》（HJ2.2-2018），</w:t>
            </w:r>
            <w:r>
              <w:rPr>
                <w:rFonts w:hint="eastAsia"/>
                <w:kern w:val="0"/>
                <w:sz w:val="24"/>
              </w:rPr>
              <w:t>项目TS</w:t>
            </w:r>
            <w:r>
              <w:rPr>
                <w:kern w:val="0"/>
                <w:sz w:val="24"/>
              </w:rPr>
              <w:t>P</w:t>
            </w:r>
            <w:r>
              <w:rPr>
                <w:rFonts w:hint="eastAsia"/>
                <w:kern w:val="0"/>
                <w:sz w:val="24"/>
              </w:rPr>
              <w:t>最大落地</w:t>
            </w:r>
            <w:r>
              <w:rPr>
                <w:kern w:val="0"/>
                <w:sz w:val="24"/>
              </w:rPr>
              <w:t>浓度满足</w:t>
            </w:r>
            <w:r>
              <w:rPr>
                <w:rFonts w:hint="eastAsia"/>
                <w:kern w:val="0"/>
                <w:sz w:val="24"/>
              </w:rPr>
              <w:t>《</w:t>
            </w:r>
            <w:r>
              <w:rPr>
                <w:kern w:val="0"/>
                <w:sz w:val="24"/>
              </w:rPr>
              <w:t>环境空气</w:t>
            </w:r>
            <w:r>
              <w:rPr>
                <w:rFonts w:hint="eastAsia"/>
                <w:kern w:val="0"/>
                <w:sz w:val="24"/>
              </w:rPr>
              <w:t>质量</w:t>
            </w:r>
            <w:r>
              <w:rPr>
                <w:kern w:val="0"/>
                <w:sz w:val="24"/>
              </w:rPr>
              <w:t>标准</w:t>
            </w:r>
            <w:r>
              <w:rPr>
                <w:rFonts w:hint="eastAsia"/>
                <w:kern w:val="0"/>
                <w:sz w:val="24"/>
              </w:rPr>
              <w:t>》（GB 3095-2012）中环境质量</w:t>
            </w:r>
            <w:r>
              <w:rPr>
                <w:kern w:val="0"/>
                <w:sz w:val="24"/>
              </w:rPr>
              <w:t>浓度限值</w:t>
            </w:r>
            <w:r>
              <w:rPr>
                <w:rFonts w:hint="eastAsia"/>
                <w:kern w:val="0"/>
                <w:sz w:val="24"/>
              </w:rPr>
              <w:t>要求</w:t>
            </w:r>
            <w:r>
              <w:rPr>
                <w:kern w:val="0"/>
                <w:sz w:val="24"/>
              </w:rPr>
              <w:t>，无需设置大气环境防护距离。</w:t>
            </w:r>
          </w:p>
          <w:p>
            <w:pPr>
              <w:autoSpaceDE w:val="0"/>
              <w:autoSpaceDN w:val="0"/>
              <w:adjustRightInd w:val="0"/>
              <w:spacing w:line="360" w:lineRule="auto"/>
              <w:ind w:firstLine="480" w:firstLineChars="200"/>
              <w:jc w:val="left"/>
              <w:rPr>
                <w:kern w:val="0"/>
                <w:sz w:val="24"/>
              </w:rPr>
            </w:pPr>
            <w:r>
              <w:rPr>
                <w:kern w:val="0"/>
                <w:sz w:val="24"/>
              </w:rPr>
              <w:fldChar w:fldCharType="begin"/>
            </w:r>
            <w:r>
              <w:rPr>
                <w:kern w:val="0"/>
                <w:sz w:val="24"/>
              </w:rPr>
              <w:instrText xml:space="preserve"> </w:instrText>
            </w:r>
            <w:r>
              <w:rPr>
                <w:rFonts w:hint="eastAsia"/>
                <w:kern w:val="0"/>
                <w:sz w:val="24"/>
              </w:rPr>
              <w:instrText xml:space="preserve">= 5 \* GB2</w:instrText>
            </w:r>
            <w:r>
              <w:rPr>
                <w:kern w:val="0"/>
                <w:sz w:val="24"/>
              </w:rPr>
              <w:instrText xml:space="preserve"> </w:instrText>
            </w:r>
            <w:r>
              <w:rPr>
                <w:kern w:val="0"/>
                <w:sz w:val="24"/>
              </w:rPr>
              <w:fldChar w:fldCharType="separate"/>
            </w:r>
            <w:r>
              <w:rPr>
                <w:rFonts w:hint="eastAsia"/>
                <w:kern w:val="0"/>
                <w:sz w:val="24"/>
              </w:rPr>
              <w:t>⑸</w:t>
            </w:r>
            <w:r>
              <w:rPr>
                <w:kern w:val="0"/>
                <w:sz w:val="24"/>
              </w:rPr>
              <w:fldChar w:fldCharType="end"/>
            </w:r>
            <w:r>
              <w:rPr>
                <w:kern w:val="0"/>
                <w:sz w:val="24"/>
              </w:rPr>
              <w:t xml:space="preserve"> </w:t>
            </w:r>
            <w:r>
              <w:rPr>
                <w:rFonts w:hint="eastAsia"/>
                <w:kern w:val="0"/>
                <w:sz w:val="24"/>
              </w:rPr>
              <w:t>大气环境影响</w:t>
            </w:r>
            <w:r>
              <w:rPr>
                <w:kern w:val="0"/>
                <w:sz w:val="24"/>
              </w:rPr>
              <w:t>评价自查表</w:t>
            </w:r>
          </w:p>
          <w:p>
            <w:pPr>
              <w:autoSpaceDE w:val="0"/>
              <w:autoSpaceDN w:val="0"/>
              <w:adjustRightInd w:val="0"/>
              <w:spacing w:line="360" w:lineRule="auto"/>
              <w:ind w:firstLine="480" w:firstLineChars="200"/>
              <w:jc w:val="left"/>
              <w:rPr>
                <w:kern w:val="0"/>
                <w:sz w:val="24"/>
              </w:rPr>
            </w:pPr>
            <w:r>
              <w:rPr>
                <w:rFonts w:hint="eastAsia"/>
                <w:kern w:val="0"/>
                <w:sz w:val="24"/>
              </w:rPr>
              <w:t>项目</w:t>
            </w:r>
            <w:r>
              <w:rPr>
                <w:kern w:val="0"/>
                <w:sz w:val="24"/>
              </w:rPr>
              <w:t>大气环境影响</w:t>
            </w:r>
            <w:r>
              <w:rPr>
                <w:rFonts w:hint="eastAsia"/>
                <w:kern w:val="0"/>
                <w:sz w:val="24"/>
              </w:rPr>
              <w:t>评价</w:t>
            </w:r>
            <w:r>
              <w:rPr>
                <w:kern w:val="0"/>
                <w:sz w:val="24"/>
              </w:rPr>
              <w:t>自查表</w:t>
            </w:r>
            <w:r>
              <w:rPr>
                <w:rFonts w:hint="eastAsia"/>
                <w:kern w:val="0"/>
                <w:sz w:val="24"/>
              </w:rPr>
              <w:t>见</w:t>
            </w:r>
            <w:r>
              <w:rPr>
                <w:kern w:val="0"/>
                <w:sz w:val="24"/>
              </w:rPr>
              <w:t>表</w:t>
            </w:r>
            <w:r>
              <w:rPr>
                <w:rFonts w:hint="eastAsia"/>
                <w:kern w:val="0"/>
                <w:sz w:val="24"/>
              </w:rPr>
              <w:t>31。</w:t>
            </w:r>
          </w:p>
          <w:p>
            <w:pPr>
              <w:autoSpaceDE w:val="0"/>
              <w:autoSpaceDN w:val="0"/>
              <w:adjustRightInd w:val="0"/>
              <w:jc w:val="center"/>
              <w:rPr>
                <w:b/>
                <w:kern w:val="0"/>
              </w:rPr>
            </w:pPr>
            <w:r>
              <w:rPr>
                <w:b/>
                <w:kern w:val="0"/>
              </w:rPr>
              <w:t>表31    项目大气环境影响评价自查表</w:t>
            </w:r>
          </w:p>
          <w:tbl>
            <w:tblPr>
              <w:tblStyle w:val="40"/>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559"/>
              <w:gridCol w:w="735"/>
              <w:gridCol w:w="134"/>
              <w:gridCol w:w="407"/>
              <w:gridCol w:w="246"/>
              <w:gridCol w:w="106"/>
              <w:gridCol w:w="111"/>
              <w:gridCol w:w="104"/>
              <w:gridCol w:w="69"/>
              <w:gridCol w:w="117"/>
              <w:gridCol w:w="95"/>
              <w:gridCol w:w="427"/>
              <w:gridCol w:w="58"/>
              <w:gridCol w:w="436"/>
              <w:gridCol w:w="70"/>
              <w:gridCol w:w="143"/>
              <w:gridCol w:w="220"/>
              <w:gridCol w:w="91"/>
              <w:gridCol w:w="398"/>
              <w:gridCol w:w="91"/>
              <w:gridCol w:w="48"/>
              <w:gridCol w:w="242"/>
              <w:gridCol w:w="219"/>
              <w:gridCol w:w="34"/>
              <w:gridCol w:w="72"/>
              <w:gridCol w:w="430"/>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38" w:type="dxa"/>
                  <w:gridSpan w:val="2"/>
                  <w:vAlign w:val="center"/>
                </w:tcPr>
                <w:p>
                  <w:pPr>
                    <w:autoSpaceDE w:val="0"/>
                    <w:autoSpaceDN w:val="0"/>
                    <w:adjustRightInd w:val="0"/>
                    <w:jc w:val="center"/>
                    <w:rPr>
                      <w:kern w:val="0"/>
                      <w:sz w:val="18"/>
                      <w:szCs w:val="18"/>
                    </w:rPr>
                  </w:pPr>
                  <w:r>
                    <w:rPr>
                      <w:rFonts w:hint="eastAsia"/>
                      <w:kern w:val="0"/>
                      <w:sz w:val="18"/>
                      <w:szCs w:val="18"/>
                    </w:rPr>
                    <w:t>工作内容</w:t>
                  </w:r>
                </w:p>
              </w:tc>
              <w:tc>
                <w:tcPr>
                  <w:tcW w:w="6090" w:type="dxa"/>
                  <w:gridSpan w:val="26"/>
                  <w:vAlign w:val="center"/>
                </w:tcPr>
                <w:p>
                  <w:pPr>
                    <w:autoSpaceDE w:val="0"/>
                    <w:autoSpaceDN w:val="0"/>
                    <w:adjustRightInd w:val="0"/>
                    <w:jc w:val="center"/>
                    <w:rPr>
                      <w:kern w:val="0"/>
                      <w:sz w:val="18"/>
                      <w:szCs w:val="18"/>
                    </w:rPr>
                  </w:pPr>
                  <w:r>
                    <w:rPr>
                      <w:rFonts w:hint="eastAsia"/>
                      <w:kern w:val="0"/>
                      <w:sz w:val="18"/>
                      <w:szCs w:val="18"/>
                    </w:rPr>
                    <w:t>自查</w:t>
                  </w:r>
                  <w:r>
                    <w:rPr>
                      <w:kern w:val="0"/>
                      <w:sz w:val="18"/>
                      <w:szCs w:val="1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restart"/>
                  <w:vAlign w:val="center"/>
                </w:tcPr>
                <w:p>
                  <w:pPr>
                    <w:autoSpaceDE w:val="0"/>
                    <w:autoSpaceDN w:val="0"/>
                    <w:adjustRightInd w:val="0"/>
                    <w:jc w:val="center"/>
                    <w:rPr>
                      <w:kern w:val="0"/>
                      <w:sz w:val="18"/>
                      <w:szCs w:val="18"/>
                    </w:rPr>
                  </w:pPr>
                  <w:r>
                    <w:rPr>
                      <w:rFonts w:hint="eastAsia"/>
                      <w:kern w:val="0"/>
                      <w:sz w:val="18"/>
                      <w:szCs w:val="18"/>
                    </w:rPr>
                    <w:t>评价</w:t>
                  </w:r>
                  <w:r>
                    <w:rPr>
                      <w:kern w:val="0"/>
                      <w:sz w:val="18"/>
                      <w:szCs w:val="18"/>
                    </w:rPr>
                    <w:t>等级与评价范围</w:t>
                  </w:r>
                </w:p>
              </w:tc>
              <w:tc>
                <w:tcPr>
                  <w:tcW w:w="1559" w:type="dxa"/>
                  <w:vAlign w:val="center"/>
                </w:tcPr>
                <w:p>
                  <w:pPr>
                    <w:autoSpaceDE w:val="0"/>
                    <w:autoSpaceDN w:val="0"/>
                    <w:adjustRightInd w:val="0"/>
                    <w:jc w:val="center"/>
                    <w:rPr>
                      <w:kern w:val="0"/>
                      <w:sz w:val="18"/>
                      <w:szCs w:val="18"/>
                    </w:rPr>
                  </w:pPr>
                  <w:r>
                    <w:rPr>
                      <w:rFonts w:hint="eastAsia"/>
                      <w:kern w:val="0"/>
                      <w:sz w:val="18"/>
                      <w:szCs w:val="18"/>
                    </w:rPr>
                    <w:t>评价</w:t>
                  </w:r>
                  <w:r>
                    <w:rPr>
                      <w:kern w:val="0"/>
                      <w:sz w:val="18"/>
                      <w:szCs w:val="18"/>
                    </w:rPr>
                    <w:t>等级</w:t>
                  </w:r>
                </w:p>
              </w:tc>
              <w:tc>
                <w:tcPr>
                  <w:tcW w:w="1912" w:type="dxa"/>
                  <w:gridSpan w:val="8"/>
                  <w:vAlign w:val="center"/>
                </w:tcPr>
                <w:p>
                  <w:pPr>
                    <w:autoSpaceDE w:val="0"/>
                    <w:autoSpaceDN w:val="0"/>
                    <w:adjustRightInd w:val="0"/>
                    <w:jc w:val="center"/>
                    <w:rPr>
                      <w:kern w:val="0"/>
                      <w:sz w:val="18"/>
                      <w:szCs w:val="18"/>
                    </w:rPr>
                  </w:pPr>
                  <w:r>
                    <w:rPr>
                      <w:rFonts w:hint="eastAsia"/>
                      <w:kern w:val="0"/>
                      <w:sz w:val="18"/>
                      <w:szCs w:val="18"/>
                    </w:rPr>
                    <w:t>一级□</w:t>
                  </w:r>
                </w:p>
              </w:tc>
              <w:tc>
                <w:tcPr>
                  <w:tcW w:w="2055" w:type="dxa"/>
                  <w:gridSpan w:val="10"/>
                  <w:vAlign w:val="center"/>
                </w:tcPr>
                <w:p>
                  <w:pPr>
                    <w:autoSpaceDE w:val="0"/>
                    <w:autoSpaceDN w:val="0"/>
                    <w:adjustRightInd w:val="0"/>
                    <w:jc w:val="center"/>
                    <w:rPr>
                      <w:kern w:val="0"/>
                      <w:sz w:val="18"/>
                      <w:szCs w:val="18"/>
                    </w:rPr>
                  </w:pPr>
                  <w:r>
                    <w:rPr>
                      <w:rFonts w:hint="eastAsia"/>
                      <w:kern w:val="0"/>
                      <w:sz w:val="18"/>
                      <w:szCs w:val="18"/>
                    </w:rPr>
                    <w:t>二级■</w:t>
                  </w:r>
                </w:p>
              </w:tc>
              <w:tc>
                <w:tcPr>
                  <w:tcW w:w="2123" w:type="dxa"/>
                  <w:gridSpan w:val="8"/>
                  <w:vAlign w:val="center"/>
                </w:tcPr>
                <w:p>
                  <w:pPr>
                    <w:autoSpaceDE w:val="0"/>
                    <w:autoSpaceDN w:val="0"/>
                    <w:adjustRightInd w:val="0"/>
                    <w:jc w:val="center"/>
                    <w:rPr>
                      <w:kern w:val="0"/>
                      <w:sz w:val="18"/>
                      <w:szCs w:val="18"/>
                    </w:rPr>
                  </w:pPr>
                  <w:r>
                    <w:rPr>
                      <w:rFonts w:hint="eastAsia"/>
                      <w:kern w:val="0"/>
                      <w:sz w:val="18"/>
                      <w:szCs w:val="18"/>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评价</w:t>
                  </w:r>
                  <w:r>
                    <w:rPr>
                      <w:kern w:val="0"/>
                      <w:sz w:val="18"/>
                      <w:szCs w:val="18"/>
                    </w:rPr>
                    <w:t>范围</w:t>
                  </w:r>
                </w:p>
              </w:tc>
              <w:tc>
                <w:tcPr>
                  <w:tcW w:w="1912" w:type="dxa"/>
                  <w:gridSpan w:val="8"/>
                  <w:vAlign w:val="center"/>
                </w:tcPr>
                <w:p>
                  <w:pPr>
                    <w:autoSpaceDE w:val="0"/>
                    <w:autoSpaceDN w:val="0"/>
                    <w:adjustRightInd w:val="0"/>
                    <w:jc w:val="center"/>
                    <w:rPr>
                      <w:kern w:val="0"/>
                      <w:sz w:val="18"/>
                      <w:szCs w:val="18"/>
                    </w:rPr>
                  </w:pPr>
                  <w:r>
                    <w:rPr>
                      <w:rFonts w:hint="eastAsia"/>
                      <w:kern w:val="0"/>
                      <w:sz w:val="18"/>
                      <w:szCs w:val="18"/>
                    </w:rPr>
                    <w:t>边长=</w:t>
                  </w:r>
                  <w:r>
                    <w:rPr>
                      <w:kern w:val="0"/>
                      <w:sz w:val="18"/>
                      <w:szCs w:val="18"/>
                    </w:rPr>
                    <w:t>50km</w:t>
                  </w:r>
                  <w:r>
                    <w:rPr>
                      <w:rFonts w:hint="eastAsia"/>
                      <w:kern w:val="0"/>
                      <w:sz w:val="18"/>
                      <w:szCs w:val="18"/>
                    </w:rPr>
                    <w:t>□</w:t>
                  </w:r>
                </w:p>
              </w:tc>
              <w:tc>
                <w:tcPr>
                  <w:tcW w:w="2055" w:type="dxa"/>
                  <w:gridSpan w:val="10"/>
                  <w:vAlign w:val="center"/>
                </w:tcPr>
                <w:p>
                  <w:pPr>
                    <w:autoSpaceDE w:val="0"/>
                    <w:autoSpaceDN w:val="0"/>
                    <w:adjustRightInd w:val="0"/>
                    <w:jc w:val="center"/>
                    <w:rPr>
                      <w:kern w:val="0"/>
                      <w:sz w:val="18"/>
                      <w:szCs w:val="18"/>
                    </w:rPr>
                  </w:pPr>
                  <w:r>
                    <w:rPr>
                      <w:rFonts w:hint="eastAsia"/>
                      <w:kern w:val="0"/>
                      <w:sz w:val="18"/>
                      <w:szCs w:val="18"/>
                    </w:rPr>
                    <w:t>边长</w:t>
                  </w:r>
                  <w:r>
                    <w:rPr>
                      <w:kern w:val="0"/>
                      <w:sz w:val="18"/>
                      <w:szCs w:val="18"/>
                    </w:rPr>
                    <w:t>=5</w:t>
                  </w:r>
                  <w:r>
                    <w:rPr>
                      <w:rFonts w:hint="eastAsia"/>
                      <w:kern w:val="0"/>
                      <w:sz w:val="18"/>
                      <w:szCs w:val="18"/>
                    </w:rPr>
                    <w:t>～50km□</w:t>
                  </w:r>
                </w:p>
              </w:tc>
              <w:tc>
                <w:tcPr>
                  <w:tcW w:w="2123" w:type="dxa"/>
                  <w:gridSpan w:val="8"/>
                  <w:vAlign w:val="center"/>
                </w:tcPr>
                <w:p>
                  <w:pPr>
                    <w:autoSpaceDE w:val="0"/>
                    <w:autoSpaceDN w:val="0"/>
                    <w:adjustRightInd w:val="0"/>
                    <w:jc w:val="center"/>
                    <w:rPr>
                      <w:kern w:val="0"/>
                      <w:sz w:val="18"/>
                      <w:szCs w:val="18"/>
                    </w:rPr>
                  </w:pPr>
                  <w:r>
                    <w:rPr>
                      <w:rFonts w:hint="eastAsia"/>
                      <w:kern w:val="0"/>
                      <w:sz w:val="18"/>
                      <w:szCs w:val="18"/>
                    </w:rPr>
                    <w:t>边长</w:t>
                  </w:r>
                  <w:r>
                    <w:rPr>
                      <w:kern w:val="0"/>
                      <w:sz w:val="18"/>
                      <w:szCs w:val="18"/>
                    </w:rPr>
                    <w:t>=5km</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restart"/>
                  <w:vAlign w:val="center"/>
                </w:tcPr>
                <w:p>
                  <w:pPr>
                    <w:autoSpaceDE w:val="0"/>
                    <w:autoSpaceDN w:val="0"/>
                    <w:adjustRightInd w:val="0"/>
                    <w:jc w:val="center"/>
                    <w:rPr>
                      <w:kern w:val="0"/>
                      <w:sz w:val="18"/>
                      <w:szCs w:val="18"/>
                    </w:rPr>
                  </w:pPr>
                  <w:r>
                    <w:rPr>
                      <w:rFonts w:hint="eastAsia"/>
                      <w:kern w:val="0"/>
                      <w:sz w:val="18"/>
                      <w:szCs w:val="18"/>
                    </w:rPr>
                    <w:t>评价因子</w:t>
                  </w:r>
                </w:p>
              </w:tc>
              <w:tc>
                <w:tcPr>
                  <w:tcW w:w="1559" w:type="dxa"/>
                  <w:vAlign w:val="center"/>
                </w:tcPr>
                <w:p>
                  <w:pPr>
                    <w:autoSpaceDE w:val="0"/>
                    <w:autoSpaceDN w:val="0"/>
                    <w:adjustRightInd w:val="0"/>
                    <w:jc w:val="center"/>
                    <w:rPr>
                      <w:kern w:val="0"/>
                      <w:sz w:val="18"/>
                      <w:szCs w:val="18"/>
                    </w:rPr>
                  </w:pPr>
                  <w:r>
                    <w:rPr>
                      <w:rFonts w:hint="eastAsia"/>
                      <w:kern w:val="0"/>
                      <w:sz w:val="18"/>
                      <w:szCs w:val="18"/>
                    </w:rPr>
                    <w:t>SO</w:t>
                  </w:r>
                  <w:r>
                    <w:rPr>
                      <w:rFonts w:hint="eastAsia"/>
                      <w:kern w:val="0"/>
                      <w:sz w:val="18"/>
                      <w:szCs w:val="18"/>
                      <w:vertAlign w:val="subscript"/>
                    </w:rPr>
                    <w:t>2</w:t>
                  </w:r>
                  <w:r>
                    <w:rPr>
                      <w:rFonts w:hint="eastAsia"/>
                      <w:kern w:val="0"/>
                      <w:sz w:val="18"/>
                      <w:szCs w:val="18"/>
                    </w:rPr>
                    <w:t>+NO</w:t>
                  </w:r>
                  <w:r>
                    <w:rPr>
                      <w:rFonts w:hint="eastAsia"/>
                      <w:kern w:val="0"/>
                      <w:sz w:val="18"/>
                      <w:szCs w:val="18"/>
                      <w:vertAlign w:val="subscript"/>
                    </w:rPr>
                    <w:t>X</w:t>
                  </w:r>
                  <w:r>
                    <w:rPr>
                      <w:rFonts w:hint="eastAsia"/>
                      <w:kern w:val="0"/>
                      <w:sz w:val="18"/>
                      <w:szCs w:val="18"/>
                    </w:rPr>
                    <w:t>排放量</w:t>
                  </w:r>
                </w:p>
              </w:tc>
              <w:tc>
                <w:tcPr>
                  <w:tcW w:w="1912" w:type="dxa"/>
                  <w:gridSpan w:val="8"/>
                  <w:vAlign w:val="center"/>
                </w:tcPr>
                <w:p>
                  <w:pPr>
                    <w:autoSpaceDE w:val="0"/>
                    <w:autoSpaceDN w:val="0"/>
                    <w:adjustRightInd w:val="0"/>
                    <w:jc w:val="center"/>
                    <w:rPr>
                      <w:kern w:val="0"/>
                      <w:sz w:val="18"/>
                      <w:szCs w:val="18"/>
                    </w:rPr>
                  </w:pPr>
                  <w:r>
                    <w:rPr>
                      <w:rFonts w:hint="eastAsia"/>
                      <w:kern w:val="0"/>
                      <w:sz w:val="18"/>
                      <w:szCs w:val="18"/>
                    </w:rPr>
                    <w:t>≥2000t/a□</w:t>
                  </w:r>
                </w:p>
              </w:tc>
              <w:tc>
                <w:tcPr>
                  <w:tcW w:w="2055" w:type="dxa"/>
                  <w:gridSpan w:val="10"/>
                  <w:vAlign w:val="center"/>
                </w:tcPr>
                <w:p>
                  <w:pPr>
                    <w:autoSpaceDE w:val="0"/>
                    <w:autoSpaceDN w:val="0"/>
                    <w:adjustRightInd w:val="0"/>
                    <w:jc w:val="center"/>
                    <w:rPr>
                      <w:kern w:val="0"/>
                      <w:sz w:val="18"/>
                      <w:szCs w:val="18"/>
                    </w:rPr>
                  </w:pPr>
                  <w:r>
                    <w:rPr>
                      <w:kern w:val="0"/>
                      <w:sz w:val="18"/>
                      <w:szCs w:val="18"/>
                    </w:rPr>
                    <w:t>500</w:t>
                  </w:r>
                  <w:r>
                    <w:rPr>
                      <w:rFonts w:hint="eastAsia"/>
                      <w:kern w:val="0"/>
                      <w:sz w:val="18"/>
                      <w:szCs w:val="18"/>
                    </w:rPr>
                    <w:t>～</w:t>
                  </w:r>
                  <w:r>
                    <w:rPr>
                      <w:kern w:val="0"/>
                      <w:sz w:val="18"/>
                      <w:szCs w:val="18"/>
                    </w:rPr>
                    <w:t>200</w:t>
                  </w:r>
                  <w:r>
                    <w:rPr>
                      <w:rFonts w:hint="eastAsia"/>
                      <w:kern w:val="0"/>
                      <w:sz w:val="18"/>
                      <w:szCs w:val="18"/>
                    </w:rPr>
                    <w:t>0</w:t>
                  </w:r>
                  <w:r>
                    <w:rPr>
                      <w:kern w:val="0"/>
                      <w:sz w:val="18"/>
                      <w:szCs w:val="18"/>
                    </w:rPr>
                    <w:t>t/a</w:t>
                  </w:r>
                  <w:r>
                    <w:rPr>
                      <w:rFonts w:hint="eastAsia"/>
                      <w:kern w:val="0"/>
                      <w:sz w:val="18"/>
                      <w:szCs w:val="18"/>
                    </w:rPr>
                    <w:t>□</w:t>
                  </w:r>
                </w:p>
              </w:tc>
              <w:tc>
                <w:tcPr>
                  <w:tcW w:w="2123" w:type="dxa"/>
                  <w:gridSpan w:val="8"/>
                  <w:vAlign w:val="center"/>
                </w:tcPr>
                <w:p>
                  <w:pPr>
                    <w:autoSpaceDE w:val="0"/>
                    <w:autoSpaceDN w:val="0"/>
                    <w:adjustRightInd w:val="0"/>
                    <w:jc w:val="center"/>
                    <w:rPr>
                      <w:kern w:val="0"/>
                      <w:sz w:val="18"/>
                      <w:szCs w:val="18"/>
                    </w:rPr>
                  </w:pPr>
                  <w:r>
                    <w:rPr>
                      <w:rFonts w:hint="eastAsia"/>
                      <w:kern w:val="0"/>
                      <w:sz w:val="18"/>
                      <w:szCs w:val="18"/>
                    </w:rPr>
                    <w:t>＜</w:t>
                  </w:r>
                  <w:r>
                    <w:rPr>
                      <w:kern w:val="0"/>
                      <w:sz w:val="18"/>
                      <w:szCs w:val="18"/>
                    </w:rPr>
                    <w:t>50</w:t>
                  </w:r>
                  <w:r>
                    <w:rPr>
                      <w:rFonts w:hint="eastAsia"/>
                      <w:kern w:val="0"/>
                      <w:sz w:val="18"/>
                      <w:szCs w:val="18"/>
                    </w:rPr>
                    <w:t>0</w:t>
                  </w:r>
                  <w:r>
                    <w:rPr>
                      <w:kern w:val="0"/>
                      <w:sz w:val="18"/>
                      <w:szCs w:val="18"/>
                    </w:rPr>
                    <w:t>t/a</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评价因子</w:t>
                  </w:r>
                </w:p>
              </w:tc>
              <w:tc>
                <w:tcPr>
                  <w:tcW w:w="3115" w:type="dxa"/>
                  <w:gridSpan w:val="14"/>
                  <w:vAlign w:val="center"/>
                </w:tcPr>
                <w:p>
                  <w:pPr>
                    <w:autoSpaceDE w:val="0"/>
                    <w:autoSpaceDN w:val="0"/>
                    <w:adjustRightInd w:val="0"/>
                    <w:jc w:val="center"/>
                    <w:rPr>
                      <w:kern w:val="0"/>
                      <w:sz w:val="18"/>
                      <w:szCs w:val="18"/>
                    </w:rPr>
                  </w:pPr>
                  <w:r>
                    <w:rPr>
                      <w:rFonts w:hint="eastAsia"/>
                      <w:kern w:val="0"/>
                      <w:sz w:val="18"/>
                      <w:szCs w:val="18"/>
                    </w:rPr>
                    <w:t>基本污染物（         ）</w:t>
                  </w:r>
                </w:p>
                <w:p>
                  <w:pPr>
                    <w:autoSpaceDE w:val="0"/>
                    <w:autoSpaceDN w:val="0"/>
                    <w:adjustRightInd w:val="0"/>
                    <w:jc w:val="center"/>
                    <w:rPr>
                      <w:kern w:val="0"/>
                      <w:sz w:val="18"/>
                      <w:szCs w:val="18"/>
                    </w:rPr>
                  </w:pPr>
                  <w:r>
                    <w:rPr>
                      <w:rFonts w:hint="eastAsia"/>
                      <w:kern w:val="0"/>
                      <w:sz w:val="18"/>
                      <w:szCs w:val="18"/>
                    </w:rPr>
                    <w:t xml:space="preserve">其他污染物（   </w:t>
                  </w:r>
                  <w:r>
                    <w:rPr>
                      <w:kern w:val="0"/>
                      <w:sz w:val="18"/>
                      <w:szCs w:val="18"/>
                    </w:rPr>
                    <w:t>TSP</w:t>
                  </w:r>
                  <w:r>
                    <w:rPr>
                      <w:rFonts w:hint="eastAsia"/>
                      <w:kern w:val="0"/>
                      <w:sz w:val="18"/>
                      <w:szCs w:val="18"/>
                    </w:rPr>
                    <w:t xml:space="preserve">   ）</w:t>
                  </w:r>
                </w:p>
              </w:tc>
              <w:tc>
                <w:tcPr>
                  <w:tcW w:w="2975" w:type="dxa"/>
                  <w:gridSpan w:val="12"/>
                  <w:vAlign w:val="center"/>
                </w:tcPr>
                <w:p>
                  <w:pPr>
                    <w:autoSpaceDE w:val="0"/>
                    <w:autoSpaceDN w:val="0"/>
                    <w:adjustRightInd w:val="0"/>
                    <w:jc w:val="center"/>
                    <w:rPr>
                      <w:kern w:val="0"/>
                      <w:sz w:val="18"/>
                      <w:szCs w:val="18"/>
                    </w:rPr>
                  </w:pPr>
                  <w:r>
                    <w:rPr>
                      <w:rFonts w:hint="eastAsia"/>
                      <w:kern w:val="0"/>
                      <w:sz w:val="18"/>
                      <w:szCs w:val="18"/>
                    </w:rPr>
                    <w:t>包括</w:t>
                  </w:r>
                  <w:r>
                    <w:rPr>
                      <w:kern w:val="0"/>
                      <w:sz w:val="18"/>
                      <w:szCs w:val="18"/>
                    </w:rPr>
                    <w:t>二次</w:t>
                  </w:r>
                  <w:r>
                    <w:rPr>
                      <w:rFonts w:hint="eastAsia"/>
                      <w:kern w:val="0"/>
                      <w:sz w:val="18"/>
                      <w:szCs w:val="18"/>
                    </w:rPr>
                    <w:t>PM</w:t>
                  </w:r>
                  <w:r>
                    <w:rPr>
                      <w:rFonts w:hint="eastAsia"/>
                      <w:kern w:val="0"/>
                      <w:sz w:val="18"/>
                      <w:szCs w:val="18"/>
                      <w:vertAlign w:val="subscript"/>
                    </w:rPr>
                    <w:t>2.5</w:t>
                  </w:r>
                  <w:r>
                    <w:rPr>
                      <w:rFonts w:hint="eastAsia"/>
                      <w:kern w:val="0"/>
                      <w:sz w:val="18"/>
                      <w:szCs w:val="18"/>
                    </w:rPr>
                    <w:t>□</w:t>
                  </w:r>
                </w:p>
                <w:p>
                  <w:pPr>
                    <w:autoSpaceDE w:val="0"/>
                    <w:autoSpaceDN w:val="0"/>
                    <w:adjustRightInd w:val="0"/>
                    <w:jc w:val="center"/>
                    <w:rPr>
                      <w:kern w:val="0"/>
                      <w:sz w:val="18"/>
                      <w:szCs w:val="18"/>
                    </w:rPr>
                  </w:pPr>
                  <w:r>
                    <w:rPr>
                      <w:rFonts w:hint="eastAsia"/>
                      <w:kern w:val="0"/>
                      <w:sz w:val="18"/>
                      <w:szCs w:val="18"/>
                    </w:rPr>
                    <w:t>不包括</w:t>
                  </w:r>
                  <w:r>
                    <w:rPr>
                      <w:kern w:val="0"/>
                      <w:sz w:val="18"/>
                      <w:szCs w:val="18"/>
                    </w:rPr>
                    <w:t>二次</w:t>
                  </w:r>
                  <w:r>
                    <w:rPr>
                      <w:rFonts w:hint="eastAsia"/>
                      <w:kern w:val="0"/>
                      <w:sz w:val="18"/>
                      <w:szCs w:val="18"/>
                    </w:rPr>
                    <w:t>PM</w:t>
                  </w:r>
                  <w:r>
                    <w:rPr>
                      <w:rFonts w:hint="eastAsia"/>
                      <w:kern w:val="0"/>
                      <w:sz w:val="18"/>
                      <w:szCs w:val="18"/>
                      <w:vertAlign w:val="subscript"/>
                    </w:rPr>
                    <w:t>2.5</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Align w:val="center"/>
                </w:tcPr>
                <w:p>
                  <w:pPr>
                    <w:autoSpaceDE w:val="0"/>
                    <w:autoSpaceDN w:val="0"/>
                    <w:adjustRightInd w:val="0"/>
                    <w:jc w:val="center"/>
                    <w:rPr>
                      <w:kern w:val="0"/>
                      <w:sz w:val="18"/>
                      <w:szCs w:val="18"/>
                    </w:rPr>
                  </w:pPr>
                  <w:r>
                    <w:rPr>
                      <w:rFonts w:hint="eastAsia"/>
                      <w:kern w:val="0"/>
                      <w:sz w:val="18"/>
                      <w:szCs w:val="18"/>
                    </w:rPr>
                    <w:t>评价标准</w:t>
                  </w:r>
                </w:p>
              </w:tc>
              <w:tc>
                <w:tcPr>
                  <w:tcW w:w="1559" w:type="dxa"/>
                  <w:vAlign w:val="center"/>
                </w:tcPr>
                <w:p>
                  <w:pPr>
                    <w:autoSpaceDE w:val="0"/>
                    <w:autoSpaceDN w:val="0"/>
                    <w:adjustRightInd w:val="0"/>
                    <w:jc w:val="center"/>
                    <w:rPr>
                      <w:kern w:val="0"/>
                      <w:sz w:val="18"/>
                      <w:szCs w:val="18"/>
                    </w:rPr>
                  </w:pPr>
                  <w:r>
                    <w:rPr>
                      <w:rFonts w:hint="eastAsia"/>
                      <w:kern w:val="0"/>
                      <w:sz w:val="18"/>
                      <w:szCs w:val="18"/>
                    </w:rPr>
                    <w:t>评价</w:t>
                  </w:r>
                  <w:r>
                    <w:rPr>
                      <w:kern w:val="0"/>
                      <w:sz w:val="18"/>
                      <w:szCs w:val="18"/>
                    </w:rPr>
                    <w:t>标准</w:t>
                  </w:r>
                </w:p>
              </w:tc>
              <w:tc>
                <w:tcPr>
                  <w:tcW w:w="1628" w:type="dxa"/>
                  <w:gridSpan w:val="5"/>
                  <w:vAlign w:val="center"/>
                </w:tcPr>
                <w:p>
                  <w:pPr>
                    <w:autoSpaceDE w:val="0"/>
                    <w:autoSpaceDN w:val="0"/>
                    <w:adjustRightInd w:val="0"/>
                    <w:jc w:val="center"/>
                    <w:rPr>
                      <w:kern w:val="0"/>
                      <w:sz w:val="18"/>
                      <w:szCs w:val="18"/>
                    </w:rPr>
                  </w:pPr>
                  <w:r>
                    <w:rPr>
                      <w:rFonts w:hint="eastAsia"/>
                      <w:kern w:val="0"/>
                      <w:sz w:val="18"/>
                      <w:szCs w:val="18"/>
                    </w:rPr>
                    <w:t>国家标准■</w:t>
                  </w:r>
                </w:p>
              </w:tc>
              <w:tc>
                <w:tcPr>
                  <w:tcW w:w="1487" w:type="dxa"/>
                  <w:gridSpan w:val="9"/>
                  <w:vAlign w:val="center"/>
                </w:tcPr>
                <w:p>
                  <w:pPr>
                    <w:autoSpaceDE w:val="0"/>
                    <w:autoSpaceDN w:val="0"/>
                    <w:adjustRightInd w:val="0"/>
                    <w:jc w:val="center"/>
                    <w:rPr>
                      <w:kern w:val="0"/>
                      <w:sz w:val="18"/>
                      <w:szCs w:val="18"/>
                    </w:rPr>
                  </w:pPr>
                  <w:r>
                    <w:rPr>
                      <w:rFonts w:hint="eastAsia"/>
                      <w:kern w:val="0"/>
                      <w:sz w:val="18"/>
                      <w:szCs w:val="18"/>
                    </w:rPr>
                    <w:t>地方标准□</w:t>
                  </w:r>
                </w:p>
              </w:tc>
              <w:tc>
                <w:tcPr>
                  <w:tcW w:w="1486" w:type="dxa"/>
                  <w:gridSpan w:val="9"/>
                  <w:vAlign w:val="center"/>
                </w:tcPr>
                <w:p>
                  <w:pPr>
                    <w:autoSpaceDE w:val="0"/>
                    <w:autoSpaceDN w:val="0"/>
                    <w:adjustRightInd w:val="0"/>
                    <w:jc w:val="center"/>
                    <w:rPr>
                      <w:kern w:val="0"/>
                      <w:sz w:val="18"/>
                      <w:szCs w:val="18"/>
                    </w:rPr>
                  </w:pPr>
                  <w:r>
                    <w:rPr>
                      <w:rFonts w:hint="eastAsia"/>
                      <w:kern w:val="0"/>
                      <w:sz w:val="18"/>
                      <w:szCs w:val="18"/>
                    </w:rPr>
                    <w:t>附录D□</w:t>
                  </w:r>
                </w:p>
              </w:tc>
              <w:tc>
                <w:tcPr>
                  <w:tcW w:w="1489" w:type="dxa"/>
                  <w:gridSpan w:val="3"/>
                  <w:vAlign w:val="center"/>
                </w:tcPr>
                <w:p>
                  <w:pPr>
                    <w:autoSpaceDE w:val="0"/>
                    <w:autoSpaceDN w:val="0"/>
                    <w:adjustRightInd w:val="0"/>
                    <w:jc w:val="center"/>
                    <w:rPr>
                      <w:kern w:val="0"/>
                      <w:sz w:val="18"/>
                      <w:szCs w:val="18"/>
                    </w:rPr>
                  </w:pPr>
                  <w:r>
                    <w:rPr>
                      <w:rFonts w:hint="eastAsia"/>
                      <w:kern w:val="0"/>
                      <w:sz w:val="18"/>
                      <w:szCs w:val="18"/>
                    </w:rPr>
                    <w:t>其他标准□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restart"/>
                  <w:vAlign w:val="center"/>
                </w:tcPr>
                <w:p>
                  <w:pPr>
                    <w:autoSpaceDE w:val="0"/>
                    <w:autoSpaceDN w:val="0"/>
                    <w:adjustRightInd w:val="0"/>
                    <w:jc w:val="center"/>
                    <w:rPr>
                      <w:kern w:val="0"/>
                      <w:sz w:val="18"/>
                      <w:szCs w:val="18"/>
                    </w:rPr>
                  </w:pPr>
                  <w:r>
                    <w:rPr>
                      <w:rFonts w:hint="eastAsia"/>
                      <w:kern w:val="0"/>
                      <w:sz w:val="18"/>
                      <w:szCs w:val="18"/>
                    </w:rPr>
                    <w:t>现状</w:t>
                  </w:r>
                  <w:r>
                    <w:rPr>
                      <w:kern w:val="0"/>
                      <w:sz w:val="18"/>
                      <w:szCs w:val="18"/>
                    </w:rPr>
                    <w:t>评价</w:t>
                  </w:r>
                </w:p>
              </w:tc>
              <w:tc>
                <w:tcPr>
                  <w:tcW w:w="1559" w:type="dxa"/>
                  <w:vAlign w:val="center"/>
                </w:tcPr>
                <w:p>
                  <w:pPr>
                    <w:autoSpaceDE w:val="0"/>
                    <w:autoSpaceDN w:val="0"/>
                    <w:adjustRightInd w:val="0"/>
                    <w:jc w:val="center"/>
                    <w:rPr>
                      <w:kern w:val="0"/>
                      <w:sz w:val="18"/>
                      <w:szCs w:val="18"/>
                    </w:rPr>
                  </w:pPr>
                  <w:r>
                    <w:rPr>
                      <w:rFonts w:hint="eastAsia"/>
                      <w:kern w:val="0"/>
                      <w:sz w:val="18"/>
                      <w:szCs w:val="18"/>
                    </w:rPr>
                    <w:t>环境</w:t>
                  </w:r>
                  <w:r>
                    <w:rPr>
                      <w:kern w:val="0"/>
                      <w:sz w:val="18"/>
                      <w:szCs w:val="18"/>
                    </w:rPr>
                    <w:t>功能区</w:t>
                  </w:r>
                </w:p>
              </w:tc>
              <w:tc>
                <w:tcPr>
                  <w:tcW w:w="2124" w:type="dxa"/>
                  <w:gridSpan w:val="10"/>
                  <w:vAlign w:val="center"/>
                </w:tcPr>
                <w:p>
                  <w:pPr>
                    <w:autoSpaceDE w:val="0"/>
                    <w:autoSpaceDN w:val="0"/>
                    <w:adjustRightInd w:val="0"/>
                    <w:jc w:val="center"/>
                    <w:rPr>
                      <w:kern w:val="0"/>
                      <w:sz w:val="18"/>
                      <w:szCs w:val="18"/>
                    </w:rPr>
                  </w:pPr>
                  <w:r>
                    <w:rPr>
                      <w:rFonts w:hint="eastAsia"/>
                      <w:kern w:val="0"/>
                      <w:sz w:val="18"/>
                      <w:szCs w:val="18"/>
                    </w:rPr>
                    <w:t>一类区□</w:t>
                  </w:r>
                </w:p>
              </w:tc>
              <w:tc>
                <w:tcPr>
                  <w:tcW w:w="1982" w:type="dxa"/>
                  <w:gridSpan w:val="10"/>
                  <w:vAlign w:val="center"/>
                </w:tcPr>
                <w:p>
                  <w:pPr>
                    <w:autoSpaceDE w:val="0"/>
                    <w:autoSpaceDN w:val="0"/>
                    <w:adjustRightInd w:val="0"/>
                    <w:jc w:val="center"/>
                    <w:rPr>
                      <w:kern w:val="0"/>
                      <w:sz w:val="18"/>
                      <w:szCs w:val="18"/>
                    </w:rPr>
                  </w:pPr>
                  <w:r>
                    <w:rPr>
                      <w:rFonts w:hint="eastAsia"/>
                      <w:kern w:val="0"/>
                      <w:sz w:val="18"/>
                      <w:szCs w:val="18"/>
                    </w:rPr>
                    <w:t>二类区■</w:t>
                  </w:r>
                </w:p>
              </w:tc>
              <w:tc>
                <w:tcPr>
                  <w:tcW w:w="1984" w:type="dxa"/>
                  <w:gridSpan w:val="6"/>
                  <w:vAlign w:val="center"/>
                </w:tcPr>
                <w:p>
                  <w:pPr>
                    <w:autoSpaceDE w:val="0"/>
                    <w:autoSpaceDN w:val="0"/>
                    <w:adjustRightInd w:val="0"/>
                    <w:jc w:val="center"/>
                    <w:rPr>
                      <w:kern w:val="0"/>
                      <w:sz w:val="18"/>
                      <w:szCs w:val="18"/>
                    </w:rPr>
                  </w:pPr>
                  <w:r>
                    <w:rPr>
                      <w:rFonts w:hint="eastAsia"/>
                      <w:kern w:val="0"/>
                      <w:sz w:val="18"/>
                      <w:szCs w:val="18"/>
                    </w:rPr>
                    <w:t>一类区和</w:t>
                  </w:r>
                  <w:r>
                    <w:rPr>
                      <w:kern w:val="0"/>
                      <w:sz w:val="18"/>
                      <w:szCs w:val="18"/>
                    </w:rPr>
                    <w:t>二类区</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评价</w:t>
                  </w:r>
                  <w:r>
                    <w:rPr>
                      <w:kern w:val="0"/>
                      <w:sz w:val="18"/>
                      <w:szCs w:val="18"/>
                    </w:rPr>
                    <w:t>基准年</w:t>
                  </w:r>
                </w:p>
              </w:tc>
              <w:tc>
                <w:tcPr>
                  <w:tcW w:w="6090" w:type="dxa"/>
                  <w:gridSpan w:val="26"/>
                  <w:vAlign w:val="center"/>
                </w:tcPr>
                <w:p>
                  <w:pPr>
                    <w:autoSpaceDE w:val="0"/>
                    <w:autoSpaceDN w:val="0"/>
                    <w:adjustRightInd w:val="0"/>
                    <w:jc w:val="center"/>
                    <w:rPr>
                      <w:kern w:val="0"/>
                      <w:sz w:val="18"/>
                      <w:szCs w:val="18"/>
                    </w:rPr>
                  </w:pPr>
                  <w:r>
                    <w:rPr>
                      <w:rFonts w:hint="eastAsia"/>
                      <w:kern w:val="0"/>
                      <w:sz w:val="18"/>
                      <w:szCs w:val="18"/>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环境</w:t>
                  </w:r>
                  <w:r>
                    <w:rPr>
                      <w:kern w:val="0"/>
                      <w:sz w:val="18"/>
                      <w:szCs w:val="18"/>
                    </w:rPr>
                    <w:t>空气质量现状数据来源</w:t>
                  </w:r>
                </w:p>
              </w:tc>
              <w:tc>
                <w:tcPr>
                  <w:tcW w:w="2124" w:type="dxa"/>
                  <w:gridSpan w:val="10"/>
                  <w:vAlign w:val="center"/>
                </w:tcPr>
                <w:p>
                  <w:pPr>
                    <w:autoSpaceDE w:val="0"/>
                    <w:autoSpaceDN w:val="0"/>
                    <w:adjustRightInd w:val="0"/>
                    <w:jc w:val="center"/>
                    <w:rPr>
                      <w:kern w:val="0"/>
                      <w:sz w:val="18"/>
                      <w:szCs w:val="18"/>
                    </w:rPr>
                  </w:pPr>
                  <w:r>
                    <w:rPr>
                      <w:rFonts w:hint="eastAsia"/>
                      <w:kern w:val="0"/>
                      <w:sz w:val="18"/>
                      <w:szCs w:val="18"/>
                    </w:rPr>
                    <w:t>长期例行</w:t>
                  </w:r>
                  <w:r>
                    <w:rPr>
                      <w:kern w:val="0"/>
                      <w:sz w:val="18"/>
                      <w:szCs w:val="18"/>
                    </w:rPr>
                    <w:t>监测数据</w:t>
                  </w:r>
                  <w:r>
                    <w:rPr>
                      <w:rFonts w:hint="eastAsia"/>
                      <w:kern w:val="0"/>
                      <w:sz w:val="18"/>
                      <w:szCs w:val="18"/>
                    </w:rPr>
                    <w:t>■</w:t>
                  </w:r>
                </w:p>
              </w:tc>
              <w:tc>
                <w:tcPr>
                  <w:tcW w:w="1982" w:type="dxa"/>
                  <w:gridSpan w:val="10"/>
                  <w:vAlign w:val="center"/>
                </w:tcPr>
                <w:p>
                  <w:pPr>
                    <w:autoSpaceDE w:val="0"/>
                    <w:autoSpaceDN w:val="0"/>
                    <w:adjustRightInd w:val="0"/>
                    <w:jc w:val="center"/>
                    <w:rPr>
                      <w:kern w:val="0"/>
                      <w:sz w:val="18"/>
                      <w:szCs w:val="18"/>
                    </w:rPr>
                  </w:pPr>
                  <w:r>
                    <w:rPr>
                      <w:rFonts w:hint="eastAsia"/>
                      <w:kern w:val="0"/>
                      <w:sz w:val="18"/>
                      <w:szCs w:val="18"/>
                    </w:rPr>
                    <w:t>主管部门</w:t>
                  </w:r>
                  <w:r>
                    <w:rPr>
                      <w:kern w:val="0"/>
                      <w:sz w:val="18"/>
                      <w:szCs w:val="18"/>
                    </w:rPr>
                    <w:t>发布的数据</w:t>
                  </w:r>
                  <w:r>
                    <w:rPr>
                      <w:rFonts w:hint="eastAsia"/>
                      <w:kern w:val="0"/>
                      <w:sz w:val="18"/>
                      <w:szCs w:val="18"/>
                    </w:rPr>
                    <w:t>□</w:t>
                  </w:r>
                </w:p>
              </w:tc>
              <w:tc>
                <w:tcPr>
                  <w:tcW w:w="1984" w:type="dxa"/>
                  <w:gridSpan w:val="6"/>
                  <w:vAlign w:val="center"/>
                </w:tcPr>
                <w:p>
                  <w:pPr>
                    <w:autoSpaceDE w:val="0"/>
                    <w:autoSpaceDN w:val="0"/>
                    <w:adjustRightInd w:val="0"/>
                    <w:jc w:val="center"/>
                    <w:rPr>
                      <w:kern w:val="0"/>
                      <w:sz w:val="18"/>
                      <w:szCs w:val="18"/>
                    </w:rPr>
                  </w:pPr>
                  <w:r>
                    <w:rPr>
                      <w:rFonts w:hint="eastAsia"/>
                      <w:kern w:val="0"/>
                      <w:sz w:val="18"/>
                      <w:szCs w:val="18"/>
                    </w:rPr>
                    <w:t>现状</w:t>
                  </w:r>
                  <w:r>
                    <w:rPr>
                      <w:kern w:val="0"/>
                      <w:sz w:val="18"/>
                      <w:szCs w:val="18"/>
                    </w:rPr>
                    <w:t>补充</w:t>
                  </w:r>
                  <w:r>
                    <w:rPr>
                      <w:rFonts w:hint="eastAsia"/>
                      <w:kern w:val="0"/>
                      <w:sz w:val="18"/>
                      <w:szCs w:val="18"/>
                    </w:rPr>
                    <w:t>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现状</w:t>
                  </w:r>
                  <w:r>
                    <w:rPr>
                      <w:kern w:val="0"/>
                      <w:sz w:val="18"/>
                      <w:szCs w:val="18"/>
                    </w:rPr>
                    <w:t>评价</w:t>
                  </w:r>
                </w:p>
              </w:tc>
              <w:tc>
                <w:tcPr>
                  <w:tcW w:w="3115" w:type="dxa"/>
                  <w:gridSpan w:val="14"/>
                  <w:vAlign w:val="center"/>
                </w:tcPr>
                <w:p>
                  <w:pPr>
                    <w:autoSpaceDE w:val="0"/>
                    <w:autoSpaceDN w:val="0"/>
                    <w:adjustRightInd w:val="0"/>
                    <w:jc w:val="center"/>
                    <w:rPr>
                      <w:kern w:val="0"/>
                      <w:sz w:val="18"/>
                      <w:szCs w:val="18"/>
                    </w:rPr>
                  </w:pPr>
                  <w:r>
                    <w:rPr>
                      <w:rFonts w:hint="eastAsia"/>
                      <w:kern w:val="0"/>
                      <w:sz w:val="18"/>
                      <w:szCs w:val="18"/>
                    </w:rPr>
                    <w:t>达标区□</w:t>
                  </w:r>
                </w:p>
              </w:tc>
              <w:tc>
                <w:tcPr>
                  <w:tcW w:w="2975" w:type="dxa"/>
                  <w:gridSpan w:val="12"/>
                  <w:vAlign w:val="center"/>
                </w:tcPr>
                <w:p>
                  <w:pPr>
                    <w:autoSpaceDE w:val="0"/>
                    <w:autoSpaceDN w:val="0"/>
                    <w:adjustRightInd w:val="0"/>
                    <w:jc w:val="center"/>
                    <w:rPr>
                      <w:kern w:val="0"/>
                      <w:sz w:val="18"/>
                      <w:szCs w:val="18"/>
                    </w:rPr>
                  </w:pPr>
                  <w:r>
                    <w:rPr>
                      <w:rFonts w:hint="eastAsia"/>
                      <w:kern w:val="0"/>
                      <w:sz w:val="18"/>
                      <w:szCs w:val="18"/>
                    </w:rPr>
                    <w:t>不达标区■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Align w:val="center"/>
                </w:tcPr>
                <w:p>
                  <w:pPr>
                    <w:autoSpaceDE w:val="0"/>
                    <w:autoSpaceDN w:val="0"/>
                    <w:adjustRightInd w:val="0"/>
                    <w:jc w:val="center"/>
                    <w:rPr>
                      <w:kern w:val="0"/>
                      <w:sz w:val="18"/>
                      <w:szCs w:val="18"/>
                    </w:rPr>
                  </w:pPr>
                  <w:r>
                    <w:rPr>
                      <w:rFonts w:hint="eastAsia"/>
                      <w:kern w:val="0"/>
                      <w:sz w:val="18"/>
                      <w:szCs w:val="18"/>
                    </w:rPr>
                    <w:t>污染源</w:t>
                  </w:r>
                  <w:r>
                    <w:rPr>
                      <w:kern w:val="0"/>
                      <w:sz w:val="18"/>
                      <w:szCs w:val="18"/>
                    </w:rPr>
                    <w:t>调查</w:t>
                  </w:r>
                </w:p>
              </w:tc>
              <w:tc>
                <w:tcPr>
                  <w:tcW w:w="1559" w:type="dxa"/>
                  <w:vAlign w:val="center"/>
                </w:tcPr>
                <w:p>
                  <w:pPr>
                    <w:autoSpaceDE w:val="0"/>
                    <w:autoSpaceDN w:val="0"/>
                    <w:adjustRightInd w:val="0"/>
                    <w:jc w:val="center"/>
                    <w:rPr>
                      <w:kern w:val="0"/>
                      <w:sz w:val="18"/>
                      <w:szCs w:val="18"/>
                    </w:rPr>
                  </w:pPr>
                  <w:r>
                    <w:rPr>
                      <w:rFonts w:hint="eastAsia"/>
                      <w:kern w:val="0"/>
                      <w:sz w:val="18"/>
                      <w:szCs w:val="18"/>
                    </w:rPr>
                    <w:t>调查</w:t>
                  </w:r>
                  <w:r>
                    <w:rPr>
                      <w:kern w:val="0"/>
                      <w:sz w:val="18"/>
                      <w:szCs w:val="18"/>
                    </w:rPr>
                    <w:t>内容</w:t>
                  </w:r>
                </w:p>
              </w:tc>
              <w:tc>
                <w:tcPr>
                  <w:tcW w:w="1843" w:type="dxa"/>
                  <w:gridSpan w:val="7"/>
                  <w:vAlign w:val="center"/>
                </w:tcPr>
                <w:p>
                  <w:pPr>
                    <w:autoSpaceDE w:val="0"/>
                    <w:autoSpaceDN w:val="0"/>
                    <w:adjustRightInd w:val="0"/>
                    <w:jc w:val="center"/>
                    <w:rPr>
                      <w:kern w:val="0"/>
                      <w:sz w:val="18"/>
                      <w:szCs w:val="18"/>
                    </w:rPr>
                  </w:pPr>
                  <w:r>
                    <w:rPr>
                      <w:rFonts w:hint="eastAsia"/>
                      <w:kern w:val="0"/>
                      <w:sz w:val="18"/>
                      <w:szCs w:val="18"/>
                    </w:rPr>
                    <w:t>项目</w:t>
                  </w:r>
                  <w:r>
                    <w:rPr>
                      <w:kern w:val="0"/>
                      <w:sz w:val="18"/>
                      <w:szCs w:val="18"/>
                    </w:rPr>
                    <w:t>正常排放源</w:t>
                  </w:r>
                  <w:r>
                    <w:rPr>
                      <w:rFonts w:hint="eastAsia"/>
                      <w:kern w:val="0"/>
                      <w:sz w:val="18"/>
                      <w:szCs w:val="18"/>
                    </w:rPr>
                    <w:t>■</w:t>
                  </w:r>
                </w:p>
                <w:p>
                  <w:pPr>
                    <w:autoSpaceDE w:val="0"/>
                    <w:autoSpaceDN w:val="0"/>
                    <w:adjustRightInd w:val="0"/>
                    <w:jc w:val="center"/>
                    <w:rPr>
                      <w:kern w:val="0"/>
                      <w:sz w:val="18"/>
                      <w:szCs w:val="18"/>
                    </w:rPr>
                  </w:pPr>
                  <w:r>
                    <w:rPr>
                      <w:rFonts w:hint="eastAsia"/>
                      <w:kern w:val="0"/>
                      <w:sz w:val="18"/>
                      <w:szCs w:val="18"/>
                    </w:rPr>
                    <w:t>项目非</w:t>
                  </w:r>
                  <w:r>
                    <w:rPr>
                      <w:kern w:val="0"/>
                      <w:sz w:val="18"/>
                      <w:szCs w:val="18"/>
                    </w:rPr>
                    <w:t>正常排放源</w:t>
                  </w:r>
                  <w:r>
                    <w:rPr>
                      <w:rFonts w:hint="eastAsia"/>
                      <w:kern w:val="0"/>
                      <w:sz w:val="18"/>
                      <w:szCs w:val="18"/>
                    </w:rPr>
                    <w:t>□</w:t>
                  </w:r>
                </w:p>
                <w:p>
                  <w:pPr>
                    <w:autoSpaceDE w:val="0"/>
                    <w:autoSpaceDN w:val="0"/>
                    <w:adjustRightInd w:val="0"/>
                    <w:jc w:val="center"/>
                    <w:rPr>
                      <w:kern w:val="0"/>
                      <w:sz w:val="18"/>
                      <w:szCs w:val="18"/>
                    </w:rPr>
                  </w:pPr>
                  <w:r>
                    <w:rPr>
                      <w:rFonts w:hint="eastAsia"/>
                      <w:kern w:val="0"/>
                      <w:sz w:val="18"/>
                      <w:szCs w:val="18"/>
                    </w:rPr>
                    <w:t>现有</w:t>
                  </w:r>
                  <w:r>
                    <w:rPr>
                      <w:kern w:val="0"/>
                      <w:sz w:val="18"/>
                      <w:szCs w:val="18"/>
                    </w:rPr>
                    <w:t>污染源</w:t>
                  </w:r>
                  <w:r>
                    <w:rPr>
                      <w:rFonts w:hint="eastAsia"/>
                      <w:kern w:val="0"/>
                      <w:sz w:val="18"/>
                      <w:szCs w:val="18"/>
                    </w:rPr>
                    <w:t>□</w:t>
                  </w:r>
                </w:p>
              </w:tc>
              <w:tc>
                <w:tcPr>
                  <w:tcW w:w="1415" w:type="dxa"/>
                  <w:gridSpan w:val="8"/>
                  <w:vAlign w:val="center"/>
                </w:tcPr>
                <w:p>
                  <w:pPr>
                    <w:autoSpaceDE w:val="0"/>
                    <w:autoSpaceDN w:val="0"/>
                    <w:adjustRightInd w:val="0"/>
                    <w:jc w:val="center"/>
                    <w:rPr>
                      <w:kern w:val="0"/>
                      <w:sz w:val="18"/>
                      <w:szCs w:val="18"/>
                    </w:rPr>
                  </w:pPr>
                  <w:r>
                    <w:rPr>
                      <w:rFonts w:hint="eastAsia"/>
                      <w:kern w:val="0"/>
                      <w:sz w:val="18"/>
                      <w:szCs w:val="18"/>
                    </w:rPr>
                    <w:t>拟替代</w:t>
                  </w:r>
                  <w:r>
                    <w:rPr>
                      <w:kern w:val="0"/>
                      <w:sz w:val="18"/>
                      <w:szCs w:val="18"/>
                    </w:rPr>
                    <w:t>的污染源</w:t>
                  </w:r>
                  <w:r>
                    <w:rPr>
                      <w:rFonts w:hint="eastAsia"/>
                      <w:kern w:val="0"/>
                      <w:sz w:val="18"/>
                      <w:szCs w:val="18"/>
                    </w:rPr>
                    <w:t>□</w:t>
                  </w:r>
                </w:p>
              </w:tc>
              <w:tc>
                <w:tcPr>
                  <w:tcW w:w="1415" w:type="dxa"/>
                  <w:gridSpan w:val="9"/>
                  <w:vAlign w:val="center"/>
                </w:tcPr>
                <w:p>
                  <w:pPr>
                    <w:autoSpaceDE w:val="0"/>
                    <w:autoSpaceDN w:val="0"/>
                    <w:adjustRightInd w:val="0"/>
                    <w:jc w:val="center"/>
                    <w:rPr>
                      <w:kern w:val="0"/>
                      <w:sz w:val="18"/>
                      <w:szCs w:val="18"/>
                    </w:rPr>
                  </w:pPr>
                  <w:r>
                    <w:rPr>
                      <w:rFonts w:hint="eastAsia"/>
                      <w:kern w:val="0"/>
                      <w:sz w:val="18"/>
                      <w:szCs w:val="18"/>
                    </w:rPr>
                    <w:t>其他</w:t>
                  </w:r>
                  <w:r>
                    <w:rPr>
                      <w:kern w:val="0"/>
                      <w:sz w:val="18"/>
                      <w:szCs w:val="18"/>
                    </w:rPr>
                    <w:t>在建、拟建项目污染源</w:t>
                  </w:r>
                  <w:r>
                    <w:rPr>
                      <w:rFonts w:hint="eastAsia"/>
                      <w:kern w:val="0"/>
                      <w:sz w:val="18"/>
                      <w:szCs w:val="18"/>
                    </w:rPr>
                    <w:t>□</w:t>
                  </w:r>
                </w:p>
              </w:tc>
              <w:tc>
                <w:tcPr>
                  <w:tcW w:w="1417" w:type="dxa"/>
                  <w:gridSpan w:val="2"/>
                  <w:vAlign w:val="center"/>
                </w:tcPr>
                <w:p>
                  <w:pPr>
                    <w:autoSpaceDE w:val="0"/>
                    <w:autoSpaceDN w:val="0"/>
                    <w:adjustRightInd w:val="0"/>
                    <w:jc w:val="center"/>
                    <w:rPr>
                      <w:kern w:val="0"/>
                      <w:sz w:val="18"/>
                      <w:szCs w:val="18"/>
                    </w:rPr>
                  </w:pPr>
                  <w:r>
                    <w:rPr>
                      <w:rFonts w:hint="eastAsia"/>
                      <w:kern w:val="0"/>
                      <w:sz w:val="18"/>
                      <w:szCs w:val="18"/>
                    </w:rPr>
                    <w:t>区域</w:t>
                  </w:r>
                  <w:r>
                    <w:rPr>
                      <w:kern w:val="0"/>
                      <w:sz w:val="18"/>
                      <w:szCs w:val="18"/>
                    </w:rPr>
                    <w:t>污染源</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restart"/>
                  <w:vAlign w:val="center"/>
                </w:tcPr>
                <w:p>
                  <w:pPr>
                    <w:autoSpaceDE w:val="0"/>
                    <w:autoSpaceDN w:val="0"/>
                    <w:adjustRightInd w:val="0"/>
                    <w:jc w:val="center"/>
                    <w:rPr>
                      <w:kern w:val="0"/>
                      <w:sz w:val="18"/>
                      <w:szCs w:val="18"/>
                    </w:rPr>
                  </w:pPr>
                  <w:r>
                    <w:rPr>
                      <w:rFonts w:hint="eastAsia"/>
                      <w:kern w:val="0"/>
                      <w:sz w:val="18"/>
                      <w:szCs w:val="18"/>
                    </w:rPr>
                    <w:t>大气</w:t>
                  </w:r>
                  <w:r>
                    <w:rPr>
                      <w:kern w:val="0"/>
                      <w:sz w:val="18"/>
                      <w:szCs w:val="18"/>
                    </w:rPr>
                    <w:t>环境影响预测与评价</w:t>
                  </w:r>
                </w:p>
              </w:tc>
              <w:tc>
                <w:tcPr>
                  <w:tcW w:w="1559" w:type="dxa"/>
                  <w:vAlign w:val="center"/>
                </w:tcPr>
                <w:p>
                  <w:pPr>
                    <w:autoSpaceDE w:val="0"/>
                    <w:autoSpaceDN w:val="0"/>
                    <w:adjustRightInd w:val="0"/>
                    <w:jc w:val="center"/>
                    <w:rPr>
                      <w:kern w:val="0"/>
                      <w:sz w:val="18"/>
                      <w:szCs w:val="18"/>
                    </w:rPr>
                  </w:pPr>
                  <w:r>
                    <w:rPr>
                      <w:rFonts w:hint="eastAsia"/>
                      <w:kern w:val="0"/>
                      <w:sz w:val="18"/>
                      <w:szCs w:val="18"/>
                    </w:rPr>
                    <w:t>预测</w:t>
                  </w:r>
                  <w:r>
                    <w:rPr>
                      <w:kern w:val="0"/>
                      <w:sz w:val="18"/>
                      <w:szCs w:val="18"/>
                    </w:rPr>
                    <w:t>模型</w:t>
                  </w:r>
                </w:p>
              </w:tc>
              <w:tc>
                <w:tcPr>
                  <w:tcW w:w="869" w:type="dxa"/>
                  <w:gridSpan w:val="2"/>
                  <w:vAlign w:val="center"/>
                </w:tcPr>
                <w:p>
                  <w:pPr>
                    <w:autoSpaceDE w:val="0"/>
                    <w:autoSpaceDN w:val="0"/>
                    <w:adjustRightInd w:val="0"/>
                    <w:jc w:val="center"/>
                    <w:rPr>
                      <w:kern w:val="0"/>
                      <w:sz w:val="18"/>
                      <w:szCs w:val="18"/>
                    </w:rPr>
                  </w:pPr>
                  <w:r>
                    <w:rPr>
                      <w:rFonts w:hint="eastAsia"/>
                      <w:kern w:val="0"/>
                      <w:sz w:val="18"/>
                      <w:szCs w:val="18"/>
                    </w:rPr>
                    <w:t>AERMOD□</w:t>
                  </w:r>
                </w:p>
              </w:tc>
              <w:tc>
                <w:tcPr>
                  <w:tcW w:w="870" w:type="dxa"/>
                  <w:gridSpan w:val="4"/>
                  <w:vAlign w:val="center"/>
                </w:tcPr>
                <w:p>
                  <w:pPr>
                    <w:autoSpaceDE w:val="0"/>
                    <w:autoSpaceDN w:val="0"/>
                    <w:adjustRightInd w:val="0"/>
                    <w:jc w:val="center"/>
                    <w:rPr>
                      <w:kern w:val="0"/>
                      <w:sz w:val="18"/>
                      <w:szCs w:val="18"/>
                    </w:rPr>
                  </w:pPr>
                  <w:r>
                    <w:rPr>
                      <w:rFonts w:hint="eastAsia"/>
                      <w:kern w:val="0"/>
                      <w:sz w:val="18"/>
                      <w:szCs w:val="18"/>
                    </w:rPr>
                    <w:t>ADMS□</w:t>
                  </w:r>
                </w:p>
              </w:tc>
              <w:tc>
                <w:tcPr>
                  <w:tcW w:w="870" w:type="dxa"/>
                  <w:gridSpan w:val="6"/>
                  <w:vAlign w:val="center"/>
                </w:tcPr>
                <w:p>
                  <w:pPr>
                    <w:autoSpaceDE w:val="0"/>
                    <w:autoSpaceDN w:val="0"/>
                    <w:adjustRightInd w:val="0"/>
                    <w:jc w:val="center"/>
                    <w:rPr>
                      <w:kern w:val="0"/>
                      <w:sz w:val="18"/>
                      <w:szCs w:val="18"/>
                    </w:rPr>
                  </w:pPr>
                  <w:r>
                    <w:rPr>
                      <w:rFonts w:hint="eastAsia"/>
                      <w:kern w:val="0"/>
                      <w:sz w:val="18"/>
                      <w:szCs w:val="18"/>
                    </w:rPr>
                    <w:t>AUSTAL2000□</w:t>
                  </w:r>
                </w:p>
              </w:tc>
              <w:tc>
                <w:tcPr>
                  <w:tcW w:w="869" w:type="dxa"/>
                  <w:gridSpan w:val="4"/>
                  <w:vAlign w:val="center"/>
                </w:tcPr>
                <w:p>
                  <w:pPr>
                    <w:autoSpaceDE w:val="0"/>
                    <w:autoSpaceDN w:val="0"/>
                    <w:adjustRightInd w:val="0"/>
                    <w:jc w:val="center"/>
                    <w:rPr>
                      <w:kern w:val="0"/>
                      <w:sz w:val="18"/>
                      <w:szCs w:val="18"/>
                    </w:rPr>
                  </w:pPr>
                  <w:r>
                    <w:rPr>
                      <w:rFonts w:hint="eastAsia"/>
                      <w:kern w:val="0"/>
                      <w:sz w:val="18"/>
                      <w:szCs w:val="18"/>
                    </w:rPr>
                    <w:t>EDMS/AEDT□</w:t>
                  </w:r>
                </w:p>
              </w:tc>
              <w:tc>
                <w:tcPr>
                  <w:tcW w:w="870" w:type="dxa"/>
                  <w:gridSpan w:val="5"/>
                  <w:vAlign w:val="center"/>
                </w:tcPr>
                <w:p>
                  <w:pPr>
                    <w:autoSpaceDE w:val="0"/>
                    <w:autoSpaceDN w:val="0"/>
                    <w:adjustRightInd w:val="0"/>
                    <w:jc w:val="center"/>
                    <w:rPr>
                      <w:kern w:val="0"/>
                      <w:sz w:val="18"/>
                      <w:szCs w:val="18"/>
                    </w:rPr>
                  </w:pPr>
                  <w:r>
                    <w:rPr>
                      <w:rFonts w:hint="eastAsia"/>
                      <w:kern w:val="0"/>
                      <w:sz w:val="18"/>
                      <w:szCs w:val="18"/>
                    </w:rPr>
                    <w:t>CALPUFF□</w:t>
                  </w:r>
                </w:p>
              </w:tc>
              <w:tc>
                <w:tcPr>
                  <w:tcW w:w="755" w:type="dxa"/>
                  <w:gridSpan w:val="4"/>
                  <w:vAlign w:val="center"/>
                </w:tcPr>
                <w:p>
                  <w:pPr>
                    <w:autoSpaceDE w:val="0"/>
                    <w:autoSpaceDN w:val="0"/>
                    <w:adjustRightInd w:val="0"/>
                    <w:jc w:val="center"/>
                    <w:rPr>
                      <w:kern w:val="0"/>
                      <w:sz w:val="18"/>
                      <w:szCs w:val="18"/>
                    </w:rPr>
                  </w:pPr>
                  <w:r>
                    <w:rPr>
                      <w:rFonts w:hint="eastAsia"/>
                      <w:kern w:val="0"/>
                      <w:sz w:val="18"/>
                      <w:szCs w:val="18"/>
                    </w:rPr>
                    <w:t>网格</w:t>
                  </w:r>
                  <w:r>
                    <w:rPr>
                      <w:kern w:val="0"/>
                      <w:sz w:val="18"/>
                      <w:szCs w:val="18"/>
                    </w:rPr>
                    <w:t>模型</w:t>
                  </w:r>
                  <w:r>
                    <w:rPr>
                      <w:rFonts w:hint="eastAsia"/>
                      <w:kern w:val="0"/>
                      <w:sz w:val="18"/>
                      <w:szCs w:val="18"/>
                    </w:rPr>
                    <w:t>□</w:t>
                  </w:r>
                </w:p>
              </w:tc>
              <w:tc>
                <w:tcPr>
                  <w:tcW w:w="987" w:type="dxa"/>
                  <w:vAlign w:val="center"/>
                </w:tcPr>
                <w:p>
                  <w:pPr>
                    <w:autoSpaceDE w:val="0"/>
                    <w:autoSpaceDN w:val="0"/>
                    <w:adjustRightInd w:val="0"/>
                    <w:jc w:val="center"/>
                    <w:rPr>
                      <w:kern w:val="0"/>
                      <w:sz w:val="18"/>
                      <w:szCs w:val="18"/>
                    </w:rPr>
                  </w:pPr>
                  <w:r>
                    <w:rPr>
                      <w:rFonts w:hint="eastAsia"/>
                      <w:kern w:val="0"/>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预测</w:t>
                  </w:r>
                  <w:r>
                    <w:rPr>
                      <w:kern w:val="0"/>
                      <w:sz w:val="18"/>
                      <w:szCs w:val="18"/>
                    </w:rPr>
                    <w:t>范围</w:t>
                  </w:r>
                </w:p>
              </w:tc>
              <w:tc>
                <w:tcPr>
                  <w:tcW w:w="2029" w:type="dxa"/>
                  <w:gridSpan w:val="9"/>
                  <w:vAlign w:val="center"/>
                </w:tcPr>
                <w:p>
                  <w:pPr>
                    <w:autoSpaceDE w:val="0"/>
                    <w:autoSpaceDN w:val="0"/>
                    <w:adjustRightInd w:val="0"/>
                    <w:jc w:val="center"/>
                    <w:rPr>
                      <w:kern w:val="0"/>
                      <w:sz w:val="18"/>
                      <w:szCs w:val="18"/>
                    </w:rPr>
                  </w:pPr>
                  <w:r>
                    <w:rPr>
                      <w:rFonts w:hint="eastAsia"/>
                      <w:kern w:val="0"/>
                      <w:sz w:val="18"/>
                      <w:szCs w:val="18"/>
                    </w:rPr>
                    <w:t>边长≥</w:t>
                  </w:r>
                  <w:r>
                    <w:rPr>
                      <w:kern w:val="0"/>
                      <w:sz w:val="18"/>
                      <w:szCs w:val="18"/>
                    </w:rPr>
                    <w:t>50km</w:t>
                  </w:r>
                  <w:r>
                    <w:rPr>
                      <w:rFonts w:hint="eastAsia"/>
                      <w:kern w:val="0"/>
                      <w:sz w:val="18"/>
                      <w:szCs w:val="18"/>
                    </w:rPr>
                    <w:t>□</w:t>
                  </w:r>
                </w:p>
              </w:tc>
              <w:tc>
                <w:tcPr>
                  <w:tcW w:w="2029" w:type="dxa"/>
                  <w:gridSpan w:val="10"/>
                  <w:vAlign w:val="center"/>
                </w:tcPr>
                <w:p>
                  <w:pPr>
                    <w:autoSpaceDE w:val="0"/>
                    <w:autoSpaceDN w:val="0"/>
                    <w:adjustRightInd w:val="0"/>
                    <w:jc w:val="center"/>
                    <w:rPr>
                      <w:kern w:val="0"/>
                      <w:sz w:val="18"/>
                      <w:szCs w:val="18"/>
                    </w:rPr>
                  </w:pPr>
                  <w:r>
                    <w:rPr>
                      <w:rFonts w:hint="eastAsia"/>
                      <w:kern w:val="0"/>
                      <w:sz w:val="18"/>
                      <w:szCs w:val="18"/>
                    </w:rPr>
                    <w:t>边长</w:t>
                  </w:r>
                  <w:r>
                    <w:rPr>
                      <w:kern w:val="0"/>
                      <w:sz w:val="18"/>
                      <w:szCs w:val="18"/>
                    </w:rPr>
                    <w:t>5</w:t>
                  </w:r>
                  <w:r>
                    <w:rPr>
                      <w:rFonts w:hint="eastAsia"/>
                      <w:kern w:val="0"/>
                      <w:sz w:val="18"/>
                      <w:szCs w:val="18"/>
                    </w:rPr>
                    <w:t>～50km□</w:t>
                  </w:r>
                </w:p>
              </w:tc>
              <w:tc>
                <w:tcPr>
                  <w:tcW w:w="2032" w:type="dxa"/>
                  <w:gridSpan w:val="7"/>
                  <w:vAlign w:val="center"/>
                </w:tcPr>
                <w:p>
                  <w:pPr>
                    <w:autoSpaceDE w:val="0"/>
                    <w:autoSpaceDN w:val="0"/>
                    <w:adjustRightInd w:val="0"/>
                    <w:jc w:val="center"/>
                    <w:rPr>
                      <w:kern w:val="0"/>
                      <w:sz w:val="18"/>
                      <w:szCs w:val="18"/>
                    </w:rPr>
                  </w:pPr>
                  <w:r>
                    <w:rPr>
                      <w:rFonts w:hint="eastAsia"/>
                      <w:kern w:val="0"/>
                      <w:sz w:val="18"/>
                      <w:szCs w:val="18"/>
                    </w:rPr>
                    <w:t>边长</w:t>
                  </w:r>
                  <w:r>
                    <w:rPr>
                      <w:kern w:val="0"/>
                      <w:sz w:val="18"/>
                      <w:szCs w:val="18"/>
                    </w:rPr>
                    <w:t>=5km</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预测</w:t>
                  </w:r>
                  <w:r>
                    <w:rPr>
                      <w:kern w:val="0"/>
                      <w:sz w:val="18"/>
                      <w:szCs w:val="18"/>
                    </w:rPr>
                    <w:t>因子</w:t>
                  </w:r>
                </w:p>
              </w:tc>
              <w:tc>
                <w:tcPr>
                  <w:tcW w:w="3045" w:type="dxa"/>
                  <w:gridSpan w:val="13"/>
                  <w:vAlign w:val="center"/>
                </w:tcPr>
                <w:p>
                  <w:pPr>
                    <w:autoSpaceDE w:val="0"/>
                    <w:autoSpaceDN w:val="0"/>
                    <w:adjustRightInd w:val="0"/>
                    <w:jc w:val="center"/>
                    <w:rPr>
                      <w:kern w:val="0"/>
                      <w:sz w:val="18"/>
                      <w:szCs w:val="18"/>
                    </w:rPr>
                  </w:pPr>
                  <w:r>
                    <w:rPr>
                      <w:rFonts w:hint="eastAsia"/>
                      <w:kern w:val="0"/>
                      <w:sz w:val="18"/>
                      <w:szCs w:val="18"/>
                    </w:rPr>
                    <w:t>TSP</w:t>
                  </w:r>
                </w:p>
              </w:tc>
              <w:tc>
                <w:tcPr>
                  <w:tcW w:w="3045" w:type="dxa"/>
                  <w:gridSpan w:val="13"/>
                  <w:vAlign w:val="center"/>
                </w:tcPr>
                <w:p>
                  <w:pPr>
                    <w:autoSpaceDE w:val="0"/>
                    <w:autoSpaceDN w:val="0"/>
                    <w:adjustRightInd w:val="0"/>
                    <w:jc w:val="center"/>
                    <w:rPr>
                      <w:kern w:val="0"/>
                      <w:sz w:val="18"/>
                      <w:szCs w:val="18"/>
                    </w:rPr>
                  </w:pPr>
                  <w:r>
                    <w:rPr>
                      <w:rFonts w:hint="eastAsia"/>
                      <w:kern w:val="0"/>
                      <w:sz w:val="18"/>
                      <w:szCs w:val="18"/>
                    </w:rPr>
                    <w:t>包括</w:t>
                  </w:r>
                  <w:r>
                    <w:rPr>
                      <w:kern w:val="0"/>
                      <w:sz w:val="18"/>
                      <w:szCs w:val="18"/>
                    </w:rPr>
                    <w:t>二次</w:t>
                  </w:r>
                  <w:r>
                    <w:rPr>
                      <w:rFonts w:hint="eastAsia"/>
                      <w:kern w:val="0"/>
                      <w:sz w:val="18"/>
                      <w:szCs w:val="18"/>
                    </w:rPr>
                    <w:t>PM</w:t>
                  </w:r>
                  <w:r>
                    <w:rPr>
                      <w:rFonts w:hint="eastAsia"/>
                      <w:kern w:val="0"/>
                      <w:sz w:val="18"/>
                      <w:szCs w:val="18"/>
                      <w:vertAlign w:val="subscript"/>
                    </w:rPr>
                    <w:t>2.5</w:t>
                  </w:r>
                  <w:r>
                    <w:rPr>
                      <w:rFonts w:hint="eastAsia"/>
                      <w:kern w:val="0"/>
                      <w:sz w:val="18"/>
                      <w:szCs w:val="18"/>
                    </w:rPr>
                    <w:t>□</w:t>
                  </w:r>
                </w:p>
                <w:p>
                  <w:pPr>
                    <w:autoSpaceDE w:val="0"/>
                    <w:autoSpaceDN w:val="0"/>
                    <w:adjustRightInd w:val="0"/>
                    <w:jc w:val="center"/>
                    <w:rPr>
                      <w:kern w:val="0"/>
                      <w:sz w:val="18"/>
                      <w:szCs w:val="18"/>
                    </w:rPr>
                  </w:pPr>
                  <w:r>
                    <w:rPr>
                      <w:rFonts w:hint="eastAsia"/>
                      <w:kern w:val="0"/>
                      <w:sz w:val="18"/>
                      <w:szCs w:val="18"/>
                    </w:rPr>
                    <w:t>不包括</w:t>
                  </w:r>
                  <w:r>
                    <w:rPr>
                      <w:kern w:val="0"/>
                      <w:sz w:val="18"/>
                      <w:szCs w:val="18"/>
                    </w:rPr>
                    <w:t>二次</w:t>
                  </w:r>
                  <w:r>
                    <w:rPr>
                      <w:rFonts w:hint="eastAsia"/>
                      <w:kern w:val="0"/>
                      <w:sz w:val="18"/>
                      <w:szCs w:val="18"/>
                    </w:rPr>
                    <w:t>PM</w:t>
                  </w:r>
                  <w:r>
                    <w:rPr>
                      <w:rFonts w:hint="eastAsia"/>
                      <w:kern w:val="0"/>
                      <w:sz w:val="18"/>
                      <w:szCs w:val="18"/>
                      <w:vertAlign w:val="subscript"/>
                    </w:rPr>
                    <w:t>2.5</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正常排放短期</w:t>
                  </w:r>
                  <w:r>
                    <w:rPr>
                      <w:kern w:val="0"/>
                      <w:sz w:val="18"/>
                      <w:szCs w:val="18"/>
                    </w:rPr>
                    <w:t>浓度贡献值</w:t>
                  </w:r>
                </w:p>
              </w:tc>
              <w:tc>
                <w:tcPr>
                  <w:tcW w:w="3045" w:type="dxa"/>
                  <w:gridSpan w:val="13"/>
                  <w:vAlign w:val="center"/>
                </w:tcPr>
                <w:p>
                  <w:pPr>
                    <w:autoSpaceDE w:val="0"/>
                    <w:autoSpaceDN w:val="0"/>
                    <w:adjustRightInd w:val="0"/>
                    <w:jc w:val="center"/>
                    <w:rPr>
                      <w:kern w:val="0"/>
                      <w:sz w:val="18"/>
                      <w:szCs w:val="18"/>
                    </w:rPr>
                  </w:pPr>
                  <w:r>
                    <w:rPr>
                      <w:rFonts w:hint="eastAsia"/>
                      <w:kern w:val="0"/>
                      <w:sz w:val="18"/>
                      <w:szCs w:val="18"/>
                    </w:rPr>
                    <w:t>C</w:t>
                  </w:r>
                  <w:r>
                    <w:rPr>
                      <w:rFonts w:hint="eastAsia"/>
                      <w:kern w:val="0"/>
                      <w:sz w:val="18"/>
                      <w:szCs w:val="18"/>
                      <w:vertAlign w:val="subscript"/>
                    </w:rPr>
                    <w:t>本项目</w:t>
                  </w:r>
                  <w:r>
                    <w:rPr>
                      <w:rFonts w:hint="eastAsia"/>
                      <w:kern w:val="0"/>
                      <w:sz w:val="18"/>
                      <w:szCs w:val="18"/>
                    </w:rPr>
                    <w:t>最大</w:t>
                  </w:r>
                  <w:r>
                    <w:rPr>
                      <w:kern w:val="0"/>
                      <w:sz w:val="18"/>
                      <w:szCs w:val="18"/>
                    </w:rPr>
                    <w:t>占标率≤100%</w:t>
                  </w:r>
                  <w:r>
                    <w:rPr>
                      <w:rFonts w:hint="eastAsia"/>
                      <w:kern w:val="0"/>
                      <w:sz w:val="18"/>
                      <w:szCs w:val="18"/>
                    </w:rPr>
                    <w:t>■</w:t>
                  </w:r>
                </w:p>
              </w:tc>
              <w:tc>
                <w:tcPr>
                  <w:tcW w:w="3045" w:type="dxa"/>
                  <w:gridSpan w:val="13"/>
                  <w:vAlign w:val="center"/>
                </w:tcPr>
                <w:p>
                  <w:pPr>
                    <w:autoSpaceDE w:val="0"/>
                    <w:autoSpaceDN w:val="0"/>
                    <w:adjustRightInd w:val="0"/>
                    <w:jc w:val="center"/>
                    <w:rPr>
                      <w:kern w:val="0"/>
                      <w:sz w:val="18"/>
                      <w:szCs w:val="18"/>
                    </w:rPr>
                  </w:pPr>
                  <w:r>
                    <w:rPr>
                      <w:rFonts w:hint="eastAsia"/>
                      <w:kern w:val="0"/>
                      <w:sz w:val="18"/>
                      <w:szCs w:val="18"/>
                    </w:rPr>
                    <w:t>C</w:t>
                  </w:r>
                  <w:r>
                    <w:rPr>
                      <w:rFonts w:hint="eastAsia"/>
                      <w:kern w:val="0"/>
                      <w:sz w:val="18"/>
                      <w:szCs w:val="18"/>
                      <w:vertAlign w:val="subscript"/>
                    </w:rPr>
                    <w:t>本项目</w:t>
                  </w:r>
                  <w:r>
                    <w:rPr>
                      <w:rFonts w:hint="eastAsia"/>
                      <w:kern w:val="0"/>
                      <w:sz w:val="18"/>
                      <w:szCs w:val="18"/>
                    </w:rPr>
                    <w:t>最大</w:t>
                  </w:r>
                  <w:r>
                    <w:rPr>
                      <w:kern w:val="0"/>
                      <w:sz w:val="18"/>
                      <w:szCs w:val="18"/>
                    </w:rPr>
                    <w:t>占标率</w:t>
                  </w:r>
                  <w:r>
                    <w:rPr>
                      <w:rFonts w:hint="eastAsia"/>
                      <w:kern w:val="0"/>
                      <w:sz w:val="18"/>
                      <w:szCs w:val="18"/>
                    </w:rPr>
                    <w:t>＞</w:t>
                  </w:r>
                  <w:r>
                    <w:rPr>
                      <w:kern w:val="0"/>
                      <w:sz w:val="18"/>
                      <w:szCs w:val="18"/>
                    </w:rPr>
                    <w:t>100%</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正常排放</w:t>
                  </w:r>
                  <w:r>
                    <w:rPr>
                      <w:kern w:val="0"/>
                      <w:sz w:val="18"/>
                      <w:szCs w:val="18"/>
                    </w:rPr>
                    <w:t>年均浓度贡献值</w:t>
                  </w:r>
                </w:p>
              </w:tc>
              <w:tc>
                <w:tcPr>
                  <w:tcW w:w="735" w:type="dxa"/>
                  <w:vAlign w:val="center"/>
                </w:tcPr>
                <w:p>
                  <w:pPr>
                    <w:autoSpaceDE w:val="0"/>
                    <w:autoSpaceDN w:val="0"/>
                    <w:adjustRightInd w:val="0"/>
                    <w:jc w:val="center"/>
                    <w:rPr>
                      <w:kern w:val="0"/>
                      <w:sz w:val="18"/>
                      <w:szCs w:val="18"/>
                    </w:rPr>
                  </w:pPr>
                  <w:r>
                    <w:rPr>
                      <w:rFonts w:hint="eastAsia"/>
                      <w:kern w:val="0"/>
                      <w:sz w:val="18"/>
                      <w:szCs w:val="18"/>
                    </w:rPr>
                    <w:t>二类区</w:t>
                  </w:r>
                </w:p>
              </w:tc>
              <w:tc>
                <w:tcPr>
                  <w:tcW w:w="2310" w:type="dxa"/>
                  <w:gridSpan w:val="12"/>
                  <w:vAlign w:val="center"/>
                </w:tcPr>
                <w:p>
                  <w:pPr>
                    <w:autoSpaceDE w:val="0"/>
                    <w:autoSpaceDN w:val="0"/>
                    <w:adjustRightInd w:val="0"/>
                    <w:jc w:val="center"/>
                    <w:rPr>
                      <w:kern w:val="0"/>
                      <w:sz w:val="18"/>
                      <w:szCs w:val="18"/>
                    </w:rPr>
                  </w:pPr>
                  <w:r>
                    <w:rPr>
                      <w:rFonts w:hint="eastAsia"/>
                      <w:kern w:val="0"/>
                      <w:sz w:val="18"/>
                      <w:szCs w:val="18"/>
                    </w:rPr>
                    <w:t>C</w:t>
                  </w:r>
                  <w:r>
                    <w:rPr>
                      <w:rFonts w:hint="eastAsia"/>
                      <w:kern w:val="0"/>
                      <w:sz w:val="18"/>
                      <w:szCs w:val="18"/>
                      <w:vertAlign w:val="subscript"/>
                    </w:rPr>
                    <w:t>本项目</w:t>
                  </w:r>
                  <w:r>
                    <w:rPr>
                      <w:rFonts w:hint="eastAsia"/>
                      <w:kern w:val="0"/>
                      <w:sz w:val="18"/>
                      <w:szCs w:val="18"/>
                    </w:rPr>
                    <w:t>最大</w:t>
                  </w:r>
                  <w:r>
                    <w:rPr>
                      <w:kern w:val="0"/>
                      <w:sz w:val="18"/>
                      <w:szCs w:val="18"/>
                    </w:rPr>
                    <w:t>占标率≤30%</w:t>
                  </w:r>
                  <w:r>
                    <w:rPr>
                      <w:rFonts w:hint="eastAsia"/>
                      <w:kern w:val="0"/>
                      <w:sz w:val="18"/>
                      <w:szCs w:val="18"/>
                    </w:rPr>
                    <w:t>■</w:t>
                  </w:r>
                </w:p>
              </w:tc>
              <w:tc>
                <w:tcPr>
                  <w:tcW w:w="3045" w:type="dxa"/>
                  <w:gridSpan w:val="13"/>
                  <w:vAlign w:val="center"/>
                </w:tcPr>
                <w:p>
                  <w:pPr>
                    <w:autoSpaceDE w:val="0"/>
                    <w:autoSpaceDN w:val="0"/>
                    <w:adjustRightInd w:val="0"/>
                    <w:jc w:val="center"/>
                    <w:rPr>
                      <w:kern w:val="0"/>
                      <w:sz w:val="18"/>
                      <w:szCs w:val="18"/>
                    </w:rPr>
                  </w:pPr>
                  <w:r>
                    <w:rPr>
                      <w:rFonts w:hint="eastAsia"/>
                      <w:kern w:val="0"/>
                      <w:sz w:val="18"/>
                      <w:szCs w:val="18"/>
                    </w:rPr>
                    <w:t>C</w:t>
                  </w:r>
                  <w:r>
                    <w:rPr>
                      <w:rFonts w:hint="eastAsia"/>
                      <w:kern w:val="0"/>
                      <w:sz w:val="18"/>
                      <w:szCs w:val="18"/>
                      <w:vertAlign w:val="subscript"/>
                    </w:rPr>
                    <w:t>本项目</w:t>
                  </w:r>
                  <w:r>
                    <w:rPr>
                      <w:rFonts w:hint="eastAsia"/>
                      <w:kern w:val="0"/>
                      <w:sz w:val="18"/>
                      <w:szCs w:val="18"/>
                    </w:rPr>
                    <w:t>最大</w:t>
                  </w:r>
                  <w:r>
                    <w:rPr>
                      <w:kern w:val="0"/>
                      <w:sz w:val="18"/>
                      <w:szCs w:val="18"/>
                    </w:rPr>
                    <w:t>占标率</w:t>
                  </w:r>
                  <w:r>
                    <w:rPr>
                      <w:rFonts w:hint="eastAsia"/>
                      <w:kern w:val="0"/>
                      <w:sz w:val="18"/>
                      <w:szCs w:val="18"/>
                    </w:rPr>
                    <w:t>＞</w:t>
                  </w:r>
                  <w:r>
                    <w:rPr>
                      <w:kern w:val="0"/>
                      <w:sz w:val="18"/>
                      <w:szCs w:val="18"/>
                    </w:rPr>
                    <w:t>30%</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非正常</w:t>
                  </w:r>
                  <w:r>
                    <w:rPr>
                      <w:kern w:val="0"/>
                      <w:sz w:val="18"/>
                      <w:szCs w:val="18"/>
                    </w:rPr>
                    <w:t>排放</w:t>
                  </w:r>
                  <w:r>
                    <w:rPr>
                      <w:rFonts w:hint="eastAsia"/>
                      <w:kern w:val="0"/>
                      <w:sz w:val="18"/>
                      <w:szCs w:val="18"/>
                    </w:rPr>
                    <w:t>1h浓度</w:t>
                  </w:r>
                  <w:r>
                    <w:rPr>
                      <w:kern w:val="0"/>
                      <w:sz w:val="18"/>
                      <w:szCs w:val="18"/>
                    </w:rPr>
                    <w:t>贡献值</w:t>
                  </w:r>
                </w:p>
              </w:tc>
              <w:tc>
                <w:tcPr>
                  <w:tcW w:w="1276" w:type="dxa"/>
                  <w:gridSpan w:val="3"/>
                  <w:vAlign w:val="center"/>
                </w:tcPr>
                <w:p>
                  <w:pPr>
                    <w:autoSpaceDE w:val="0"/>
                    <w:autoSpaceDN w:val="0"/>
                    <w:adjustRightInd w:val="0"/>
                    <w:jc w:val="center"/>
                    <w:rPr>
                      <w:kern w:val="0"/>
                      <w:sz w:val="18"/>
                      <w:szCs w:val="18"/>
                    </w:rPr>
                  </w:pPr>
                  <w:r>
                    <w:rPr>
                      <w:rFonts w:hint="eastAsia"/>
                      <w:kern w:val="0"/>
                      <w:sz w:val="18"/>
                      <w:szCs w:val="18"/>
                    </w:rPr>
                    <w:t>非正常</w:t>
                  </w:r>
                  <w:r>
                    <w:rPr>
                      <w:kern w:val="0"/>
                      <w:sz w:val="18"/>
                      <w:szCs w:val="18"/>
                    </w:rPr>
                    <w:t>持续</w:t>
                  </w:r>
                  <w:r>
                    <w:rPr>
                      <w:rFonts w:hint="eastAsia"/>
                      <w:kern w:val="0"/>
                      <w:sz w:val="18"/>
                      <w:szCs w:val="18"/>
                    </w:rPr>
                    <w:t>时间</w:t>
                  </w:r>
                  <w:r>
                    <w:rPr>
                      <w:kern w:val="0"/>
                      <w:sz w:val="18"/>
                      <w:szCs w:val="18"/>
                    </w:rPr>
                    <w:t>（</w:t>
                  </w:r>
                  <w:r>
                    <w:rPr>
                      <w:rFonts w:hint="eastAsia"/>
                      <w:kern w:val="0"/>
                      <w:sz w:val="18"/>
                      <w:szCs w:val="18"/>
                    </w:rPr>
                    <w:t>0</w:t>
                  </w:r>
                  <w:r>
                    <w:rPr>
                      <w:kern w:val="0"/>
                      <w:sz w:val="18"/>
                      <w:szCs w:val="18"/>
                    </w:rPr>
                    <w:t>）</w:t>
                  </w:r>
                  <w:r>
                    <w:rPr>
                      <w:rFonts w:hint="eastAsia"/>
                      <w:kern w:val="0"/>
                      <w:sz w:val="18"/>
                      <w:szCs w:val="18"/>
                    </w:rPr>
                    <w:t>h</w:t>
                  </w:r>
                </w:p>
              </w:tc>
              <w:tc>
                <w:tcPr>
                  <w:tcW w:w="2293" w:type="dxa"/>
                  <w:gridSpan w:val="14"/>
                  <w:vAlign w:val="center"/>
                </w:tcPr>
                <w:p>
                  <w:pPr>
                    <w:autoSpaceDE w:val="0"/>
                    <w:autoSpaceDN w:val="0"/>
                    <w:adjustRightInd w:val="0"/>
                    <w:jc w:val="center"/>
                    <w:rPr>
                      <w:kern w:val="0"/>
                      <w:sz w:val="18"/>
                      <w:szCs w:val="18"/>
                    </w:rPr>
                  </w:pPr>
                  <w:r>
                    <w:rPr>
                      <w:rFonts w:hint="eastAsia"/>
                      <w:kern w:val="0"/>
                      <w:sz w:val="18"/>
                      <w:szCs w:val="18"/>
                    </w:rPr>
                    <w:t>C</w:t>
                  </w:r>
                  <w:r>
                    <w:rPr>
                      <w:rFonts w:hint="eastAsia"/>
                      <w:kern w:val="0"/>
                      <w:sz w:val="18"/>
                      <w:szCs w:val="18"/>
                      <w:vertAlign w:val="subscript"/>
                    </w:rPr>
                    <w:t>非正常</w:t>
                  </w:r>
                  <w:r>
                    <w:rPr>
                      <w:kern w:val="0"/>
                      <w:sz w:val="18"/>
                      <w:szCs w:val="18"/>
                    </w:rPr>
                    <w:t>占标率≤100%</w:t>
                  </w:r>
                  <w:r>
                    <w:rPr>
                      <w:rFonts w:hint="eastAsia"/>
                      <w:kern w:val="0"/>
                      <w:sz w:val="18"/>
                      <w:szCs w:val="18"/>
                    </w:rPr>
                    <w:t>□</w:t>
                  </w:r>
                </w:p>
              </w:tc>
              <w:tc>
                <w:tcPr>
                  <w:tcW w:w="2521" w:type="dxa"/>
                  <w:gridSpan w:val="9"/>
                  <w:vAlign w:val="center"/>
                </w:tcPr>
                <w:p>
                  <w:pPr>
                    <w:autoSpaceDE w:val="0"/>
                    <w:autoSpaceDN w:val="0"/>
                    <w:adjustRightInd w:val="0"/>
                    <w:jc w:val="center"/>
                    <w:rPr>
                      <w:kern w:val="0"/>
                      <w:sz w:val="18"/>
                      <w:szCs w:val="18"/>
                    </w:rPr>
                  </w:pPr>
                  <w:r>
                    <w:rPr>
                      <w:rFonts w:hint="eastAsia"/>
                      <w:kern w:val="0"/>
                      <w:sz w:val="18"/>
                      <w:szCs w:val="18"/>
                    </w:rPr>
                    <w:t>C</w:t>
                  </w:r>
                  <w:r>
                    <w:rPr>
                      <w:rFonts w:hint="eastAsia"/>
                      <w:kern w:val="0"/>
                      <w:sz w:val="18"/>
                      <w:szCs w:val="18"/>
                      <w:vertAlign w:val="subscript"/>
                    </w:rPr>
                    <w:t>非正常</w:t>
                  </w:r>
                  <w:r>
                    <w:rPr>
                      <w:rFonts w:hint="eastAsia"/>
                      <w:kern w:val="0"/>
                      <w:sz w:val="18"/>
                      <w:szCs w:val="18"/>
                    </w:rPr>
                    <w:t>最大</w:t>
                  </w:r>
                  <w:r>
                    <w:rPr>
                      <w:kern w:val="0"/>
                      <w:sz w:val="18"/>
                      <w:szCs w:val="18"/>
                    </w:rPr>
                    <w:t>占标率</w:t>
                  </w:r>
                  <w:r>
                    <w:rPr>
                      <w:rFonts w:hint="eastAsia"/>
                      <w:kern w:val="0"/>
                      <w:sz w:val="18"/>
                      <w:szCs w:val="18"/>
                    </w:rPr>
                    <w:t>＞</w:t>
                  </w:r>
                  <w:r>
                    <w:rPr>
                      <w:kern w:val="0"/>
                      <w:sz w:val="18"/>
                      <w:szCs w:val="18"/>
                    </w:rPr>
                    <w:t>100%</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保证率</w:t>
                  </w:r>
                  <w:r>
                    <w:rPr>
                      <w:kern w:val="0"/>
                      <w:sz w:val="18"/>
                      <w:szCs w:val="18"/>
                    </w:rPr>
                    <w:t>日平均浓度和年平均浓度</w:t>
                  </w:r>
                  <w:r>
                    <w:rPr>
                      <w:rFonts w:hint="eastAsia"/>
                      <w:kern w:val="0"/>
                      <w:sz w:val="18"/>
                      <w:szCs w:val="18"/>
                    </w:rPr>
                    <w:t>叠加值</w:t>
                  </w:r>
                </w:p>
              </w:tc>
              <w:tc>
                <w:tcPr>
                  <w:tcW w:w="3045" w:type="dxa"/>
                  <w:gridSpan w:val="13"/>
                  <w:vAlign w:val="center"/>
                </w:tcPr>
                <w:p>
                  <w:pPr>
                    <w:autoSpaceDE w:val="0"/>
                    <w:autoSpaceDN w:val="0"/>
                    <w:adjustRightInd w:val="0"/>
                    <w:jc w:val="center"/>
                    <w:rPr>
                      <w:kern w:val="0"/>
                      <w:sz w:val="18"/>
                      <w:szCs w:val="18"/>
                    </w:rPr>
                  </w:pPr>
                  <w:r>
                    <w:rPr>
                      <w:rFonts w:hint="eastAsia"/>
                      <w:kern w:val="0"/>
                      <w:sz w:val="18"/>
                      <w:szCs w:val="18"/>
                    </w:rPr>
                    <w:t>C</w:t>
                  </w:r>
                  <w:r>
                    <w:rPr>
                      <w:rFonts w:hint="eastAsia"/>
                      <w:kern w:val="0"/>
                      <w:sz w:val="18"/>
                      <w:szCs w:val="18"/>
                      <w:vertAlign w:val="subscript"/>
                    </w:rPr>
                    <w:t>叠加</w:t>
                  </w:r>
                  <w:r>
                    <w:rPr>
                      <w:rFonts w:hint="eastAsia"/>
                      <w:kern w:val="0"/>
                      <w:sz w:val="18"/>
                      <w:szCs w:val="18"/>
                    </w:rPr>
                    <w:t>达标■</w:t>
                  </w:r>
                </w:p>
              </w:tc>
              <w:tc>
                <w:tcPr>
                  <w:tcW w:w="3045" w:type="dxa"/>
                  <w:gridSpan w:val="13"/>
                  <w:vAlign w:val="center"/>
                </w:tcPr>
                <w:p>
                  <w:pPr>
                    <w:autoSpaceDE w:val="0"/>
                    <w:autoSpaceDN w:val="0"/>
                    <w:adjustRightInd w:val="0"/>
                    <w:jc w:val="center"/>
                    <w:rPr>
                      <w:kern w:val="0"/>
                      <w:sz w:val="18"/>
                      <w:szCs w:val="18"/>
                    </w:rPr>
                  </w:pPr>
                  <w:r>
                    <w:rPr>
                      <w:rFonts w:hint="eastAsia"/>
                      <w:kern w:val="0"/>
                      <w:sz w:val="18"/>
                      <w:szCs w:val="18"/>
                    </w:rPr>
                    <w:t>C</w:t>
                  </w:r>
                  <w:r>
                    <w:rPr>
                      <w:rFonts w:hint="eastAsia"/>
                      <w:kern w:val="0"/>
                      <w:sz w:val="18"/>
                      <w:szCs w:val="18"/>
                      <w:vertAlign w:val="subscript"/>
                    </w:rPr>
                    <w:t>叠加</w:t>
                  </w:r>
                  <w:r>
                    <w:rPr>
                      <w:rFonts w:hint="eastAsia"/>
                      <w:kern w:val="0"/>
                      <w:sz w:val="18"/>
                      <w:szCs w:val="18"/>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区域</w:t>
                  </w:r>
                  <w:r>
                    <w:rPr>
                      <w:kern w:val="0"/>
                      <w:sz w:val="18"/>
                      <w:szCs w:val="18"/>
                    </w:rPr>
                    <w:t>环境</w:t>
                  </w:r>
                  <w:r>
                    <w:rPr>
                      <w:rFonts w:hint="eastAsia"/>
                      <w:kern w:val="0"/>
                      <w:sz w:val="18"/>
                      <w:szCs w:val="18"/>
                    </w:rPr>
                    <w:t>质量</w:t>
                  </w:r>
                  <w:r>
                    <w:rPr>
                      <w:kern w:val="0"/>
                      <w:sz w:val="18"/>
                      <w:szCs w:val="18"/>
                    </w:rPr>
                    <w:t>整体变化情况</w:t>
                  </w:r>
                </w:p>
              </w:tc>
              <w:tc>
                <w:tcPr>
                  <w:tcW w:w="3045" w:type="dxa"/>
                  <w:gridSpan w:val="13"/>
                  <w:vAlign w:val="center"/>
                </w:tcPr>
                <w:p>
                  <w:pPr>
                    <w:autoSpaceDE w:val="0"/>
                    <w:autoSpaceDN w:val="0"/>
                    <w:adjustRightInd w:val="0"/>
                    <w:jc w:val="center"/>
                    <w:rPr>
                      <w:kern w:val="0"/>
                      <w:sz w:val="18"/>
                      <w:szCs w:val="18"/>
                    </w:rPr>
                  </w:pPr>
                  <w:r>
                    <w:rPr>
                      <w:kern w:val="0"/>
                      <w:sz w:val="18"/>
                      <w:szCs w:val="18"/>
                    </w:rPr>
                    <w:t>K</w:t>
                  </w:r>
                  <w:r>
                    <w:rPr>
                      <w:rFonts w:hint="eastAsia"/>
                      <w:kern w:val="0"/>
                      <w:sz w:val="18"/>
                      <w:szCs w:val="18"/>
                    </w:rPr>
                    <w:t>≤-20</w:t>
                  </w:r>
                  <w:r>
                    <w:rPr>
                      <w:kern w:val="0"/>
                      <w:sz w:val="18"/>
                      <w:szCs w:val="18"/>
                    </w:rPr>
                    <w:t>%</w:t>
                  </w:r>
                  <w:r>
                    <w:rPr>
                      <w:rFonts w:hint="eastAsia"/>
                      <w:kern w:val="0"/>
                      <w:sz w:val="18"/>
                      <w:szCs w:val="18"/>
                    </w:rPr>
                    <w:t>■</w:t>
                  </w:r>
                </w:p>
              </w:tc>
              <w:tc>
                <w:tcPr>
                  <w:tcW w:w="3045" w:type="dxa"/>
                  <w:gridSpan w:val="13"/>
                  <w:vAlign w:val="center"/>
                </w:tcPr>
                <w:p>
                  <w:pPr>
                    <w:autoSpaceDE w:val="0"/>
                    <w:autoSpaceDN w:val="0"/>
                    <w:adjustRightInd w:val="0"/>
                    <w:jc w:val="center"/>
                    <w:rPr>
                      <w:kern w:val="0"/>
                      <w:sz w:val="18"/>
                      <w:szCs w:val="18"/>
                    </w:rPr>
                  </w:pPr>
                  <w:r>
                    <w:rPr>
                      <w:kern w:val="0"/>
                      <w:sz w:val="18"/>
                      <w:szCs w:val="18"/>
                    </w:rPr>
                    <w:t>K</w:t>
                  </w:r>
                  <w:r>
                    <w:rPr>
                      <w:rFonts w:hint="eastAsia"/>
                      <w:kern w:val="0"/>
                      <w:sz w:val="18"/>
                      <w:szCs w:val="18"/>
                    </w:rPr>
                    <w:t>＞-20</w:t>
                  </w:r>
                  <w:r>
                    <w:rPr>
                      <w:kern w:val="0"/>
                      <w:sz w:val="18"/>
                      <w:szCs w:val="18"/>
                    </w:rPr>
                    <w:t>%</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restart"/>
                  <w:vAlign w:val="center"/>
                </w:tcPr>
                <w:p>
                  <w:pPr>
                    <w:autoSpaceDE w:val="0"/>
                    <w:autoSpaceDN w:val="0"/>
                    <w:adjustRightInd w:val="0"/>
                    <w:jc w:val="center"/>
                    <w:rPr>
                      <w:kern w:val="0"/>
                      <w:sz w:val="18"/>
                      <w:szCs w:val="18"/>
                    </w:rPr>
                  </w:pPr>
                  <w:r>
                    <w:rPr>
                      <w:rFonts w:hint="eastAsia"/>
                      <w:kern w:val="0"/>
                      <w:sz w:val="18"/>
                      <w:szCs w:val="18"/>
                    </w:rPr>
                    <w:t>环境监测</w:t>
                  </w:r>
                  <w:r>
                    <w:rPr>
                      <w:kern w:val="0"/>
                      <w:sz w:val="18"/>
                      <w:szCs w:val="18"/>
                    </w:rPr>
                    <w:t>计划</w:t>
                  </w:r>
                </w:p>
              </w:tc>
              <w:tc>
                <w:tcPr>
                  <w:tcW w:w="1559" w:type="dxa"/>
                  <w:vAlign w:val="center"/>
                </w:tcPr>
                <w:p>
                  <w:pPr>
                    <w:autoSpaceDE w:val="0"/>
                    <w:autoSpaceDN w:val="0"/>
                    <w:adjustRightInd w:val="0"/>
                    <w:jc w:val="center"/>
                    <w:rPr>
                      <w:kern w:val="0"/>
                      <w:sz w:val="18"/>
                      <w:szCs w:val="18"/>
                    </w:rPr>
                  </w:pPr>
                  <w:r>
                    <w:rPr>
                      <w:rFonts w:hint="eastAsia"/>
                      <w:kern w:val="0"/>
                      <w:sz w:val="18"/>
                      <w:szCs w:val="18"/>
                    </w:rPr>
                    <w:t>污染源</w:t>
                  </w:r>
                  <w:r>
                    <w:rPr>
                      <w:kern w:val="0"/>
                      <w:sz w:val="18"/>
                      <w:szCs w:val="18"/>
                    </w:rPr>
                    <w:t>监测</w:t>
                  </w:r>
                </w:p>
              </w:tc>
              <w:tc>
                <w:tcPr>
                  <w:tcW w:w="2551" w:type="dxa"/>
                  <w:gridSpan w:val="11"/>
                  <w:vAlign w:val="center"/>
                </w:tcPr>
                <w:p>
                  <w:pPr>
                    <w:autoSpaceDE w:val="0"/>
                    <w:autoSpaceDN w:val="0"/>
                    <w:adjustRightInd w:val="0"/>
                    <w:jc w:val="center"/>
                    <w:rPr>
                      <w:kern w:val="0"/>
                      <w:sz w:val="18"/>
                      <w:szCs w:val="18"/>
                    </w:rPr>
                  </w:pPr>
                  <w:r>
                    <w:rPr>
                      <w:rFonts w:hint="eastAsia"/>
                      <w:kern w:val="0"/>
                      <w:sz w:val="18"/>
                      <w:szCs w:val="18"/>
                    </w:rPr>
                    <w:t>监测</w:t>
                  </w:r>
                  <w:r>
                    <w:rPr>
                      <w:kern w:val="0"/>
                      <w:sz w:val="18"/>
                      <w:szCs w:val="18"/>
                    </w:rPr>
                    <w:t>因子</w:t>
                  </w:r>
                  <w:r>
                    <w:rPr>
                      <w:rFonts w:hint="eastAsia"/>
                      <w:kern w:val="0"/>
                      <w:sz w:val="18"/>
                      <w:szCs w:val="18"/>
                    </w:rPr>
                    <w:t>：（</w:t>
                  </w:r>
                  <w:r>
                    <w:rPr>
                      <w:kern w:val="0"/>
                      <w:sz w:val="18"/>
                      <w:szCs w:val="18"/>
                    </w:rPr>
                    <w:t>TSP</w:t>
                  </w:r>
                  <w:r>
                    <w:rPr>
                      <w:rFonts w:hint="eastAsia"/>
                      <w:kern w:val="0"/>
                      <w:sz w:val="18"/>
                      <w:szCs w:val="18"/>
                    </w:rPr>
                    <w:t>、PM</w:t>
                  </w:r>
                  <w:r>
                    <w:rPr>
                      <w:rFonts w:hint="eastAsia"/>
                      <w:kern w:val="0"/>
                      <w:sz w:val="18"/>
                      <w:szCs w:val="18"/>
                      <w:vertAlign w:val="subscript"/>
                    </w:rPr>
                    <w:t>10</w:t>
                  </w:r>
                  <w:r>
                    <w:rPr>
                      <w:rFonts w:hint="eastAsia"/>
                      <w:kern w:val="0"/>
                      <w:sz w:val="18"/>
                      <w:szCs w:val="18"/>
                    </w:rPr>
                    <w:t>）</w:t>
                  </w:r>
                </w:p>
              </w:tc>
              <w:tc>
                <w:tcPr>
                  <w:tcW w:w="2552" w:type="dxa"/>
                  <w:gridSpan w:val="14"/>
                  <w:vAlign w:val="center"/>
                </w:tcPr>
                <w:p>
                  <w:pPr>
                    <w:autoSpaceDE w:val="0"/>
                    <w:autoSpaceDN w:val="0"/>
                    <w:adjustRightInd w:val="0"/>
                    <w:jc w:val="center"/>
                    <w:rPr>
                      <w:kern w:val="0"/>
                      <w:sz w:val="18"/>
                      <w:szCs w:val="18"/>
                    </w:rPr>
                  </w:pPr>
                  <w:r>
                    <w:rPr>
                      <w:rFonts w:hint="eastAsia"/>
                      <w:kern w:val="0"/>
                      <w:sz w:val="18"/>
                      <w:szCs w:val="18"/>
                    </w:rPr>
                    <w:t>有组织</w:t>
                  </w:r>
                  <w:r>
                    <w:rPr>
                      <w:kern w:val="0"/>
                      <w:sz w:val="18"/>
                      <w:szCs w:val="18"/>
                    </w:rPr>
                    <w:t>废气监测</w:t>
                  </w:r>
                  <w:r>
                    <w:rPr>
                      <w:rFonts w:hint="eastAsia"/>
                      <w:kern w:val="0"/>
                      <w:sz w:val="18"/>
                      <w:szCs w:val="18"/>
                    </w:rPr>
                    <w:t>□</w:t>
                  </w:r>
                </w:p>
                <w:p>
                  <w:pPr>
                    <w:autoSpaceDE w:val="0"/>
                    <w:autoSpaceDN w:val="0"/>
                    <w:adjustRightInd w:val="0"/>
                    <w:jc w:val="center"/>
                    <w:rPr>
                      <w:kern w:val="0"/>
                      <w:sz w:val="18"/>
                      <w:szCs w:val="18"/>
                    </w:rPr>
                  </w:pPr>
                  <w:r>
                    <w:rPr>
                      <w:rFonts w:hint="eastAsia"/>
                      <w:kern w:val="0"/>
                      <w:sz w:val="18"/>
                      <w:szCs w:val="18"/>
                    </w:rPr>
                    <w:t>无组织</w:t>
                  </w:r>
                  <w:r>
                    <w:rPr>
                      <w:kern w:val="0"/>
                      <w:sz w:val="18"/>
                      <w:szCs w:val="18"/>
                    </w:rPr>
                    <w:t>废气监测</w:t>
                  </w:r>
                  <w:r>
                    <w:rPr>
                      <w:rFonts w:hint="eastAsia"/>
                      <w:kern w:val="0"/>
                      <w:sz w:val="18"/>
                      <w:szCs w:val="18"/>
                    </w:rPr>
                    <w:t>□</w:t>
                  </w:r>
                </w:p>
              </w:tc>
              <w:tc>
                <w:tcPr>
                  <w:tcW w:w="987" w:type="dxa"/>
                  <w:vAlign w:val="center"/>
                </w:tcPr>
                <w:p>
                  <w:pPr>
                    <w:autoSpaceDE w:val="0"/>
                    <w:autoSpaceDN w:val="0"/>
                    <w:adjustRightInd w:val="0"/>
                    <w:jc w:val="center"/>
                    <w:rPr>
                      <w:kern w:val="0"/>
                      <w:sz w:val="18"/>
                      <w:szCs w:val="18"/>
                    </w:rPr>
                  </w:pPr>
                  <w:r>
                    <w:rPr>
                      <w:rFonts w:hint="eastAsia"/>
                      <w:kern w:val="0"/>
                      <w:sz w:val="18"/>
                      <w:szCs w:val="18"/>
                    </w:rPr>
                    <w:t>无监测□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环境</w:t>
                  </w:r>
                  <w:r>
                    <w:rPr>
                      <w:kern w:val="0"/>
                      <w:sz w:val="18"/>
                      <w:szCs w:val="18"/>
                    </w:rPr>
                    <w:t>质量监测</w:t>
                  </w:r>
                </w:p>
              </w:tc>
              <w:tc>
                <w:tcPr>
                  <w:tcW w:w="2551" w:type="dxa"/>
                  <w:gridSpan w:val="11"/>
                  <w:vAlign w:val="center"/>
                </w:tcPr>
                <w:p>
                  <w:pPr>
                    <w:autoSpaceDE w:val="0"/>
                    <w:autoSpaceDN w:val="0"/>
                    <w:adjustRightInd w:val="0"/>
                    <w:jc w:val="center"/>
                    <w:rPr>
                      <w:kern w:val="0"/>
                      <w:sz w:val="18"/>
                      <w:szCs w:val="18"/>
                    </w:rPr>
                  </w:pPr>
                  <w:r>
                    <w:rPr>
                      <w:rFonts w:hint="eastAsia"/>
                      <w:kern w:val="0"/>
                      <w:sz w:val="18"/>
                      <w:szCs w:val="18"/>
                    </w:rPr>
                    <w:t>监测</w:t>
                  </w:r>
                  <w:r>
                    <w:rPr>
                      <w:kern w:val="0"/>
                      <w:sz w:val="18"/>
                      <w:szCs w:val="18"/>
                    </w:rPr>
                    <w:t>因子：（</w:t>
                  </w:r>
                  <w:r>
                    <w:rPr>
                      <w:rFonts w:hint="eastAsia"/>
                      <w:kern w:val="0"/>
                      <w:sz w:val="18"/>
                      <w:szCs w:val="18"/>
                    </w:rPr>
                    <w:t xml:space="preserve">          </w:t>
                  </w:r>
                  <w:r>
                    <w:rPr>
                      <w:kern w:val="0"/>
                      <w:sz w:val="18"/>
                      <w:szCs w:val="18"/>
                    </w:rPr>
                    <w:t>）</w:t>
                  </w:r>
                </w:p>
              </w:tc>
              <w:tc>
                <w:tcPr>
                  <w:tcW w:w="2552" w:type="dxa"/>
                  <w:gridSpan w:val="14"/>
                  <w:vAlign w:val="center"/>
                </w:tcPr>
                <w:p>
                  <w:pPr>
                    <w:autoSpaceDE w:val="0"/>
                    <w:autoSpaceDN w:val="0"/>
                    <w:adjustRightInd w:val="0"/>
                    <w:jc w:val="center"/>
                    <w:rPr>
                      <w:kern w:val="0"/>
                      <w:sz w:val="18"/>
                      <w:szCs w:val="18"/>
                    </w:rPr>
                  </w:pPr>
                  <w:r>
                    <w:rPr>
                      <w:rFonts w:hint="eastAsia"/>
                      <w:kern w:val="0"/>
                      <w:sz w:val="18"/>
                      <w:szCs w:val="18"/>
                    </w:rPr>
                    <w:t>监测</w:t>
                  </w:r>
                  <w:r>
                    <w:rPr>
                      <w:kern w:val="0"/>
                      <w:sz w:val="18"/>
                      <w:szCs w:val="18"/>
                    </w:rPr>
                    <w:t>点位数（</w:t>
                  </w:r>
                  <w:r>
                    <w:rPr>
                      <w:rFonts w:hint="eastAsia"/>
                      <w:kern w:val="0"/>
                      <w:sz w:val="18"/>
                      <w:szCs w:val="18"/>
                    </w:rPr>
                    <w:t xml:space="preserve">     </w:t>
                  </w:r>
                  <w:r>
                    <w:rPr>
                      <w:kern w:val="0"/>
                      <w:sz w:val="18"/>
                      <w:szCs w:val="18"/>
                    </w:rPr>
                    <w:t>）</w:t>
                  </w:r>
                </w:p>
              </w:tc>
              <w:tc>
                <w:tcPr>
                  <w:tcW w:w="987" w:type="dxa"/>
                  <w:vAlign w:val="center"/>
                </w:tcPr>
                <w:p>
                  <w:pPr>
                    <w:autoSpaceDE w:val="0"/>
                    <w:autoSpaceDN w:val="0"/>
                    <w:adjustRightInd w:val="0"/>
                    <w:jc w:val="center"/>
                    <w:rPr>
                      <w:kern w:val="0"/>
                      <w:sz w:val="18"/>
                      <w:szCs w:val="18"/>
                    </w:rPr>
                  </w:pPr>
                  <w:r>
                    <w:rPr>
                      <w:rFonts w:hint="eastAsia"/>
                      <w:kern w:val="0"/>
                      <w:sz w:val="18"/>
                      <w:szCs w:val="18"/>
                    </w:rPr>
                    <w:t>无监测■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restart"/>
                  <w:vAlign w:val="center"/>
                </w:tcPr>
                <w:p>
                  <w:pPr>
                    <w:autoSpaceDE w:val="0"/>
                    <w:autoSpaceDN w:val="0"/>
                    <w:adjustRightInd w:val="0"/>
                    <w:jc w:val="center"/>
                    <w:rPr>
                      <w:kern w:val="0"/>
                      <w:sz w:val="18"/>
                      <w:szCs w:val="18"/>
                    </w:rPr>
                  </w:pPr>
                  <w:r>
                    <w:rPr>
                      <w:rFonts w:hint="eastAsia"/>
                      <w:kern w:val="0"/>
                      <w:sz w:val="18"/>
                      <w:szCs w:val="18"/>
                    </w:rPr>
                    <w:t>评价</w:t>
                  </w:r>
                  <w:r>
                    <w:rPr>
                      <w:kern w:val="0"/>
                      <w:sz w:val="18"/>
                      <w:szCs w:val="18"/>
                    </w:rPr>
                    <w:t>结论</w:t>
                  </w:r>
                </w:p>
              </w:tc>
              <w:tc>
                <w:tcPr>
                  <w:tcW w:w="1559" w:type="dxa"/>
                  <w:vAlign w:val="center"/>
                </w:tcPr>
                <w:p>
                  <w:pPr>
                    <w:autoSpaceDE w:val="0"/>
                    <w:autoSpaceDN w:val="0"/>
                    <w:adjustRightInd w:val="0"/>
                    <w:jc w:val="center"/>
                    <w:rPr>
                      <w:kern w:val="0"/>
                      <w:sz w:val="18"/>
                      <w:szCs w:val="18"/>
                    </w:rPr>
                  </w:pPr>
                  <w:r>
                    <w:rPr>
                      <w:rFonts w:hint="eastAsia"/>
                      <w:kern w:val="0"/>
                      <w:sz w:val="18"/>
                      <w:szCs w:val="18"/>
                    </w:rPr>
                    <w:t>环境影响</w:t>
                  </w:r>
                </w:p>
              </w:tc>
              <w:tc>
                <w:tcPr>
                  <w:tcW w:w="6090" w:type="dxa"/>
                  <w:gridSpan w:val="26"/>
                  <w:vAlign w:val="center"/>
                </w:tcPr>
                <w:p>
                  <w:pPr>
                    <w:autoSpaceDE w:val="0"/>
                    <w:autoSpaceDN w:val="0"/>
                    <w:adjustRightInd w:val="0"/>
                    <w:jc w:val="center"/>
                    <w:rPr>
                      <w:kern w:val="0"/>
                      <w:sz w:val="18"/>
                      <w:szCs w:val="18"/>
                    </w:rPr>
                  </w:pPr>
                  <w:r>
                    <w:rPr>
                      <w:rFonts w:hint="eastAsia"/>
                      <w:kern w:val="0"/>
                      <w:sz w:val="18"/>
                      <w:szCs w:val="18"/>
                    </w:rPr>
                    <w:t>可以</w:t>
                  </w:r>
                  <w:r>
                    <w:rPr>
                      <w:kern w:val="0"/>
                      <w:sz w:val="18"/>
                      <w:szCs w:val="18"/>
                    </w:rPr>
                    <w:t>接受</w:t>
                  </w:r>
                  <w:r>
                    <w:rPr>
                      <w:rFonts w:hint="eastAsia"/>
                      <w:kern w:val="0"/>
                      <w:sz w:val="18"/>
                      <w:szCs w:val="18"/>
                    </w:rPr>
                    <w:t>■     不可以接受□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大气</w:t>
                  </w:r>
                  <w:r>
                    <w:rPr>
                      <w:kern w:val="0"/>
                      <w:sz w:val="18"/>
                      <w:szCs w:val="18"/>
                    </w:rPr>
                    <w:t>环境防护距离</w:t>
                  </w:r>
                </w:p>
              </w:tc>
              <w:tc>
                <w:tcPr>
                  <w:tcW w:w="6090" w:type="dxa"/>
                  <w:gridSpan w:val="26"/>
                  <w:vAlign w:val="center"/>
                </w:tcPr>
                <w:p>
                  <w:pPr>
                    <w:autoSpaceDE w:val="0"/>
                    <w:autoSpaceDN w:val="0"/>
                    <w:adjustRightInd w:val="0"/>
                    <w:jc w:val="center"/>
                    <w:rPr>
                      <w:kern w:val="0"/>
                      <w:sz w:val="18"/>
                      <w:szCs w:val="18"/>
                    </w:rPr>
                  </w:pPr>
                  <w:r>
                    <w:rPr>
                      <w:rFonts w:hint="eastAsia"/>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污染物年</w:t>
                  </w:r>
                  <w:r>
                    <w:rPr>
                      <w:kern w:val="0"/>
                      <w:sz w:val="18"/>
                      <w:szCs w:val="18"/>
                    </w:rPr>
                    <w:t>排放量</w:t>
                  </w:r>
                </w:p>
              </w:tc>
              <w:tc>
                <w:tcPr>
                  <w:tcW w:w="1522" w:type="dxa"/>
                  <w:gridSpan w:val="4"/>
                  <w:vAlign w:val="center"/>
                </w:tcPr>
                <w:p>
                  <w:pPr>
                    <w:autoSpaceDE w:val="0"/>
                    <w:autoSpaceDN w:val="0"/>
                    <w:adjustRightInd w:val="0"/>
                    <w:jc w:val="center"/>
                    <w:rPr>
                      <w:kern w:val="0"/>
                      <w:sz w:val="18"/>
                      <w:szCs w:val="18"/>
                    </w:rPr>
                  </w:pPr>
                  <w:r>
                    <w:rPr>
                      <w:rFonts w:hint="eastAsia"/>
                      <w:kern w:val="0"/>
                      <w:sz w:val="18"/>
                      <w:szCs w:val="18"/>
                    </w:rPr>
                    <w:t>SO</w:t>
                  </w:r>
                  <w:r>
                    <w:rPr>
                      <w:rFonts w:hint="eastAsia"/>
                      <w:kern w:val="0"/>
                      <w:sz w:val="18"/>
                      <w:szCs w:val="18"/>
                      <w:vertAlign w:val="subscript"/>
                    </w:rPr>
                    <w:t>2</w:t>
                  </w:r>
                  <w:r>
                    <w:rPr>
                      <w:rFonts w:hint="eastAsia"/>
                      <w:kern w:val="0"/>
                      <w:sz w:val="18"/>
                      <w:szCs w:val="18"/>
                    </w:rPr>
                    <w:t>：0</w:t>
                  </w:r>
                  <w:r>
                    <w:rPr>
                      <w:kern w:val="0"/>
                      <w:sz w:val="18"/>
                      <w:szCs w:val="18"/>
                    </w:rPr>
                    <w:t>t/a</w:t>
                  </w:r>
                </w:p>
              </w:tc>
              <w:tc>
                <w:tcPr>
                  <w:tcW w:w="1523" w:type="dxa"/>
                  <w:gridSpan w:val="9"/>
                  <w:vAlign w:val="center"/>
                </w:tcPr>
                <w:p>
                  <w:pPr>
                    <w:autoSpaceDE w:val="0"/>
                    <w:autoSpaceDN w:val="0"/>
                    <w:adjustRightInd w:val="0"/>
                    <w:jc w:val="center"/>
                    <w:rPr>
                      <w:kern w:val="0"/>
                      <w:sz w:val="18"/>
                      <w:szCs w:val="18"/>
                    </w:rPr>
                  </w:pPr>
                  <w:r>
                    <w:rPr>
                      <w:rFonts w:hint="eastAsia"/>
                      <w:kern w:val="0"/>
                      <w:sz w:val="18"/>
                      <w:szCs w:val="18"/>
                    </w:rPr>
                    <w:t>NOX：0t/a</w:t>
                  </w:r>
                </w:p>
              </w:tc>
              <w:tc>
                <w:tcPr>
                  <w:tcW w:w="1522" w:type="dxa"/>
                  <w:gridSpan w:val="9"/>
                  <w:vAlign w:val="center"/>
                </w:tcPr>
                <w:p>
                  <w:pPr>
                    <w:autoSpaceDE w:val="0"/>
                    <w:autoSpaceDN w:val="0"/>
                    <w:adjustRightInd w:val="0"/>
                    <w:jc w:val="center"/>
                    <w:rPr>
                      <w:kern w:val="0"/>
                      <w:sz w:val="18"/>
                      <w:szCs w:val="18"/>
                    </w:rPr>
                  </w:pPr>
                  <w:r>
                    <w:rPr>
                      <w:rFonts w:hint="eastAsia"/>
                      <w:kern w:val="0"/>
                      <w:sz w:val="18"/>
                      <w:szCs w:val="18"/>
                    </w:rPr>
                    <w:t>颗粒物</w:t>
                  </w:r>
                  <w:r>
                    <w:rPr>
                      <w:kern w:val="0"/>
                      <w:sz w:val="18"/>
                      <w:szCs w:val="18"/>
                    </w:rPr>
                    <w:t>：13.18t/a</w:t>
                  </w:r>
                </w:p>
              </w:tc>
              <w:tc>
                <w:tcPr>
                  <w:tcW w:w="1523" w:type="dxa"/>
                  <w:gridSpan w:val="4"/>
                  <w:vAlign w:val="center"/>
                </w:tcPr>
                <w:p>
                  <w:pPr>
                    <w:autoSpaceDE w:val="0"/>
                    <w:autoSpaceDN w:val="0"/>
                    <w:adjustRightInd w:val="0"/>
                    <w:jc w:val="center"/>
                    <w:rPr>
                      <w:kern w:val="0"/>
                      <w:sz w:val="18"/>
                      <w:szCs w:val="18"/>
                    </w:rPr>
                  </w:pPr>
                  <w:r>
                    <w:rPr>
                      <w:rFonts w:hint="eastAsia"/>
                      <w:kern w:val="0"/>
                      <w:sz w:val="18"/>
                      <w:szCs w:val="18"/>
                    </w:rPr>
                    <w:t>VOC</w:t>
                  </w:r>
                  <w:r>
                    <w:rPr>
                      <w:rFonts w:hint="eastAsia"/>
                      <w:kern w:val="0"/>
                      <w:sz w:val="18"/>
                      <w:szCs w:val="18"/>
                      <w:vertAlign w:val="subscript"/>
                    </w:rPr>
                    <w:t>S</w:t>
                  </w:r>
                  <w:r>
                    <w:rPr>
                      <w:rFonts w:hint="eastAsia"/>
                      <w:kern w:val="0"/>
                      <w:sz w:val="18"/>
                      <w:szCs w:val="18"/>
                    </w:rPr>
                    <w:t>：0</w:t>
                  </w:r>
                  <w:r>
                    <w:rPr>
                      <w:kern w:val="0"/>
                      <w:sz w:val="18"/>
                      <w:szCs w:val="18"/>
                    </w:rPr>
                    <w:t>t/a</w:t>
                  </w:r>
                </w:p>
              </w:tc>
            </w:tr>
          </w:tbl>
          <w:p>
            <w:pPr>
              <w:widowControl/>
              <w:spacing w:before="120" w:beforeLines="50" w:line="360" w:lineRule="auto"/>
              <w:ind w:firstLine="482" w:firstLineChars="200"/>
              <w:rPr>
                <w:b/>
                <w:kern w:val="0"/>
                <w:sz w:val="24"/>
                <w:szCs w:val="22"/>
              </w:rPr>
            </w:pPr>
            <w:r>
              <w:rPr>
                <w:b/>
                <w:kern w:val="0"/>
                <w:sz w:val="24"/>
                <w:szCs w:val="22"/>
              </w:rPr>
              <w:t>2、水环境影响分析</w:t>
            </w:r>
          </w:p>
          <w:p>
            <w:pPr>
              <w:spacing w:line="360" w:lineRule="auto"/>
              <w:ind w:firstLine="480" w:firstLineChars="200"/>
              <w:rPr>
                <w:sz w:val="24"/>
              </w:rPr>
            </w:pPr>
            <w:r>
              <w:rPr>
                <w:rFonts w:hint="eastAsia"/>
                <w:sz w:val="24"/>
              </w:rPr>
              <w:t>项目</w:t>
            </w:r>
            <w:r>
              <w:rPr>
                <w:sz w:val="24"/>
              </w:rPr>
              <w:t>运行期无废水排放，不会对周围环境造成影响。</w:t>
            </w:r>
          </w:p>
          <w:bookmarkEnd w:id="122"/>
          <w:bookmarkEnd w:id="123"/>
          <w:bookmarkEnd w:id="124"/>
          <w:p>
            <w:pPr>
              <w:widowControl/>
              <w:spacing w:line="360" w:lineRule="auto"/>
              <w:ind w:firstLine="482" w:firstLineChars="200"/>
              <w:rPr>
                <w:b/>
                <w:kern w:val="0"/>
                <w:sz w:val="24"/>
                <w:szCs w:val="22"/>
              </w:rPr>
            </w:pPr>
            <w:r>
              <w:rPr>
                <w:b/>
                <w:kern w:val="0"/>
                <w:sz w:val="24"/>
                <w:szCs w:val="22"/>
              </w:rPr>
              <w:t>3、声环境影响分析</w:t>
            </w:r>
          </w:p>
          <w:p>
            <w:pPr>
              <w:spacing w:line="360" w:lineRule="auto"/>
              <w:ind w:firstLine="480" w:firstLineChars="200"/>
              <w:rPr>
                <w:kern w:val="24"/>
                <w:sz w:val="24"/>
              </w:rPr>
            </w:pPr>
            <w:r>
              <w:rPr>
                <w:rFonts w:hint="eastAsia"/>
                <w:kern w:val="24"/>
                <w:sz w:val="24"/>
              </w:rPr>
              <w:t>技改</w:t>
            </w:r>
            <w:r>
              <w:rPr>
                <w:kern w:val="24"/>
                <w:sz w:val="24"/>
              </w:rPr>
              <w:t>项目完成后，</w:t>
            </w:r>
            <w:r>
              <w:rPr>
                <w:rFonts w:hint="eastAsia"/>
                <w:kern w:val="24"/>
                <w:sz w:val="24"/>
              </w:rPr>
              <w:t>新增噪声设备主要为消防泵房内的各种泵类，一般不运行，噪声环境影响较小。煤场现有噪声设备部分</w:t>
            </w:r>
            <w:r>
              <w:rPr>
                <w:kern w:val="24"/>
                <w:sz w:val="24"/>
              </w:rPr>
              <w:t>拆除，剩余部分</w:t>
            </w:r>
            <w:r>
              <w:rPr>
                <w:rFonts w:hint="eastAsia"/>
                <w:kern w:val="24"/>
                <w:sz w:val="24"/>
              </w:rPr>
              <w:t>封闭于全封闭煤场中，</w:t>
            </w:r>
            <w:r>
              <w:rPr>
                <w:kern w:val="24"/>
                <w:sz w:val="24"/>
              </w:rPr>
              <w:t>全封闭煤场具有</w:t>
            </w:r>
            <w:r>
              <w:rPr>
                <w:rFonts w:hint="eastAsia"/>
                <w:kern w:val="24"/>
                <w:sz w:val="24"/>
              </w:rPr>
              <w:t>隔声作用，由</w:t>
            </w:r>
            <w:r>
              <w:rPr>
                <w:kern w:val="24"/>
                <w:sz w:val="24"/>
              </w:rPr>
              <w:t>现状监测结果可知，技改项目完成后</w:t>
            </w:r>
            <w:r>
              <w:rPr>
                <w:rFonts w:hint="eastAsia"/>
                <w:kern w:val="24"/>
                <w:sz w:val="24"/>
              </w:rPr>
              <w:t>厂界噪声能达到《工业企业厂界环境噪声排放标准》（GB12348-2008）3类标准要求，对周围声环境产生影响较小。</w:t>
            </w:r>
          </w:p>
          <w:p>
            <w:pPr>
              <w:spacing w:line="360" w:lineRule="auto"/>
              <w:ind w:firstLine="482" w:firstLineChars="200"/>
              <w:rPr>
                <w:b/>
                <w:bCs/>
                <w:sz w:val="24"/>
              </w:rPr>
            </w:pPr>
            <w:r>
              <w:rPr>
                <w:b/>
                <w:bCs/>
                <w:sz w:val="24"/>
              </w:rPr>
              <w:t>4、固体废物影响分析</w:t>
            </w:r>
          </w:p>
          <w:p>
            <w:pPr>
              <w:spacing w:line="360" w:lineRule="auto"/>
              <w:ind w:firstLine="480" w:firstLineChars="200"/>
              <w:rPr>
                <w:kern w:val="24"/>
                <w:sz w:val="24"/>
              </w:rPr>
            </w:pPr>
            <w:r>
              <w:rPr>
                <w:rFonts w:hint="eastAsia"/>
                <w:kern w:val="24"/>
                <w:sz w:val="24"/>
              </w:rPr>
              <w:t>项目运营期无固体废物产生。</w:t>
            </w:r>
          </w:p>
          <w:p>
            <w:pPr>
              <w:spacing w:line="360" w:lineRule="auto"/>
              <w:ind w:firstLine="482" w:firstLineChars="200"/>
              <w:rPr>
                <w:b/>
                <w:bCs/>
                <w:sz w:val="24"/>
              </w:rPr>
            </w:pPr>
            <w:r>
              <w:rPr>
                <w:rFonts w:hint="eastAsia"/>
                <w:b/>
                <w:bCs/>
                <w:sz w:val="24"/>
              </w:rPr>
              <w:t>5</w:t>
            </w:r>
            <w:r>
              <w:rPr>
                <w:b/>
                <w:bCs/>
                <w:sz w:val="24"/>
              </w:rPr>
              <w:t>、</w:t>
            </w:r>
            <w:r>
              <w:rPr>
                <w:rFonts w:hint="eastAsia"/>
                <w:b/>
                <w:bCs/>
                <w:sz w:val="24"/>
              </w:rPr>
              <w:t>生态环境影响分析</w:t>
            </w:r>
          </w:p>
          <w:p>
            <w:pPr>
              <w:spacing w:line="360" w:lineRule="auto"/>
              <w:ind w:firstLine="480" w:firstLineChars="200"/>
              <w:rPr>
                <w:sz w:val="24"/>
              </w:rPr>
            </w:pPr>
            <w:r>
              <w:rPr>
                <w:rFonts w:hint="eastAsia"/>
                <w:sz w:val="24"/>
              </w:rPr>
              <w:t>本次技改项目完成储煤场的全封闭，项目建成后减少了煤尘的无组织排放，对周围生态环境将产生积极影响。</w:t>
            </w:r>
          </w:p>
          <w:p>
            <w:pPr>
              <w:spacing w:line="360" w:lineRule="auto"/>
              <w:ind w:firstLine="482" w:firstLineChars="200"/>
              <w:rPr>
                <w:b/>
                <w:bCs/>
                <w:sz w:val="24"/>
              </w:rPr>
            </w:pPr>
            <w:r>
              <w:rPr>
                <w:rFonts w:hint="eastAsia"/>
                <w:b/>
                <w:bCs/>
                <w:sz w:val="24"/>
              </w:rPr>
              <w:t>三、</w:t>
            </w:r>
            <w:r>
              <w:rPr>
                <w:b/>
                <w:bCs/>
                <w:sz w:val="24"/>
              </w:rPr>
              <w:t>污染源排放清单</w:t>
            </w:r>
          </w:p>
          <w:p>
            <w:pPr>
              <w:spacing w:line="360" w:lineRule="auto"/>
              <w:ind w:firstLine="480" w:firstLineChars="200"/>
              <w:rPr>
                <w:bCs/>
                <w:sz w:val="24"/>
              </w:rPr>
            </w:pPr>
            <w:r>
              <w:rPr>
                <w:rFonts w:hint="eastAsia"/>
                <w:bCs/>
                <w:sz w:val="24"/>
              </w:rPr>
              <w:t>项目污染源</w:t>
            </w:r>
            <w:r>
              <w:rPr>
                <w:bCs/>
                <w:sz w:val="24"/>
              </w:rPr>
              <w:t>排放清单见表</w:t>
            </w:r>
            <w:r>
              <w:rPr>
                <w:rFonts w:hint="eastAsia"/>
                <w:bCs/>
                <w:sz w:val="24"/>
              </w:rPr>
              <w:t>3</w:t>
            </w:r>
            <w:r>
              <w:rPr>
                <w:bCs/>
                <w:sz w:val="24"/>
              </w:rPr>
              <w:t>2</w:t>
            </w:r>
            <w:r>
              <w:rPr>
                <w:rFonts w:hint="eastAsia"/>
                <w:bCs/>
                <w:sz w:val="24"/>
              </w:rPr>
              <w:t>，</w:t>
            </w:r>
            <w:r>
              <w:rPr>
                <w:bCs/>
                <w:sz w:val="24"/>
              </w:rPr>
              <w:t>技改前后污染物排放</w:t>
            </w:r>
            <w:r>
              <w:rPr>
                <w:rFonts w:hint="eastAsia"/>
                <w:bCs/>
                <w:sz w:val="24"/>
              </w:rPr>
              <w:t>“三本账”见</w:t>
            </w:r>
            <w:r>
              <w:rPr>
                <w:bCs/>
                <w:sz w:val="24"/>
              </w:rPr>
              <w:t>表</w:t>
            </w:r>
            <w:r>
              <w:rPr>
                <w:rFonts w:hint="eastAsia"/>
                <w:bCs/>
                <w:sz w:val="24"/>
              </w:rPr>
              <w:t>33。</w:t>
            </w:r>
          </w:p>
          <w:p>
            <w:pPr>
              <w:jc w:val="center"/>
              <w:rPr>
                <w:b/>
                <w:bCs/>
                <w:szCs w:val="21"/>
              </w:rPr>
            </w:pPr>
            <w:r>
              <w:rPr>
                <w:b/>
                <w:bCs/>
                <w:szCs w:val="21"/>
              </w:rPr>
              <w:t>表</w:t>
            </w:r>
            <w:r>
              <w:rPr>
                <w:rFonts w:hint="eastAsia"/>
                <w:b/>
                <w:bCs/>
                <w:szCs w:val="21"/>
              </w:rPr>
              <w:t>3</w:t>
            </w:r>
            <w:r>
              <w:rPr>
                <w:b/>
                <w:bCs/>
                <w:szCs w:val="21"/>
              </w:rPr>
              <w:t>2     项目</w:t>
            </w:r>
            <w:r>
              <w:rPr>
                <w:rFonts w:hint="eastAsia"/>
                <w:b/>
                <w:bCs/>
                <w:szCs w:val="21"/>
              </w:rPr>
              <w:t>污染源排放</w:t>
            </w:r>
            <w:r>
              <w:rPr>
                <w:b/>
                <w:bCs/>
                <w:szCs w:val="21"/>
              </w:rPr>
              <w:t>清单</w:t>
            </w:r>
          </w:p>
          <w:tbl>
            <w:tblPr>
              <w:tblStyle w:val="39"/>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429"/>
              <w:gridCol w:w="1275"/>
              <w:gridCol w:w="994"/>
              <w:gridCol w:w="1983"/>
              <w:gridCol w:w="1560"/>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tblHeader/>
                <w:jc w:val="center"/>
              </w:trPr>
              <w:tc>
                <w:tcPr>
                  <w:tcW w:w="467" w:type="dxa"/>
                  <w:vAlign w:val="center"/>
                </w:tcPr>
                <w:p>
                  <w:pPr>
                    <w:spacing w:line="340" w:lineRule="exact"/>
                    <w:ind w:left="-105" w:right="-108"/>
                    <w:jc w:val="center"/>
                    <w:rPr>
                      <w:spacing w:val="-4"/>
                      <w:szCs w:val="21"/>
                    </w:rPr>
                  </w:pPr>
                  <w:r>
                    <w:rPr>
                      <w:spacing w:val="-4"/>
                      <w:szCs w:val="21"/>
                    </w:rPr>
                    <w:t>序号</w:t>
                  </w:r>
                </w:p>
              </w:tc>
              <w:tc>
                <w:tcPr>
                  <w:tcW w:w="1704" w:type="dxa"/>
                  <w:gridSpan w:val="2"/>
                  <w:vAlign w:val="center"/>
                </w:tcPr>
                <w:p>
                  <w:pPr>
                    <w:spacing w:line="340" w:lineRule="exact"/>
                    <w:jc w:val="center"/>
                    <w:rPr>
                      <w:szCs w:val="21"/>
                    </w:rPr>
                  </w:pPr>
                  <w:r>
                    <w:rPr>
                      <w:szCs w:val="21"/>
                    </w:rPr>
                    <w:t>污染源</w:t>
                  </w:r>
                </w:p>
              </w:tc>
              <w:tc>
                <w:tcPr>
                  <w:tcW w:w="994" w:type="dxa"/>
                  <w:vAlign w:val="center"/>
                </w:tcPr>
                <w:p>
                  <w:pPr>
                    <w:spacing w:line="340" w:lineRule="exact"/>
                    <w:jc w:val="center"/>
                    <w:rPr>
                      <w:szCs w:val="21"/>
                    </w:rPr>
                  </w:pPr>
                  <w:r>
                    <w:rPr>
                      <w:rFonts w:hint="eastAsia"/>
                      <w:szCs w:val="21"/>
                    </w:rPr>
                    <w:t>污染物</w:t>
                  </w:r>
                </w:p>
              </w:tc>
              <w:tc>
                <w:tcPr>
                  <w:tcW w:w="1983" w:type="dxa"/>
                  <w:vAlign w:val="center"/>
                </w:tcPr>
                <w:p>
                  <w:pPr>
                    <w:spacing w:line="340" w:lineRule="exact"/>
                    <w:jc w:val="center"/>
                    <w:rPr>
                      <w:spacing w:val="-6"/>
                      <w:szCs w:val="21"/>
                    </w:rPr>
                  </w:pPr>
                  <w:r>
                    <w:rPr>
                      <w:rFonts w:hint="eastAsia"/>
                      <w:spacing w:val="-6"/>
                      <w:szCs w:val="21"/>
                    </w:rPr>
                    <w:t>污染物</w:t>
                  </w:r>
                  <w:r>
                    <w:rPr>
                      <w:spacing w:val="-6"/>
                      <w:szCs w:val="21"/>
                    </w:rPr>
                    <w:t>排放</w:t>
                  </w:r>
                </w:p>
              </w:tc>
              <w:tc>
                <w:tcPr>
                  <w:tcW w:w="1560" w:type="dxa"/>
                  <w:vAlign w:val="center"/>
                </w:tcPr>
                <w:p>
                  <w:pPr>
                    <w:spacing w:line="340" w:lineRule="exact"/>
                    <w:jc w:val="center"/>
                    <w:rPr>
                      <w:szCs w:val="21"/>
                    </w:rPr>
                  </w:pPr>
                  <w:r>
                    <w:rPr>
                      <w:rFonts w:hint="eastAsia"/>
                      <w:szCs w:val="21"/>
                    </w:rPr>
                    <w:t>主要</w:t>
                  </w:r>
                  <w:r>
                    <w:rPr>
                      <w:szCs w:val="21"/>
                    </w:rPr>
                    <w:t>环保</w:t>
                  </w:r>
                  <w:r>
                    <w:rPr>
                      <w:rFonts w:hint="eastAsia"/>
                      <w:szCs w:val="21"/>
                    </w:rPr>
                    <w:t>措施</w:t>
                  </w:r>
                </w:p>
              </w:tc>
              <w:tc>
                <w:tcPr>
                  <w:tcW w:w="2123" w:type="dxa"/>
                  <w:vAlign w:val="center"/>
                </w:tcPr>
                <w:p>
                  <w:pPr>
                    <w:spacing w:line="340" w:lineRule="exact"/>
                    <w:jc w:val="center"/>
                    <w:rPr>
                      <w:szCs w:val="21"/>
                    </w:rPr>
                  </w:pPr>
                  <w:r>
                    <w:rPr>
                      <w:rFonts w:hint="eastAsia"/>
                      <w:szCs w:val="21"/>
                    </w:rPr>
                    <w:t>排放</w:t>
                  </w:r>
                  <w:r>
                    <w:rPr>
                      <w:szCs w:val="21"/>
                    </w:rPr>
                    <w:t>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467" w:type="dxa"/>
                  <w:vMerge w:val="restart"/>
                  <w:vAlign w:val="center"/>
                </w:tcPr>
                <w:p>
                  <w:pPr>
                    <w:jc w:val="center"/>
                    <w:rPr>
                      <w:szCs w:val="21"/>
                    </w:rPr>
                  </w:pPr>
                  <w:r>
                    <w:rPr>
                      <w:szCs w:val="21"/>
                    </w:rPr>
                    <w:t>1</w:t>
                  </w:r>
                </w:p>
              </w:tc>
              <w:tc>
                <w:tcPr>
                  <w:tcW w:w="429" w:type="dxa"/>
                  <w:vMerge w:val="restart"/>
                  <w:vAlign w:val="center"/>
                </w:tcPr>
                <w:p>
                  <w:pPr>
                    <w:spacing w:line="280" w:lineRule="exact"/>
                    <w:jc w:val="center"/>
                    <w:rPr>
                      <w:szCs w:val="21"/>
                    </w:rPr>
                  </w:pPr>
                  <w:r>
                    <w:rPr>
                      <w:rFonts w:hint="eastAsia"/>
                      <w:szCs w:val="21"/>
                    </w:rPr>
                    <w:t>大气污染物</w:t>
                  </w:r>
                </w:p>
              </w:tc>
              <w:tc>
                <w:tcPr>
                  <w:tcW w:w="1275" w:type="dxa"/>
                  <w:vAlign w:val="center"/>
                </w:tcPr>
                <w:p>
                  <w:pPr>
                    <w:spacing w:line="340" w:lineRule="exact"/>
                    <w:jc w:val="center"/>
                    <w:rPr>
                      <w:szCs w:val="21"/>
                    </w:rPr>
                  </w:pPr>
                  <w:r>
                    <w:rPr>
                      <w:rFonts w:hint="eastAsia"/>
                      <w:szCs w:val="21"/>
                    </w:rPr>
                    <w:t>煤场</w:t>
                  </w:r>
                </w:p>
              </w:tc>
              <w:tc>
                <w:tcPr>
                  <w:tcW w:w="994" w:type="dxa"/>
                  <w:vAlign w:val="center"/>
                </w:tcPr>
                <w:p>
                  <w:pPr>
                    <w:spacing w:line="340" w:lineRule="exact"/>
                    <w:jc w:val="center"/>
                    <w:rPr>
                      <w:szCs w:val="21"/>
                    </w:rPr>
                  </w:pPr>
                  <w:r>
                    <w:rPr>
                      <w:rFonts w:hint="eastAsia"/>
                      <w:szCs w:val="21"/>
                    </w:rPr>
                    <w:t>粉尘</w:t>
                  </w:r>
                </w:p>
              </w:tc>
              <w:tc>
                <w:tcPr>
                  <w:tcW w:w="1983" w:type="dxa"/>
                  <w:vAlign w:val="center"/>
                </w:tcPr>
                <w:p>
                  <w:pPr>
                    <w:spacing w:line="340" w:lineRule="exact"/>
                    <w:jc w:val="center"/>
                    <w:rPr>
                      <w:szCs w:val="21"/>
                    </w:rPr>
                  </w:pPr>
                  <w:r>
                    <w:rPr>
                      <w:szCs w:val="21"/>
                    </w:rPr>
                    <w:t>13.18</w:t>
                  </w:r>
                  <w:r>
                    <w:rPr>
                      <w:rFonts w:hint="eastAsia"/>
                      <w:szCs w:val="21"/>
                    </w:rPr>
                    <w:t>t/a</w:t>
                  </w:r>
                </w:p>
              </w:tc>
              <w:tc>
                <w:tcPr>
                  <w:tcW w:w="1560" w:type="dxa"/>
                  <w:vAlign w:val="center"/>
                </w:tcPr>
                <w:p>
                  <w:pPr>
                    <w:spacing w:line="340" w:lineRule="exact"/>
                    <w:jc w:val="center"/>
                    <w:rPr>
                      <w:szCs w:val="21"/>
                    </w:rPr>
                  </w:pPr>
                  <w:r>
                    <w:rPr>
                      <w:rFonts w:hint="eastAsia"/>
                      <w:szCs w:val="21"/>
                    </w:rPr>
                    <w:t>全封闭煤场、洒水降尘</w:t>
                  </w:r>
                </w:p>
              </w:tc>
              <w:tc>
                <w:tcPr>
                  <w:tcW w:w="2123" w:type="dxa"/>
                  <w:vMerge w:val="restart"/>
                  <w:vAlign w:val="center"/>
                </w:tcPr>
                <w:p>
                  <w:pPr>
                    <w:spacing w:line="280" w:lineRule="exact"/>
                    <w:jc w:val="center"/>
                    <w:rPr>
                      <w:szCs w:val="21"/>
                    </w:rPr>
                  </w:pPr>
                  <w:r>
                    <w:rPr>
                      <w:szCs w:val="21"/>
                    </w:rPr>
                    <w:t>《大气污染物</w:t>
                  </w:r>
                  <w:r>
                    <w:rPr>
                      <w:rFonts w:hint="eastAsia"/>
                      <w:szCs w:val="21"/>
                    </w:rPr>
                    <w:t>综合</w:t>
                  </w:r>
                  <w:r>
                    <w:rPr>
                      <w:szCs w:val="21"/>
                    </w:rPr>
                    <w:t>排放标准》</w:t>
                  </w:r>
                  <w:r>
                    <w:rPr>
                      <w:rFonts w:hint="eastAsia"/>
                      <w:szCs w:val="21"/>
                    </w:rPr>
                    <w:t>（</w:t>
                  </w:r>
                  <w:r>
                    <w:rPr>
                      <w:szCs w:val="21"/>
                    </w:rPr>
                    <w:t>GB16297-1996</w:t>
                  </w:r>
                  <w:r>
                    <w:rPr>
                      <w:rFonts w:hint="eastAsia"/>
                      <w:szCs w:val="21"/>
                    </w:rPr>
                    <w:t>）</w:t>
                  </w:r>
                  <w:r>
                    <w:rPr>
                      <w:szCs w:val="21"/>
                    </w:rPr>
                    <w:t>表2标准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467" w:type="dxa"/>
                  <w:vMerge w:val="continue"/>
                  <w:vAlign w:val="center"/>
                </w:tcPr>
                <w:p>
                  <w:pPr>
                    <w:jc w:val="center"/>
                    <w:rPr>
                      <w:szCs w:val="21"/>
                    </w:rPr>
                  </w:pPr>
                </w:p>
              </w:tc>
              <w:tc>
                <w:tcPr>
                  <w:tcW w:w="429" w:type="dxa"/>
                  <w:vMerge w:val="continue"/>
                  <w:vAlign w:val="center"/>
                </w:tcPr>
                <w:p>
                  <w:pPr>
                    <w:spacing w:line="280" w:lineRule="exact"/>
                    <w:jc w:val="center"/>
                    <w:rPr>
                      <w:szCs w:val="21"/>
                    </w:rPr>
                  </w:pPr>
                </w:p>
              </w:tc>
              <w:tc>
                <w:tcPr>
                  <w:tcW w:w="1275" w:type="dxa"/>
                  <w:vAlign w:val="center"/>
                </w:tcPr>
                <w:p>
                  <w:pPr>
                    <w:spacing w:line="340" w:lineRule="exact"/>
                    <w:jc w:val="center"/>
                    <w:rPr>
                      <w:szCs w:val="21"/>
                    </w:rPr>
                  </w:pPr>
                  <w:r>
                    <w:rPr>
                      <w:rFonts w:hint="eastAsia"/>
                      <w:szCs w:val="21"/>
                    </w:rPr>
                    <w:t>运输道路</w:t>
                  </w:r>
                </w:p>
              </w:tc>
              <w:tc>
                <w:tcPr>
                  <w:tcW w:w="994" w:type="dxa"/>
                  <w:vAlign w:val="center"/>
                </w:tcPr>
                <w:p>
                  <w:pPr>
                    <w:adjustRightInd w:val="0"/>
                    <w:snapToGrid w:val="0"/>
                    <w:spacing w:line="264" w:lineRule="exact"/>
                    <w:jc w:val="center"/>
                    <w:rPr>
                      <w:szCs w:val="21"/>
                    </w:rPr>
                  </w:pPr>
                  <w:r>
                    <w:rPr>
                      <w:rFonts w:hint="eastAsia"/>
                      <w:szCs w:val="21"/>
                    </w:rPr>
                    <w:t>扬尘</w:t>
                  </w:r>
                </w:p>
              </w:tc>
              <w:tc>
                <w:tcPr>
                  <w:tcW w:w="1983" w:type="dxa"/>
                  <w:vAlign w:val="center"/>
                </w:tcPr>
                <w:p>
                  <w:pPr>
                    <w:adjustRightInd w:val="0"/>
                    <w:snapToGrid w:val="0"/>
                    <w:spacing w:line="264" w:lineRule="exact"/>
                    <w:jc w:val="center"/>
                    <w:rPr>
                      <w:szCs w:val="21"/>
                    </w:rPr>
                  </w:pPr>
                  <w:r>
                    <w:rPr>
                      <w:rFonts w:hint="eastAsia"/>
                      <w:bCs/>
                      <w:szCs w:val="21"/>
                    </w:rPr>
                    <w:t>少量</w:t>
                  </w:r>
                </w:p>
              </w:tc>
              <w:tc>
                <w:tcPr>
                  <w:tcW w:w="1560" w:type="dxa"/>
                  <w:vAlign w:val="center"/>
                </w:tcPr>
                <w:p>
                  <w:pPr>
                    <w:spacing w:line="340" w:lineRule="exact"/>
                    <w:jc w:val="center"/>
                    <w:rPr>
                      <w:szCs w:val="21"/>
                    </w:rPr>
                  </w:pPr>
                  <w:r>
                    <w:rPr>
                      <w:rFonts w:hint="eastAsia"/>
                      <w:szCs w:val="21"/>
                    </w:rPr>
                    <w:t>道路硬化</w:t>
                  </w:r>
                  <w:r>
                    <w:rPr>
                      <w:szCs w:val="21"/>
                    </w:rPr>
                    <w:t>、</w:t>
                  </w:r>
                  <w:r>
                    <w:rPr>
                      <w:rFonts w:hint="eastAsia"/>
                      <w:szCs w:val="21"/>
                    </w:rPr>
                    <w:t>洒水降尘、</w:t>
                  </w:r>
                  <w:r>
                    <w:rPr>
                      <w:szCs w:val="21"/>
                    </w:rPr>
                    <w:t>定期清洗</w:t>
                  </w:r>
                  <w:r>
                    <w:rPr>
                      <w:rFonts w:hint="eastAsia"/>
                      <w:szCs w:val="21"/>
                    </w:rPr>
                    <w:t>等</w:t>
                  </w:r>
                </w:p>
              </w:tc>
              <w:tc>
                <w:tcPr>
                  <w:tcW w:w="2123" w:type="dxa"/>
                  <w:vMerge w:val="continue"/>
                  <w:vAlign w:val="center"/>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467" w:type="dxa"/>
                  <w:vAlign w:val="center"/>
                </w:tcPr>
                <w:p>
                  <w:pPr>
                    <w:jc w:val="center"/>
                    <w:rPr>
                      <w:szCs w:val="21"/>
                    </w:rPr>
                  </w:pPr>
                  <w:r>
                    <w:rPr>
                      <w:rFonts w:hint="eastAsia"/>
                      <w:szCs w:val="21"/>
                    </w:rPr>
                    <w:t>2</w:t>
                  </w:r>
                </w:p>
              </w:tc>
              <w:tc>
                <w:tcPr>
                  <w:tcW w:w="429" w:type="dxa"/>
                  <w:vAlign w:val="center"/>
                </w:tcPr>
                <w:p>
                  <w:pPr>
                    <w:spacing w:line="280" w:lineRule="exact"/>
                    <w:jc w:val="center"/>
                    <w:rPr>
                      <w:szCs w:val="21"/>
                    </w:rPr>
                  </w:pPr>
                  <w:r>
                    <w:rPr>
                      <w:rFonts w:hint="eastAsia"/>
                      <w:szCs w:val="21"/>
                    </w:rPr>
                    <w:t>水污染物</w:t>
                  </w:r>
                </w:p>
              </w:tc>
              <w:tc>
                <w:tcPr>
                  <w:tcW w:w="1275" w:type="dxa"/>
                  <w:vAlign w:val="center"/>
                </w:tcPr>
                <w:p>
                  <w:pPr>
                    <w:spacing w:line="340" w:lineRule="exact"/>
                    <w:jc w:val="center"/>
                    <w:rPr>
                      <w:szCs w:val="21"/>
                    </w:rPr>
                  </w:pPr>
                  <w:r>
                    <w:rPr>
                      <w:rFonts w:hint="eastAsia"/>
                      <w:szCs w:val="21"/>
                    </w:rPr>
                    <w:t>/</w:t>
                  </w:r>
                </w:p>
              </w:tc>
              <w:tc>
                <w:tcPr>
                  <w:tcW w:w="994" w:type="dxa"/>
                  <w:vAlign w:val="center"/>
                </w:tcPr>
                <w:p>
                  <w:pPr>
                    <w:topLinePunct/>
                    <w:adjustRightInd w:val="0"/>
                    <w:snapToGrid w:val="0"/>
                    <w:spacing w:line="264" w:lineRule="exact"/>
                    <w:jc w:val="center"/>
                    <w:rPr>
                      <w:szCs w:val="21"/>
                    </w:rPr>
                  </w:pPr>
                  <w:r>
                    <w:rPr>
                      <w:rFonts w:hint="eastAsia"/>
                      <w:szCs w:val="21"/>
                    </w:rPr>
                    <w:t>/</w:t>
                  </w:r>
                </w:p>
              </w:tc>
              <w:tc>
                <w:tcPr>
                  <w:tcW w:w="1983" w:type="dxa"/>
                  <w:vAlign w:val="center"/>
                </w:tcPr>
                <w:p>
                  <w:pPr>
                    <w:spacing w:line="340" w:lineRule="exact"/>
                    <w:jc w:val="center"/>
                    <w:rPr>
                      <w:szCs w:val="21"/>
                    </w:rPr>
                  </w:pPr>
                  <w:r>
                    <w:rPr>
                      <w:rFonts w:hint="eastAsia"/>
                      <w:szCs w:val="21"/>
                    </w:rPr>
                    <w:t>/</w:t>
                  </w:r>
                </w:p>
              </w:tc>
              <w:tc>
                <w:tcPr>
                  <w:tcW w:w="1560" w:type="dxa"/>
                  <w:vAlign w:val="center"/>
                </w:tcPr>
                <w:p>
                  <w:pPr>
                    <w:spacing w:line="340" w:lineRule="exact"/>
                    <w:jc w:val="center"/>
                    <w:rPr>
                      <w:szCs w:val="21"/>
                    </w:rPr>
                  </w:pPr>
                  <w:r>
                    <w:rPr>
                      <w:rFonts w:hint="eastAsia"/>
                      <w:szCs w:val="21"/>
                    </w:rPr>
                    <w:t>/</w:t>
                  </w:r>
                </w:p>
              </w:tc>
              <w:tc>
                <w:tcPr>
                  <w:tcW w:w="2123" w:type="dxa"/>
                  <w:vAlign w:val="center"/>
                </w:tcPr>
                <w:p>
                  <w:pPr>
                    <w:spacing w:line="280" w:lineRule="exact"/>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467" w:type="dxa"/>
                  <w:vAlign w:val="center"/>
                </w:tcPr>
                <w:p>
                  <w:pPr>
                    <w:jc w:val="center"/>
                    <w:rPr>
                      <w:szCs w:val="21"/>
                    </w:rPr>
                  </w:pPr>
                  <w:r>
                    <w:rPr>
                      <w:rFonts w:hint="eastAsia"/>
                      <w:szCs w:val="21"/>
                    </w:rPr>
                    <w:t>3</w:t>
                  </w:r>
                </w:p>
              </w:tc>
              <w:tc>
                <w:tcPr>
                  <w:tcW w:w="429" w:type="dxa"/>
                  <w:vAlign w:val="center"/>
                </w:tcPr>
                <w:p>
                  <w:pPr>
                    <w:spacing w:line="280" w:lineRule="exact"/>
                    <w:jc w:val="center"/>
                    <w:rPr>
                      <w:szCs w:val="21"/>
                    </w:rPr>
                  </w:pPr>
                  <w:r>
                    <w:rPr>
                      <w:szCs w:val="21"/>
                    </w:rPr>
                    <w:t>噪</w:t>
                  </w:r>
                </w:p>
                <w:p>
                  <w:pPr>
                    <w:spacing w:line="280" w:lineRule="exact"/>
                    <w:jc w:val="center"/>
                    <w:rPr>
                      <w:szCs w:val="21"/>
                    </w:rPr>
                  </w:pPr>
                  <w:r>
                    <w:rPr>
                      <w:szCs w:val="21"/>
                    </w:rPr>
                    <w:t>声</w:t>
                  </w:r>
                </w:p>
              </w:tc>
              <w:tc>
                <w:tcPr>
                  <w:tcW w:w="1275" w:type="dxa"/>
                  <w:vAlign w:val="center"/>
                </w:tcPr>
                <w:p>
                  <w:pPr>
                    <w:spacing w:line="340" w:lineRule="exact"/>
                    <w:jc w:val="center"/>
                    <w:rPr>
                      <w:szCs w:val="21"/>
                    </w:rPr>
                  </w:pPr>
                  <w:r>
                    <w:rPr>
                      <w:rFonts w:hint="eastAsia"/>
                      <w:szCs w:val="21"/>
                    </w:rPr>
                    <w:t>斗轮机、</w:t>
                  </w:r>
                  <w:r>
                    <w:rPr>
                      <w:szCs w:val="21"/>
                    </w:rPr>
                    <w:t>皮带输送机</w:t>
                  </w:r>
                  <w:r>
                    <w:rPr>
                      <w:rFonts w:hint="eastAsia"/>
                      <w:szCs w:val="21"/>
                    </w:rPr>
                    <w:t>、</w:t>
                  </w:r>
                  <w:r>
                    <w:rPr>
                      <w:szCs w:val="21"/>
                    </w:rPr>
                    <w:t>推土机</w:t>
                  </w:r>
                  <w:r>
                    <w:rPr>
                      <w:rFonts w:hint="eastAsia"/>
                      <w:szCs w:val="21"/>
                    </w:rPr>
                    <w:t>等</w:t>
                  </w:r>
                </w:p>
              </w:tc>
              <w:tc>
                <w:tcPr>
                  <w:tcW w:w="994" w:type="dxa"/>
                  <w:vAlign w:val="center"/>
                </w:tcPr>
                <w:p>
                  <w:pPr>
                    <w:spacing w:line="340" w:lineRule="exact"/>
                    <w:jc w:val="center"/>
                    <w:rPr>
                      <w:szCs w:val="21"/>
                    </w:rPr>
                  </w:pPr>
                  <w:r>
                    <w:rPr>
                      <w:rFonts w:hint="eastAsia"/>
                      <w:szCs w:val="21"/>
                    </w:rPr>
                    <w:t>等效连续A声级</w:t>
                  </w:r>
                </w:p>
              </w:tc>
              <w:tc>
                <w:tcPr>
                  <w:tcW w:w="1983" w:type="dxa"/>
                  <w:vAlign w:val="center"/>
                </w:tcPr>
                <w:p>
                  <w:pPr>
                    <w:spacing w:line="340" w:lineRule="exact"/>
                    <w:jc w:val="center"/>
                    <w:rPr>
                      <w:szCs w:val="21"/>
                    </w:rPr>
                  </w:pPr>
                  <w:r>
                    <w:rPr>
                      <w:szCs w:val="21"/>
                    </w:rPr>
                    <w:t>75</w:t>
                  </w:r>
                  <w:r>
                    <w:rPr>
                      <w:rFonts w:hint="eastAsia"/>
                      <w:szCs w:val="21"/>
                    </w:rPr>
                    <w:t>～</w:t>
                  </w:r>
                  <w:r>
                    <w:rPr>
                      <w:szCs w:val="21"/>
                    </w:rPr>
                    <w:t>90</w:t>
                  </w:r>
                  <w:r>
                    <w:rPr>
                      <w:rFonts w:hint="eastAsia"/>
                      <w:szCs w:val="21"/>
                    </w:rPr>
                    <w:t>dB(</w:t>
                  </w:r>
                  <w:r>
                    <w:rPr>
                      <w:szCs w:val="21"/>
                    </w:rPr>
                    <w:t>A</w:t>
                  </w:r>
                  <w:r>
                    <w:rPr>
                      <w:rFonts w:hint="eastAsia"/>
                      <w:szCs w:val="21"/>
                    </w:rPr>
                    <w:t>)</w:t>
                  </w:r>
                </w:p>
              </w:tc>
              <w:tc>
                <w:tcPr>
                  <w:tcW w:w="1560" w:type="dxa"/>
                  <w:vAlign w:val="center"/>
                </w:tcPr>
                <w:p>
                  <w:pPr>
                    <w:spacing w:line="340" w:lineRule="exact"/>
                    <w:jc w:val="center"/>
                    <w:rPr>
                      <w:spacing w:val="-8"/>
                      <w:szCs w:val="21"/>
                    </w:rPr>
                  </w:pPr>
                  <w:r>
                    <w:rPr>
                      <w:rFonts w:hint="eastAsia"/>
                      <w:szCs w:val="21"/>
                    </w:rPr>
                    <w:t>厂房隔声</w:t>
                  </w:r>
                </w:p>
              </w:tc>
              <w:tc>
                <w:tcPr>
                  <w:tcW w:w="2123" w:type="dxa"/>
                  <w:vAlign w:val="center"/>
                </w:tcPr>
                <w:p>
                  <w:pPr>
                    <w:spacing w:line="280" w:lineRule="exact"/>
                    <w:jc w:val="center"/>
                    <w:rPr>
                      <w:szCs w:val="21"/>
                    </w:rPr>
                  </w:pPr>
                  <w:r>
                    <w:rPr>
                      <w:szCs w:val="21"/>
                    </w:rPr>
                    <w:t>《工业企业厂界环境噪声标准》（GB12348-2008）中3类标准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jc w:val="center"/>
              </w:trPr>
              <w:tc>
                <w:tcPr>
                  <w:tcW w:w="467" w:type="dxa"/>
                  <w:vAlign w:val="center"/>
                </w:tcPr>
                <w:p>
                  <w:pPr>
                    <w:jc w:val="center"/>
                    <w:rPr>
                      <w:szCs w:val="21"/>
                    </w:rPr>
                  </w:pPr>
                  <w:r>
                    <w:rPr>
                      <w:rFonts w:hint="eastAsia"/>
                      <w:szCs w:val="21"/>
                    </w:rPr>
                    <w:t>4</w:t>
                  </w:r>
                </w:p>
              </w:tc>
              <w:tc>
                <w:tcPr>
                  <w:tcW w:w="429" w:type="dxa"/>
                  <w:vAlign w:val="center"/>
                </w:tcPr>
                <w:p>
                  <w:pPr>
                    <w:spacing w:line="280" w:lineRule="exact"/>
                    <w:jc w:val="center"/>
                    <w:rPr>
                      <w:szCs w:val="21"/>
                    </w:rPr>
                  </w:pPr>
                  <w:r>
                    <w:rPr>
                      <w:szCs w:val="21"/>
                    </w:rPr>
                    <w:t>固</w:t>
                  </w:r>
                </w:p>
                <w:p>
                  <w:pPr>
                    <w:spacing w:line="280" w:lineRule="exact"/>
                    <w:jc w:val="center"/>
                    <w:rPr>
                      <w:szCs w:val="21"/>
                    </w:rPr>
                  </w:pPr>
                  <w:r>
                    <w:rPr>
                      <w:szCs w:val="21"/>
                    </w:rPr>
                    <w:t>体废物</w:t>
                  </w:r>
                </w:p>
              </w:tc>
              <w:tc>
                <w:tcPr>
                  <w:tcW w:w="1275" w:type="dxa"/>
                  <w:vAlign w:val="center"/>
                </w:tcPr>
                <w:p>
                  <w:pPr>
                    <w:topLinePunct/>
                    <w:adjustRightInd w:val="0"/>
                    <w:snapToGrid w:val="0"/>
                    <w:spacing w:line="264" w:lineRule="exact"/>
                    <w:jc w:val="center"/>
                    <w:rPr>
                      <w:szCs w:val="21"/>
                    </w:rPr>
                  </w:pPr>
                  <w:r>
                    <w:rPr>
                      <w:rFonts w:hint="eastAsia"/>
                      <w:szCs w:val="21"/>
                    </w:rPr>
                    <w:t>/</w:t>
                  </w:r>
                </w:p>
              </w:tc>
              <w:tc>
                <w:tcPr>
                  <w:tcW w:w="994" w:type="dxa"/>
                  <w:vAlign w:val="center"/>
                </w:tcPr>
                <w:p>
                  <w:pPr>
                    <w:topLinePunct/>
                    <w:adjustRightInd w:val="0"/>
                    <w:snapToGrid w:val="0"/>
                    <w:spacing w:line="264" w:lineRule="exact"/>
                    <w:jc w:val="center"/>
                    <w:rPr>
                      <w:szCs w:val="21"/>
                    </w:rPr>
                  </w:pPr>
                  <w:r>
                    <w:rPr>
                      <w:rFonts w:hint="eastAsia"/>
                      <w:szCs w:val="21"/>
                    </w:rPr>
                    <w:t>/</w:t>
                  </w:r>
                </w:p>
              </w:tc>
              <w:tc>
                <w:tcPr>
                  <w:tcW w:w="1983" w:type="dxa"/>
                  <w:vAlign w:val="center"/>
                </w:tcPr>
                <w:p>
                  <w:pPr>
                    <w:spacing w:line="260" w:lineRule="exact"/>
                    <w:jc w:val="center"/>
                    <w:rPr>
                      <w:szCs w:val="21"/>
                    </w:rPr>
                  </w:pPr>
                  <w:r>
                    <w:rPr>
                      <w:rFonts w:hint="eastAsia"/>
                      <w:szCs w:val="21"/>
                    </w:rPr>
                    <w:t>/</w:t>
                  </w:r>
                </w:p>
              </w:tc>
              <w:tc>
                <w:tcPr>
                  <w:tcW w:w="1560" w:type="dxa"/>
                  <w:vAlign w:val="center"/>
                </w:tcPr>
                <w:p>
                  <w:pPr>
                    <w:spacing w:line="260" w:lineRule="exact"/>
                    <w:jc w:val="center"/>
                    <w:rPr>
                      <w:szCs w:val="21"/>
                    </w:rPr>
                  </w:pPr>
                  <w:r>
                    <w:rPr>
                      <w:rFonts w:hint="eastAsia"/>
                      <w:szCs w:val="21"/>
                    </w:rPr>
                    <w:t>/</w:t>
                  </w:r>
                </w:p>
              </w:tc>
              <w:tc>
                <w:tcPr>
                  <w:tcW w:w="2123" w:type="dxa"/>
                  <w:vAlign w:val="center"/>
                </w:tcPr>
                <w:p>
                  <w:pPr>
                    <w:spacing w:line="260" w:lineRule="exact"/>
                    <w:jc w:val="center"/>
                    <w:rPr>
                      <w:szCs w:val="21"/>
                    </w:rPr>
                  </w:pPr>
                  <w:r>
                    <w:rPr>
                      <w:rFonts w:hint="eastAsia"/>
                      <w:szCs w:val="21"/>
                    </w:rPr>
                    <w:t>/</w:t>
                  </w:r>
                </w:p>
              </w:tc>
            </w:tr>
          </w:tbl>
          <w:p>
            <w:pPr>
              <w:jc w:val="center"/>
              <w:rPr>
                <w:b/>
                <w:szCs w:val="21"/>
              </w:rPr>
            </w:pPr>
            <w:r>
              <w:rPr>
                <w:b/>
                <w:szCs w:val="21"/>
                <w:lang w:val="zh-CN"/>
              </w:rPr>
              <w:t>表</w:t>
            </w:r>
            <w:r>
              <w:rPr>
                <w:b/>
                <w:szCs w:val="21"/>
              </w:rPr>
              <w:t>33</w:t>
            </w:r>
            <w:r>
              <w:rPr>
                <w:b/>
                <w:szCs w:val="21"/>
                <w:lang w:val="zh-CN"/>
              </w:rPr>
              <w:t xml:space="preserve">    项目</w:t>
            </w:r>
            <w:r>
              <w:rPr>
                <w:rFonts w:hint="eastAsia"/>
                <w:b/>
                <w:szCs w:val="21"/>
                <w:lang w:val="zh-CN"/>
              </w:rPr>
              <w:t>技改</w:t>
            </w:r>
            <w:r>
              <w:rPr>
                <w:b/>
                <w:szCs w:val="21"/>
                <w:lang w:val="zh-CN"/>
              </w:rPr>
              <w:t>前后污染物排放</w:t>
            </w:r>
            <w:r>
              <w:rPr>
                <w:rFonts w:hint="eastAsia"/>
                <w:b/>
                <w:szCs w:val="21"/>
                <w:lang w:val="zh-CN"/>
              </w:rPr>
              <w:t>“</w:t>
            </w:r>
            <w:r>
              <w:rPr>
                <w:b/>
                <w:szCs w:val="21"/>
                <w:lang w:val="zh-CN"/>
              </w:rPr>
              <w:t>三本账</w:t>
            </w:r>
            <w:r>
              <w:rPr>
                <w:rFonts w:hint="eastAsia"/>
                <w:b/>
                <w:szCs w:val="21"/>
                <w:lang w:val="zh-CN"/>
              </w:rPr>
              <w:t>”</w:t>
            </w:r>
            <w:r>
              <w:rPr>
                <w:rFonts w:hint="eastAsia"/>
                <w:b/>
                <w:szCs w:val="21"/>
              </w:rPr>
              <w:t xml:space="preserve">   </w:t>
            </w:r>
            <w:r>
              <w:rPr>
                <w:b/>
                <w:szCs w:val="21"/>
              </w:rPr>
              <w:t xml:space="preserve"> </w:t>
            </w:r>
            <w:r>
              <w:rPr>
                <w:rFonts w:hint="eastAsia"/>
                <w:b/>
                <w:szCs w:val="21"/>
              </w:rPr>
              <w:t>单位：</w:t>
            </w:r>
            <w:r>
              <w:rPr>
                <w:b/>
                <w:szCs w:val="21"/>
              </w:rPr>
              <w:t>t/a</w:t>
            </w:r>
          </w:p>
          <w:tbl>
            <w:tblPr>
              <w:tblStyle w:val="39"/>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950"/>
              <w:gridCol w:w="1541"/>
              <w:gridCol w:w="1376"/>
              <w:gridCol w:w="1453"/>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3" w:type="dxa"/>
                  <w:vAlign w:val="center"/>
                </w:tcPr>
                <w:p>
                  <w:pPr>
                    <w:jc w:val="center"/>
                    <w:rPr>
                      <w:bCs/>
                      <w:szCs w:val="21"/>
                    </w:rPr>
                  </w:pPr>
                  <w:r>
                    <w:rPr>
                      <w:bCs/>
                      <w:szCs w:val="21"/>
                    </w:rPr>
                    <w:t>类别</w:t>
                  </w:r>
                </w:p>
              </w:tc>
              <w:tc>
                <w:tcPr>
                  <w:tcW w:w="1950" w:type="dxa"/>
                  <w:vAlign w:val="center"/>
                </w:tcPr>
                <w:p>
                  <w:pPr>
                    <w:jc w:val="center"/>
                    <w:rPr>
                      <w:bCs/>
                      <w:szCs w:val="21"/>
                    </w:rPr>
                  </w:pPr>
                  <w:r>
                    <w:rPr>
                      <w:bCs/>
                      <w:szCs w:val="21"/>
                    </w:rPr>
                    <w:t>项目</w:t>
                  </w:r>
                </w:p>
              </w:tc>
              <w:tc>
                <w:tcPr>
                  <w:tcW w:w="1541" w:type="dxa"/>
                  <w:vAlign w:val="center"/>
                </w:tcPr>
                <w:p>
                  <w:pPr>
                    <w:jc w:val="center"/>
                    <w:rPr>
                      <w:bCs/>
                      <w:szCs w:val="21"/>
                    </w:rPr>
                  </w:pPr>
                  <w:r>
                    <w:rPr>
                      <w:rFonts w:hint="eastAsia"/>
                      <w:bCs/>
                      <w:szCs w:val="21"/>
                    </w:rPr>
                    <w:t>技改</w:t>
                  </w:r>
                  <w:r>
                    <w:rPr>
                      <w:bCs/>
                      <w:szCs w:val="21"/>
                    </w:rPr>
                    <w:t>前</w:t>
                  </w:r>
                </w:p>
                <w:p>
                  <w:pPr>
                    <w:jc w:val="center"/>
                    <w:rPr>
                      <w:bCs/>
                      <w:szCs w:val="21"/>
                    </w:rPr>
                  </w:pPr>
                  <w:r>
                    <w:rPr>
                      <w:bCs/>
                      <w:szCs w:val="21"/>
                    </w:rPr>
                    <w:t>排放量</w:t>
                  </w:r>
                </w:p>
              </w:tc>
              <w:tc>
                <w:tcPr>
                  <w:tcW w:w="1376" w:type="dxa"/>
                  <w:vAlign w:val="center"/>
                </w:tcPr>
                <w:p>
                  <w:pPr>
                    <w:jc w:val="center"/>
                    <w:rPr>
                      <w:rFonts w:ascii="宋体" w:hAnsi="宋体"/>
                      <w:bCs/>
                      <w:szCs w:val="21"/>
                    </w:rPr>
                  </w:pPr>
                  <w:r>
                    <w:rPr>
                      <w:rFonts w:ascii="宋体" w:hAnsi="宋体"/>
                      <w:bCs/>
                      <w:szCs w:val="21"/>
                    </w:rPr>
                    <w:t>“以新带老”削减量</w:t>
                  </w:r>
                </w:p>
              </w:tc>
              <w:tc>
                <w:tcPr>
                  <w:tcW w:w="1453" w:type="dxa"/>
                  <w:vAlign w:val="center"/>
                </w:tcPr>
                <w:p>
                  <w:pPr>
                    <w:jc w:val="center"/>
                    <w:rPr>
                      <w:bCs/>
                      <w:szCs w:val="21"/>
                    </w:rPr>
                  </w:pPr>
                  <w:r>
                    <w:rPr>
                      <w:rFonts w:hint="eastAsia"/>
                      <w:bCs/>
                      <w:szCs w:val="21"/>
                    </w:rPr>
                    <w:t>技改</w:t>
                  </w:r>
                  <w:r>
                    <w:rPr>
                      <w:bCs/>
                      <w:szCs w:val="21"/>
                    </w:rPr>
                    <w:t>完成后总排放量</w:t>
                  </w:r>
                </w:p>
              </w:tc>
              <w:tc>
                <w:tcPr>
                  <w:tcW w:w="1568" w:type="dxa"/>
                  <w:vAlign w:val="center"/>
                </w:tcPr>
                <w:p>
                  <w:pPr>
                    <w:jc w:val="center"/>
                    <w:rPr>
                      <w:bCs/>
                      <w:szCs w:val="21"/>
                    </w:rPr>
                  </w:pPr>
                  <w:r>
                    <w:rPr>
                      <w:bCs/>
                      <w:szCs w:val="21"/>
                    </w:rPr>
                    <w:t>增减量变化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943" w:type="dxa"/>
                  <w:vAlign w:val="center"/>
                </w:tcPr>
                <w:p>
                  <w:pPr>
                    <w:jc w:val="center"/>
                    <w:rPr>
                      <w:bCs/>
                      <w:szCs w:val="21"/>
                    </w:rPr>
                  </w:pPr>
                  <w:r>
                    <w:rPr>
                      <w:rFonts w:hint="eastAsia"/>
                      <w:bCs/>
                      <w:szCs w:val="21"/>
                    </w:rPr>
                    <w:t>废气</w:t>
                  </w:r>
                </w:p>
              </w:tc>
              <w:tc>
                <w:tcPr>
                  <w:tcW w:w="1950" w:type="dxa"/>
                  <w:vAlign w:val="center"/>
                </w:tcPr>
                <w:p>
                  <w:pPr>
                    <w:widowControl/>
                    <w:ind w:left="-72" w:right="-72"/>
                    <w:jc w:val="center"/>
                    <w:rPr>
                      <w:kern w:val="0"/>
                      <w:szCs w:val="21"/>
                    </w:rPr>
                  </w:pPr>
                  <w:r>
                    <w:rPr>
                      <w:rFonts w:hint="eastAsia"/>
                      <w:kern w:val="0"/>
                      <w:szCs w:val="21"/>
                    </w:rPr>
                    <w:t>粉尘</w:t>
                  </w:r>
                </w:p>
              </w:tc>
              <w:tc>
                <w:tcPr>
                  <w:tcW w:w="1541" w:type="dxa"/>
                  <w:vAlign w:val="center"/>
                </w:tcPr>
                <w:p>
                  <w:pPr>
                    <w:snapToGrid w:val="0"/>
                    <w:jc w:val="center"/>
                    <w:rPr>
                      <w:szCs w:val="21"/>
                    </w:rPr>
                  </w:pPr>
                  <w:r>
                    <w:rPr>
                      <w:szCs w:val="21"/>
                    </w:rPr>
                    <w:t>55.16</w:t>
                  </w:r>
                </w:p>
              </w:tc>
              <w:tc>
                <w:tcPr>
                  <w:tcW w:w="1376" w:type="dxa"/>
                  <w:vAlign w:val="center"/>
                </w:tcPr>
                <w:p>
                  <w:pPr>
                    <w:snapToGrid w:val="0"/>
                    <w:jc w:val="center"/>
                    <w:rPr>
                      <w:szCs w:val="21"/>
                    </w:rPr>
                  </w:pPr>
                  <w:r>
                    <w:rPr>
                      <w:szCs w:val="21"/>
                    </w:rPr>
                    <w:t>41.98</w:t>
                  </w:r>
                </w:p>
              </w:tc>
              <w:tc>
                <w:tcPr>
                  <w:tcW w:w="1453" w:type="dxa"/>
                  <w:vAlign w:val="center"/>
                </w:tcPr>
                <w:p>
                  <w:pPr>
                    <w:jc w:val="center"/>
                    <w:rPr>
                      <w:bCs/>
                      <w:szCs w:val="21"/>
                    </w:rPr>
                  </w:pPr>
                  <w:r>
                    <w:rPr>
                      <w:bCs/>
                      <w:szCs w:val="21"/>
                    </w:rPr>
                    <w:t>13.18</w:t>
                  </w:r>
                </w:p>
              </w:tc>
              <w:tc>
                <w:tcPr>
                  <w:tcW w:w="1568" w:type="dxa"/>
                  <w:vAlign w:val="center"/>
                </w:tcPr>
                <w:p>
                  <w:pPr>
                    <w:jc w:val="center"/>
                    <w:rPr>
                      <w:bCs/>
                      <w:szCs w:val="21"/>
                    </w:rPr>
                  </w:pPr>
                  <w:r>
                    <w:rPr>
                      <w:bCs/>
                      <w:szCs w:val="21"/>
                    </w:rPr>
                    <w:t>-41</w:t>
                  </w:r>
                  <w:r>
                    <w:rPr>
                      <w:rFonts w:hint="eastAsia"/>
                      <w:bCs/>
                      <w:szCs w:val="21"/>
                    </w:rPr>
                    <w:t>.</w:t>
                  </w:r>
                  <w:r>
                    <w:rPr>
                      <w:bCs/>
                      <w:szCs w:val="21"/>
                    </w:rPr>
                    <w:t>98</w:t>
                  </w:r>
                </w:p>
              </w:tc>
            </w:tr>
          </w:tbl>
          <w:p>
            <w:pPr>
              <w:spacing w:before="120" w:beforeLines="50" w:line="360" w:lineRule="auto"/>
              <w:ind w:firstLine="482" w:firstLineChars="200"/>
              <w:rPr>
                <w:b/>
                <w:bCs/>
                <w:sz w:val="24"/>
              </w:rPr>
            </w:pPr>
            <w:r>
              <w:rPr>
                <w:rFonts w:hint="eastAsia"/>
                <w:b/>
                <w:bCs/>
                <w:sz w:val="24"/>
              </w:rPr>
              <w:t>四</w:t>
            </w:r>
            <w:r>
              <w:rPr>
                <w:b/>
                <w:bCs/>
                <w:sz w:val="24"/>
              </w:rPr>
              <w:t>、环境管理与监测计划</w:t>
            </w:r>
          </w:p>
          <w:p>
            <w:pPr>
              <w:spacing w:line="360" w:lineRule="auto"/>
              <w:ind w:firstLine="482" w:firstLineChars="200"/>
              <w:rPr>
                <w:b/>
                <w:bCs/>
                <w:sz w:val="24"/>
              </w:rPr>
            </w:pPr>
            <w:r>
              <w:rPr>
                <w:b/>
                <w:bCs/>
                <w:sz w:val="24"/>
              </w:rPr>
              <w:t>1、环境管理</w:t>
            </w:r>
          </w:p>
          <w:p>
            <w:pPr>
              <w:spacing w:line="360" w:lineRule="auto"/>
              <w:ind w:firstLine="480" w:firstLineChars="200"/>
              <w:rPr>
                <w:bCs/>
                <w:sz w:val="24"/>
              </w:rPr>
            </w:pPr>
            <w:r>
              <w:rPr>
                <w:bCs/>
                <w:sz w:val="24"/>
              </w:rPr>
              <w:t>环境管理的目的是对破坏环境质量的人为活动施加影响，以协调经济与环境的关系，既达到发展经济的需要，又不超出环境容量的限制。拟建工程对环境的影响主要来自施工期，建立科学有效的环境管理体制，落实各项环保和安全措施显得尤为重要。通过建立环境管理体系，推行清洁生产，实现污染预防，以实现环境效益、社会效益、经济效益的统一。</w:t>
            </w:r>
          </w:p>
          <w:p>
            <w:pPr>
              <w:spacing w:line="360" w:lineRule="auto"/>
              <w:ind w:firstLine="480" w:firstLineChars="200"/>
              <w:rPr>
                <w:bCs/>
                <w:sz w:val="24"/>
              </w:rPr>
            </w:pPr>
            <w:r>
              <w:rPr>
                <w:rFonts w:hint="eastAsia"/>
                <w:bCs/>
                <w:sz w:val="24"/>
              </w:rPr>
              <w:t>渭河电厂已设立</w:t>
            </w:r>
            <w:r>
              <w:rPr>
                <w:bCs/>
                <w:sz w:val="24"/>
              </w:rPr>
              <w:t>环保管理机构，项目</w:t>
            </w:r>
            <w:r>
              <w:rPr>
                <w:rFonts w:hint="eastAsia"/>
                <w:bCs/>
                <w:sz w:val="24"/>
              </w:rPr>
              <w:t>依托其进行管理，</w:t>
            </w:r>
            <w:r>
              <w:rPr>
                <w:bCs/>
                <w:sz w:val="24"/>
              </w:rPr>
              <w:t>其</w:t>
            </w:r>
            <w:r>
              <w:rPr>
                <w:rFonts w:hint="eastAsia"/>
                <w:bCs/>
                <w:sz w:val="24"/>
              </w:rPr>
              <w:t>主要</w:t>
            </w:r>
            <w:r>
              <w:rPr>
                <w:bCs/>
                <w:sz w:val="24"/>
              </w:rPr>
              <w:t>职责</w:t>
            </w:r>
            <w:r>
              <w:rPr>
                <w:rFonts w:hint="eastAsia"/>
                <w:bCs/>
                <w:sz w:val="24"/>
              </w:rPr>
              <w:t>为</w:t>
            </w:r>
            <w:r>
              <w:rPr>
                <w:bCs/>
                <w:sz w:val="24"/>
              </w:rPr>
              <w:t>：</w:t>
            </w:r>
          </w:p>
          <w:p>
            <w:pPr>
              <w:spacing w:line="360" w:lineRule="auto"/>
              <w:ind w:firstLine="480" w:firstLineChars="200"/>
              <w:rPr>
                <w:bCs/>
                <w:sz w:val="24"/>
              </w:rPr>
            </w:pPr>
            <w:r>
              <w:rPr>
                <w:bCs/>
                <w:sz w:val="24"/>
              </w:rPr>
              <w:fldChar w:fldCharType="begin"/>
            </w:r>
            <w:r>
              <w:rPr>
                <w:bCs/>
                <w:sz w:val="24"/>
              </w:rPr>
              <w:instrText xml:space="preserve"> = 1 \* GB2 </w:instrText>
            </w:r>
            <w:r>
              <w:rPr>
                <w:bCs/>
                <w:sz w:val="24"/>
              </w:rPr>
              <w:fldChar w:fldCharType="separate"/>
            </w:r>
            <w:r>
              <w:rPr>
                <w:rFonts w:hint="eastAsia" w:ascii="宋体" w:hAnsi="宋体" w:cs="宋体"/>
                <w:bCs/>
                <w:sz w:val="24"/>
              </w:rPr>
              <w:t>⑴</w:t>
            </w:r>
            <w:r>
              <w:rPr>
                <w:bCs/>
                <w:sz w:val="24"/>
              </w:rPr>
              <w:fldChar w:fldCharType="end"/>
            </w:r>
            <w:r>
              <w:rPr>
                <w:bCs/>
                <w:sz w:val="24"/>
              </w:rPr>
              <w:t xml:space="preserve"> 贯彻执行国家和地方有关环境保护政策、法规、标准等。</w:t>
            </w:r>
          </w:p>
          <w:p>
            <w:pPr>
              <w:spacing w:line="360" w:lineRule="auto"/>
              <w:ind w:firstLine="480" w:firstLineChars="200"/>
              <w:rPr>
                <w:bCs/>
                <w:sz w:val="24"/>
              </w:rPr>
            </w:pPr>
            <w:r>
              <w:rPr>
                <w:bCs/>
                <w:sz w:val="24"/>
              </w:rPr>
              <w:fldChar w:fldCharType="begin"/>
            </w:r>
            <w:r>
              <w:rPr>
                <w:bCs/>
                <w:sz w:val="24"/>
              </w:rPr>
              <w:instrText xml:space="preserve"> = 2 \* GB2 </w:instrText>
            </w:r>
            <w:r>
              <w:rPr>
                <w:bCs/>
                <w:sz w:val="24"/>
              </w:rPr>
              <w:fldChar w:fldCharType="separate"/>
            </w:r>
            <w:r>
              <w:rPr>
                <w:rFonts w:hint="eastAsia" w:ascii="宋体" w:hAnsi="宋体" w:cs="宋体"/>
                <w:bCs/>
                <w:sz w:val="24"/>
              </w:rPr>
              <w:t>⑵</w:t>
            </w:r>
            <w:r>
              <w:rPr>
                <w:bCs/>
                <w:sz w:val="24"/>
              </w:rPr>
              <w:fldChar w:fldCharType="end"/>
            </w:r>
            <w:r>
              <w:rPr>
                <w:bCs/>
                <w:sz w:val="24"/>
              </w:rPr>
              <w:t xml:space="preserve"> 组织和领导对项目环境质量的例行监测工作和各种污染物排放监测工作，掌握和控制污染防治措施的贯彻落实。</w:t>
            </w:r>
          </w:p>
          <w:p>
            <w:pPr>
              <w:spacing w:line="360" w:lineRule="auto"/>
              <w:ind w:firstLine="480" w:firstLineChars="200"/>
              <w:rPr>
                <w:bCs/>
                <w:sz w:val="24"/>
              </w:rPr>
            </w:pPr>
            <w:r>
              <w:rPr>
                <w:bCs/>
                <w:sz w:val="24"/>
              </w:rPr>
              <w:fldChar w:fldCharType="begin"/>
            </w:r>
            <w:r>
              <w:rPr>
                <w:bCs/>
                <w:sz w:val="24"/>
              </w:rPr>
              <w:instrText xml:space="preserve"> = 3 \* GB2 </w:instrText>
            </w:r>
            <w:r>
              <w:rPr>
                <w:bCs/>
                <w:sz w:val="24"/>
              </w:rPr>
              <w:fldChar w:fldCharType="separate"/>
            </w:r>
            <w:r>
              <w:rPr>
                <w:rFonts w:hint="eastAsia" w:ascii="宋体" w:hAnsi="宋体" w:cs="宋体"/>
                <w:bCs/>
                <w:sz w:val="24"/>
              </w:rPr>
              <w:t>⑶</w:t>
            </w:r>
            <w:r>
              <w:rPr>
                <w:bCs/>
                <w:sz w:val="24"/>
              </w:rPr>
              <w:fldChar w:fldCharType="end"/>
            </w:r>
            <w:r>
              <w:rPr>
                <w:bCs/>
                <w:sz w:val="24"/>
              </w:rPr>
              <w:t xml:space="preserve"> 检查各环保设施的正常运行情况和环保设备的维修，确保污染物达标排放。</w:t>
            </w:r>
          </w:p>
          <w:p>
            <w:pPr>
              <w:spacing w:line="360" w:lineRule="auto"/>
              <w:ind w:firstLine="480" w:firstLineChars="200"/>
              <w:rPr>
                <w:bCs/>
                <w:sz w:val="24"/>
              </w:rPr>
            </w:pPr>
            <w:r>
              <w:rPr>
                <w:bCs/>
                <w:sz w:val="24"/>
              </w:rPr>
              <w:fldChar w:fldCharType="begin"/>
            </w:r>
            <w:r>
              <w:rPr>
                <w:bCs/>
                <w:sz w:val="24"/>
              </w:rPr>
              <w:instrText xml:space="preserve"> = 4 \* GB2 </w:instrText>
            </w:r>
            <w:r>
              <w:rPr>
                <w:bCs/>
                <w:sz w:val="24"/>
              </w:rPr>
              <w:fldChar w:fldCharType="separate"/>
            </w:r>
            <w:r>
              <w:rPr>
                <w:rFonts w:hint="eastAsia" w:ascii="宋体" w:hAnsi="宋体" w:cs="宋体"/>
                <w:bCs/>
                <w:sz w:val="24"/>
              </w:rPr>
              <w:t>⑷</w:t>
            </w:r>
            <w:r>
              <w:rPr>
                <w:bCs/>
                <w:sz w:val="24"/>
              </w:rPr>
              <w:fldChar w:fldCharType="end"/>
            </w:r>
            <w:r>
              <w:rPr>
                <w:bCs/>
                <w:sz w:val="24"/>
              </w:rPr>
              <w:t xml:space="preserve"> 负责培训环保专业技术人员，提高环保技术水平和实际操作水平，积极推广各种相关环境保护的新技术、新工艺和新设备，并加强对职工的环保意识教育。</w:t>
            </w:r>
          </w:p>
          <w:p>
            <w:pPr>
              <w:spacing w:line="360" w:lineRule="auto"/>
              <w:ind w:firstLine="480" w:firstLineChars="200"/>
              <w:rPr>
                <w:bCs/>
                <w:sz w:val="24"/>
              </w:rPr>
            </w:pPr>
            <w:r>
              <w:rPr>
                <w:bCs/>
                <w:sz w:val="24"/>
              </w:rPr>
              <w:fldChar w:fldCharType="begin"/>
            </w:r>
            <w:r>
              <w:rPr>
                <w:bCs/>
                <w:sz w:val="24"/>
              </w:rPr>
              <w:instrText xml:space="preserve"> = 5 \* GB2 </w:instrText>
            </w:r>
            <w:r>
              <w:rPr>
                <w:bCs/>
                <w:sz w:val="24"/>
              </w:rPr>
              <w:fldChar w:fldCharType="separate"/>
            </w:r>
            <w:r>
              <w:rPr>
                <w:rFonts w:hint="eastAsia" w:ascii="宋体" w:hAnsi="宋体" w:cs="宋体"/>
                <w:bCs/>
                <w:sz w:val="24"/>
              </w:rPr>
              <w:t>⑸</w:t>
            </w:r>
            <w:r>
              <w:rPr>
                <w:bCs/>
                <w:sz w:val="24"/>
              </w:rPr>
              <w:fldChar w:fldCharType="end"/>
            </w:r>
            <w:r>
              <w:rPr>
                <w:bCs/>
                <w:sz w:val="24"/>
              </w:rPr>
              <w:t xml:space="preserve"> 配合地方环境保护主管部门作好项目的污染物排放达标工作。</w:t>
            </w:r>
          </w:p>
          <w:p>
            <w:pPr>
              <w:spacing w:line="360" w:lineRule="auto"/>
              <w:ind w:firstLine="480" w:firstLineChars="200"/>
              <w:rPr>
                <w:bCs/>
                <w:sz w:val="24"/>
              </w:rPr>
            </w:pPr>
            <w:r>
              <w:rPr>
                <w:bCs/>
                <w:sz w:val="24"/>
              </w:rPr>
              <w:fldChar w:fldCharType="begin"/>
            </w:r>
            <w:r>
              <w:rPr>
                <w:bCs/>
                <w:sz w:val="24"/>
              </w:rPr>
              <w:instrText xml:space="preserve"> = 6 \* GB2 </w:instrText>
            </w:r>
            <w:r>
              <w:rPr>
                <w:bCs/>
                <w:sz w:val="24"/>
              </w:rPr>
              <w:fldChar w:fldCharType="separate"/>
            </w:r>
            <w:r>
              <w:rPr>
                <w:rFonts w:hint="eastAsia" w:ascii="宋体" w:hAnsi="宋体" w:cs="宋体"/>
                <w:bCs/>
                <w:sz w:val="24"/>
              </w:rPr>
              <w:t>⑹</w:t>
            </w:r>
            <w:r>
              <w:rPr>
                <w:bCs/>
                <w:sz w:val="24"/>
              </w:rPr>
              <w:fldChar w:fldCharType="end"/>
            </w:r>
            <w:r>
              <w:rPr>
                <w:bCs/>
                <w:sz w:val="24"/>
              </w:rPr>
              <w:t xml:space="preserve"> 保证相关环保设施的正常运行。</w:t>
            </w:r>
          </w:p>
          <w:p>
            <w:pPr>
              <w:spacing w:line="360" w:lineRule="auto"/>
              <w:ind w:firstLine="480" w:firstLineChars="200"/>
              <w:rPr>
                <w:bCs/>
                <w:sz w:val="24"/>
              </w:rPr>
            </w:pPr>
            <w:r>
              <w:rPr>
                <w:bCs/>
                <w:sz w:val="24"/>
              </w:rPr>
              <w:fldChar w:fldCharType="begin"/>
            </w:r>
            <w:r>
              <w:rPr>
                <w:bCs/>
                <w:sz w:val="24"/>
              </w:rPr>
              <w:instrText xml:space="preserve"> = 7 \* GB2 </w:instrText>
            </w:r>
            <w:r>
              <w:rPr>
                <w:bCs/>
                <w:sz w:val="24"/>
              </w:rPr>
              <w:fldChar w:fldCharType="separate"/>
            </w:r>
            <w:r>
              <w:rPr>
                <w:rFonts w:hint="eastAsia" w:ascii="宋体" w:hAnsi="宋体" w:cs="宋体"/>
                <w:bCs/>
                <w:sz w:val="24"/>
              </w:rPr>
              <w:t>⑺</w:t>
            </w:r>
            <w:r>
              <w:rPr>
                <w:bCs/>
                <w:sz w:val="24"/>
              </w:rPr>
              <w:fldChar w:fldCharType="end"/>
            </w:r>
            <w:r>
              <w:rPr>
                <w:bCs/>
                <w:sz w:val="24"/>
              </w:rPr>
              <w:t xml:space="preserve"> 负责恢复植被和日常环境保护管理等其它相关工作。</w:t>
            </w:r>
          </w:p>
          <w:p>
            <w:pPr>
              <w:spacing w:line="360" w:lineRule="auto"/>
              <w:ind w:firstLine="482" w:firstLineChars="200"/>
              <w:rPr>
                <w:b/>
                <w:bCs/>
                <w:sz w:val="24"/>
              </w:rPr>
            </w:pPr>
            <w:r>
              <w:rPr>
                <w:b/>
                <w:bCs/>
                <w:sz w:val="24"/>
              </w:rPr>
              <w:t>2、环境监测计划</w:t>
            </w:r>
          </w:p>
          <w:p>
            <w:pPr>
              <w:adjustRightInd w:val="0"/>
              <w:snapToGrid w:val="0"/>
              <w:spacing w:line="360" w:lineRule="auto"/>
              <w:ind w:firstLine="480" w:firstLineChars="200"/>
              <w:rPr>
                <w:sz w:val="24"/>
              </w:rPr>
            </w:pPr>
            <w:r>
              <w:rPr>
                <w:sz w:val="24"/>
              </w:rPr>
              <w:t>项目应加强环境监测管理，监测计划由企业环境管理机构负责实施，具体监测工作可委托当地有资质的</w:t>
            </w:r>
            <w:r>
              <w:rPr>
                <w:rFonts w:hint="eastAsia"/>
                <w:sz w:val="24"/>
              </w:rPr>
              <w:t>监测单位</w:t>
            </w:r>
            <w:r>
              <w:rPr>
                <w:sz w:val="24"/>
              </w:rPr>
              <w:t>进行监测并报告、存档等。</w:t>
            </w:r>
          </w:p>
          <w:p>
            <w:pPr>
              <w:adjustRightInd w:val="0"/>
              <w:snapToGrid w:val="0"/>
              <w:spacing w:line="360" w:lineRule="auto"/>
              <w:ind w:firstLine="480" w:firstLineChars="200"/>
              <w:rPr>
                <w:b/>
                <w:szCs w:val="21"/>
              </w:rPr>
            </w:pPr>
            <w:r>
              <w:rPr>
                <w:sz w:val="24"/>
              </w:rPr>
              <w:t>本项目环境监测计划见表</w:t>
            </w:r>
            <w:r>
              <w:rPr>
                <w:rFonts w:hint="eastAsia"/>
                <w:sz w:val="24"/>
              </w:rPr>
              <w:t>3</w:t>
            </w:r>
            <w:r>
              <w:rPr>
                <w:sz w:val="24"/>
              </w:rPr>
              <w:t>4。</w:t>
            </w:r>
          </w:p>
          <w:p>
            <w:pPr>
              <w:adjustRightInd w:val="0"/>
              <w:snapToGrid w:val="0"/>
              <w:jc w:val="center"/>
              <w:rPr>
                <w:b/>
                <w:szCs w:val="21"/>
              </w:rPr>
            </w:pPr>
            <w:r>
              <w:rPr>
                <w:b/>
                <w:szCs w:val="21"/>
              </w:rPr>
              <w:t>表</w:t>
            </w:r>
            <w:r>
              <w:rPr>
                <w:rFonts w:hint="eastAsia"/>
                <w:b/>
                <w:szCs w:val="21"/>
              </w:rPr>
              <w:t>3</w:t>
            </w:r>
            <w:r>
              <w:rPr>
                <w:b/>
                <w:szCs w:val="21"/>
              </w:rPr>
              <w:t>4    项目环境监测计划表</w:t>
            </w:r>
          </w:p>
          <w:tbl>
            <w:tblPr>
              <w:tblStyle w:val="39"/>
              <w:tblW w:w="8831"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84"/>
              <w:gridCol w:w="1840"/>
              <w:gridCol w:w="1275"/>
              <w:gridCol w:w="2520"/>
              <w:gridCol w:w="201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32" w:hRule="atLeast"/>
                <w:jc w:val="center"/>
              </w:trPr>
              <w:tc>
                <w:tcPr>
                  <w:tcW w:w="1184" w:type="dxa"/>
                  <w:vAlign w:val="center"/>
                </w:tcPr>
                <w:p>
                  <w:pPr>
                    <w:spacing w:line="340" w:lineRule="exact"/>
                    <w:jc w:val="center"/>
                    <w:rPr>
                      <w:szCs w:val="21"/>
                    </w:rPr>
                  </w:pPr>
                  <w:r>
                    <w:rPr>
                      <w:szCs w:val="21"/>
                    </w:rPr>
                    <w:t>监测类别</w:t>
                  </w:r>
                </w:p>
              </w:tc>
              <w:tc>
                <w:tcPr>
                  <w:tcW w:w="1840" w:type="dxa"/>
                  <w:vAlign w:val="center"/>
                </w:tcPr>
                <w:p>
                  <w:pPr>
                    <w:spacing w:line="340" w:lineRule="exact"/>
                    <w:jc w:val="center"/>
                    <w:rPr>
                      <w:szCs w:val="21"/>
                    </w:rPr>
                  </w:pPr>
                  <w:r>
                    <w:rPr>
                      <w:szCs w:val="21"/>
                    </w:rPr>
                    <w:t>监测点位置</w:t>
                  </w:r>
                </w:p>
              </w:tc>
              <w:tc>
                <w:tcPr>
                  <w:tcW w:w="1275" w:type="dxa"/>
                  <w:vAlign w:val="center"/>
                </w:tcPr>
                <w:p>
                  <w:pPr>
                    <w:spacing w:line="340" w:lineRule="exact"/>
                    <w:jc w:val="center"/>
                    <w:rPr>
                      <w:szCs w:val="21"/>
                    </w:rPr>
                  </w:pPr>
                  <w:r>
                    <w:rPr>
                      <w:szCs w:val="21"/>
                    </w:rPr>
                    <w:t>污染类型</w:t>
                  </w:r>
                </w:p>
              </w:tc>
              <w:tc>
                <w:tcPr>
                  <w:tcW w:w="2520" w:type="dxa"/>
                  <w:vAlign w:val="center"/>
                </w:tcPr>
                <w:p>
                  <w:pPr>
                    <w:spacing w:line="340" w:lineRule="exact"/>
                    <w:jc w:val="center"/>
                    <w:rPr>
                      <w:szCs w:val="21"/>
                    </w:rPr>
                  </w:pPr>
                  <w:r>
                    <w:rPr>
                      <w:szCs w:val="21"/>
                    </w:rPr>
                    <w:t>污染因子</w:t>
                  </w:r>
                </w:p>
              </w:tc>
              <w:tc>
                <w:tcPr>
                  <w:tcW w:w="2012" w:type="dxa"/>
                  <w:vAlign w:val="center"/>
                </w:tcPr>
                <w:p>
                  <w:pPr>
                    <w:spacing w:line="340" w:lineRule="exact"/>
                    <w:jc w:val="center"/>
                    <w:rPr>
                      <w:szCs w:val="21"/>
                    </w:rPr>
                  </w:pPr>
                  <w:r>
                    <w:rPr>
                      <w:szCs w:val="21"/>
                    </w:rPr>
                    <w:t>监测频次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32" w:hRule="atLeast"/>
                <w:jc w:val="center"/>
              </w:trPr>
              <w:tc>
                <w:tcPr>
                  <w:tcW w:w="1184" w:type="dxa"/>
                  <w:vAlign w:val="center"/>
                </w:tcPr>
                <w:p>
                  <w:pPr>
                    <w:spacing w:line="340" w:lineRule="exact"/>
                    <w:jc w:val="center"/>
                    <w:rPr>
                      <w:szCs w:val="21"/>
                    </w:rPr>
                  </w:pPr>
                  <w:r>
                    <w:rPr>
                      <w:rFonts w:hint="eastAsia"/>
                      <w:szCs w:val="21"/>
                    </w:rPr>
                    <w:t>环境空气</w:t>
                  </w:r>
                </w:p>
              </w:tc>
              <w:tc>
                <w:tcPr>
                  <w:tcW w:w="1840" w:type="dxa"/>
                  <w:vAlign w:val="center"/>
                </w:tcPr>
                <w:p>
                  <w:pPr>
                    <w:spacing w:line="340" w:lineRule="exact"/>
                    <w:jc w:val="center"/>
                    <w:rPr>
                      <w:szCs w:val="21"/>
                    </w:rPr>
                  </w:pPr>
                  <w:r>
                    <w:rPr>
                      <w:rFonts w:hint="eastAsia"/>
                      <w:szCs w:val="21"/>
                    </w:rPr>
                    <w:t>电厂厂界</w:t>
                  </w:r>
                </w:p>
              </w:tc>
              <w:tc>
                <w:tcPr>
                  <w:tcW w:w="1275" w:type="dxa"/>
                  <w:vAlign w:val="center"/>
                </w:tcPr>
                <w:p>
                  <w:pPr>
                    <w:spacing w:line="340" w:lineRule="exact"/>
                    <w:jc w:val="center"/>
                    <w:rPr>
                      <w:szCs w:val="21"/>
                    </w:rPr>
                  </w:pPr>
                  <w:r>
                    <w:rPr>
                      <w:rFonts w:hint="eastAsia"/>
                      <w:szCs w:val="21"/>
                    </w:rPr>
                    <w:t>无组织粉尘</w:t>
                  </w:r>
                </w:p>
              </w:tc>
              <w:tc>
                <w:tcPr>
                  <w:tcW w:w="2520" w:type="dxa"/>
                  <w:vAlign w:val="center"/>
                </w:tcPr>
                <w:p>
                  <w:pPr>
                    <w:spacing w:line="340" w:lineRule="exact"/>
                    <w:jc w:val="center"/>
                    <w:rPr>
                      <w:szCs w:val="21"/>
                    </w:rPr>
                  </w:pPr>
                  <w:r>
                    <w:rPr>
                      <w:rFonts w:hint="eastAsia"/>
                      <w:szCs w:val="21"/>
                    </w:rPr>
                    <w:t>TSP、PM</w:t>
                  </w:r>
                  <w:r>
                    <w:rPr>
                      <w:rFonts w:hint="eastAsia"/>
                      <w:szCs w:val="21"/>
                      <w:vertAlign w:val="subscript"/>
                    </w:rPr>
                    <w:t>10</w:t>
                  </w:r>
                </w:p>
              </w:tc>
              <w:tc>
                <w:tcPr>
                  <w:tcW w:w="2012" w:type="dxa"/>
                  <w:vAlign w:val="center"/>
                </w:tcPr>
                <w:p>
                  <w:pPr>
                    <w:spacing w:line="340" w:lineRule="exact"/>
                    <w:jc w:val="center"/>
                    <w:rPr>
                      <w:szCs w:val="21"/>
                    </w:rPr>
                  </w:pPr>
                  <w:r>
                    <w:t>每年1次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32" w:hRule="atLeast"/>
                <w:jc w:val="center"/>
              </w:trPr>
              <w:tc>
                <w:tcPr>
                  <w:tcW w:w="1184" w:type="dxa"/>
                  <w:vAlign w:val="center"/>
                </w:tcPr>
                <w:p>
                  <w:pPr>
                    <w:pStyle w:val="91"/>
                  </w:pPr>
                  <w:r>
                    <w:t>厂界噪声</w:t>
                  </w:r>
                </w:p>
              </w:tc>
              <w:tc>
                <w:tcPr>
                  <w:tcW w:w="1840" w:type="dxa"/>
                  <w:vAlign w:val="center"/>
                </w:tcPr>
                <w:p>
                  <w:pPr>
                    <w:pStyle w:val="91"/>
                  </w:pPr>
                  <w:r>
                    <w:rPr>
                      <w:rFonts w:hint="eastAsia"/>
                    </w:rPr>
                    <w:t>电厂厂界</w:t>
                  </w:r>
                </w:p>
              </w:tc>
              <w:tc>
                <w:tcPr>
                  <w:tcW w:w="1275" w:type="dxa"/>
                  <w:vAlign w:val="center"/>
                </w:tcPr>
                <w:p>
                  <w:pPr>
                    <w:pStyle w:val="91"/>
                  </w:pPr>
                  <w:r>
                    <w:rPr>
                      <w:rFonts w:hint="eastAsia"/>
                    </w:rPr>
                    <w:t>厂界</w:t>
                  </w:r>
                  <w:r>
                    <w:t>噪声</w:t>
                  </w:r>
                </w:p>
              </w:tc>
              <w:tc>
                <w:tcPr>
                  <w:tcW w:w="2520" w:type="dxa"/>
                  <w:vAlign w:val="center"/>
                </w:tcPr>
                <w:p>
                  <w:pPr>
                    <w:pStyle w:val="91"/>
                  </w:pPr>
                  <w:r>
                    <w:t>等效连续</w:t>
                  </w:r>
                  <w:r>
                    <w:rPr>
                      <w:rFonts w:hint="eastAsia"/>
                    </w:rPr>
                    <w:t>A</w:t>
                  </w:r>
                  <w:r>
                    <w:t>声级</w:t>
                  </w:r>
                </w:p>
              </w:tc>
              <w:tc>
                <w:tcPr>
                  <w:tcW w:w="2012" w:type="dxa"/>
                  <w:vAlign w:val="center"/>
                </w:tcPr>
                <w:p>
                  <w:pPr>
                    <w:pStyle w:val="91"/>
                  </w:pPr>
                  <w:r>
                    <w:rPr>
                      <w:rFonts w:hint="eastAsia"/>
                    </w:rPr>
                    <w:t>每年2次</w:t>
                  </w:r>
                </w:p>
              </w:tc>
            </w:tr>
          </w:tbl>
          <w:p>
            <w:pPr>
              <w:adjustRightInd w:val="0"/>
              <w:snapToGrid w:val="0"/>
              <w:spacing w:before="120" w:beforeLines="50" w:line="360" w:lineRule="auto"/>
              <w:ind w:firstLine="472" w:firstLineChars="196"/>
              <w:textAlignment w:val="baseline"/>
              <w:rPr>
                <w:b/>
                <w:sz w:val="24"/>
              </w:rPr>
            </w:pPr>
            <w:r>
              <w:rPr>
                <w:rFonts w:hint="eastAsia"/>
                <w:b/>
                <w:sz w:val="24"/>
              </w:rPr>
              <w:t>五</w:t>
            </w:r>
            <w:r>
              <w:rPr>
                <w:b/>
                <w:sz w:val="24"/>
              </w:rPr>
              <w:t>、环保投资</w:t>
            </w:r>
          </w:p>
          <w:p>
            <w:pPr>
              <w:spacing w:line="360" w:lineRule="auto"/>
              <w:ind w:firstLine="480" w:firstLineChars="200"/>
              <w:rPr>
                <w:sz w:val="24"/>
              </w:rPr>
            </w:pPr>
            <w:r>
              <w:rPr>
                <w:sz w:val="24"/>
              </w:rPr>
              <w:t>本项目总投资为8600万元，</w:t>
            </w:r>
            <w:r>
              <w:rPr>
                <w:rFonts w:hint="eastAsia"/>
                <w:sz w:val="24"/>
              </w:rPr>
              <w:t>其中</w:t>
            </w:r>
            <w:r>
              <w:rPr>
                <w:sz w:val="24"/>
              </w:rPr>
              <w:t>环保投资为8600万元，环保投资占总投资的100%。环保投资主要包括</w:t>
            </w:r>
            <w:r>
              <w:rPr>
                <w:rFonts w:hint="eastAsia"/>
                <w:sz w:val="24"/>
              </w:rPr>
              <w:t>废气治理</w:t>
            </w:r>
            <w:r>
              <w:rPr>
                <w:sz w:val="24"/>
              </w:rPr>
              <w:t>，具体环保投资以实际设计核算为准。项目环保投资估算见表</w:t>
            </w:r>
            <w:r>
              <w:rPr>
                <w:rFonts w:hint="eastAsia"/>
                <w:sz w:val="24"/>
              </w:rPr>
              <w:t>3</w:t>
            </w:r>
            <w:r>
              <w:rPr>
                <w:sz w:val="24"/>
              </w:rPr>
              <w:t>5。</w:t>
            </w:r>
          </w:p>
          <w:p>
            <w:pPr>
              <w:jc w:val="center"/>
              <w:rPr>
                <w:b/>
                <w:bCs/>
                <w:szCs w:val="21"/>
              </w:rPr>
            </w:pPr>
          </w:p>
          <w:p>
            <w:pPr>
              <w:jc w:val="center"/>
              <w:rPr>
                <w:b/>
                <w:bCs/>
                <w:szCs w:val="21"/>
              </w:rPr>
            </w:pPr>
          </w:p>
          <w:p>
            <w:pPr>
              <w:jc w:val="center"/>
              <w:rPr>
                <w:b/>
                <w:bCs/>
                <w:szCs w:val="21"/>
              </w:rPr>
            </w:pPr>
          </w:p>
          <w:p>
            <w:pPr>
              <w:jc w:val="center"/>
              <w:rPr>
                <w:b/>
                <w:bCs/>
                <w:szCs w:val="21"/>
              </w:rPr>
            </w:pPr>
          </w:p>
          <w:p>
            <w:pPr>
              <w:jc w:val="center"/>
              <w:rPr>
                <w:b/>
                <w:bCs/>
                <w:szCs w:val="21"/>
              </w:rPr>
            </w:pPr>
            <w:r>
              <w:rPr>
                <w:b/>
                <w:bCs/>
                <w:szCs w:val="21"/>
              </w:rPr>
              <w:t>表</w:t>
            </w:r>
            <w:r>
              <w:rPr>
                <w:rFonts w:hint="eastAsia"/>
                <w:b/>
                <w:bCs/>
                <w:szCs w:val="21"/>
              </w:rPr>
              <w:t>3</w:t>
            </w:r>
            <w:r>
              <w:rPr>
                <w:b/>
                <w:bCs/>
                <w:szCs w:val="21"/>
              </w:rPr>
              <w:t>5    环境保护投入及资金来源表</w:t>
            </w:r>
          </w:p>
          <w:tbl>
            <w:tblPr>
              <w:tblStyle w:val="39"/>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822"/>
              <w:gridCol w:w="1615"/>
              <w:gridCol w:w="1646"/>
              <w:gridCol w:w="846"/>
              <w:gridCol w:w="881"/>
              <w:gridCol w:w="884"/>
              <w:gridCol w:w="734"/>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649" w:type="dxa"/>
                  <w:vAlign w:val="center"/>
                </w:tcPr>
                <w:p>
                  <w:pPr>
                    <w:spacing w:line="240" w:lineRule="exact"/>
                    <w:jc w:val="center"/>
                    <w:rPr>
                      <w:sz w:val="18"/>
                      <w:szCs w:val="18"/>
                    </w:rPr>
                  </w:pPr>
                  <w:r>
                    <w:rPr>
                      <w:sz w:val="18"/>
                      <w:szCs w:val="18"/>
                    </w:rPr>
                    <w:t>实施时段</w:t>
                  </w:r>
                </w:p>
              </w:tc>
              <w:tc>
                <w:tcPr>
                  <w:tcW w:w="822" w:type="dxa"/>
                  <w:vAlign w:val="center"/>
                </w:tcPr>
                <w:p>
                  <w:pPr>
                    <w:spacing w:line="240" w:lineRule="exact"/>
                    <w:jc w:val="center"/>
                    <w:rPr>
                      <w:sz w:val="18"/>
                      <w:szCs w:val="18"/>
                    </w:rPr>
                  </w:pPr>
                  <w:r>
                    <w:rPr>
                      <w:sz w:val="18"/>
                      <w:szCs w:val="18"/>
                    </w:rPr>
                    <w:t>类别</w:t>
                  </w:r>
                </w:p>
              </w:tc>
              <w:tc>
                <w:tcPr>
                  <w:tcW w:w="1615" w:type="dxa"/>
                  <w:vAlign w:val="center"/>
                </w:tcPr>
                <w:p>
                  <w:pPr>
                    <w:spacing w:line="240" w:lineRule="exact"/>
                    <w:jc w:val="center"/>
                    <w:rPr>
                      <w:sz w:val="18"/>
                      <w:szCs w:val="18"/>
                    </w:rPr>
                  </w:pPr>
                  <w:r>
                    <w:rPr>
                      <w:sz w:val="18"/>
                      <w:szCs w:val="18"/>
                    </w:rPr>
                    <w:t>污染源或污染物</w:t>
                  </w:r>
                </w:p>
              </w:tc>
              <w:tc>
                <w:tcPr>
                  <w:tcW w:w="1646" w:type="dxa"/>
                  <w:vAlign w:val="center"/>
                </w:tcPr>
                <w:p>
                  <w:pPr>
                    <w:spacing w:line="240" w:lineRule="exact"/>
                    <w:jc w:val="center"/>
                    <w:rPr>
                      <w:sz w:val="18"/>
                      <w:szCs w:val="18"/>
                    </w:rPr>
                  </w:pPr>
                  <w:r>
                    <w:rPr>
                      <w:sz w:val="18"/>
                      <w:szCs w:val="18"/>
                    </w:rPr>
                    <w:t>污染防治措施</w:t>
                  </w:r>
                </w:p>
                <w:p>
                  <w:pPr>
                    <w:spacing w:line="240" w:lineRule="exact"/>
                    <w:jc w:val="center"/>
                    <w:rPr>
                      <w:sz w:val="18"/>
                      <w:szCs w:val="18"/>
                    </w:rPr>
                  </w:pPr>
                  <w:r>
                    <w:rPr>
                      <w:sz w:val="18"/>
                      <w:szCs w:val="18"/>
                    </w:rPr>
                    <w:t>或设施</w:t>
                  </w:r>
                </w:p>
              </w:tc>
              <w:tc>
                <w:tcPr>
                  <w:tcW w:w="846" w:type="dxa"/>
                  <w:vAlign w:val="center"/>
                </w:tcPr>
                <w:p>
                  <w:pPr>
                    <w:spacing w:line="240" w:lineRule="exact"/>
                    <w:jc w:val="center"/>
                    <w:rPr>
                      <w:sz w:val="18"/>
                      <w:szCs w:val="18"/>
                    </w:rPr>
                  </w:pPr>
                  <w:r>
                    <w:rPr>
                      <w:sz w:val="18"/>
                      <w:szCs w:val="18"/>
                    </w:rPr>
                    <w:t>建设</w:t>
                  </w:r>
                </w:p>
                <w:p>
                  <w:pPr>
                    <w:spacing w:line="240" w:lineRule="exact"/>
                    <w:jc w:val="center"/>
                    <w:rPr>
                      <w:sz w:val="18"/>
                      <w:szCs w:val="18"/>
                    </w:rPr>
                  </w:pPr>
                  <w:r>
                    <w:rPr>
                      <w:sz w:val="18"/>
                      <w:szCs w:val="18"/>
                    </w:rPr>
                    <w:t>费用</w:t>
                  </w:r>
                </w:p>
                <w:p>
                  <w:pPr>
                    <w:spacing w:line="240" w:lineRule="exact"/>
                    <w:jc w:val="center"/>
                    <w:rPr>
                      <w:sz w:val="18"/>
                      <w:szCs w:val="18"/>
                    </w:rPr>
                  </w:pPr>
                  <w:r>
                    <w:rPr>
                      <w:rFonts w:hint="eastAsia"/>
                      <w:sz w:val="18"/>
                      <w:szCs w:val="18"/>
                    </w:rPr>
                    <w:t>(</w:t>
                  </w:r>
                  <w:r>
                    <w:rPr>
                      <w:sz w:val="18"/>
                      <w:szCs w:val="18"/>
                    </w:rPr>
                    <w:t>万元</w:t>
                  </w:r>
                  <w:r>
                    <w:rPr>
                      <w:rFonts w:hint="eastAsia"/>
                      <w:sz w:val="18"/>
                      <w:szCs w:val="18"/>
                    </w:rPr>
                    <w:t>)</w:t>
                  </w:r>
                </w:p>
              </w:tc>
              <w:tc>
                <w:tcPr>
                  <w:tcW w:w="881" w:type="dxa"/>
                  <w:vAlign w:val="center"/>
                </w:tcPr>
                <w:p>
                  <w:pPr>
                    <w:spacing w:line="240" w:lineRule="exact"/>
                    <w:jc w:val="center"/>
                    <w:rPr>
                      <w:sz w:val="18"/>
                      <w:szCs w:val="18"/>
                    </w:rPr>
                  </w:pPr>
                  <w:r>
                    <w:rPr>
                      <w:sz w:val="18"/>
                      <w:szCs w:val="18"/>
                    </w:rPr>
                    <w:t>运行维</w:t>
                  </w:r>
                </w:p>
                <w:p>
                  <w:pPr>
                    <w:spacing w:line="240" w:lineRule="exact"/>
                    <w:jc w:val="center"/>
                    <w:rPr>
                      <w:sz w:val="18"/>
                      <w:szCs w:val="18"/>
                    </w:rPr>
                  </w:pPr>
                  <w:r>
                    <w:rPr>
                      <w:sz w:val="18"/>
                      <w:szCs w:val="18"/>
                    </w:rPr>
                    <w:t>护费用</w:t>
                  </w:r>
                </w:p>
                <w:p>
                  <w:pPr>
                    <w:spacing w:line="240" w:lineRule="exact"/>
                    <w:jc w:val="center"/>
                    <w:rPr>
                      <w:sz w:val="18"/>
                      <w:szCs w:val="18"/>
                    </w:rPr>
                  </w:pPr>
                  <w:r>
                    <w:rPr>
                      <w:rFonts w:hint="eastAsia"/>
                      <w:sz w:val="18"/>
                      <w:szCs w:val="18"/>
                    </w:rPr>
                    <w:t>(</w:t>
                  </w:r>
                  <w:r>
                    <w:rPr>
                      <w:sz w:val="18"/>
                      <w:szCs w:val="18"/>
                    </w:rPr>
                    <w:t>万元</w:t>
                  </w:r>
                  <w:r>
                    <w:rPr>
                      <w:rFonts w:hint="eastAsia"/>
                      <w:sz w:val="18"/>
                      <w:szCs w:val="18"/>
                    </w:rPr>
                    <w:t>)</w:t>
                  </w:r>
                </w:p>
              </w:tc>
              <w:tc>
                <w:tcPr>
                  <w:tcW w:w="884" w:type="dxa"/>
                  <w:vAlign w:val="center"/>
                </w:tcPr>
                <w:p>
                  <w:pPr>
                    <w:spacing w:line="240" w:lineRule="exact"/>
                    <w:jc w:val="center"/>
                    <w:rPr>
                      <w:sz w:val="18"/>
                      <w:szCs w:val="18"/>
                    </w:rPr>
                  </w:pPr>
                  <w:r>
                    <w:rPr>
                      <w:sz w:val="18"/>
                      <w:szCs w:val="18"/>
                    </w:rPr>
                    <w:t>其他</w:t>
                  </w:r>
                </w:p>
                <w:p>
                  <w:pPr>
                    <w:spacing w:line="240" w:lineRule="exact"/>
                    <w:jc w:val="center"/>
                    <w:rPr>
                      <w:sz w:val="18"/>
                      <w:szCs w:val="18"/>
                    </w:rPr>
                  </w:pPr>
                  <w:r>
                    <w:rPr>
                      <w:sz w:val="18"/>
                      <w:szCs w:val="18"/>
                    </w:rPr>
                    <w:t>费用</w:t>
                  </w:r>
                </w:p>
                <w:p>
                  <w:pPr>
                    <w:spacing w:line="240" w:lineRule="exact"/>
                    <w:jc w:val="center"/>
                    <w:rPr>
                      <w:sz w:val="18"/>
                      <w:szCs w:val="18"/>
                    </w:rPr>
                  </w:pPr>
                  <w:r>
                    <w:rPr>
                      <w:rFonts w:hint="eastAsia"/>
                      <w:sz w:val="18"/>
                      <w:szCs w:val="18"/>
                    </w:rPr>
                    <w:t>(</w:t>
                  </w:r>
                  <w:r>
                    <w:rPr>
                      <w:sz w:val="18"/>
                      <w:szCs w:val="18"/>
                    </w:rPr>
                    <w:t>万元</w:t>
                  </w:r>
                  <w:r>
                    <w:rPr>
                      <w:rFonts w:hint="eastAsia"/>
                      <w:sz w:val="18"/>
                      <w:szCs w:val="18"/>
                    </w:rPr>
                    <w:t>)</w:t>
                  </w:r>
                </w:p>
              </w:tc>
              <w:tc>
                <w:tcPr>
                  <w:tcW w:w="734" w:type="dxa"/>
                  <w:vAlign w:val="center"/>
                </w:tcPr>
                <w:p>
                  <w:pPr>
                    <w:spacing w:line="240" w:lineRule="exact"/>
                    <w:jc w:val="center"/>
                    <w:rPr>
                      <w:sz w:val="18"/>
                      <w:szCs w:val="18"/>
                    </w:rPr>
                  </w:pPr>
                  <w:r>
                    <w:rPr>
                      <w:sz w:val="18"/>
                      <w:szCs w:val="18"/>
                    </w:rPr>
                    <w:t>资金来源</w:t>
                  </w:r>
                </w:p>
              </w:tc>
              <w:tc>
                <w:tcPr>
                  <w:tcW w:w="754" w:type="dxa"/>
                  <w:vAlign w:val="center"/>
                </w:tcPr>
                <w:p>
                  <w:pPr>
                    <w:spacing w:line="240" w:lineRule="exact"/>
                    <w:jc w:val="center"/>
                    <w:rPr>
                      <w:sz w:val="18"/>
                      <w:szCs w:val="18"/>
                    </w:rPr>
                  </w:pPr>
                  <w:r>
                    <w:rPr>
                      <w:sz w:val="18"/>
                      <w:szCs w:val="18"/>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649" w:type="dxa"/>
                  <w:vAlign w:val="center"/>
                </w:tcPr>
                <w:p>
                  <w:pPr>
                    <w:spacing w:line="240" w:lineRule="exact"/>
                    <w:jc w:val="center"/>
                    <w:rPr>
                      <w:sz w:val="18"/>
                      <w:szCs w:val="18"/>
                    </w:rPr>
                  </w:pPr>
                  <w:r>
                    <w:rPr>
                      <w:sz w:val="18"/>
                      <w:szCs w:val="18"/>
                    </w:rPr>
                    <w:t>项目准备阶段</w:t>
                  </w:r>
                </w:p>
              </w:tc>
              <w:tc>
                <w:tcPr>
                  <w:tcW w:w="822" w:type="dxa"/>
                  <w:vAlign w:val="center"/>
                </w:tcPr>
                <w:p>
                  <w:pPr>
                    <w:spacing w:line="240" w:lineRule="exact"/>
                    <w:jc w:val="center"/>
                    <w:rPr>
                      <w:sz w:val="18"/>
                      <w:szCs w:val="18"/>
                    </w:rPr>
                  </w:pPr>
                  <w:r>
                    <w:rPr>
                      <w:sz w:val="18"/>
                      <w:szCs w:val="18"/>
                    </w:rPr>
                    <w:t>环境</w:t>
                  </w:r>
                </w:p>
                <w:p>
                  <w:pPr>
                    <w:spacing w:line="240" w:lineRule="exact"/>
                    <w:jc w:val="center"/>
                    <w:rPr>
                      <w:sz w:val="18"/>
                      <w:szCs w:val="18"/>
                    </w:rPr>
                  </w:pPr>
                  <w:r>
                    <w:rPr>
                      <w:sz w:val="18"/>
                      <w:szCs w:val="18"/>
                    </w:rPr>
                    <w:t>咨询</w:t>
                  </w:r>
                </w:p>
              </w:tc>
              <w:tc>
                <w:tcPr>
                  <w:tcW w:w="1615" w:type="dxa"/>
                  <w:vAlign w:val="center"/>
                </w:tcPr>
                <w:p>
                  <w:pPr>
                    <w:spacing w:line="240" w:lineRule="exact"/>
                    <w:jc w:val="center"/>
                    <w:rPr>
                      <w:sz w:val="18"/>
                      <w:szCs w:val="18"/>
                    </w:rPr>
                  </w:pPr>
                  <w:r>
                    <w:rPr>
                      <w:sz w:val="18"/>
                      <w:szCs w:val="18"/>
                    </w:rPr>
                    <w:t>/</w:t>
                  </w:r>
                </w:p>
              </w:tc>
              <w:tc>
                <w:tcPr>
                  <w:tcW w:w="1646" w:type="dxa"/>
                  <w:vAlign w:val="center"/>
                </w:tcPr>
                <w:p>
                  <w:pPr>
                    <w:spacing w:line="240" w:lineRule="exact"/>
                    <w:jc w:val="center"/>
                    <w:rPr>
                      <w:sz w:val="18"/>
                      <w:szCs w:val="18"/>
                    </w:rPr>
                  </w:pPr>
                  <w:r>
                    <w:rPr>
                      <w:sz w:val="18"/>
                      <w:szCs w:val="18"/>
                    </w:rPr>
                    <w:t>/</w:t>
                  </w:r>
                </w:p>
              </w:tc>
              <w:tc>
                <w:tcPr>
                  <w:tcW w:w="846" w:type="dxa"/>
                  <w:vAlign w:val="center"/>
                </w:tcPr>
                <w:p>
                  <w:pPr>
                    <w:spacing w:line="240" w:lineRule="exact"/>
                    <w:jc w:val="center"/>
                    <w:rPr>
                      <w:sz w:val="18"/>
                      <w:szCs w:val="18"/>
                    </w:rPr>
                  </w:pPr>
                  <w:r>
                    <w:rPr>
                      <w:sz w:val="18"/>
                      <w:szCs w:val="18"/>
                    </w:rPr>
                    <w:t>/</w:t>
                  </w:r>
                </w:p>
              </w:tc>
              <w:tc>
                <w:tcPr>
                  <w:tcW w:w="881" w:type="dxa"/>
                  <w:vAlign w:val="center"/>
                </w:tcPr>
                <w:p>
                  <w:pPr>
                    <w:spacing w:line="240" w:lineRule="exact"/>
                    <w:jc w:val="center"/>
                    <w:rPr>
                      <w:sz w:val="18"/>
                      <w:szCs w:val="18"/>
                    </w:rPr>
                  </w:pPr>
                  <w:r>
                    <w:rPr>
                      <w:sz w:val="18"/>
                      <w:szCs w:val="18"/>
                    </w:rPr>
                    <w:t>/</w:t>
                  </w:r>
                </w:p>
              </w:tc>
              <w:tc>
                <w:tcPr>
                  <w:tcW w:w="884" w:type="dxa"/>
                  <w:vAlign w:val="center"/>
                </w:tcPr>
                <w:p>
                  <w:pPr>
                    <w:spacing w:line="240" w:lineRule="exact"/>
                    <w:jc w:val="center"/>
                    <w:rPr>
                      <w:sz w:val="18"/>
                      <w:szCs w:val="18"/>
                    </w:rPr>
                  </w:pPr>
                  <w:r>
                    <w:rPr>
                      <w:sz w:val="18"/>
                      <w:szCs w:val="18"/>
                    </w:rPr>
                    <w:t>5</w:t>
                  </w:r>
                  <w:r>
                    <w:rPr>
                      <w:rFonts w:hint="eastAsia"/>
                      <w:sz w:val="18"/>
                      <w:szCs w:val="18"/>
                    </w:rPr>
                    <w:t>.</w:t>
                  </w:r>
                  <w:r>
                    <w:rPr>
                      <w:sz w:val="18"/>
                      <w:szCs w:val="18"/>
                    </w:rPr>
                    <w:t>0</w:t>
                  </w:r>
                </w:p>
              </w:tc>
              <w:tc>
                <w:tcPr>
                  <w:tcW w:w="734" w:type="dxa"/>
                  <w:vAlign w:val="center"/>
                </w:tcPr>
                <w:p>
                  <w:pPr>
                    <w:spacing w:line="240" w:lineRule="exact"/>
                    <w:jc w:val="center"/>
                    <w:rPr>
                      <w:sz w:val="18"/>
                      <w:szCs w:val="18"/>
                    </w:rPr>
                  </w:pPr>
                  <w:r>
                    <w:rPr>
                      <w:sz w:val="18"/>
                      <w:szCs w:val="18"/>
                    </w:rPr>
                    <w:t>建设单位自有资金</w:t>
                  </w:r>
                </w:p>
              </w:tc>
              <w:tc>
                <w:tcPr>
                  <w:tcW w:w="754" w:type="dxa"/>
                  <w:vAlign w:val="center"/>
                </w:tcPr>
                <w:p>
                  <w:pPr>
                    <w:spacing w:line="240" w:lineRule="exact"/>
                    <w:jc w:val="center"/>
                    <w:rPr>
                      <w:sz w:val="18"/>
                      <w:szCs w:val="18"/>
                    </w:rPr>
                  </w:pPr>
                  <w:r>
                    <w:rPr>
                      <w:sz w:val="18"/>
                      <w:szCs w:val="18"/>
                    </w:rPr>
                    <w:t>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649" w:type="dxa"/>
                  <w:vMerge w:val="restart"/>
                  <w:vAlign w:val="center"/>
                </w:tcPr>
                <w:p>
                  <w:pPr>
                    <w:spacing w:line="240" w:lineRule="exact"/>
                    <w:jc w:val="center"/>
                    <w:rPr>
                      <w:sz w:val="18"/>
                      <w:szCs w:val="18"/>
                    </w:rPr>
                  </w:pPr>
                  <w:r>
                    <w:rPr>
                      <w:sz w:val="18"/>
                      <w:szCs w:val="18"/>
                    </w:rPr>
                    <w:t>项目施工期</w:t>
                  </w:r>
                </w:p>
              </w:tc>
              <w:tc>
                <w:tcPr>
                  <w:tcW w:w="822" w:type="dxa"/>
                  <w:vAlign w:val="center"/>
                </w:tcPr>
                <w:p>
                  <w:pPr>
                    <w:spacing w:line="240" w:lineRule="exact"/>
                    <w:jc w:val="center"/>
                    <w:rPr>
                      <w:sz w:val="18"/>
                      <w:szCs w:val="18"/>
                    </w:rPr>
                  </w:pPr>
                  <w:r>
                    <w:rPr>
                      <w:sz w:val="18"/>
                      <w:szCs w:val="18"/>
                    </w:rPr>
                    <w:t>废气</w:t>
                  </w:r>
                </w:p>
              </w:tc>
              <w:tc>
                <w:tcPr>
                  <w:tcW w:w="1615" w:type="dxa"/>
                  <w:vAlign w:val="center"/>
                </w:tcPr>
                <w:p>
                  <w:pPr>
                    <w:spacing w:line="240" w:lineRule="exact"/>
                    <w:jc w:val="center"/>
                    <w:rPr>
                      <w:sz w:val="18"/>
                      <w:szCs w:val="18"/>
                    </w:rPr>
                  </w:pPr>
                  <w:r>
                    <w:rPr>
                      <w:sz w:val="18"/>
                      <w:szCs w:val="18"/>
                    </w:rPr>
                    <w:t>施工扬尘、机械废气等</w:t>
                  </w:r>
                </w:p>
              </w:tc>
              <w:tc>
                <w:tcPr>
                  <w:tcW w:w="1646" w:type="dxa"/>
                  <w:vAlign w:val="center"/>
                </w:tcPr>
                <w:p>
                  <w:pPr>
                    <w:spacing w:line="240" w:lineRule="exact"/>
                    <w:jc w:val="center"/>
                    <w:rPr>
                      <w:sz w:val="18"/>
                      <w:szCs w:val="18"/>
                    </w:rPr>
                  </w:pPr>
                  <w:r>
                    <w:rPr>
                      <w:sz w:val="18"/>
                      <w:szCs w:val="18"/>
                    </w:rPr>
                    <w:t>定期洒水、封闭运输等</w:t>
                  </w:r>
                </w:p>
              </w:tc>
              <w:tc>
                <w:tcPr>
                  <w:tcW w:w="846" w:type="dxa"/>
                  <w:vAlign w:val="center"/>
                </w:tcPr>
                <w:p>
                  <w:pPr>
                    <w:spacing w:line="240" w:lineRule="exact"/>
                    <w:jc w:val="center"/>
                    <w:rPr>
                      <w:sz w:val="18"/>
                      <w:szCs w:val="18"/>
                    </w:rPr>
                  </w:pPr>
                  <w:r>
                    <w:rPr>
                      <w:sz w:val="18"/>
                      <w:szCs w:val="18"/>
                    </w:rPr>
                    <w:t>2.0</w:t>
                  </w:r>
                </w:p>
              </w:tc>
              <w:tc>
                <w:tcPr>
                  <w:tcW w:w="881" w:type="dxa"/>
                  <w:vAlign w:val="center"/>
                </w:tcPr>
                <w:p>
                  <w:pPr>
                    <w:spacing w:line="240" w:lineRule="exact"/>
                    <w:jc w:val="center"/>
                    <w:rPr>
                      <w:sz w:val="18"/>
                      <w:szCs w:val="18"/>
                    </w:rPr>
                  </w:pPr>
                  <w:r>
                    <w:rPr>
                      <w:sz w:val="18"/>
                      <w:szCs w:val="18"/>
                    </w:rPr>
                    <w:t>/</w:t>
                  </w:r>
                </w:p>
              </w:tc>
              <w:tc>
                <w:tcPr>
                  <w:tcW w:w="884" w:type="dxa"/>
                  <w:vAlign w:val="center"/>
                </w:tcPr>
                <w:p>
                  <w:pPr>
                    <w:spacing w:line="240" w:lineRule="exact"/>
                    <w:jc w:val="center"/>
                    <w:rPr>
                      <w:sz w:val="18"/>
                      <w:szCs w:val="18"/>
                    </w:rPr>
                  </w:pPr>
                  <w:r>
                    <w:rPr>
                      <w:sz w:val="18"/>
                      <w:szCs w:val="18"/>
                    </w:rPr>
                    <w:t>/</w:t>
                  </w:r>
                </w:p>
              </w:tc>
              <w:tc>
                <w:tcPr>
                  <w:tcW w:w="734" w:type="dxa"/>
                  <w:vMerge w:val="restart"/>
                  <w:vAlign w:val="center"/>
                </w:tcPr>
                <w:p>
                  <w:pPr>
                    <w:spacing w:line="240" w:lineRule="exact"/>
                    <w:jc w:val="center"/>
                    <w:rPr>
                      <w:sz w:val="18"/>
                      <w:szCs w:val="18"/>
                    </w:rPr>
                  </w:pPr>
                  <w:r>
                    <w:rPr>
                      <w:sz w:val="18"/>
                      <w:szCs w:val="18"/>
                    </w:rPr>
                    <w:t>建设单位环保专项资金</w:t>
                  </w:r>
                </w:p>
              </w:tc>
              <w:tc>
                <w:tcPr>
                  <w:tcW w:w="754" w:type="dxa"/>
                  <w:vMerge w:val="restart"/>
                  <w:vAlign w:val="center"/>
                </w:tcPr>
                <w:p>
                  <w:pPr>
                    <w:spacing w:line="240" w:lineRule="exact"/>
                    <w:jc w:val="center"/>
                    <w:rPr>
                      <w:sz w:val="18"/>
                      <w:szCs w:val="18"/>
                    </w:rPr>
                  </w:pPr>
                  <w:r>
                    <w:rPr>
                      <w:sz w:val="18"/>
                      <w:szCs w:val="18"/>
                    </w:rPr>
                    <w:t>施工单位</w:t>
                  </w:r>
                </w:p>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649" w:type="dxa"/>
                  <w:vMerge w:val="continue"/>
                  <w:vAlign w:val="center"/>
                </w:tcPr>
                <w:p>
                  <w:pPr>
                    <w:spacing w:line="240" w:lineRule="exact"/>
                    <w:jc w:val="center"/>
                    <w:rPr>
                      <w:sz w:val="18"/>
                      <w:szCs w:val="18"/>
                    </w:rPr>
                  </w:pPr>
                </w:p>
              </w:tc>
              <w:tc>
                <w:tcPr>
                  <w:tcW w:w="822" w:type="dxa"/>
                  <w:vAlign w:val="center"/>
                </w:tcPr>
                <w:p>
                  <w:pPr>
                    <w:spacing w:line="240" w:lineRule="exact"/>
                    <w:jc w:val="center"/>
                    <w:rPr>
                      <w:sz w:val="18"/>
                      <w:szCs w:val="18"/>
                    </w:rPr>
                  </w:pPr>
                  <w:r>
                    <w:rPr>
                      <w:sz w:val="18"/>
                      <w:szCs w:val="18"/>
                    </w:rPr>
                    <w:t>废水</w:t>
                  </w:r>
                </w:p>
              </w:tc>
              <w:tc>
                <w:tcPr>
                  <w:tcW w:w="1615" w:type="dxa"/>
                  <w:vAlign w:val="center"/>
                </w:tcPr>
                <w:p>
                  <w:pPr>
                    <w:spacing w:line="240" w:lineRule="exact"/>
                    <w:jc w:val="center"/>
                    <w:rPr>
                      <w:sz w:val="18"/>
                      <w:szCs w:val="18"/>
                    </w:rPr>
                  </w:pPr>
                  <w:r>
                    <w:rPr>
                      <w:sz w:val="18"/>
                      <w:szCs w:val="18"/>
                    </w:rPr>
                    <w:t>施工废水和生活污水</w:t>
                  </w:r>
                </w:p>
              </w:tc>
              <w:tc>
                <w:tcPr>
                  <w:tcW w:w="1646" w:type="dxa"/>
                  <w:vAlign w:val="center"/>
                </w:tcPr>
                <w:p>
                  <w:pPr>
                    <w:spacing w:line="240" w:lineRule="exact"/>
                    <w:jc w:val="center"/>
                    <w:rPr>
                      <w:sz w:val="18"/>
                      <w:szCs w:val="18"/>
                    </w:rPr>
                  </w:pPr>
                  <w:r>
                    <w:rPr>
                      <w:rFonts w:hint="eastAsia"/>
                      <w:sz w:val="18"/>
                      <w:szCs w:val="18"/>
                    </w:rPr>
                    <w:t>临时沉淀池及防渗旱厕</w:t>
                  </w:r>
                </w:p>
              </w:tc>
              <w:tc>
                <w:tcPr>
                  <w:tcW w:w="846" w:type="dxa"/>
                  <w:vAlign w:val="center"/>
                </w:tcPr>
                <w:p>
                  <w:pPr>
                    <w:spacing w:line="240" w:lineRule="exact"/>
                    <w:jc w:val="center"/>
                    <w:rPr>
                      <w:sz w:val="18"/>
                      <w:szCs w:val="18"/>
                    </w:rPr>
                  </w:pPr>
                  <w:r>
                    <w:rPr>
                      <w:sz w:val="18"/>
                      <w:szCs w:val="18"/>
                    </w:rPr>
                    <w:t>2.0</w:t>
                  </w:r>
                </w:p>
              </w:tc>
              <w:tc>
                <w:tcPr>
                  <w:tcW w:w="881" w:type="dxa"/>
                  <w:vAlign w:val="center"/>
                </w:tcPr>
                <w:p>
                  <w:pPr>
                    <w:spacing w:line="240" w:lineRule="exact"/>
                    <w:jc w:val="center"/>
                    <w:rPr>
                      <w:sz w:val="18"/>
                      <w:szCs w:val="18"/>
                    </w:rPr>
                  </w:pPr>
                  <w:r>
                    <w:rPr>
                      <w:sz w:val="18"/>
                      <w:szCs w:val="18"/>
                    </w:rPr>
                    <w:t>/</w:t>
                  </w:r>
                </w:p>
              </w:tc>
              <w:tc>
                <w:tcPr>
                  <w:tcW w:w="884" w:type="dxa"/>
                  <w:vAlign w:val="center"/>
                </w:tcPr>
                <w:p>
                  <w:pPr>
                    <w:spacing w:line="240" w:lineRule="exact"/>
                    <w:jc w:val="center"/>
                    <w:rPr>
                      <w:sz w:val="18"/>
                      <w:szCs w:val="18"/>
                    </w:rPr>
                  </w:pPr>
                  <w:r>
                    <w:rPr>
                      <w:sz w:val="18"/>
                      <w:szCs w:val="18"/>
                    </w:rPr>
                    <w:t>/</w:t>
                  </w:r>
                </w:p>
              </w:tc>
              <w:tc>
                <w:tcPr>
                  <w:tcW w:w="734" w:type="dxa"/>
                  <w:vMerge w:val="continue"/>
                  <w:vAlign w:val="center"/>
                </w:tcPr>
                <w:p>
                  <w:pPr>
                    <w:spacing w:line="240" w:lineRule="exact"/>
                    <w:jc w:val="center"/>
                    <w:rPr>
                      <w:sz w:val="18"/>
                      <w:szCs w:val="18"/>
                      <w:highlight w:val="red"/>
                    </w:rPr>
                  </w:pPr>
                </w:p>
              </w:tc>
              <w:tc>
                <w:tcPr>
                  <w:tcW w:w="754" w:type="dxa"/>
                  <w:vMerge w:val="continue"/>
                  <w:vAlign w:val="center"/>
                </w:tcPr>
                <w:p>
                  <w:pPr>
                    <w:spacing w:line="240" w:lineRule="exact"/>
                    <w:jc w:val="center"/>
                    <w:rPr>
                      <w:sz w:val="18"/>
                      <w:szCs w:val="18"/>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649" w:type="dxa"/>
                  <w:vMerge w:val="continue"/>
                  <w:vAlign w:val="center"/>
                </w:tcPr>
                <w:p>
                  <w:pPr>
                    <w:spacing w:line="240" w:lineRule="exact"/>
                    <w:jc w:val="center"/>
                    <w:rPr>
                      <w:sz w:val="18"/>
                      <w:szCs w:val="18"/>
                    </w:rPr>
                  </w:pPr>
                </w:p>
              </w:tc>
              <w:tc>
                <w:tcPr>
                  <w:tcW w:w="822" w:type="dxa"/>
                  <w:vAlign w:val="center"/>
                </w:tcPr>
                <w:p>
                  <w:pPr>
                    <w:spacing w:line="240" w:lineRule="exact"/>
                    <w:jc w:val="center"/>
                    <w:rPr>
                      <w:sz w:val="18"/>
                      <w:szCs w:val="18"/>
                    </w:rPr>
                  </w:pPr>
                  <w:r>
                    <w:rPr>
                      <w:sz w:val="18"/>
                      <w:szCs w:val="18"/>
                    </w:rPr>
                    <w:t>噪声</w:t>
                  </w:r>
                </w:p>
              </w:tc>
              <w:tc>
                <w:tcPr>
                  <w:tcW w:w="1615" w:type="dxa"/>
                  <w:vAlign w:val="center"/>
                </w:tcPr>
                <w:p>
                  <w:pPr>
                    <w:spacing w:line="240" w:lineRule="exact"/>
                    <w:jc w:val="center"/>
                    <w:rPr>
                      <w:sz w:val="18"/>
                      <w:szCs w:val="18"/>
                    </w:rPr>
                  </w:pPr>
                  <w:r>
                    <w:rPr>
                      <w:rFonts w:hint="eastAsia"/>
                      <w:sz w:val="18"/>
                      <w:szCs w:val="18"/>
                    </w:rPr>
                    <w:t>7</w:t>
                  </w:r>
                  <w:r>
                    <w:rPr>
                      <w:sz w:val="18"/>
                      <w:szCs w:val="18"/>
                    </w:rPr>
                    <w:t>0～105</w:t>
                  </w:r>
                  <w:r>
                    <w:rPr>
                      <w:rFonts w:hint="eastAsia"/>
                      <w:sz w:val="18"/>
                      <w:szCs w:val="18"/>
                    </w:rPr>
                    <w:t>d</w:t>
                  </w:r>
                  <w:r>
                    <w:rPr>
                      <w:sz w:val="18"/>
                      <w:szCs w:val="18"/>
                    </w:rPr>
                    <w:t>B（A）</w:t>
                  </w:r>
                </w:p>
              </w:tc>
              <w:tc>
                <w:tcPr>
                  <w:tcW w:w="1646" w:type="dxa"/>
                  <w:vAlign w:val="center"/>
                </w:tcPr>
                <w:p>
                  <w:pPr>
                    <w:spacing w:line="240" w:lineRule="exact"/>
                    <w:jc w:val="center"/>
                    <w:rPr>
                      <w:sz w:val="18"/>
                      <w:szCs w:val="18"/>
                    </w:rPr>
                  </w:pPr>
                  <w:r>
                    <w:rPr>
                      <w:rFonts w:hint="eastAsia"/>
                      <w:sz w:val="18"/>
                      <w:szCs w:val="18"/>
                    </w:rPr>
                    <w:t>厂房隔声、基础减震</w:t>
                  </w:r>
                </w:p>
              </w:tc>
              <w:tc>
                <w:tcPr>
                  <w:tcW w:w="846" w:type="dxa"/>
                  <w:vAlign w:val="center"/>
                </w:tcPr>
                <w:p>
                  <w:pPr>
                    <w:spacing w:line="240" w:lineRule="exact"/>
                    <w:jc w:val="center"/>
                    <w:rPr>
                      <w:sz w:val="18"/>
                      <w:szCs w:val="18"/>
                    </w:rPr>
                  </w:pPr>
                  <w:r>
                    <w:rPr>
                      <w:sz w:val="18"/>
                      <w:szCs w:val="18"/>
                    </w:rPr>
                    <w:t>1.0</w:t>
                  </w:r>
                </w:p>
              </w:tc>
              <w:tc>
                <w:tcPr>
                  <w:tcW w:w="881" w:type="dxa"/>
                  <w:vAlign w:val="center"/>
                </w:tcPr>
                <w:p>
                  <w:pPr>
                    <w:spacing w:line="240" w:lineRule="exact"/>
                    <w:jc w:val="center"/>
                    <w:rPr>
                      <w:sz w:val="18"/>
                      <w:szCs w:val="18"/>
                    </w:rPr>
                  </w:pPr>
                  <w:r>
                    <w:rPr>
                      <w:sz w:val="18"/>
                      <w:szCs w:val="18"/>
                    </w:rPr>
                    <w:t>/</w:t>
                  </w:r>
                </w:p>
              </w:tc>
              <w:tc>
                <w:tcPr>
                  <w:tcW w:w="884" w:type="dxa"/>
                  <w:vAlign w:val="center"/>
                </w:tcPr>
                <w:p>
                  <w:pPr>
                    <w:spacing w:line="240" w:lineRule="exact"/>
                    <w:jc w:val="center"/>
                    <w:rPr>
                      <w:sz w:val="18"/>
                      <w:szCs w:val="18"/>
                    </w:rPr>
                  </w:pPr>
                  <w:r>
                    <w:rPr>
                      <w:sz w:val="18"/>
                      <w:szCs w:val="18"/>
                    </w:rPr>
                    <w:t>/</w:t>
                  </w:r>
                </w:p>
              </w:tc>
              <w:tc>
                <w:tcPr>
                  <w:tcW w:w="734" w:type="dxa"/>
                  <w:vMerge w:val="continue"/>
                  <w:vAlign w:val="center"/>
                </w:tcPr>
                <w:p>
                  <w:pPr>
                    <w:spacing w:line="240" w:lineRule="exact"/>
                    <w:jc w:val="center"/>
                    <w:rPr>
                      <w:sz w:val="18"/>
                      <w:szCs w:val="18"/>
                      <w:highlight w:val="red"/>
                    </w:rPr>
                  </w:pPr>
                </w:p>
              </w:tc>
              <w:tc>
                <w:tcPr>
                  <w:tcW w:w="754" w:type="dxa"/>
                  <w:vMerge w:val="continue"/>
                  <w:vAlign w:val="center"/>
                </w:tcPr>
                <w:p>
                  <w:pPr>
                    <w:spacing w:line="240" w:lineRule="exact"/>
                    <w:jc w:val="center"/>
                    <w:rPr>
                      <w:sz w:val="18"/>
                      <w:szCs w:val="18"/>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649" w:type="dxa"/>
                  <w:vMerge w:val="continue"/>
                  <w:vAlign w:val="center"/>
                </w:tcPr>
                <w:p>
                  <w:pPr>
                    <w:spacing w:line="240" w:lineRule="exact"/>
                    <w:jc w:val="center"/>
                    <w:rPr>
                      <w:sz w:val="18"/>
                      <w:szCs w:val="18"/>
                    </w:rPr>
                  </w:pPr>
                </w:p>
              </w:tc>
              <w:tc>
                <w:tcPr>
                  <w:tcW w:w="822" w:type="dxa"/>
                  <w:vMerge w:val="restart"/>
                  <w:vAlign w:val="center"/>
                </w:tcPr>
                <w:p>
                  <w:pPr>
                    <w:spacing w:line="240" w:lineRule="exact"/>
                    <w:jc w:val="center"/>
                    <w:rPr>
                      <w:sz w:val="18"/>
                      <w:szCs w:val="18"/>
                    </w:rPr>
                  </w:pPr>
                  <w:r>
                    <w:rPr>
                      <w:sz w:val="18"/>
                      <w:szCs w:val="18"/>
                    </w:rPr>
                    <w:t>固废</w:t>
                  </w:r>
                </w:p>
              </w:tc>
              <w:tc>
                <w:tcPr>
                  <w:tcW w:w="1615" w:type="dxa"/>
                  <w:vAlign w:val="center"/>
                </w:tcPr>
                <w:p>
                  <w:pPr>
                    <w:spacing w:line="240" w:lineRule="exact"/>
                    <w:jc w:val="center"/>
                    <w:rPr>
                      <w:sz w:val="18"/>
                      <w:szCs w:val="18"/>
                    </w:rPr>
                  </w:pPr>
                  <w:r>
                    <w:rPr>
                      <w:sz w:val="18"/>
                      <w:szCs w:val="18"/>
                    </w:rPr>
                    <w:t>建筑垃圾</w:t>
                  </w:r>
                </w:p>
              </w:tc>
              <w:tc>
                <w:tcPr>
                  <w:tcW w:w="1646" w:type="dxa"/>
                  <w:vAlign w:val="center"/>
                </w:tcPr>
                <w:p>
                  <w:pPr>
                    <w:spacing w:line="240" w:lineRule="exact"/>
                    <w:jc w:val="center"/>
                    <w:rPr>
                      <w:sz w:val="18"/>
                      <w:szCs w:val="18"/>
                    </w:rPr>
                  </w:pPr>
                  <w:r>
                    <w:rPr>
                      <w:sz w:val="18"/>
                      <w:szCs w:val="18"/>
                    </w:rPr>
                    <w:t>运至</w:t>
                  </w:r>
                  <w:r>
                    <w:rPr>
                      <w:rFonts w:hint="eastAsia"/>
                      <w:sz w:val="18"/>
                      <w:szCs w:val="18"/>
                    </w:rPr>
                    <w:t>指定的</w:t>
                  </w:r>
                  <w:r>
                    <w:rPr>
                      <w:sz w:val="18"/>
                      <w:szCs w:val="18"/>
                    </w:rPr>
                    <w:t>建筑垃圾填埋场集中处理</w:t>
                  </w:r>
                </w:p>
              </w:tc>
              <w:tc>
                <w:tcPr>
                  <w:tcW w:w="846" w:type="dxa"/>
                  <w:vAlign w:val="center"/>
                </w:tcPr>
                <w:p>
                  <w:pPr>
                    <w:spacing w:line="240" w:lineRule="exact"/>
                    <w:jc w:val="center"/>
                    <w:rPr>
                      <w:sz w:val="18"/>
                      <w:szCs w:val="18"/>
                    </w:rPr>
                  </w:pPr>
                  <w:r>
                    <w:rPr>
                      <w:sz w:val="18"/>
                      <w:szCs w:val="18"/>
                    </w:rPr>
                    <w:t>1.0</w:t>
                  </w:r>
                </w:p>
              </w:tc>
              <w:tc>
                <w:tcPr>
                  <w:tcW w:w="881" w:type="dxa"/>
                  <w:vAlign w:val="center"/>
                </w:tcPr>
                <w:p>
                  <w:pPr>
                    <w:spacing w:line="240" w:lineRule="exact"/>
                    <w:jc w:val="center"/>
                    <w:rPr>
                      <w:sz w:val="18"/>
                      <w:szCs w:val="18"/>
                    </w:rPr>
                  </w:pPr>
                  <w:r>
                    <w:rPr>
                      <w:sz w:val="18"/>
                      <w:szCs w:val="18"/>
                    </w:rPr>
                    <w:t>/</w:t>
                  </w:r>
                </w:p>
              </w:tc>
              <w:tc>
                <w:tcPr>
                  <w:tcW w:w="884" w:type="dxa"/>
                  <w:vAlign w:val="center"/>
                </w:tcPr>
                <w:p>
                  <w:pPr>
                    <w:spacing w:line="240" w:lineRule="exact"/>
                    <w:jc w:val="center"/>
                    <w:rPr>
                      <w:sz w:val="18"/>
                      <w:szCs w:val="18"/>
                    </w:rPr>
                  </w:pPr>
                  <w:r>
                    <w:rPr>
                      <w:sz w:val="18"/>
                      <w:szCs w:val="18"/>
                    </w:rPr>
                    <w:t>/</w:t>
                  </w:r>
                </w:p>
              </w:tc>
              <w:tc>
                <w:tcPr>
                  <w:tcW w:w="734" w:type="dxa"/>
                  <w:vMerge w:val="continue"/>
                  <w:vAlign w:val="center"/>
                </w:tcPr>
                <w:p>
                  <w:pPr>
                    <w:spacing w:line="240" w:lineRule="exact"/>
                    <w:jc w:val="center"/>
                    <w:rPr>
                      <w:sz w:val="18"/>
                      <w:szCs w:val="18"/>
                      <w:highlight w:val="red"/>
                    </w:rPr>
                  </w:pPr>
                </w:p>
              </w:tc>
              <w:tc>
                <w:tcPr>
                  <w:tcW w:w="754" w:type="dxa"/>
                  <w:vMerge w:val="continue"/>
                  <w:vAlign w:val="center"/>
                </w:tcPr>
                <w:p>
                  <w:pPr>
                    <w:spacing w:line="240" w:lineRule="exact"/>
                    <w:jc w:val="center"/>
                    <w:rPr>
                      <w:sz w:val="18"/>
                      <w:szCs w:val="18"/>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649" w:type="dxa"/>
                  <w:vMerge w:val="continue"/>
                  <w:vAlign w:val="center"/>
                </w:tcPr>
                <w:p>
                  <w:pPr>
                    <w:spacing w:line="240" w:lineRule="exact"/>
                    <w:jc w:val="center"/>
                    <w:rPr>
                      <w:sz w:val="18"/>
                      <w:szCs w:val="18"/>
                    </w:rPr>
                  </w:pPr>
                </w:p>
              </w:tc>
              <w:tc>
                <w:tcPr>
                  <w:tcW w:w="822" w:type="dxa"/>
                  <w:vMerge w:val="continue"/>
                  <w:vAlign w:val="center"/>
                </w:tcPr>
                <w:p>
                  <w:pPr>
                    <w:spacing w:line="240" w:lineRule="exact"/>
                    <w:jc w:val="center"/>
                    <w:rPr>
                      <w:sz w:val="18"/>
                      <w:szCs w:val="18"/>
                    </w:rPr>
                  </w:pPr>
                </w:p>
              </w:tc>
              <w:tc>
                <w:tcPr>
                  <w:tcW w:w="1615" w:type="dxa"/>
                  <w:vAlign w:val="center"/>
                </w:tcPr>
                <w:p>
                  <w:pPr>
                    <w:spacing w:line="240" w:lineRule="exact"/>
                    <w:jc w:val="center"/>
                    <w:rPr>
                      <w:sz w:val="18"/>
                      <w:szCs w:val="18"/>
                    </w:rPr>
                  </w:pPr>
                  <w:r>
                    <w:rPr>
                      <w:sz w:val="18"/>
                      <w:szCs w:val="18"/>
                    </w:rPr>
                    <w:t>施工人员产生的生活垃圾</w:t>
                  </w:r>
                </w:p>
              </w:tc>
              <w:tc>
                <w:tcPr>
                  <w:tcW w:w="1646" w:type="dxa"/>
                  <w:vAlign w:val="center"/>
                </w:tcPr>
                <w:p>
                  <w:pPr>
                    <w:spacing w:line="240" w:lineRule="exact"/>
                    <w:jc w:val="center"/>
                    <w:rPr>
                      <w:sz w:val="18"/>
                      <w:szCs w:val="18"/>
                    </w:rPr>
                  </w:pPr>
                  <w:r>
                    <w:rPr>
                      <w:sz w:val="18"/>
                      <w:szCs w:val="18"/>
                    </w:rPr>
                    <w:t>交</w:t>
                  </w:r>
                  <w:r>
                    <w:rPr>
                      <w:rFonts w:hint="eastAsia"/>
                      <w:sz w:val="18"/>
                      <w:szCs w:val="18"/>
                    </w:rPr>
                    <w:t>环卫</w:t>
                  </w:r>
                  <w:r>
                    <w:rPr>
                      <w:sz w:val="18"/>
                      <w:szCs w:val="18"/>
                    </w:rPr>
                    <w:t>部门清运</w:t>
                  </w:r>
                </w:p>
              </w:tc>
              <w:tc>
                <w:tcPr>
                  <w:tcW w:w="846" w:type="dxa"/>
                  <w:vAlign w:val="center"/>
                </w:tcPr>
                <w:p>
                  <w:pPr>
                    <w:spacing w:line="240" w:lineRule="exact"/>
                    <w:jc w:val="center"/>
                    <w:rPr>
                      <w:sz w:val="18"/>
                      <w:szCs w:val="18"/>
                    </w:rPr>
                  </w:pPr>
                  <w:r>
                    <w:rPr>
                      <w:sz w:val="18"/>
                      <w:szCs w:val="18"/>
                    </w:rPr>
                    <w:t>0.5</w:t>
                  </w:r>
                </w:p>
              </w:tc>
              <w:tc>
                <w:tcPr>
                  <w:tcW w:w="881" w:type="dxa"/>
                  <w:vAlign w:val="center"/>
                </w:tcPr>
                <w:p>
                  <w:pPr>
                    <w:spacing w:line="240" w:lineRule="exact"/>
                    <w:jc w:val="center"/>
                    <w:rPr>
                      <w:sz w:val="18"/>
                      <w:szCs w:val="18"/>
                    </w:rPr>
                  </w:pPr>
                  <w:r>
                    <w:rPr>
                      <w:sz w:val="18"/>
                      <w:szCs w:val="18"/>
                    </w:rPr>
                    <w:t>/</w:t>
                  </w:r>
                </w:p>
              </w:tc>
              <w:tc>
                <w:tcPr>
                  <w:tcW w:w="884" w:type="dxa"/>
                  <w:vAlign w:val="center"/>
                </w:tcPr>
                <w:p>
                  <w:pPr>
                    <w:spacing w:line="240" w:lineRule="exact"/>
                    <w:jc w:val="center"/>
                    <w:rPr>
                      <w:sz w:val="18"/>
                      <w:szCs w:val="18"/>
                    </w:rPr>
                  </w:pPr>
                  <w:r>
                    <w:rPr>
                      <w:sz w:val="18"/>
                      <w:szCs w:val="18"/>
                    </w:rPr>
                    <w:t>/</w:t>
                  </w:r>
                </w:p>
              </w:tc>
              <w:tc>
                <w:tcPr>
                  <w:tcW w:w="734" w:type="dxa"/>
                  <w:vMerge w:val="continue"/>
                  <w:vAlign w:val="center"/>
                </w:tcPr>
                <w:p>
                  <w:pPr>
                    <w:spacing w:line="240" w:lineRule="exact"/>
                    <w:jc w:val="center"/>
                    <w:rPr>
                      <w:sz w:val="18"/>
                      <w:szCs w:val="18"/>
                    </w:rPr>
                  </w:pPr>
                </w:p>
              </w:tc>
              <w:tc>
                <w:tcPr>
                  <w:tcW w:w="754" w:type="dxa"/>
                  <w:vMerge w:val="continue"/>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649" w:type="dxa"/>
                  <w:vAlign w:val="center"/>
                </w:tcPr>
                <w:p>
                  <w:pPr>
                    <w:spacing w:line="240" w:lineRule="exact"/>
                    <w:jc w:val="center"/>
                    <w:rPr>
                      <w:sz w:val="18"/>
                      <w:szCs w:val="18"/>
                    </w:rPr>
                  </w:pPr>
                  <w:r>
                    <w:rPr>
                      <w:sz w:val="18"/>
                      <w:szCs w:val="18"/>
                    </w:rPr>
                    <w:t>项目验收阶段</w:t>
                  </w:r>
                </w:p>
              </w:tc>
              <w:tc>
                <w:tcPr>
                  <w:tcW w:w="822" w:type="dxa"/>
                  <w:vAlign w:val="center"/>
                </w:tcPr>
                <w:p>
                  <w:pPr>
                    <w:spacing w:line="240" w:lineRule="exact"/>
                    <w:jc w:val="center"/>
                    <w:rPr>
                      <w:sz w:val="18"/>
                      <w:szCs w:val="18"/>
                    </w:rPr>
                  </w:pPr>
                  <w:r>
                    <w:rPr>
                      <w:sz w:val="18"/>
                      <w:szCs w:val="18"/>
                    </w:rPr>
                    <w:t>/</w:t>
                  </w:r>
                </w:p>
              </w:tc>
              <w:tc>
                <w:tcPr>
                  <w:tcW w:w="1615" w:type="dxa"/>
                  <w:vAlign w:val="center"/>
                </w:tcPr>
                <w:p>
                  <w:pPr>
                    <w:spacing w:line="240" w:lineRule="exact"/>
                    <w:jc w:val="center"/>
                    <w:rPr>
                      <w:sz w:val="18"/>
                      <w:szCs w:val="18"/>
                    </w:rPr>
                  </w:pPr>
                  <w:r>
                    <w:rPr>
                      <w:sz w:val="18"/>
                      <w:szCs w:val="18"/>
                    </w:rPr>
                    <w:t>/</w:t>
                  </w:r>
                </w:p>
              </w:tc>
              <w:tc>
                <w:tcPr>
                  <w:tcW w:w="1646" w:type="dxa"/>
                  <w:vAlign w:val="center"/>
                </w:tcPr>
                <w:p>
                  <w:pPr>
                    <w:spacing w:line="240" w:lineRule="exact"/>
                    <w:jc w:val="center"/>
                    <w:rPr>
                      <w:sz w:val="18"/>
                      <w:szCs w:val="18"/>
                    </w:rPr>
                  </w:pPr>
                  <w:r>
                    <w:rPr>
                      <w:sz w:val="18"/>
                      <w:szCs w:val="18"/>
                    </w:rPr>
                    <w:t>/</w:t>
                  </w:r>
                </w:p>
              </w:tc>
              <w:tc>
                <w:tcPr>
                  <w:tcW w:w="846" w:type="dxa"/>
                  <w:vAlign w:val="center"/>
                </w:tcPr>
                <w:p>
                  <w:pPr>
                    <w:spacing w:line="240" w:lineRule="exact"/>
                    <w:jc w:val="center"/>
                    <w:rPr>
                      <w:sz w:val="18"/>
                      <w:szCs w:val="18"/>
                    </w:rPr>
                  </w:pPr>
                  <w:r>
                    <w:rPr>
                      <w:sz w:val="18"/>
                      <w:szCs w:val="18"/>
                    </w:rPr>
                    <w:t>/</w:t>
                  </w:r>
                </w:p>
              </w:tc>
              <w:tc>
                <w:tcPr>
                  <w:tcW w:w="881" w:type="dxa"/>
                  <w:vAlign w:val="center"/>
                </w:tcPr>
                <w:p>
                  <w:pPr>
                    <w:spacing w:line="240" w:lineRule="exact"/>
                    <w:jc w:val="center"/>
                    <w:rPr>
                      <w:sz w:val="18"/>
                      <w:szCs w:val="18"/>
                    </w:rPr>
                  </w:pPr>
                  <w:r>
                    <w:rPr>
                      <w:sz w:val="18"/>
                      <w:szCs w:val="18"/>
                    </w:rPr>
                    <w:t>/</w:t>
                  </w:r>
                </w:p>
              </w:tc>
              <w:tc>
                <w:tcPr>
                  <w:tcW w:w="884" w:type="dxa"/>
                  <w:vAlign w:val="center"/>
                </w:tcPr>
                <w:p>
                  <w:pPr>
                    <w:spacing w:line="240" w:lineRule="exact"/>
                    <w:jc w:val="center"/>
                    <w:rPr>
                      <w:sz w:val="18"/>
                      <w:szCs w:val="18"/>
                    </w:rPr>
                  </w:pPr>
                  <w:r>
                    <w:rPr>
                      <w:sz w:val="18"/>
                      <w:szCs w:val="18"/>
                    </w:rPr>
                    <w:t>3.0</w:t>
                  </w:r>
                </w:p>
              </w:tc>
              <w:tc>
                <w:tcPr>
                  <w:tcW w:w="734" w:type="dxa"/>
                  <w:vAlign w:val="center"/>
                </w:tcPr>
                <w:p>
                  <w:pPr>
                    <w:spacing w:line="240" w:lineRule="exact"/>
                    <w:jc w:val="center"/>
                    <w:rPr>
                      <w:sz w:val="18"/>
                      <w:szCs w:val="18"/>
                    </w:rPr>
                  </w:pPr>
                  <w:r>
                    <w:rPr>
                      <w:sz w:val="18"/>
                      <w:szCs w:val="18"/>
                    </w:rPr>
                    <w:t>建设单位自有资金</w:t>
                  </w:r>
                </w:p>
              </w:tc>
              <w:tc>
                <w:tcPr>
                  <w:tcW w:w="754" w:type="dxa"/>
                  <w:vAlign w:val="center"/>
                </w:tcPr>
                <w:p>
                  <w:pPr>
                    <w:spacing w:line="240" w:lineRule="exact"/>
                    <w:jc w:val="center"/>
                    <w:rPr>
                      <w:sz w:val="18"/>
                      <w:szCs w:val="18"/>
                    </w:rPr>
                  </w:pPr>
                  <w:r>
                    <w:rPr>
                      <w:sz w:val="18"/>
                      <w:szCs w:val="18"/>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649" w:type="dxa"/>
                  <w:vMerge w:val="restart"/>
                  <w:vAlign w:val="center"/>
                </w:tcPr>
                <w:p>
                  <w:pPr>
                    <w:spacing w:line="240" w:lineRule="exact"/>
                    <w:jc w:val="center"/>
                    <w:rPr>
                      <w:sz w:val="18"/>
                      <w:szCs w:val="18"/>
                    </w:rPr>
                  </w:pPr>
                  <w:r>
                    <w:rPr>
                      <w:sz w:val="18"/>
                      <w:szCs w:val="18"/>
                    </w:rPr>
                    <w:t>项目</w:t>
                  </w:r>
                  <w:r>
                    <w:rPr>
                      <w:rFonts w:hint="eastAsia"/>
                      <w:sz w:val="18"/>
                      <w:szCs w:val="18"/>
                    </w:rPr>
                    <w:t>运营期</w:t>
                  </w:r>
                </w:p>
              </w:tc>
              <w:tc>
                <w:tcPr>
                  <w:tcW w:w="822" w:type="dxa"/>
                  <w:vMerge w:val="restart"/>
                  <w:vAlign w:val="center"/>
                </w:tcPr>
                <w:p>
                  <w:pPr>
                    <w:spacing w:line="240" w:lineRule="exact"/>
                    <w:jc w:val="center"/>
                    <w:rPr>
                      <w:sz w:val="18"/>
                      <w:szCs w:val="18"/>
                    </w:rPr>
                  </w:pPr>
                  <w:r>
                    <w:rPr>
                      <w:sz w:val="18"/>
                      <w:szCs w:val="18"/>
                    </w:rPr>
                    <w:t>废气</w:t>
                  </w:r>
                </w:p>
              </w:tc>
              <w:tc>
                <w:tcPr>
                  <w:tcW w:w="1615" w:type="dxa"/>
                  <w:vAlign w:val="center"/>
                </w:tcPr>
                <w:p>
                  <w:pPr>
                    <w:adjustRightInd w:val="0"/>
                    <w:snapToGrid w:val="0"/>
                    <w:spacing w:line="300" w:lineRule="exact"/>
                    <w:jc w:val="center"/>
                    <w:rPr>
                      <w:sz w:val="18"/>
                      <w:szCs w:val="18"/>
                    </w:rPr>
                  </w:pPr>
                  <w:r>
                    <w:rPr>
                      <w:rFonts w:hint="eastAsia"/>
                      <w:sz w:val="18"/>
                      <w:szCs w:val="18"/>
                    </w:rPr>
                    <w:t>煤场扬尘</w:t>
                  </w:r>
                </w:p>
              </w:tc>
              <w:tc>
                <w:tcPr>
                  <w:tcW w:w="1646" w:type="dxa"/>
                  <w:vAlign w:val="center"/>
                </w:tcPr>
                <w:p>
                  <w:pPr>
                    <w:adjustRightInd w:val="0"/>
                    <w:snapToGrid w:val="0"/>
                    <w:spacing w:line="300" w:lineRule="exact"/>
                    <w:jc w:val="center"/>
                    <w:rPr>
                      <w:sz w:val="18"/>
                      <w:szCs w:val="18"/>
                    </w:rPr>
                  </w:pPr>
                  <w:r>
                    <w:rPr>
                      <w:rFonts w:hint="eastAsia"/>
                      <w:sz w:val="18"/>
                      <w:szCs w:val="18"/>
                    </w:rPr>
                    <w:t>煤场全封闭</w:t>
                  </w:r>
                  <w:r>
                    <w:rPr>
                      <w:sz w:val="18"/>
                      <w:szCs w:val="18"/>
                    </w:rPr>
                    <w:t>、</w:t>
                  </w:r>
                  <w:r>
                    <w:rPr>
                      <w:rFonts w:hint="eastAsia"/>
                      <w:sz w:val="18"/>
                      <w:szCs w:val="18"/>
                    </w:rPr>
                    <w:t>水喷淋系统</w:t>
                  </w:r>
                </w:p>
              </w:tc>
              <w:tc>
                <w:tcPr>
                  <w:tcW w:w="846" w:type="dxa"/>
                  <w:vAlign w:val="center"/>
                </w:tcPr>
                <w:p>
                  <w:pPr>
                    <w:spacing w:line="240" w:lineRule="exact"/>
                    <w:jc w:val="center"/>
                    <w:rPr>
                      <w:sz w:val="18"/>
                      <w:szCs w:val="18"/>
                    </w:rPr>
                  </w:pPr>
                  <w:r>
                    <w:rPr>
                      <w:sz w:val="18"/>
                      <w:szCs w:val="18"/>
                    </w:rPr>
                    <w:t>7671</w:t>
                  </w:r>
                </w:p>
              </w:tc>
              <w:tc>
                <w:tcPr>
                  <w:tcW w:w="881" w:type="dxa"/>
                  <w:vAlign w:val="center"/>
                </w:tcPr>
                <w:p>
                  <w:pPr>
                    <w:spacing w:line="240" w:lineRule="exact"/>
                    <w:jc w:val="center"/>
                    <w:rPr>
                      <w:sz w:val="18"/>
                      <w:szCs w:val="18"/>
                    </w:rPr>
                  </w:pPr>
                  <w:r>
                    <w:rPr>
                      <w:sz w:val="18"/>
                      <w:szCs w:val="18"/>
                    </w:rPr>
                    <w:t>852.5</w:t>
                  </w:r>
                </w:p>
              </w:tc>
              <w:tc>
                <w:tcPr>
                  <w:tcW w:w="884" w:type="dxa"/>
                  <w:vAlign w:val="center"/>
                </w:tcPr>
                <w:p>
                  <w:pPr>
                    <w:spacing w:line="240" w:lineRule="exact"/>
                    <w:jc w:val="center"/>
                    <w:rPr>
                      <w:sz w:val="18"/>
                      <w:szCs w:val="18"/>
                    </w:rPr>
                  </w:pPr>
                  <w:r>
                    <w:rPr>
                      <w:sz w:val="18"/>
                      <w:szCs w:val="18"/>
                    </w:rPr>
                    <w:t>/</w:t>
                  </w:r>
                </w:p>
              </w:tc>
              <w:tc>
                <w:tcPr>
                  <w:tcW w:w="734" w:type="dxa"/>
                  <w:vMerge w:val="restart"/>
                  <w:vAlign w:val="center"/>
                </w:tcPr>
                <w:p>
                  <w:pPr>
                    <w:spacing w:line="240" w:lineRule="exact"/>
                    <w:jc w:val="center"/>
                    <w:rPr>
                      <w:sz w:val="18"/>
                      <w:szCs w:val="18"/>
                    </w:rPr>
                  </w:pPr>
                  <w:r>
                    <w:rPr>
                      <w:sz w:val="18"/>
                      <w:szCs w:val="18"/>
                    </w:rPr>
                    <w:t>建设单位环保专项资金</w:t>
                  </w:r>
                </w:p>
              </w:tc>
              <w:tc>
                <w:tcPr>
                  <w:tcW w:w="754" w:type="dxa"/>
                  <w:vMerge w:val="restart"/>
                  <w:vAlign w:val="center"/>
                </w:tcPr>
                <w:p>
                  <w:pPr>
                    <w:spacing w:line="240" w:lineRule="exact"/>
                    <w:jc w:val="center"/>
                    <w:rPr>
                      <w:sz w:val="18"/>
                      <w:szCs w:val="18"/>
                    </w:rPr>
                  </w:pPr>
                  <w:r>
                    <w:rPr>
                      <w:sz w:val="18"/>
                      <w:szCs w:val="18"/>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649" w:type="dxa"/>
                  <w:vMerge w:val="continue"/>
                  <w:vAlign w:val="center"/>
                </w:tcPr>
                <w:p>
                  <w:pPr>
                    <w:spacing w:line="240" w:lineRule="exact"/>
                    <w:jc w:val="center"/>
                    <w:rPr>
                      <w:sz w:val="18"/>
                      <w:szCs w:val="18"/>
                    </w:rPr>
                  </w:pPr>
                </w:p>
              </w:tc>
              <w:tc>
                <w:tcPr>
                  <w:tcW w:w="822" w:type="dxa"/>
                  <w:vMerge w:val="continue"/>
                  <w:vAlign w:val="center"/>
                </w:tcPr>
                <w:p>
                  <w:pPr>
                    <w:spacing w:line="240" w:lineRule="exact"/>
                    <w:jc w:val="center"/>
                    <w:rPr>
                      <w:sz w:val="18"/>
                      <w:szCs w:val="18"/>
                    </w:rPr>
                  </w:pPr>
                </w:p>
              </w:tc>
              <w:tc>
                <w:tcPr>
                  <w:tcW w:w="1615" w:type="dxa"/>
                  <w:vAlign w:val="center"/>
                </w:tcPr>
                <w:p>
                  <w:pPr>
                    <w:adjustRightInd w:val="0"/>
                    <w:snapToGrid w:val="0"/>
                    <w:spacing w:line="300" w:lineRule="exact"/>
                    <w:jc w:val="center"/>
                    <w:rPr>
                      <w:sz w:val="18"/>
                      <w:szCs w:val="18"/>
                    </w:rPr>
                  </w:pPr>
                  <w:r>
                    <w:rPr>
                      <w:rFonts w:hint="eastAsia"/>
                      <w:sz w:val="18"/>
                      <w:szCs w:val="18"/>
                    </w:rPr>
                    <w:t>道路</w:t>
                  </w:r>
                  <w:r>
                    <w:rPr>
                      <w:sz w:val="18"/>
                      <w:szCs w:val="18"/>
                    </w:rPr>
                    <w:t>扬尘</w:t>
                  </w:r>
                </w:p>
              </w:tc>
              <w:tc>
                <w:tcPr>
                  <w:tcW w:w="1646" w:type="dxa"/>
                  <w:vAlign w:val="center"/>
                </w:tcPr>
                <w:p>
                  <w:pPr>
                    <w:adjustRightInd w:val="0"/>
                    <w:snapToGrid w:val="0"/>
                    <w:spacing w:line="300" w:lineRule="exact"/>
                    <w:jc w:val="center"/>
                    <w:rPr>
                      <w:sz w:val="18"/>
                      <w:szCs w:val="18"/>
                    </w:rPr>
                  </w:pPr>
                  <w:r>
                    <w:rPr>
                      <w:rFonts w:hint="eastAsia"/>
                      <w:sz w:val="18"/>
                      <w:szCs w:val="18"/>
                    </w:rPr>
                    <w:t>道路</w:t>
                  </w:r>
                  <w:r>
                    <w:rPr>
                      <w:sz w:val="18"/>
                      <w:szCs w:val="18"/>
                    </w:rPr>
                    <w:t>硬化、定期清洗、洒水抑尘</w:t>
                  </w:r>
                </w:p>
              </w:tc>
              <w:tc>
                <w:tcPr>
                  <w:tcW w:w="846" w:type="dxa"/>
                  <w:vAlign w:val="center"/>
                </w:tcPr>
                <w:p>
                  <w:pPr>
                    <w:spacing w:line="240" w:lineRule="exact"/>
                    <w:jc w:val="center"/>
                    <w:rPr>
                      <w:sz w:val="18"/>
                      <w:szCs w:val="18"/>
                    </w:rPr>
                  </w:pPr>
                  <w:r>
                    <w:rPr>
                      <w:sz w:val="18"/>
                      <w:szCs w:val="18"/>
                    </w:rPr>
                    <w:t>50</w:t>
                  </w:r>
                </w:p>
              </w:tc>
              <w:tc>
                <w:tcPr>
                  <w:tcW w:w="881" w:type="dxa"/>
                  <w:vAlign w:val="center"/>
                </w:tcPr>
                <w:p>
                  <w:pPr>
                    <w:spacing w:line="240" w:lineRule="exact"/>
                    <w:jc w:val="center"/>
                    <w:rPr>
                      <w:sz w:val="18"/>
                      <w:szCs w:val="18"/>
                    </w:rPr>
                  </w:pPr>
                  <w:r>
                    <w:rPr>
                      <w:rFonts w:hint="eastAsia"/>
                      <w:sz w:val="18"/>
                      <w:szCs w:val="18"/>
                    </w:rPr>
                    <w:t>5</w:t>
                  </w:r>
                </w:p>
              </w:tc>
              <w:tc>
                <w:tcPr>
                  <w:tcW w:w="884" w:type="dxa"/>
                  <w:vAlign w:val="center"/>
                </w:tcPr>
                <w:p>
                  <w:pPr>
                    <w:spacing w:line="240" w:lineRule="exact"/>
                    <w:jc w:val="center"/>
                    <w:rPr>
                      <w:sz w:val="18"/>
                      <w:szCs w:val="18"/>
                    </w:rPr>
                  </w:pPr>
                  <w:r>
                    <w:rPr>
                      <w:rFonts w:hint="eastAsia"/>
                      <w:sz w:val="18"/>
                      <w:szCs w:val="18"/>
                    </w:rPr>
                    <w:t>/</w:t>
                  </w:r>
                </w:p>
              </w:tc>
              <w:tc>
                <w:tcPr>
                  <w:tcW w:w="734" w:type="dxa"/>
                  <w:vMerge w:val="continue"/>
                  <w:vAlign w:val="center"/>
                </w:tcPr>
                <w:p>
                  <w:pPr>
                    <w:spacing w:line="240" w:lineRule="exact"/>
                    <w:jc w:val="center"/>
                    <w:rPr>
                      <w:sz w:val="18"/>
                      <w:szCs w:val="18"/>
                    </w:rPr>
                  </w:pPr>
                </w:p>
              </w:tc>
              <w:tc>
                <w:tcPr>
                  <w:tcW w:w="754" w:type="dxa"/>
                  <w:vMerge w:val="continue"/>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649" w:type="dxa"/>
                  <w:vAlign w:val="center"/>
                </w:tcPr>
                <w:p>
                  <w:pPr>
                    <w:spacing w:line="240" w:lineRule="exact"/>
                    <w:jc w:val="center"/>
                    <w:rPr>
                      <w:sz w:val="18"/>
                      <w:szCs w:val="18"/>
                    </w:rPr>
                  </w:pPr>
                  <w:r>
                    <w:rPr>
                      <w:sz w:val="18"/>
                      <w:szCs w:val="18"/>
                    </w:rPr>
                    <w:t>环境管理</w:t>
                  </w:r>
                </w:p>
              </w:tc>
              <w:tc>
                <w:tcPr>
                  <w:tcW w:w="4083" w:type="dxa"/>
                  <w:gridSpan w:val="3"/>
                  <w:vAlign w:val="center"/>
                </w:tcPr>
                <w:p>
                  <w:pPr>
                    <w:spacing w:line="240" w:lineRule="exact"/>
                    <w:jc w:val="center"/>
                    <w:rPr>
                      <w:sz w:val="18"/>
                      <w:szCs w:val="18"/>
                    </w:rPr>
                  </w:pPr>
                  <w:r>
                    <w:rPr>
                      <w:sz w:val="18"/>
                      <w:szCs w:val="18"/>
                    </w:rPr>
                    <w:t>设置1~2个环保人员；建立环境管理制度</w:t>
                  </w:r>
                </w:p>
              </w:tc>
              <w:tc>
                <w:tcPr>
                  <w:tcW w:w="846" w:type="dxa"/>
                  <w:vAlign w:val="center"/>
                </w:tcPr>
                <w:p>
                  <w:pPr>
                    <w:spacing w:line="240" w:lineRule="exact"/>
                    <w:jc w:val="center"/>
                    <w:rPr>
                      <w:sz w:val="18"/>
                      <w:szCs w:val="18"/>
                    </w:rPr>
                  </w:pPr>
                  <w:r>
                    <w:rPr>
                      <w:sz w:val="18"/>
                      <w:szCs w:val="18"/>
                    </w:rPr>
                    <w:t>/</w:t>
                  </w:r>
                </w:p>
              </w:tc>
              <w:tc>
                <w:tcPr>
                  <w:tcW w:w="881" w:type="dxa"/>
                  <w:vAlign w:val="center"/>
                </w:tcPr>
                <w:p>
                  <w:pPr>
                    <w:spacing w:line="240" w:lineRule="exact"/>
                    <w:jc w:val="center"/>
                    <w:rPr>
                      <w:sz w:val="18"/>
                      <w:szCs w:val="18"/>
                    </w:rPr>
                  </w:pPr>
                  <w:r>
                    <w:rPr>
                      <w:sz w:val="18"/>
                      <w:szCs w:val="18"/>
                    </w:rPr>
                    <w:t>/</w:t>
                  </w:r>
                </w:p>
              </w:tc>
              <w:tc>
                <w:tcPr>
                  <w:tcW w:w="884" w:type="dxa"/>
                  <w:vAlign w:val="center"/>
                </w:tcPr>
                <w:p>
                  <w:pPr>
                    <w:spacing w:line="240" w:lineRule="exact"/>
                    <w:jc w:val="center"/>
                    <w:rPr>
                      <w:sz w:val="18"/>
                      <w:szCs w:val="18"/>
                    </w:rPr>
                  </w:pPr>
                  <w:r>
                    <w:rPr>
                      <w:sz w:val="18"/>
                      <w:szCs w:val="18"/>
                    </w:rPr>
                    <w:t>2.0</w:t>
                  </w:r>
                </w:p>
              </w:tc>
              <w:tc>
                <w:tcPr>
                  <w:tcW w:w="734" w:type="dxa"/>
                  <w:vMerge w:val="continue"/>
                  <w:vAlign w:val="center"/>
                </w:tcPr>
                <w:p>
                  <w:pPr>
                    <w:spacing w:line="240" w:lineRule="exact"/>
                    <w:jc w:val="center"/>
                    <w:rPr>
                      <w:sz w:val="18"/>
                      <w:szCs w:val="18"/>
                    </w:rPr>
                  </w:pPr>
                </w:p>
              </w:tc>
              <w:tc>
                <w:tcPr>
                  <w:tcW w:w="754" w:type="dxa"/>
                  <w:vMerge w:val="continue"/>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jc w:val="center"/>
              </w:trPr>
              <w:tc>
                <w:tcPr>
                  <w:tcW w:w="649" w:type="dxa"/>
                  <w:vAlign w:val="center"/>
                </w:tcPr>
                <w:p>
                  <w:pPr>
                    <w:spacing w:line="240" w:lineRule="exact"/>
                    <w:jc w:val="center"/>
                    <w:rPr>
                      <w:sz w:val="18"/>
                      <w:szCs w:val="18"/>
                    </w:rPr>
                  </w:pPr>
                  <w:r>
                    <w:rPr>
                      <w:sz w:val="18"/>
                      <w:szCs w:val="18"/>
                    </w:rPr>
                    <w:t>环境监测</w:t>
                  </w:r>
                </w:p>
              </w:tc>
              <w:tc>
                <w:tcPr>
                  <w:tcW w:w="4083" w:type="dxa"/>
                  <w:gridSpan w:val="3"/>
                  <w:vAlign w:val="center"/>
                </w:tcPr>
                <w:p>
                  <w:pPr>
                    <w:spacing w:line="240" w:lineRule="exact"/>
                    <w:jc w:val="center"/>
                    <w:rPr>
                      <w:sz w:val="18"/>
                      <w:szCs w:val="18"/>
                    </w:rPr>
                  </w:pPr>
                  <w:r>
                    <w:rPr>
                      <w:sz w:val="18"/>
                      <w:szCs w:val="18"/>
                    </w:rPr>
                    <w:t>详见环境管理与监测计划小节</w:t>
                  </w:r>
                </w:p>
              </w:tc>
              <w:tc>
                <w:tcPr>
                  <w:tcW w:w="846" w:type="dxa"/>
                  <w:vAlign w:val="center"/>
                </w:tcPr>
                <w:p>
                  <w:pPr>
                    <w:spacing w:line="240" w:lineRule="exact"/>
                    <w:jc w:val="center"/>
                    <w:rPr>
                      <w:sz w:val="18"/>
                      <w:szCs w:val="18"/>
                    </w:rPr>
                  </w:pPr>
                  <w:r>
                    <w:rPr>
                      <w:sz w:val="18"/>
                      <w:szCs w:val="18"/>
                    </w:rPr>
                    <w:t>/</w:t>
                  </w:r>
                </w:p>
              </w:tc>
              <w:tc>
                <w:tcPr>
                  <w:tcW w:w="881" w:type="dxa"/>
                  <w:vAlign w:val="center"/>
                </w:tcPr>
                <w:p>
                  <w:pPr>
                    <w:spacing w:line="240" w:lineRule="exact"/>
                    <w:jc w:val="center"/>
                    <w:rPr>
                      <w:sz w:val="18"/>
                      <w:szCs w:val="18"/>
                    </w:rPr>
                  </w:pPr>
                  <w:r>
                    <w:rPr>
                      <w:sz w:val="18"/>
                      <w:szCs w:val="18"/>
                    </w:rPr>
                    <w:t>/</w:t>
                  </w:r>
                </w:p>
              </w:tc>
              <w:tc>
                <w:tcPr>
                  <w:tcW w:w="884" w:type="dxa"/>
                  <w:vAlign w:val="center"/>
                </w:tcPr>
                <w:p>
                  <w:pPr>
                    <w:spacing w:line="240" w:lineRule="exact"/>
                    <w:jc w:val="center"/>
                    <w:rPr>
                      <w:sz w:val="18"/>
                      <w:szCs w:val="18"/>
                    </w:rPr>
                  </w:pPr>
                  <w:r>
                    <w:rPr>
                      <w:sz w:val="18"/>
                      <w:szCs w:val="18"/>
                    </w:rPr>
                    <w:t>5.0</w:t>
                  </w:r>
                </w:p>
              </w:tc>
              <w:tc>
                <w:tcPr>
                  <w:tcW w:w="734" w:type="dxa"/>
                  <w:vMerge w:val="continue"/>
                  <w:vAlign w:val="center"/>
                </w:tcPr>
                <w:p>
                  <w:pPr>
                    <w:spacing w:line="240" w:lineRule="exact"/>
                    <w:jc w:val="center"/>
                    <w:rPr>
                      <w:sz w:val="18"/>
                      <w:szCs w:val="18"/>
                    </w:rPr>
                  </w:pPr>
                </w:p>
              </w:tc>
              <w:tc>
                <w:tcPr>
                  <w:tcW w:w="754" w:type="dxa"/>
                  <w:vMerge w:val="continue"/>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4732" w:type="dxa"/>
                  <w:gridSpan w:val="4"/>
                  <w:vMerge w:val="restart"/>
                  <w:vAlign w:val="center"/>
                </w:tcPr>
                <w:p>
                  <w:pPr>
                    <w:spacing w:line="240" w:lineRule="exact"/>
                    <w:jc w:val="center"/>
                    <w:rPr>
                      <w:sz w:val="18"/>
                      <w:szCs w:val="18"/>
                    </w:rPr>
                  </w:pPr>
                  <w:r>
                    <w:rPr>
                      <w:sz w:val="18"/>
                      <w:szCs w:val="18"/>
                    </w:rPr>
                    <w:t>总投资（万元）</w:t>
                  </w:r>
                </w:p>
              </w:tc>
              <w:tc>
                <w:tcPr>
                  <w:tcW w:w="846" w:type="dxa"/>
                  <w:vAlign w:val="center"/>
                </w:tcPr>
                <w:p>
                  <w:pPr>
                    <w:spacing w:line="240" w:lineRule="exact"/>
                    <w:jc w:val="center"/>
                    <w:rPr>
                      <w:sz w:val="18"/>
                      <w:szCs w:val="18"/>
                    </w:rPr>
                  </w:pPr>
                  <w:r>
                    <w:rPr>
                      <w:sz w:val="18"/>
                      <w:szCs w:val="18"/>
                    </w:rPr>
                    <w:t>7727.5</w:t>
                  </w:r>
                </w:p>
              </w:tc>
              <w:tc>
                <w:tcPr>
                  <w:tcW w:w="881" w:type="dxa"/>
                  <w:vAlign w:val="center"/>
                </w:tcPr>
                <w:p>
                  <w:pPr>
                    <w:spacing w:line="240" w:lineRule="exact"/>
                    <w:jc w:val="center"/>
                    <w:rPr>
                      <w:sz w:val="18"/>
                      <w:szCs w:val="18"/>
                    </w:rPr>
                  </w:pPr>
                  <w:r>
                    <w:rPr>
                      <w:sz w:val="18"/>
                      <w:szCs w:val="18"/>
                    </w:rPr>
                    <w:t>857.5</w:t>
                  </w:r>
                </w:p>
              </w:tc>
              <w:tc>
                <w:tcPr>
                  <w:tcW w:w="884" w:type="dxa"/>
                  <w:vAlign w:val="center"/>
                </w:tcPr>
                <w:p>
                  <w:pPr>
                    <w:spacing w:line="240" w:lineRule="exact"/>
                    <w:jc w:val="center"/>
                    <w:rPr>
                      <w:sz w:val="18"/>
                      <w:szCs w:val="18"/>
                    </w:rPr>
                  </w:pPr>
                  <w:r>
                    <w:rPr>
                      <w:sz w:val="18"/>
                      <w:szCs w:val="18"/>
                    </w:rPr>
                    <w:t>15.0</w:t>
                  </w:r>
                </w:p>
              </w:tc>
              <w:tc>
                <w:tcPr>
                  <w:tcW w:w="734" w:type="dxa"/>
                  <w:vAlign w:val="center"/>
                </w:tcPr>
                <w:p>
                  <w:pPr>
                    <w:spacing w:line="240" w:lineRule="exact"/>
                    <w:jc w:val="center"/>
                    <w:rPr>
                      <w:sz w:val="18"/>
                      <w:szCs w:val="18"/>
                    </w:rPr>
                  </w:pPr>
                  <w:r>
                    <w:rPr>
                      <w:sz w:val="18"/>
                      <w:szCs w:val="18"/>
                    </w:rPr>
                    <w:t>/</w:t>
                  </w:r>
                </w:p>
              </w:tc>
              <w:tc>
                <w:tcPr>
                  <w:tcW w:w="754" w:type="dxa"/>
                  <w:vAlign w:val="center"/>
                </w:tcPr>
                <w:p>
                  <w:pPr>
                    <w:spacing w:line="240" w:lineRule="exact"/>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4732" w:type="dxa"/>
                  <w:gridSpan w:val="4"/>
                  <w:vMerge w:val="continue"/>
                  <w:vAlign w:val="center"/>
                </w:tcPr>
                <w:p>
                  <w:pPr>
                    <w:spacing w:line="240" w:lineRule="exact"/>
                    <w:jc w:val="center"/>
                    <w:rPr>
                      <w:sz w:val="18"/>
                      <w:szCs w:val="18"/>
                    </w:rPr>
                  </w:pPr>
                </w:p>
              </w:tc>
              <w:tc>
                <w:tcPr>
                  <w:tcW w:w="2611" w:type="dxa"/>
                  <w:gridSpan w:val="3"/>
                  <w:vAlign w:val="center"/>
                </w:tcPr>
                <w:p>
                  <w:pPr>
                    <w:spacing w:line="240" w:lineRule="exact"/>
                    <w:jc w:val="center"/>
                    <w:rPr>
                      <w:sz w:val="18"/>
                      <w:szCs w:val="18"/>
                    </w:rPr>
                  </w:pPr>
                  <w:r>
                    <w:rPr>
                      <w:sz w:val="18"/>
                      <w:szCs w:val="18"/>
                    </w:rPr>
                    <w:t>8600</w:t>
                  </w:r>
                </w:p>
              </w:tc>
              <w:tc>
                <w:tcPr>
                  <w:tcW w:w="734" w:type="dxa"/>
                  <w:vAlign w:val="center"/>
                </w:tcPr>
                <w:p>
                  <w:pPr>
                    <w:spacing w:line="240" w:lineRule="exact"/>
                    <w:jc w:val="center"/>
                    <w:rPr>
                      <w:sz w:val="18"/>
                      <w:szCs w:val="18"/>
                    </w:rPr>
                  </w:pPr>
                  <w:r>
                    <w:rPr>
                      <w:sz w:val="18"/>
                      <w:szCs w:val="18"/>
                    </w:rPr>
                    <w:t>/</w:t>
                  </w:r>
                </w:p>
              </w:tc>
              <w:tc>
                <w:tcPr>
                  <w:tcW w:w="754" w:type="dxa"/>
                  <w:vAlign w:val="center"/>
                </w:tcPr>
                <w:p>
                  <w:pPr>
                    <w:spacing w:line="240" w:lineRule="exact"/>
                    <w:jc w:val="center"/>
                    <w:rPr>
                      <w:sz w:val="18"/>
                      <w:szCs w:val="18"/>
                    </w:rPr>
                  </w:pPr>
                  <w:r>
                    <w:rPr>
                      <w:sz w:val="18"/>
                      <w:szCs w:val="18"/>
                    </w:rPr>
                    <w:t>/</w:t>
                  </w:r>
                </w:p>
              </w:tc>
            </w:tr>
          </w:tbl>
          <w:p>
            <w:pPr>
              <w:spacing w:before="120" w:beforeLines="50" w:line="360" w:lineRule="auto"/>
              <w:ind w:firstLine="482" w:firstLineChars="200"/>
              <w:rPr>
                <w:b/>
                <w:sz w:val="24"/>
              </w:rPr>
            </w:pPr>
            <w:r>
              <w:rPr>
                <w:rFonts w:hint="eastAsia"/>
                <w:b/>
                <w:sz w:val="24"/>
              </w:rPr>
              <w:t>六</w:t>
            </w:r>
            <w:r>
              <w:rPr>
                <w:b/>
                <w:sz w:val="24"/>
              </w:rPr>
              <w:t>、环保竣工验收</w:t>
            </w:r>
          </w:p>
          <w:p>
            <w:pPr>
              <w:spacing w:line="360" w:lineRule="auto"/>
              <w:ind w:right="105" w:rightChars="50" w:firstLine="480"/>
              <w:rPr>
                <w:kern w:val="24"/>
                <w:sz w:val="24"/>
              </w:rPr>
            </w:pPr>
            <w:r>
              <w:rPr>
                <w:kern w:val="24"/>
                <w:sz w:val="24"/>
              </w:rPr>
              <w:t>本项目环保措施应当与整合主体工程同时设计、同时施工和同时投产，工程完成后建设单位应</w:t>
            </w:r>
            <w:r>
              <w:rPr>
                <w:rFonts w:hint="eastAsia"/>
                <w:kern w:val="24"/>
                <w:sz w:val="24"/>
              </w:rPr>
              <w:t>及时</w:t>
            </w:r>
            <w:r>
              <w:rPr>
                <w:kern w:val="24"/>
                <w:sz w:val="24"/>
              </w:rPr>
              <w:t>按照</w:t>
            </w:r>
            <w:r>
              <w:rPr>
                <w:rFonts w:hint="eastAsia"/>
                <w:kern w:val="24"/>
                <w:sz w:val="24"/>
              </w:rPr>
              <w:t>《建设项目竣工环境保护验收暂行办法》（国环规环评〔2017〕4号）规定</w:t>
            </w:r>
            <w:r>
              <w:rPr>
                <w:kern w:val="24"/>
                <w:sz w:val="24"/>
              </w:rPr>
              <w:t>分类验收。竣工验收通过后，建设单位方可正式投产运行。环保设施竣工验收见表</w:t>
            </w:r>
            <w:r>
              <w:rPr>
                <w:rFonts w:hint="eastAsia"/>
                <w:kern w:val="24"/>
                <w:sz w:val="24"/>
              </w:rPr>
              <w:t>3</w:t>
            </w:r>
            <w:r>
              <w:rPr>
                <w:kern w:val="24"/>
                <w:sz w:val="24"/>
              </w:rPr>
              <w:t>6。</w:t>
            </w:r>
          </w:p>
          <w:p>
            <w:pPr>
              <w:adjustRightInd w:val="0"/>
              <w:ind w:right="105" w:rightChars="50" w:firstLine="422"/>
              <w:jc w:val="center"/>
              <w:rPr>
                <w:b/>
              </w:rPr>
            </w:pPr>
          </w:p>
          <w:p>
            <w:pPr>
              <w:adjustRightInd w:val="0"/>
              <w:ind w:right="105" w:rightChars="50" w:firstLine="422"/>
              <w:jc w:val="center"/>
              <w:rPr>
                <w:b/>
              </w:rPr>
            </w:pPr>
          </w:p>
          <w:p>
            <w:pPr>
              <w:adjustRightInd w:val="0"/>
              <w:ind w:right="105" w:rightChars="50" w:firstLine="422"/>
              <w:jc w:val="center"/>
              <w:rPr>
                <w:b/>
              </w:rPr>
            </w:pPr>
          </w:p>
          <w:p>
            <w:pPr>
              <w:adjustRightInd w:val="0"/>
              <w:ind w:right="105" w:rightChars="50" w:firstLine="422"/>
              <w:jc w:val="center"/>
              <w:rPr>
                <w:b/>
              </w:rPr>
            </w:pPr>
          </w:p>
          <w:p>
            <w:pPr>
              <w:adjustRightInd w:val="0"/>
              <w:ind w:right="105" w:rightChars="50" w:firstLine="422"/>
              <w:jc w:val="center"/>
              <w:rPr>
                <w:b/>
              </w:rPr>
            </w:pPr>
          </w:p>
          <w:p>
            <w:pPr>
              <w:adjustRightInd w:val="0"/>
              <w:ind w:right="105" w:rightChars="50" w:firstLine="422"/>
              <w:jc w:val="center"/>
              <w:rPr>
                <w:b/>
              </w:rPr>
            </w:pPr>
          </w:p>
          <w:p>
            <w:pPr>
              <w:adjustRightInd w:val="0"/>
              <w:ind w:right="105" w:rightChars="50" w:firstLine="422"/>
              <w:jc w:val="center"/>
              <w:rPr>
                <w:b/>
              </w:rPr>
            </w:pPr>
          </w:p>
          <w:p>
            <w:pPr>
              <w:adjustRightInd w:val="0"/>
              <w:ind w:right="105" w:rightChars="50" w:firstLine="422"/>
              <w:jc w:val="center"/>
              <w:rPr>
                <w:b/>
              </w:rPr>
            </w:pPr>
          </w:p>
          <w:p>
            <w:pPr>
              <w:adjustRightInd w:val="0"/>
              <w:ind w:right="105" w:rightChars="50" w:firstLine="422"/>
              <w:jc w:val="center"/>
              <w:rPr>
                <w:b/>
              </w:rPr>
            </w:pPr>
          </w:p>
          <w:p>
            <w:pPr>
              <w:adjustRightInd w:val="0"/>
              <w:ind w:right="105" w:rightChars="50" w:firstLine="422"/>
              <w:jc w:val="center"/>
              <w:rPr>
                <w:b/>
              </w:rPr>
            </w:pPr>
          </w:p>
          <w:p>
            <w:pPr>
              <w:adjustRightInd w:val="0"/>
              <w:ind w:right="105" w:rightChars="50" w:firstLine="422"/>
              <w:jc w:val="center"/>
              <w:rPr>
                <w:b/>
              </w:rPr>
            </w:pPr>
          </w:p>
          <w:p>
            <w:pPr>
              <w:adjustRightInd w:val="0"/>
              <w:ind w:right="105" w:rightChars="50" w:firstLine="422"/>
              <w:jc w:val="center"/>
              <w:rPr>
                <w:b/>
              </w:rPr>
            </w:pPr>
          </w:p>
          <w:p>
            <w:pPr>
              <w:adjustRightInd w:val="0"/>
              <w:ind w:right="105" w:rightChars="50" w:firstLine="422"/>
              <w:jc w:val="center"/>
              <w:rPr>
                <w:b/>
              </w:rPr>
            </w:pPr>
            <w:r>
              <w:rPr>
                <w:b/>
              </w:rPr>
              <w:t>表</w:t>
            </w:r>
            <w:r>
              <w:rPr>
                <w:rFonts w:hint="eastAsia"/>
                <w:b/>
              </w:rPr>
              <w:t>3</w:t>
            </w:r>
            <w:r>
              <w:rPr>
                <w:b/>
              </w:rPr>
              <w:t xml:space="preserve">6  </w:t>
            </w:r>
            <w:r>
              <w:rPr>
                <w:rFonts w:hint="eastAsia"/>
                <w:b/>
              </w:rPr>
              <w:t xml:space="preserve">  </w:t>
            </w:r>
            <w:r>
              <w:rPr>
                <w:b/>
              </w:rPr>
              <w:t>竣工环境保护验收一览表</w:t>
            </w:r>
          </w:p>
          <w:tbl>
            <w:tblPr>
              <w:tblStyle w:val="39"/>
              <w:tblW w:w="88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01"/>
              <w:gridCol w:w="3119"/>
              <w:gridCol w:w="3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846" w:type="dxa"/>
                  <w:vAlign w:val="center"/>
                </w:tcPr>
                <w:p>
                  <w:pPr>
                    <w:ind w:right="105" w:rightChars="50"/>
                    <w:jc w:val="center"/>
                    <w:rPr>
                      <w:szCs w:val="21"/>
                    </w:rPr>
                  </w:pPr>
                  <w:r>
                    <w:rPr>
                      <w:kern w:val="24"/>
                      <w:szCs w:val="21"/>
                    </w:rPr>
                    <w:t>名称</w:t>
                  </w:r>
                </w:p>
              </w:tc>
              <w:tc>
                <w:tcPr>
                  <w:tcW w:w="1701" w:type="dxa"/>
                  <w:vAlign w:val="center"/>
                </w:tcPr>
                <w:p>
                  <w:pPr>
                    <w:ind w:right="105" w:rightChars="50"/>
                    <w:jc w:val="center"/>
                    <w:rPr>
                      <w:kern w:val="24"/>
                      <w:szCs w:val="21"/>
                    </w:rPr>
                  </w:pPr>
                  <w:r>
                    <w:rPr>
                      <w:kern w:val="24"/>
                      <w:szCs w:val="21"/>
                    </w:rPr>
                    <w:t>主要污染物</w:t>
                  </w:r>
                </w:p>
              </w:tc>
              <w:tc>
                <w:tcPr>
                  <w:tcW w:w="3119" w:type="dxa"/>
                  <w:vAlign w:val="center"/>
                </w:tcPr>
                <w:p>
                  <w:pPr>
                    <w:ind w:right="105" w:rightChars="50"/>
                    <w:jc w:val="center"/>
                    <w:rPr>
                      <w:szCs w:val="21"/>
                    </w:rPr>
                  </w:pPr>
                  <w:r>
                    <w:rPr>
                      <w:kern w:val="24"/>
                      <w:szCs w:val="21"/>
                    </w:rPr>
                    <w:t>治理方法</w:t>
                  </w:r>
                </w:p>
              </w:tc>
              <w:tc>
                <w:tcPr>
                  <w:tcW w:w="3204" w:type="dxa"/>
                  <w:vAlign w:val="center"/>
                </w:tcPr>
                <w:p>
                  <w:pPr>
                    <w:ind w:right="105" w:rightChars="50"/>
                    <w:jc w:val="center"/>
                    <w:rPr>
                      <w:szCs w:val="21"/>
                    </w:rPr>
                  </w:pPr>
                  <w:r>
                    <w:rPr>
                      <w:kern w:val="24"/>
                      <w:szCs w:val="21"/>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846" w:type="dxa"/>
                  <w:vMerge w:val="restart"/>
                  <w:vAlign w:val="center"/>
                </w:tcPr>
                <w:p>
                  <w:pPr>
                    <w:ind w:right="105" w:rightChars="50"/>
                    <w:jc w:val="center"/>
                    <w:rPr>
                      <w:kern w:val="24"/>
                      <w:szCs w:val="21"/>
                    </w:rPr>
                  </w:pPr>
                  <w:r>
                    <w:rPr>
                      <w:kern w:val="24"/>
                      <w:szCs w:val="21"/>
                    </w:rPr>
                    <w:t>环境大气</w:t>
                  </w:r>
                </w:p>
              </w:tc>
              <w:tc>
                <w:tcPr>
                  <w:tcW w:w="1701" w:type="dxa"/>
                  <w:vAlign w:val="center"/>
                </w:tcPr>
                <w:p>
                  <w:pPr>
                    <w:ind w:right="105" w:rightChars="50"/>
                    <w:jc w:val="center"/>
                    <w:rPr>
                      <w:szCs w:val="21"/>
                    </w:rPr>
                  </w:pPr>
                  <w:r>
                    <w:rPr>
                      <w:rFonts w:hint="eastAsia"/>
                      <w:szCs w:val="21"/>
                    </w:rPr>
                    <w:t>煤场粉尘</w:t>
                  </w:r>
                </w:p>
              </w:tc>
              <w:tc>
                <w:tcPr>
                  <w:tcW w:w="3119" w:type="dxa"/>
                  <w:vAlign w:val="center"/>
                </w:tcPr>
                <w:p>
                  <w:pPr>
                    <w:spacing w:line="340" w:lineRule="exact"/>
                    <w:jc w:val="center"/>
                    <w:rPr>
                      <w:szCs w:val="21"/>
                    </w:rPr>
                  </w:pPr>
                  <w:r>
                    <w:rPr>
                      <w:rFonts w:hint="eastAsia"/>
                      <w:szCs w:val="21"/>
                    </w:rPr>
                    <w:t>全封闭煤场（210m×180m）、设置雾化喷洒水防尘系统</w:t>
                  </w:r>
                </w:p>
              </w:tc>
              <w:tc>
                <w:tcPr>
                  <w:tcW w:w="3204" w:type="dxa"/>
                  <w:vMerge w:val="restart"/>
                  <w:vAlign w:val="center"/>
                </w:tcPr>
                <w:p>
                  <w:pPr>
                    <w:ind w:right="105" w:rightChars="50"/>
                    <w:rPr>
                      <w:kern w:val="24"/>
                      <w:szCs w:val="21"/>
                    </w:rPr>
                  </w:pPr>
                  <w:r>
                    <w:rPr>
                      <w:kern w:val="24"/>
                      <w:szCs w:val="21"/>
                    </w:rPr>
                    <w:t>达到《大气污染物综合排放标准》</w:t>
                  </w:r>
                  <w:r>
                    <w:rPr>
                      <w:rFonts w:hint="eastAsia"/>
                      <w:kern w:val="24"/>
                      <w:szCs w:val="21"/>
                    </w:rPr>
                    <w:t>（</w:t>
                  </w:r>
                  <w:r>
                    <w:rPr>
                      <w:kern w:val="24"/>
                      <w:szCs w:val="21"/>
                    </w:rPr>
                    <w:t>GB16297-1996</w:t>
                  </w:r>
                  <w:r>
                    <w:rPr>
                      <w:rFonts w:hint="eastAsia"/>
                      <w:kern w:val="24"/>
                      <w:szCs w:val="21"/>
                    </w:rPr>
                    <w:t>）</w:t>
                  </w:r>
                  <w:r>
                    <w:rPr>
                      <w:kern w:val="24"/>
                      <w:szCs w:val="21"/>
                    </w:rPr>
                    <w:t>中表2中的颗粒物（其它）无组织排放监控浓度限值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846" w:type="dxa"/>
                  <w:vMerge w:val="continue"/>
                  <w:vAlign w:val="center"/>
                </w:tcPr>
                <w:p>
                  <w:pPr>
                    <w:ind w:right="105" w:rightChars="50"/>
                    <w:jc w:val="center"/>
                    <w:rPr>
                      <w:kern w:val="24"/>
                      <w:szCs w:val="21"/>
                    </w:rPr>
                  </w:pPr>
                </w:p>
              </w:tc>
              <w:tc>
                <w:tcPr>
                  <w:tcW w:w="1701" w:type="dxa"/>
                  <w:vAlign w:val="center"/>
                </w:tcPr>
                <w:p>
                  <w:pPr>
                    <w:ind w:right="105" w:rightChars="50"/>
                    <w:jc w:val="center"/>
                    <w:rPr>
                      <w:szCs w:val="21"/>
                    </w:rPr>
                  </w:pPr>
                  <w:r>
                    <w:rPr>
                      <w:rFonts w:hint="eastAsia"/>
                      <w:szCs w:val="21"/>
                    </w:rPr>
                    <w:t>道路扬尘</w:t>
                  </w:r>
                </w:p>
              </w:tc>
              <w:tc>
                <w:tcPr>
                  <w:tcW w:w="3119" w:type="dxa"/>
                  <w:vAlign w:val="center"/>
                </w:tcPr>
                <w:p>
                  <w:pPr>
                    <w:spacing w:line="340" w:lineRule="exact"/>
                    <w:jc w:val="center"/>
                    <w:rPr>
                      <w:szCs w:val="21"/>
                    </w:rPr>
                  </w:pPr>
                  <w:r>
                    <w:rPr>
                      <w:rFonts w:hint="eastAsia"/>
                      <w:szCs w:val="21"/>
                    </w:rPr>
                    <w:t>道路硬化</w:t>
                  </w:r>
                  <w:r>
                    <w:rPr>
                      <w:szCs w:val="21"/>
                    </w:rPr>
                    <w:t>、</w:t>
                  </w:r>
                  <w:r>
                    <w:rPr>
                      <w:rFonts w:hint="eastAsia"/>
                      <w:szCs w:val="21"/>
                    </w:rPr>
                    <w:t>洒水降尘、</w:t>
                  </w:r>
                  <w:r>
                    <w:rPr>
                      <w:szCs w:val="21"/>
                    </w:rPr>
                    <w:t>定期清洗</w:t>
                  </w:r>
                  <w:r>
                    <w:rPr>
                      <w:rFonts w:hint="eastAsia"/>
                      <w:szCs w:val="21"/>
                    </w:rPr>
                    <w:t>等</w:t>
                  </w:r>
                </w:p>
              </w:tc>
              <w:tc>
                <w:tcPr>
                  <w:tcW w:w="3204" w:type="dxa"/>
                  <w:vMerge w:val="continue"/>
                  <w:vAlign w:val="center"/>
                </w:tcPr>
                <w:p>
                  <w:pPr>
                    <w:ind w:right="105" w:rightChars="50"/>
                    <w:rPr>
                      <w:kern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846" w:type="dxa"/>
                  <w:vAlign w:val="center"/>
                </w:tcPr>
                <w:p>
                  <w:pPr>
                    <w:ind w:right="105" w:rightChars="50"/>
                    <w:jc w:val="center"/>
                    <w:rPr>
                      <w:kern w:val="24"/>
                      <w:szCs w:val="21"/>
                    </w:rPr>
                  </w:pPr>
                  <w:r>
                    <w:rPr>
                      <w:rFonts w:hint="eastAsia"/>
                      <w:kern w:val="24"/>
                      <w:szCs w:val="21"/>
                    </w:rPr>
                    <w:t>声环境</w:t>
                  </w:r>
                </w:p>
              </w:tc>
              <w:tc>
                <w:tcPr>
                  <w:tcW w:w="1701" w:type="dxa"/>
                  <w:vAlign w:val="center"/>
                </w:tcPr>
                <w:p>
                  <w:pPr>
                    <w:ind w:right="105" w:rightChars="50"/>
                    <w:jc w:val="center"/>
                    <w:rPr>
                      <w:szCs w:val="21"/>
                    </w:rPr>
                  </w:pPr>
                  <w:r>
                    <w:rPr>
                      <w:szCs w:val="21"/>
                    </w:rPr>
                    <w:t>噪声</w:t>
                  </w:r>
                </w:p>
              </w:tc>
              <w:tc>
                <w:tcPr>
                  <w:tcW w:w="3119" w:type="dxa"/>
                  <w:vAlign w:val="center"/>
                </w:tcPr>
                <w:p>
                  <w:pPr>
                    <w:ind w:right="105" w:rightChars="50"/>
                    <w:jc w:val="center"/>
                    <w:rPr>
                      <w:kern w:val="24"/>
                      <w:szCs w:val="21"/>
                    </w:rPr>
                  </w:pPr>
                  <w:r>
                    <w:rPr>
                      <w:rFonts w:hint="eastAsia"/>
                      <w:kern w:val="24"/>
                      <w:szCs w:val="21"/>
                    </w:rPr>
                    <w:t>厂房隔声、基础减震</w:t>
                  </w:r>
                </w:p>
              </w:tc>
              <w:tc>
                <w:tcPr>
                  <w:tcW w:w="3204" w:type="dxa"/>
                  <w:vAlign w:val="center"/>
                </w:tcPr>
                <w:p>
                  <w:pPr>
                    <w:ind w:right="105" w:rightChars="50"/>
                    <w:rPr>
                      <w:kern w:val="24"/>
                      <w:szCs w:val="21"/>
                    </w:rPr>
                  </w:pPr>
                  <w:r>
                    <w:rPr>
                      <w:kern w:val="24"/>
                      <w:szCs w:val="21"/>
                    </w:rPr>
                    <w:t>《工业企业厂界环境噪声排放标准》</w:t>
                  </w:r>
                  <w:r>
                    <w:rPr>
                      <w:rFonts w:hint="eastAsia"/>
                      <w:kern w:val="24"/>
                      <w:szCs w:val="21"/>
                    </w:rPr>
                    <w:t>（</w:t>
                  </w:r>
                  <w:r>
                    <w:rPr>
                      <w:kern w:val="24"/>
                      <w:szCs w:val="21"/>
                    </w:rPr>
                    <w:t>GBl2348-2008</w:t>
                  </w:r>
                  <w:r>
                    <w:rPr>
                      <w:rFonts w:hint="eastAsia"/>
                      <w:kern w:val="24"/>
                      <w:szCs w:val="21"/>
                    </w:rPr>
                    <w:t>）中</w:t>
                  </w:r>
                  <w:r>
                    <w:rPr>
                      <w:kern w:val="24"/>
                      <w:szCs w:val="21"/>
                    </w:rPr>
                    <w:t>3类标准</w:t>
                  </w:r>
                </w:p>
              </w:tc>
            </w:tr>
          </w:tbl>
          <w:p/>
          <w:p/>
          <w:p>
            <w:pPr>
              <w:spacing w:line="360" w:lineRule="auto"/>
              <w:rPr>
                <w:sz w:val="24"/>
              </w:rPr>
            </w:pPr>
          </w:p>
        </w:tc>
      </w:tr>
    </w:tbl>
    <w:p>
      <w:pPr>
        <w:rPr>
          <w:rFonts w:eastAsia="黑体"/>
          <w:sz w:val="32"/>
          <w:szCs w:val="32"/>
        </w:rPr>
        <w:sectPr>
          <w:pgSz w:w="11906" w:h="16838"/>
          <w:pgMar w:top="1440" w:right="1440" w:bottom="1440" w:left="1440" w:header="851" w:footer="1134" w:gutter="0"/>
          <w:cols w:space="720" w:num="1"/>
          <w:docGrid w:linePitch="312" w:charSpace="0"/>
        </w:sectPr>
      </w:pPr>
    </w:p>
    <w:p>
      <w:pPr>
        <w:snapToGrid w:val="0"/>
        <w:outlineLvl w:val="0"/>
        <w:rPr>
          <w:b/>
          <w:sz w:val="28"/>
          <w:szCs w:val="28"/>
        </w:rPr>
      </w:pPr>
      <w:bookmarkStart w:id="125" w:name="_Toc514340584"/>
      <w:bookmarkStart w:id="126" w:name="_Toc514340333"/>
      <w:r>
        <w:rPr>
          <w:b/>
          <w:sz w:val="28"/>
          <w:szCs w:val="28"/>
        </w:rPr>
        <w:t>建设项目拟采取的防治措施及预期治理效果</w:t>
      </w:r>
      <w:bookmarkEnd w:id="125"/>
      <w:bookmarkEnd w:id="126"/>
    </w:p>
    <w:tbl>
      <w:tblPr>
        <w:tblStyle w:val="39"/>
        <w:tblW w:w="904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28" w:type="dxa"/>
          <w:bottom w:w="57" w:type="dxa"/>
          <w:right w:w="28" w:type="dxa"/>
        </w:tblCellMar>
      </w:tblPr>
      <w:tblGrid>
        <w:gridCol w:w="758"/>
        <w:gridCol w:w="1459"/>
        <w:gridCol w:w="1428"/>
        <w:gridCol w:w="3166"/>
        <w:gridCol w:w="22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28" w:type="dxa"/>
            <w:bottom w:w="57" w:type="dxa"/>
            <w:right w:w="28" w:type="dxa"/>
          </w:tblCellMar>
        </w:tblPrEx>
        <w:trPr>
          <w:cantSplit/>
          <w:trHeight w:val="579" w:hRule="atLeast"/>
          <w:jc w:val="center"/>
        </w:trPr>
        <w:tc>
          <w:tcPr>
            <w:tcW w:w="758" w:type="dxa"/>
            <w:vAlign w:val="center"/>
          </w:tcPr>
          <w:p>
            <w:pPr>
              <w:adjustRightInd w:val="0"/>
              <w:snapToGrid w:val="0"/>
              <w:spacing w:line="0" w:lineRule="atLeast"/>
              <w:ind w:left="116" w:hanging="116" w:hangingChars="48"/>
              <w:jc w:val="center"/>
              <w:rPr>
                <w:b/>
                <w:bCs/>
                <w:sz w:val="24"/>
                <w:szCs w:val="22"/>
              </w:rPr>
            </w:pPr>
            <w:r>
              <w:rPr>
                <w:b/>
                <w:bCs/>
                <w:sz w:val="24"/>
                <w:szCs w:val="22"/>
              </w:rPr>
              <w:t>内容</w:t>
            </w:r>
          </w:p>
          <w:p>
            <w:pPr>
              <w:adjustRightInd w:val="0"/>
              <w:snapToGrid w:val="0"/>
              <w:spacing w:line="0" w:lineRule="atLeast"/>
              <w:ind w:firstLine="118" w:firstLineChars="49"/>
              <w:rPr>
                <w:b/>
                <w:bCs/>
                <w:sz w:val="24"/>
                <w:szCs w:val="22"/>
              </w:rPr>
            </w:pPr>
            <w:r>
              <w:rPr>
                <w:b/>
                <w:bCs/>
                <w:sz w:val="24"/>
                <w:szCs w:val="22"/>
              </w:rPr>
              <w:t>类别</w:t>
            </w:r>
          </w:p>
        </w:tc>
        <w:tc>
          <w:tcPr>
            <w:tcW w:w="1459" w:type="dxa"/>
            <w:vAlign w:val="center"/>
          </w:tcPr>
          <w:p>
            <w:pPr>
              <w:adjustRightInd w:val="0"/>
              <w:snapToGrid w:val="0"/>
              <w:spacing w:line="0" w:lineRule="atLeast"/>
              <w:jc w:val="center"/>
              <w:rPr>
                <w:b/>
                <w:bCs/>
                <w:sz w:val="24"/>
                <w:szCs w:val="22"/>
              </w:rPr>
            </w:pPr>
            <w:r>
              <w:rPr>
                <w:b/>
                <w:bCs/>
                <w:sz w:val="24"/>
                <w:szCs w:val="22"/>
              </w:rPr>
              <w:t>排放源</w:t>
            </w:r>
          </w:p>
          <w:p>
            <w:pPr>
              <w:adjustRightInd w:val="0"/>
              <w:snapToGrid w:val="0"/>
              <w:spacing w:line="0" w:lineRule="atLeast"/>
              <w:jc w:val="center"/>
              <w:rPr>
                <w:b/>
                <w:bCs/>
                <w:sz w:val="24"/>
                <w:szCs w:val="22"/>
              </w:rPr>
            </w:pPr>
            <w:r>
              <w:rPr>
                <w:b/>
                <w:bCs/>
                <w:sz w:val="24"/>
                <w:szCs w:val="22"/>
              </w:rPr>
              <w:t>（编号）</w:t>
            </w:r>
          </w:p>
        </w:tc>
        <w:tc>
          <w:tcPr>
            <w:tcW w:w="1428" w:type="dxa"/>
            <w:vAlign w:val="center"/>
          </w:tcPr>
          <w:p>
            <w:pPr>
              <w:adjustRightInd w:val="0"/>
              <w:snapToGrid w:val="0"/>
              <w:spacing w:line="0" w:lineRule="atLeast"/>
              <w:jc w:val="center"/>
              <w:rPr>
                <w:b/>
                <w:bCs/>
                <w:sz w:val="24"/>
                <w:szCs w:val="22"/>
              </w:rPr>
            </w:pPr>
            <w:r>
              <w:rPr>
                <w:b/>
                <w:bCs/>
                <w:sz w:val="24"/>
                <w:szCs w:val="22"/>
              </w:rPr>
              <w:t>污染物</w:t>
            </w:r>
          </w:p>
          <w:p>
            <w:pPr>
              <w:adjustRightInd w:val="0"/>
              <w:snapToGrid w:val="0"/>
              <w:spacing w:line="0" w:lineRule="atLeast"/>
              <w:jc w:val="center"/>
              <w:rPr>
                <w:b/>
                <w:bCs/>
                <w:sz w:val="24"/>
                <w:szCs w:val="22"/>
              </w:rPr>
            </w:pPr>
            <w:r>
              <w:rPr>
                <w:b/>
                <w:bCs/>
                <w:sz w:val="24"/>
                <w:szCs w:val="22"/>
              </w:rPr>
              <w:t>名称</w:t>
            </w:r>
          </w:p>
        </w:tc>
        <w:tc>
          <w:tcPr>
            <w:tcW w:w="3166" w:type="dxa"/>
            <w:vAlign w:val="center"/>
          </w:tcPr>
          <w:p>
            <w:pPr>
              <w:adjustRightInd w:val="0"/>
              <w:snapToGrid w:val="0"/>
              <w:spacing w:line="0" w:lineRule="atLeast"/>
              <w:jc w:val="center"/>
              <w:rPr>
                <w:b/>
                <w:bCs/>
                <w:sz w:val="24"/>
                <w:szCs w:val="22"/>
              </w:rPr>
            </w:pPr>
            <w:r>
              <w:rPr>
                <w:b/>
                <w:bCs/>
                <w:sz w:val="24"/>
                <w:szCs w:val="22"/>
              </w:rPr>
              <w:t>防治措施</w:t>
            </w:r>
          </w:p>
        </w:tc>
        <w:tc>
          <w:tcPr>
            <w:tcW w:w="2229" w:type="dxa"/>
            <w:vAlign w:val="center"/>
          </w:tcPr>
          <w:p>
            <w:pPr>
              <w:adjustRightInd w:val="0"/>
              <w:snapToGrid w:val="0"/>
              <w:spacing w:line="0" w:lineRule="atLeast"/>
              <w:jc w:val="center"/>
              <w:rPr>
                <w:b/>
                <w:bCs/>
                <w:sz w:val="24"/>
                <w:szCs w:val="22"/>
              </w:rPr>
            </w:pPr>
            <w:r>
              <w:rPr>
                <w:b/>
                <w:bCs/>
                <w:sz w:val="24"/>
                <w:szCs w:val="22"/>
              </w:rPr>
              <w:t>预期治理效果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28" w:type="dxa"/>
            <w:bottom w:w="57" w:type="dxa"/>
            <w:right w:w="28" w:type="dxa"/>
          </w:tblCellMar>
        </w:tblPrEx>
        <w:trPr>
          <w:cantSplit/>
          <w:trHeight w:val="1218" w:hRule="exact"/>
          <w:jc w:val="center"/>
        </w:trPr>
        <w:tc>
          <w:tcPr>
            <w:tcW w:w="758" w:type="dxa"/>
            <w:vMerge w:val="restart"/>
            <w:vAlign w:val="center"/>
          </w:tcPr>
          <w:p>
            <w:pPr>
              <w:adjustRightInd w:val="0"/>
              <w:snapToGrid w:val="0"/>
              <w:spacing w:line="0" w:lineRule="atLeast"/>
              <w:jc w:val="center"/>
              <w:rPr>
                <w:b/>
                <w:bCs/>
                <w:sz w:val="24"/>
                <w:szCs w:val="22"/>
              </w:rPr>
            </w:pPr>
            <w:r>
              <w:rPr>
                <w:b/>
                <w:bCs/>
                <w:sz w:val="24"/>
                <w:szCs w:val="22"/>
              </w:rPr>
              <w:t>大</w:t>
            </w:r>
          </w:p>
          <w:p>
            <w:pPr>
              <w:adjustRightInd w:val="0"/>
              <w:snapToGrid w:val="0"/>
              <w:spacing w:line="0" w:lineRule="atLeast"/>
              <w:jc w:val="center"/>
              <w:rPr>
                <w:b/>
                <w:bCs/>
                <w:sz w:val="24"/>
                <w:szCs w:val="22"/>
              </w:rPr>
            </w:pPr>
            <w:r>
              <w:rPr>
                <w:b/>
                <w:bCs/>
                <w:sz w:val="24"/>
                <w:szCs w:val="22"/>
              </w:rPr>
              <w:t>气</w:t>
            </w:r>
          </w:p>
          <w:p>
            <w:pPr>
              <w:adjustRightInd w:val="0"/>
              <w:snapToGrid w:val="0"/>
              <w:spacing w:line="0" w:lineRule="atLeast"/>
              <w:jc w:val="center"/>
              <w:rPr>
                <w:b/>
                <w:bCs/>
                <w:sz w:val="24"/>
                <w:szCs w:val="22"/>
              </w:rPr>
            </w:pPr>
            <w:r>
              <w:rPr>
                <w:b/>
                <w:bCs/>
                <w:sz w:val="24"/>
                <w:szCs w:val="22"/>
              </w:rPr>
              <w:t>污</w:t>
            </w:r>
          </w:p>
          <w:p>
            <w:pPr>
              <w:adjustRightInd w:val="0"/>
              <w:snapToGrid w:val="0"/>
              <w:spacing w:line="0" w:lineRule="atLeast"/>
              <w:jc w:val="center"/>
              <w:rPr>
                <w:b/>
                <w:bCs/>
                <w:sz w:val="24"/>
                <w:szCs w:val="22"/>
              </w:rPr>
            </w:pPr>
            <w:r>
              <w:rPr>
                <w:b/>
                <w:bCs/>
                <w:sz w:val="24"/>
                <w:szCs w:val="22"/>
              </w:rPr>
              <w:t>染</w:t>
            </w:r>
          </w:p>
          <w:p>
            <w:pPr>
              <w:adjustRightInd w:val="0"/>
              <w:snapToGrid w:val="0"/>
              <w:spacing w:line="0" w:lineRule="atLeast"/>
              <w:jc w:val="center"/>
              <w:rPr>
                <w:b/>
                <w:bCs/>
                <w:sz w:val="24"/>
                <w:szCs w:val="22"/>
              </w:rPr>
            </w:pPr>
            <w:r>
              <w:rPr>
                <w:b/>
                <w:bCs/>
                <w:sz w:val="24"/>
                <w:szCs w:val="22"/>
              </w:rPr>
              <w:t>物</w:t>
            </w:r>
          </w:p>
        </w:tc>
        <w:tc>
          <w:tcPr>
            <w:tcW w:w="1459" w:type="dxa"/>
            <w:vAlign w:val="center"/>
          </w:tcPr>
          <w:p>
            <w:pPr>
              <w:spacing w:line="340" w:lineRule="exact"/>
              <w:jc w:val="center"/>
              <w:rPr>
                <w:sz w:val="24"/>
              </w:rPr>
            </w:pPr>
            <w:r>
              <w:rPr>
                <w:rFonts w:hint="eastAsia"/>
                <w:sz w:val="24"/>
              </w:rPr>
              <w:t>煤场</w:t>
            </w:r>
          </w:p>
        </w:tc>
        <w:tc>
          <w:tcPr>
            <w:tcW w:w="1428" w:type="dxa"/>
            <w:vAlign w:val="center"/>
          </w:tcPr>
          <w:p>
            <w:pPr>
              <w:spacing w:line="340" w:lineRule="exact"/>
              <w:jc w:val="center"/>
              <w:rPr>
                <w:sz w:val="24"/>
              </w:rPr>
            </w:pPr>
            <w:r>
              <w:rPr>
                <w:rFonts w:hint="eastAsia"/>
                <w:sz w:val="24"/>
              </w:rPr>
              <w:t>粉尘</w:t>
            </w:r>
          </w:p>
        </w:tc>
        <w:tc>
          <w:tcPr>
            <w:tcW w:w="3166" w:type="dxa"/>
            <w:vAlign w:val="center"/>
          </w:tcPr>
          <w:p>
            <w:pPr>
              <w:jc w:val="center"/>
              <w:rPr>
                <w:sz w:val="24"/>
              </w:rPr>
            </w:pPr>
            <w:r>
              <w:rPr>
                <w:rFonts w:hint="eastAsia"/>
                <w:sz w:val="24"/>
              </w:rPr>
              <w:t>全封闭煤场、设置雾化喷洒水防尘系统</w:t>
            </w:r>
          </w:p>
        </w:tc>
        <w:tc>
          <w:tcPr>
            <w:tcW w:w="2229" w:type="dxa"/>
            <w:vMerge w:val="restart"/>
            <w:vAlign w:val="center"/>
          </w:tcPr>
          <w:p>
            <w:pPr>
              <w:adjustRightInd w:val="0"/>
              <w:snapToGrid w:val="0"/>
              <w:rPr>
                <w:szCs w:val="21"/>
              </w:rPr>
            </w:pPr>
            <w:r>
              <w:rPr>
                <w:sz w:val="24"/>
              </w:rPr>
              <w:t>达到《大气污染物综合排放标准》</w:t>
            </w:r>
            <w:r>
              <w:rPr>
                <w:rFonts w:hint="eastAsia"/>
                <w:sz w:val="24"/>
              </w:rPr>
              <w:t>（</w:t>
            </w:r>
            <w:r>
              <w:rPr>
                <w:sz w:val="24"/>
              </w:rPr>
              <w:t>GB16297-1996</w:t>
            </w:r>
            <w:r>
              <w:rPr>
                <w:rFonts w:hint="eastAsia"/>
                <w:sz w:val="24"/>
              </w:rPr>
              <w:t>）</w:t>
            </w:r>
            <w:r>
              <w:rPr>
                <w:sz w:val="24"/>
              </w:rPr>
              <w:t>中表2中的颗粒物（其它）无组织排放监控浓度限值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28" w:type="dxa"/>
            <w:bottom w:w="57" w:type="dxa"/>
            <w:right w:w="28" w:type="dxa"/>
          </w:tblCellMar>
        </w:tblPrEx>
        <w:trPr>
          <w:cantSplit/>
          <w:trHeight w:val="1206" w:hRule="exact"/>
          <w:jc w:val="center"/>
        </w:trPr>
        <w:tc>
          <w:tcPr>
            <w:tcW w:w="758" w:type="dxa"/>
            <w:vMerge w:val="continue"/>
            <w:vAlign w:val="center"/>
          </w:tcPr>
          <w:p>
            <w:pPr>
              <w:adjustRightInd w:val="0"/>
              <w:snapToGrid w:val="0"/>
              <w:spacing w:line="0" w:lineRule="atLeast"/>
              <w:jc w:val="center"/>
              <w:rPr>
                <w:b/>
                <w:bCs/>
                <w:sz w:val="24"/>
                <w:szCs w:val="22"/>
              </w:rPr>
            </w:pPr>
          </w:p>
        </w:tc>
        <w:tc>
          <w:tcPr>
            <w:tcW w:w="1459" w:type="dxa"/>
            <w:vAlign w:val="center"/>
          </w:tcPr>
          <w:p>
            <w:pPr>
              <w:adjustRightInd w:val="0"/>
              <w:snapToGrid w:val="0"/>
              <w:spacing w:line="264" w:lineRule="exact"/>
              <w:jc w:val="center"/>
              <w:rPr>
                <w:sz w:val="24"/>
              </w:rPr>
            </w:pPr>
            <w:r>
              <w:rPr>
                <w:rFonts w:hint="eastAsia"/>
                <w:sz w:val="24"/>
              </w:rPr>
              <w:t>运输道路</w:t>
            </w:r>
          </w:p>
        </w:tc>
        <w:tc>
          <w:tcPr>
            <w:tcW w:w="1428" w:type="dxa"/>
            <w:vAlign w:val="center"/>
          </w:tcPr>
          <w:p>
            <w:pPr>
              <w:adjustRightInd w:val="0"/>
              <w:snapToGrid w:val="0"/>
              <w:spacing w:line="264" w:lineRule="exact"/>
              <w:jc w:val="center"/>
              <w:rPr>
                <w:sz w:val="24"/>
              </w:rPr>
            </w:pPr>
            <w:r>
              <w:rPr>
                <w:rFonts w:hint="eastAsia"/>
                <w:sz w:val="24"/>
              </w:rPr>
              <w:t>扬尘</w:t>
            </w:r>
          </w:p>
        </w:tc>
        <w:tc>
          <w:tcPr>
            <w:tcW w:w="3166" w:type="dxa"/>
            <w:vAlign w:val="center"/>
          </w:tcPr>
          <w:p>
            <w:pPr>
              <w:spacing w:line="360" w:lineRule="auto"/>
              <w:jc w:val="center"/>
              <w:rPr>
                <w:sz w:val="24"/>
              </w:rPr>
            </w:pPr>
            <w:r>
              <w:rPr>
                <w:rFonts w:hint="eastAsia"/>
                <w:sz w:val="24"/>
              </w:rPr>
              <w:t>道路硬化、洒水降尘、定期清洗等</w:t>
            </w:r>
          </w:p>
        </w:tc>
        <w:tc>
          <w:tcPr>
            <w:tcW w:w="2229" w:type="dxa"/>
            <w:vMerge w:val="continue"/>
            <w:vAlign w:val="center"/>
          </w:tcPr>
          <w:p>
            <w:pPr>
              <w:adjustRightInd w:val="0"/>
              <w:snapToGrid w:val="0"/>
              <w:spacing w:line="0" w:lineRule="atLeas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28" w:type="dxa"/>
            <w:bottom w:w="57" w:type="dxa"/>
            <w:right w:w="28" w:type="dxa"/>
          </w:tblCellMar>
        </w:tblPrEx>
        <w:trPr>
          <w:cantSplit/>
          <w:trHeight w:val="1785" w:hRule="atLeast"/>
          <w:jc w:val="center"/>
        </w:trPr>
        <w:tc>
          <w:tcPr>
            <w:tcW w:w="758" w:type="dxa"/>
            <w:vAlign w:val="center"/>
          </w:tcPr>
          <w:p>
            <w:pPr>
              <w:adjustRightInd w:val="0"/>
              <w:snapToGrid w:val="0"/>
              <w:spacing w:line="0" w:lineRule="atLeast"/>
              <w:jc w:val="center"/>
              <w:rPr>
                <w:b/>
                <w:bCs/>
                <w:sz w:val="24"/>
                <w:szCs w:val="22"/>
              </w:rPr>
            </w:pPr>
            <w:r>
              <w:rPr>
                <w:b/>
                <w:bCs/>
                <w:sz w:val="24"/>
                <w:szCs w:val="22"/>
              </w:rPr>
              <w:t>水</w:t>
            </w:r>
          </w:p>
          <w:p>
            <w:pPr>
              <w:adjustRightInd w:val="0"/>
              <w:snapToGrid w:val="0"/>
              <w:spacing w:line="0" w:lineRule="atLeast"/>
              <w:jc w:val="center"/>
              <w:rPr>
                <w:b/>
                <w:bCs/>
                <w:sz w:val="24"/>
                <w:szCs w:val="22"/>
              </w:rPr>
            </w:pPr>
            <w:r>
              <w:rPr>
                <w:b/>
                <w:bCs/>
                <w:sz w:val="24"/>
                <w:szCs w:val="22"/>
              </w:rPr>
              <w:t>污</w:t>
            </w:r>
          </w:p>
          <w:p>
            <w:pPr>
              <w:adjustRightInd w:val="0"/>
              <w:snapToGrid w:val="0"/>
              <w:spacing w:line="0" w:lineRule="atLeast"/>
              <w:jc w:val="center"/>
              <w:rPr>
                <w:b/>
                <w:bCs/>
                <w:sz w:val="24"/>
                <w:szCs w:val="22"/>
              </w:rPr>
            </w:pPr>
            <w:r>
              <w:rPr>
                <w:b/>
                <w:bCs/>
                <w:sz w:val="24"/>
                <w:szCs w:val="22"/>
              </w:rPr>
              <w:t>染</w:t>
            </w:r>
          </w:p>
          <w:p>
            <w:pPr>
              <w:adjustRightInd w:val="0"/>
              <w:snapToGrid w:val="0"/>
              <w:spacing w:line="0" w:lineRule="atLeast"/>
              <w:jc w:val="center"/>
              <w:rPr>
                <w:b/>
                <w:bCs/>
                <w:sz w:val="24"/>
                <w:szCs w:val="22"/>
              </w:rPr>
            </w:pPr>
            <w:r>
              <w:rPr>
                <w:b/>
                <w:bCs/>
                <w:sz w:val="24"/>
                <w:szCs w:val="22"/>
              </w:rPr>
              <w:t>物</w:t>
            </w:r>
          </w:p>
        </w:tc>
        <w:tc>
          <w:tcPr>
            <w:tcW w:w="1459" w:type="dxa"/>
            <w:vAlign w:val="center"/>
          </w:tcPr>
          <w:p>
            <w:pPr>
              <w:adjustRightInd w:val="0"/>
              <w:snapToGrid w:val="0"/>
              <w:spacing w:line="264" w:lineRule="exact"/>
              <w:jc w:val="center"/>
              <w:rPr>
                <w:sz w:val="24"/>
              </w:rPr>
            </w:pPr>
            <w:r>
              <w:rPr>
                <w:rFonts w:hint="eastAsia"/>
                <w:sz w:val="24"/>
              </w:rPr>
              <w:t>/</w:t>
            </w:r>
          </w:p>
        </w:tc>
        <w:tc>
          <w:tcPr>
            <w:tcW w:w="1428" w:type="dxa"/>
            <w:vAlign w:val="center"/>
          </w:tcPr>
          <w:p>
            <w:pPr>
              <w:topLinePunct/>
              <w:adjustRightInd w:val="0"/>
              <w:snapToGrid w:val="0"/>
              <w:spacing w:line="264" w:lineRule="exact"/>
              <w:jc w:val="center"/>
              <w:rPr>
                <w:sz w:val="24"/>
              </w:rPr>
            </w:pPr>
            <w:r>
              <w:rPr>
                <w:rFonts w:hint="eastAsia"/>
                <w:sz w:val="24"/>
              </w:rPr>
              <w:t>/</w:t>
            </w:r>
          </w:p>
        </w:tc>
        <w:tc>
          <w:tcPr>
            <w:tcW w:w="3166" w:type="dxa"/>
            <w:vAlign w:val="center"/>
          </w:tcPr>
          <w:p>
            <w:pPr>
              <w:jc w:val="center"/>
              <w:rPr>
                <w:sz w:val="24"/>
              </w:rPr>
            </w:pPr>
            <w:r>
              <w:rPr>
                <w:rFonts w:hint="eastAsia"/>
                <w:sz w:val="24"/>
              </w:rPr>
              <w:t>/</w:t>
            </w:r>
          </w:p>
        </w:tc>
        <w:tc>
          <w:tcPr>
            <w:tcW w:w="2229" w:type="dxa"/>
            <w:vAlign w:val="center"/>
          </w:tcPr>
          <w:p>
            <w:pPr>
              <w:spacing w:line="360" w:lineRule="auto"/>
              <w:ind w:right="-57"/>
              <w:jc w:val="center"/>
              <w:rPr>
                <w:sz w:val="24"/>
              </w:rPr>
            </w:pPr>
            <w:r>
              <w:rPr>
                <w:rFonts w:hint="eastAsia"/>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28" w:type="dxa"/>
            <w:bottom w:w="57" w:type="dxa"/>
            <w:right w:w="28" w:type="dxa"/>
          </w:tblCellMar>
        </w:tblPrEx>
        <w:trPr>
          <w:cantSplit/>
          <w:trHeight w:val="1869" w:hRule="atLeast"/>
          <w:jc w:val="center"/>
        </w:trPr>
        <w:tc>
          <w:tcPr>
            <w:tcW w:w="758" w:type="dxa"/>
            <w:tcMar>
              <w:left w:w="0" w:type="dxa"/>
              <w:right w:w="0" w:type="dxa"/>
            </w:tcMar>
            <w:vAlign w:val="center"/>
          </w:tcPr>
          <w:p>
            <w:pPr>
              <w:adjustRightInd w:val="0"/>
              <w:snapToGrid w:val="0"/>
              <w:spacing w:line="0" w:lineRule="atLeast"/>
              <w:jc w:val="center"/>
              <w:rPr>
                <w:b/>
                <w:bCs/>
                <w:sz w:val="24"/>
                <w:szCs w:val="22"/>
              </w:rPr>
            </w:pPr>
            <w:r>
              <w:rPr>
                <w:b/>
                <w:bCs/>
                <w:sz w:val="24"/>
                <w:szCs w:val="22"/>
              </w:rPr>
              <w:t>固</w:t>
            </w:r>
          </w:p>
          <w:p>
            <w:pPr>
              <w:adjustRightInd w:val="0"/>
              <w:snapToGrid w:val="0"/>
              <w:spacing w:line="0" w:lineRule="atLeast"/>
              <w:jc w:val="center"/>
              <w:rPr>
                <w:b/>
                <w:bCs/>
                <w:sz w:val="24"/>
                <w:szCs w:val="22"/>
              </w:rPr>
            </w:pPr>
            <w:r>
              <w:rPr>
                <w:b/>
                <w:bCs/>
                <w:sz w:val="24"/>
                <w:szCs w:val="22"/>
              </w:rPr>
              <w:t>体</w:t>
            </w:r>
          </w:p>
          <w:p>
            <w:pPr>
              <w:adjustRightInd w:val="0"/>
              <w:snapToGrid w:val="0"/>
              <w:spacing w:line="0" w:lineRule="atLeast"/>
              <w:jc w:val="center"/>
              <w:rPr>
                <w:b/>
                <w:bCs/>
                <w:sz w:val="24"/>
                <w:szCs w:val="22"/>
              </w:rPr>
            </w:pPr>
            <w:r>
              <w:rPr>
                <w:b/>
                <w:bCs/>
                <w:sz w:val="24"/>
                <w:szCs w:val="22"/>
              </w:rPr>
              <w:t>废</w:t>
            </w:r>
          </w:p>
          <w:p>
            <w:pPr>
              <w:adjustRightInd w:val="0"/>
              <w:snapToGrid w:val="0"/>
              <w:spacing w:line="0" w:lineRule="atLeast"/>
              <w:jc w:val="center"/>
              <w:rPr>
                <w:b/>
                <w:bCs/>
                <w:w w:val="95"/>
                <w:sz w:val="24"/>
                <w:szCs w:val="22"/>
              </w:rPr>
            </w:pPr>
            <w:r>
              <w:rPr>
                <w:b/>
                <w:bCs/>
                <w:sz w:val="24"/>
                <w:szCs w:val="22"/>
              </w:rPr>
              <w:t>物</w:t>
            </w:r>
          </w:p>
        </w:tc>
        <w:tc>
          <w:tcPr>
            <w:tcW w:w="1459" w:type="dxa"/>
            <w:vAlign w:val="center"/>
          </w:tcPr>
          <w:p>
            <w:pPr>
              <w:topLinePunct/>
              <w:adjustRightInd w:val="0"/>
              <w:snapToGrid w:val="0"/>
              <w:spacing w:line="264" w:lineRule="exact"/>
              <w:jc w:val="center"/>
              <w:rPr>
                <w:sz w:val="24"/>
              </w:rPr>
            </w:pPr>
            <w:r>
              <w:rPr>
                <w:rFonts w:hint="eastAsia"/>
                <w:sz w:val="24"/>
              </w:rPr>
              <w:t>/</w:t>
            </w:r>
          </w:p>
        </w:tc>
        <w:tc>
          <w:tcPr>
            <w:tcW w:w="1428" w:type="dxa"/>
            <w:vAlign w:val="center"/>
          </w:tcPr>
          <w:p>
            <w:pPr>
              <w:topLinePunct/>
              <w:adjustRightInd w:val="0"/>
              <w:snapToGrid w:val="0"/>
              <w:spacing w:line="264" w:lineRule="exact"/>
              <w:jc w:val="center"/>
              <w:rPr>
                <w:sz w:val="24"/>
              </w:rPr>
            </w:pPr>
            <w:r>
              <w:rPr>
                <w:rFonts w:hint="eastAsia"/>
                <w:sz w:val="24"/>
              </w:rPr>
              <w:t>/</w:t>
            </w:r>
          </w:p>
        </w:tc>
        <w:tc>
          <w:tcPr>
            <w:tcW w:w="3166" w:type="dxa"/>
            <w:vAlign w:val="center"/>
          </w:tcPr>
          <w:p>
            <w:pPr>
              <w:ind w:right="-57"/>
              <w:jc w:val="center"/>
              <w:rPr>
                <w:sz w:val="24"/>
              </w:rPr>
            </w:pPr>
            <w:r>
              <w:rPr>
                <w:rFonts w:hint="eastAsia"/>
                <w:sz w:val="24"/>
              </w:rPr>
              <w:t>/</w:t>
            </w:r>
          </w:p>
        </w:tc>
        <w:tc>
          <w:tcPr>
            <w:tcW w:w="2229" w:type="dxa"/>
            <w:vAlign w:val="center"/>
          </w:tcPr>
          <w:p>
            <w:pPr>
              <w:ind w:left="-57" w:right="-57"/>
              <w:jc w:val="center"/>
              <w:rPr>
                <w:sz w:val="24"/>
              </w:rPr>
            </w:pPr>
            <w:r>
              <w:rPr>
                <w:rFonts w:hint="eastAsia"/>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28" w:type="dxa"/>
            <w:bottom w:w="57" w:type="dxa"/>
            <w:right w:w="28" w:type="dxa"/>
          </w:tblCellMar>
        </w:tblPrEx>
        <w:trPr>
          <w:cantSplit/>
          <w:trHeight w:val="751" w:hRule="atLeast"/>
          <w:jc w:val="center"/>
        </w:trPr>
        <w:tc>
          <w:tcPr>
            <w:tcW w:w="758" w:type="dxa"/>
            <w:tcMar>
              <w:left w:w="0" w:type="dxa"/>
              <w:right w:w="0" w:type="dxa"/>
            </w:tcMar>
            <w:vAlign w:val="center"/>
          </w:tcPr>
          <w:p>
            <w:pPr>
              <w:adjustRightInd w:val="0"/>
              <w:snapToGrid w:val="0"/>
              <w:spacing w:line="0" w:lineRule="atLeast"/>
              <w:jc w:val="center"/>
              <w:rPr>
                <w:b/>
                <w:bCs/>
                <w:sz w:val="24"/>
                <w:szCs w:val="22"/>
              </w:rPr>
            </w:pPr>
            <w:r>
              <w:rPr>
                <w:b/>
                <w:bCs/>
                <w:sz w:val="24"/>
                <w:szCs w:val="22"/>
              </w:rPr>
              <w:t>噪</w:t>
            </w:r>
          </w:p>
          <w:p>
            <w:pPr>
              <w:adjustRightInd w:val="0"/>
              <w:snapToGrid w:val="0"/>
              <w:spacing w:line="0" w:lineRule="atLeast"/>
              <w:jc w:val="center"/>
              <w:rPr>
                <w:b/>
                <w:bCs/>
                <w:w w:val="95"/>
                <w:sz w:val="24"/>
                <w:szCs w:val="22"/>
              </w:rPr>
            </w:pPr>
            <w:r>
              <w:rPr>
                <w:b/>
                <w:bCs/>
                <w:sz w:val="24"/>
                <w:szCs w:val="22"/>
              </w:rPr>
              <w:t>声</w:t>
            </w:r>
          </w:p>
        </w:tc>
        <w:tc>
          <w:tcPr>
            <w:tcW w:w="2887" w:type="dxa"/>
            <w:gridSpan w:val="2"/>
            <w:vAlign w:val="center"/>
          </w:tcPr>
          <w:p>
            <w:pPr>
              <w:adjustRightInd w:val="0"/>
              <w:snapToGrid w:val="0"/>
              <w:spacing w:line="0" w:lineRule="atLeast"/>
              <w:jc w:val="center"/>
              <w:rPr>
                <w:bCs/>
                <w:szCs w:val="21"/>
              </w:rPr>
            </w:pPr>
            <w:r>
              <w:rPr>
                <w:rFonts w:hint="eastAsia"/>
                <w:sz w:val="24"/>
              </w:rPr>
              <w:t>斗轮机、皮带输送机、推土机等设备噪声</w:t>
            </w:r>
          </w:p>
        </w:tc>
        <w:tc>
          <w:tcPr>
            <w:tcW w:w="3166" w:type="dxa"/>
            <w:vAlign w:val="center"/>
          </w:tcPr>
          <w:p>
            <w:pPr>
              <w:jc w:val="center"/>
              <w:rPr>
                <w:sz w:val="24"/>
              </w:rPr>
            </w:pPr>
            <w:r>
              <w:rPr>
                <w:rFonts w:hint="eastAsia"/>
                <w:sz w:val="24"/>
              </w:rPr>
              <w:t>厂房隔声、基础减震</w:t>
            </w:r>
          </w:p>
        </w:tc>
        <w:tc>
          <w:tcPr>
            <w:tcW w:w="2229" w:type="dxa"/>
            <w:vAlign w:val="center"/>
          </w:tcPr>
          <w:p>
            <w:pPr>
              <w:pStyle w:val="70"/>
              <w:adjustRightInd w:val="0"/>
              <w:snapToGrid w:val="0"/>
              <w:spacing w:line="0" w:lineRule="atLeast"/>
              <w:jc w:val="center"/>
              <w:rPr>
                <w:kern w:val="2"/>
                <w:sz w:val="24"/>
                <w:szCs w:val="24"/>
              </w:rPr>
            </w:pPr>
            <w:r>
              <w:rPr>
                <w:rFonts w:hint="eastAsia"/>
                <w:kern w:val="2"/>
                <w:sz w:val="24"/>
                <w:szCs w:val="24"/>
              </w:rPr>
              <w:t>厂</w:t>
            </w:r>
            <w:r>
              <w:rPr>
                <w:kern w:val="2"/>
                <w:sz w:val="24"/>
                <w:szCs w:val="24"/>
              </w:rPr>
              <w:t>界达标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28" w:type="dxa"/>
            <w:bottom w:w="57" w:type="dxa"/>
            <w:right w:w="28" w:type="dxa"/>
          </w:tblCellMar>
        </w:tblPrEx>
        <w:trPr>
          <w:cantSplit/>
          <w:trHeight w:val="1351" w:hRule="atLeast"/>
          <w:jc w:val="center"/>
        </w:trPr>
        <w:tc>
          <w:tcPr>
            <w:tcW w:w="9040" w:type="dxa"/>
            <w:gridSpan w:val="5"/>
            <w:tcMar>
              <w:left w:w="0" w:type="dxa"/>
              <w:right w:w="0" w:type="dxa"/>
            </w:tcMar>
          </w:tcPr>
          <w:p>
            <w:pPr>
              <w:widowControl/>
              <w:adjustRightInd w:val="0"/>
              <w:snapToGrid w:val="0"/>
              <w:spacing w:line="360" w:lineRule="auto"/>
              <w:rPr>
                <w:b/>
                <w:bCs/>
                <w:kern w:val="0"/>
                <w:sz w:val="24"/>
                <w:szCs w:val="22"/>
              </w:rPr>
            </w:pPr>
            <w:r>
              <w:rPr>
                <w:b/>
                <w:bCs/>
                <w:kern w:val="0"/>
                <w:sz w:val="24"/>
                <w:szCs w:val="22"/>
              </w:rPr>
              <w:t>生态保护措施及预期效果</w:t>
            </w:r>
          </w:p>
          <w:p>
            <w:pPr>
              <w:pStyle w:val="14"/>
              <w:adjustRightInd w:val="0"/>
              <w:rPr>
                <w:szCs w:val="21"/>
              </w:rPr>
            </w:pPr>
            <w:r>
              <w:rPr>
                <w:rFonts w:hint="eastAsia"/>
              </w:rPr>
              <w:t>本次技改项目完成储煤场的全封闭，项目建成后减少了煤尘的无组织排放，对周围生态环境将产生积极影响。</w:t>
            </w:r>
          </w:p>
          <w:p>
            <w:pPr>
              <w:pStyle w:val="14"/>
              <w:adjustRightInd w:val="0"/>
            </w:pPr>
          </w:p>
          <w:p>
            <w:pPr>
              <w:pStyle w:val="14"/>
              <w:adjustRightInd w:val="0"/>
              <w:spacing w:line="240" w:lineRule="auto"/>
            </w:pPr>
          </w:p>
          <w:p>
            <w:pPr>
              <w:pStyle w:val="14"/>
              <w:adjustRightInd w:val="0"/>
              <w:spacing w:line="240" w:lineRule="auto"/>
            </w:pPr>
          </w:p>
          <w:p>
            <w:pPr>
              <w:pStyle w:val="14"/>
              <w:adjustRightInd w:val="0"/>
              <w:spacing w:line="240" w:lineRule="auto"/>
            </w:pPr>
          </w:p>
          <w:p>
            <w:pPr>
              <w:pStyle w:val="14"/>
              <w:adjustRightInd w:val="0"/>
              <w:spacing w:line="240" w:lineRule="auto"/>
            </w:pPr>
          </w:p>
          <w:p>
            <w:pPr>
              <w:pStyle w:val="14"/>
              <w:adjustRightInd w:val="0"/>
              <w:spacing w:line="240" w:lineRule="auto"/>
            </w:pPr>
          </w:p>
          <w:p>
            <w:pPr>
              <w:pStyle w:val="14"/>
              <w:adjustRightInd w:val="0"/>
              <w:spacing w:line="240" w:lineRule="auto"/>
            </w:pPr>
          </w:p>
          <w:p>
            <w:pPr>
              <w:pStyle w:val="14"/>
              <w:adjustRightInd w:val="0"/>
              <w:spacing w:line="240" w:lineRule="auto"/>
            </w:pPr>
          </w:p>
          <w:p>
            <w:pPr>
              <w:pStyle w:val="14"/>
              <w:adjustRightInd w:val="0"/>
              <w:spacing w:line="240" w:lineRule="auto"/>
            </w:pPr>
          </w:p>
          <w:p>
            <w:pPr>
              <w:pStyle w:val="14"/>
              <w:adjustRightInd w:val="0"/>
              <w:spacing w:line="240" w:lineRule="auto"/>
            </w:pPr>
          </w:p>
          <w:p>
            <w:pPr>
              <w:pStyle w:val="14"/>
              <w:adjustRightInd w:val="0"/>
              <w:spacing w:line="240" w:lineRule="auto"/>
            </w:pPr>
          </w:p>
          <w:p>
            <w:pPr>
              <w:pStyle w:val="14"/>
              <w:adjustRightInd w:val="0"/>
              <w:spacing w:line="240" w:lineRule="auto"/>
            </w:pPr>
          </w:p>
          <w:p>
            <w:pPr>
              <w:pStyle w:val="14"/>
              <w:adjustRightInd w:val="0"/>
              <w:spacing w:line="240" w:lineRule="auto"/>
            </w:pPr>
          </w:p>
        </w:tc>
      </w:tr>
    </w:tbl>
    <w:p>
      <w:pPr>
        <w:snapToGrid w:val="0"/>
        <w:outlineLvl w:val="0"/>
        <w:rPr>
          <w:b/>
          <w:sz w:val="28"/>
          <w:szCs w:val="28"/>
        </w:rPr>
      </w:pPr>
      <w:bookmarkStart w:id="127" w:name="_Toc514340334"/>
      <w:bookmarkStart w:id="128" w:name="_Toc514340585"/>
      <w:r>
        <w:rPr>
          <w:b/>
          <w:sz w:val="28"/>
          <w:szCs w:val="28"/>
        </w:rPr>
        <w:t>结论与建议</w:t>
      </w:r>
      <w:bookmarkEnd w:id="127"/>
      <w:bookmarkEnd w:id="128"/>
    </w:p>
    <w:tbl>
      <w:tblPr>
        <w:tblStyle w:val="39"/>
        <w:tblW w:w="9067"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40"/>
        <w:gridCol w:w="2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gridAfter w:val="1"/>
          <w:wAfter w:w="27" w:type="dxa"/>
          <w:trHeight w:val="13153" w:hRule="atLeast"/>
          <w:jc w:val="center"/>
        </w:trPr>
        <w:tc>
          <w:tcPr>
            <w:tcW w:w="9040" w:type="dxa"/>
          </w:tcPr>
          <w:p>
            <w:pPr>
              <w:pStyle w:val="77"/>
              <w:spacing w:line="360" w:lineRule="auto"/>
              <w:ind w:firstLine="472" w:firstLineChars="196"/>
              <w:jc w:val="left"/>
              <w:textAlignment w:val="baseline"/>
              <w:rPr>
                <w:b/>
                <w:sz w:val="24"/>
              </w:rPr>
            </w:pPr>
            <w:r>
              <w:rPr>
                <w:b/>
                <w:sz w:val="24"/>
              </w:rPr>
              <w:t>一、结论</w:t>
            </w:r>
          </w:p>
          <w:p>
            <w:pPr>
              <w:spacing w:line="360" w:lineRule="auto"/>
              <w:ind w:firstLine="480" w:firstLineChars="200"/>
              <w:rPr>
                <w:sz w:val="24"/>
              </w:rPr>
            </w:pPr>
            <w:r>
              <w:rPr>
                <w:rFonts w:hint="eastAsia"/>
                <w:sz w:val="24"/>
              </w:rPr>
              <w:t>陕西渭河发电有限公司储煤场封闭工程</w:t>
            </w:r>
            <w:r>
              <w:rPr>
                <w:sz w:val="24"/>
              </w:rPr>
              <w:t>位于</w:t>
            </w:r>
            <w:r>
              <w:rPr>
                <w:rFonts w:hint="eastAsia"/>
                <w:sz w:val="24"/>
              </w:rPr>
              <w:t>陕西省西咸新区秦汉新城正阳镇，</w:t>
            </w:r>
            <w:r>
              <w:rPr>
                <w:sz w:val="24"/>
              </w:rPr>
              <w:t>工程主要建设内容</w:t>
            </w:r>
            <w:r>
              <w:rPr>
                <w:rFonts w:hint="eastAsia"/>
                <w:sz w:val="24"/>
              </w:rPr>
              <w:t>为将</w:t>
            </w:r>
            <w:r>
              <w:rPr>
                <w:sz w:val="24"/>
              </w:rPr>
              <w:t>现有露天</w:t>
            </w:r>
            <w:r>
              <w:rPr>
                <w:rFonts w:hint="eastAsia"/>
                <w:sz w:val="24"/>
              </w:rPr>
              <w:t>煤场</w:t>
            </w:r>
            <w:r>
              <w:rPr>
                <w:sz w:val="24"/>
              </w:rPr>
              <w:t>进行全封闭</w:t>
            </w:r>
            <w:r>
              <w:rPr>
                <w:rFonts w:hint="eastAsia"/>
                <w:sz w:val="24"/>
              </w:rPr>
              <w:t>，封闭尺寸为210m×180m，总封闭面积37800m</w:t>
            </w:r>
            <w:r>
              <w:rPr>
                <w:rFonts w:hint="eastAsia"/>
                <w:sz w:val="24"/>
                <w:vertAlign w:val="superscript"/>
              </w:rPr>
              <w:t>2</w:t>
            </w:r>
            <w:r>
              <w:rPr>
                <w:rFonts w:hint="eastAsia"/>
                <w:sz w:val="24"/>
              </w:rPr>
              <w:t>。</w:t>
            </w:r>
            <w:r>
              <w:rPr>
                <w:sz w:val="24"/>
              </w:rPr>
              <w:t>项目总投资8600万元，其中环保投资8600万元，占总投资的100%。</w:t>
            </w:r>
          </w:p>
          <w:p>
            <w:pPr>
              <w:spacing w:line="360" w:lineRule="auto"/>
              <w:ind w:firstLine="482" w:firstLineChars="200"/>
              <w:rPr>
                <w:b/>
                <w:sz w:val="24"/>
                <w:szCs w:val="22"/>
              </w:rPr>
            </w:pPr>
            <w:r>
              <w:rPr>
                <w:b/>
                <w:sz w:val="24"/>
                <w:szCs w:val="22"/>
              </w:rPr>
              <w:t>1、项目符合产业政策及相关规划</w:t>
            </w:r>
          </w:p>
          <w:p>
            <w:pPr>
              <w:spacing w:line="360" w:lineRule="auto"/>
              <w:ind w:firstLine="480" w:firstLineChars="200"/>
              <w:rPr>
                <w:sz w:val="24"/>
              </w:rPr>
            </w:pPr>
            <w:r>
              <w:rPr>
                <w:sz w:val="24"/>
              </w:rPr>
              <w:t>本项目属于《产业结构调整指导目录(2011年本)》</w:t>
            </w:r>
            <w:r>
              <w:rPr>
                <w:rFonts w:hint="eastAsia"/>
                <w:sz w:val="24"/>
              </w:rPr>
              <w:t>（</w:t>
            </w:r>
            <w:r>
              <w:rPr>
                <w:sz w:val="24"/>
              </w:rPr>
              <w:t>2013年修正</w:t>
            </w:r>
            <w:r>
              <w:rPr>
                <w:rFonts w:hint="eastAsia"/>
                <w:sz w:val="24"/>
              </w:rPr>
              <w:t>）中的</w:t>
            </w:r>
            <w:r>
              <w:rPr>
                <w:sz w:val="24"/>
              </w:rPr>
              <w:t>鼓励类，符合产业政策要求。项目已取得</w:t>
            </w:r>
            <w:r>
              <w:rPr>
                <w:rFonts w:hint="eastAsia"/>
                <w:sz w:val="24"/>
              </w:rPr>
              <w:t>陕西省企业投资</w:t>
            </w:r>
            <w:r>
              <w:rPr>
                <w:sz w:val="24"/>
              </w:rPr>
              <w:t>建设项目备案确认书（</w:t>
            </w:r>
            <w:r>
              <w:rPr>
                <w:rFonts w:hint="eastAsia"/>
                <w:sz w:val="24"/>
              </w:rPr>
              <w:t>项目代码2018-61</w:t>
            </w:r>
            <w:r>
              <w:rPr>
                <w:sz w:val="24"/>
              </w:rPr>
              <w:t>1204</w:t>
            </w:r>
            <w:r>
              <w:rPr>
                <w:rFonts w:hint="eastAsia"/>
                <w:sz w:val="24"/>
              </w:rPr>
              <w:t>-</w:t>
            </w:r>
            <w:r>
              <w:rPr>
                <w:sz w:val="24"/>
              </w:rPr>
              <w:t>44</w:t>
            </w:r>
            <w:r>
              <w:rPr>
                <w:rFonts w:hint="eastAsia"/>
                <w:sz w:val="24"/>
              </w:rPr>
              <w:t>-03-0</w:t>
            </w:r>
            <w:r>
              <w:rPr>
                <w:sz w:val="24"/>
              </w:rPr>
              <w:t>42027）</w:t>
            </w:r>
            <w:r>
              <w:rPr>
                <w:rFonts w:hint="eastAsia"/>
                <w:sz w:val="24"/>
              </w:rPr>
              <w:t>。</w:t>
            </w:r>
            <w:r>
              <w:rPr>
                <w:sz w:val="24"/>
              </w:rPr>
              <w:t>因此，项目建设符合国家和陕西省产业政策。</w:t>
            </w:r>
          </w:p>
          <w:p>
            <w:pPr>
              <w:spacing w:line="360" w:lineRule="auto"/>
              <w:ind w:firstLine="482" w:firstLineChars="200"/>
              <w:rPr>
                <w:b/>
                <w:sz w:val="24"/>
                <w:szCs w:val="22"/>
              </w:rPr>
            </w:pPr>
            <w:r>
              <w:rPr>
                <w:b/>
                <w:sz w:val="24"/>
                <w:szCs w:val="22"/>
              </w:rPr>
              <w:t>2、项目选址可行</w:t>
            </w:r>
          </w:p>
          <w:p>
            <w:pPr>
              <w:spacing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1 \* GB2</w:instrText>
            </w:r>
            <w:r>
              <w:rPr>
                <w:sz w:val="24"/>
              </w:rPr>
              <w:instrText xml:space="preserve"> </w:instrText>
            </w:r>
            <w:r>
              <w:rPr>
                <w:sz w:val="24"/>
              </w:rPr>
              <w:fldChar w:fldCharType="separate"/>
            </w:r>
            <w:r>
              <w:rPr>
                <w:rFonts w:hint="eastAsia"/>
                <w:sz w:val="24"/>
              </w:rPr>
              <w:t>⑴</w:t>
            </w:r>
            <w:r>
              <w:rPr>
                <w:sz w:val="24"/>
              </w:rPr>
              <w:fldChar w:fldCharType="end"/>
            </w:r>
            <w:r>
              <w:rPr>
                <w:sz w:val="24"/>
              </w:rPr>
              <w:t xml:space="preserve"> 规划符合性分析</w:t>
            </w:r>
          </w:p>
          <w:p>
            <w:pPr>
              <w:spacing w:line="360" w:lineRule="auto"/>
              <w:ind w:firstLine="480" w:firstLineChars="200"/>
              <w:rPr>
                <w:sz w:val="24"/>
              </w:rPr>
            </w:pPr>
            <w:r>
              <w:rPr>
                <w:sz w:val="24"/>
              </w:rPr>
              <w:t>项目符合</w:t>
            </w:r>
            <w:r>
              <w:rPr>
                <w:rFonts w:hint="eastAsia"/>
                <w:sz w:val="24"/>
              </w:rPr>
              <w:t>《</w:t>
            </w:r>
            <w:r>
              <w:rPr>
                <w:sz w:val="24"/>
              </w:rPr>
              <w:t>陕西省</w:t>
            </w:r>
            <w:r>
              <w:rPr>
                <w:rFonts w:hint="eastAsia"/>
                <w:sz w:val="24"/>
              </w:rPr>
              <w:t>“十三五”生态环境保护规划》、《大气污染防治行动计划》、《陕西省铁腕治霾打赢蓝天保卫战三年行动方案（2018～2020年）》、《西咸新区铁腕治霾打赢蓝天保卫战三年行动实施方案（2018～2020年）》</w:t>
            </w:r>
            <w:r>
              <w:rPr>
                <w:sz w:val="24"/>
              </w:rPr>
              <w:t>等相关规划要求。</w:t>
            </w:r>
          </w:p>
          <w:p>
            <w:pPr>
              <w:spacing w:line="360" w:lineRule="auto"/>
              <w:ind w:firstLine="480" w:firstLineChars="200"/>
              <w:rPr>
                <w:sz w:val="24"/>
              </w:rPr>
            </w:pPr>
            <w:r>
              <w:rPr>
                <w:rFonts w:hint="eastAsia" w:ascii="宋体" w:hAnsi="宋体" w:cs="宋体"/>
                <w:sz w:val="24"/>
              </w:rPr>
              <w:t>⑵</w:t>
            </w:r>
            <w:r>
              <w:rPr>
                <w:sz w:val="24"/>
              </w:rPr>
              <w:t xml:space="preserve"> 选址合理性分析</w:t>
            </w:r>
          </w:p>
          <w:p>
            <w:pPr>
              <w:spacing w:line="360" w:lineRule="auto"/>
              <w:ind w:firstLine="482"/>
              <w:rPr>
                <w:sz w:val="24"/>
              </w:rPr>
            </w:pPr>
            <w:r>
              <w:rPr>
                <w:rFonts w:hint="eastAsia"/>
                <w:sz w:val="24"/>
              </w:rPr>
              <w:t>项目储煤场</w:t>
            </w:r>
            <w:r>
              <w:rPr>
                <w:sz w:val="24"/>
              </w:rPr>
              <w:t>封闭工程全部位于</w:t>
            </w:r>
            <w:r>
              <w:rPr>
                <w:rFonts w:hint="eastAsia"/>
                <w:sz w:val="24"/>
              </w:rPr>
              <w:t>现有陕西渭河发电有限公司厂区</w:t>
            </w:r>
            <w:r>
              <w:rPr>
                <w:sz w:val="24"/>
              </w:rPr>
              <w:t>内部，</w:t>
            </w:r>
            <w:r>
              <w:rPr>
                <w:rFonts w:hint="eastAsia"/>
                <w:sz w:val="24"/>
              </w:rPr>
              <w:t>不新增</w:t>
            </w:r>
            <w:r>
              <w:rPr>
                <w:sz w:val="24"/>
              </w:rPr>
              <w:t>占地</w:t>
            </w:r>
            <w:r>
              <w:rPr>
                <w:rFonts w:hint="eastAsia"/>
                <w:sz w:val="24"/>
              </w:rPr>
              <w:t>。</w:t>
            </w:r>
            <w:r>
              <w:rPr>
                <w:sz w:val="24"/>
              </w:rPr>
              <w:t>项目施工期会产生一定的噪声</w:t>
            </w:r>
            <w:r>
              <w:rPr>
                <w:rFonts w:hint="eastAsia"/>
                <w:sz w:val="24"/>
              </w:rPr>
              <w:t>、</w:t>
            </w:r>
            <w:r>
              <w:rPr>
                <w:sz w:val="24"/>
              </w:rPr>
              <w:t>固废等</w:t>
            </w:r>
            <w:r>
              <w:rPr>
                <w:rFonts w:hint="eastAsia"/>
                <w:sz w:val="24"/>
              </w:rPr>
              <w:t>，</w:t>
            </w:r>
            <w:r>
              <w:rPr>
                <w:sz w:val="24"/>
              </w:rPr>
              <w:t>但都局限于厂内</w:t>
            </w:r>
            <w:r>
              <w:rPr>
                <w:rFonts w:hint="eastAsia"/>
                <w:sz w:val="24"/>
              </w:rPr>
              <w:t>；根据本次评价结论，项目建成运行后，可有效减少颗粒物对外环境的影响。</w:t>
            </w:r>
            <w:r>
              <w:rPr>
                <w:sz w:val="24"/>
              </w:rPr>
              <w:t>综上所述，从环境保护角度分析，项目选址可行。</w:t>
            </w:r>
          </w:p>
          <w:p>
            <w:pPr>
              <w:spacing w:line="360" w:lineRule="auto"/>
              <w:ind w:firstLine="472" w:firstLineChars="196"/>
              <w:rPr>
                <w:b/>
                <w:sz w:val="24"/>
                <w:szCs w:val="22"/>
              </w:rPr>
            </w:pPr>
            <w:r>
              <w:rPr>
                <w:b/>
                <w:sz w:val="24"/>
                <w:szCs w:val="22"/>
              </w:rPr>
              <w:t>3、环境质量现状</w:t>
            </w:r>
          </w:p>
          <w:p>
            <w:pPr>
              <w:spacing w:line="360" w:lineRule="auto"/>
              <w:ind w:firstLine="480" w:firstLineChars="200"/>
              <w:rPr>
                <w:sz w:val="24"/>
              </w:rPr>
            </w:pPr>
            <w:r>
              <w:rPr>
                <w:sz w:val="24"/>
              </w:rPr>
              <w:fldChar w:fldCharType="begin"/>
            </w:r>
            <w:r>
              <w:rPr>
                <w:sz w:val="24"/>
              </w:rPr>
              <w:instrText xml:space="preserve"> = 1 \* GB2 </w:instrText>
            </w:r>
            <w:r>
              <w:rPr>
                <w:sz w:val="24"/>
              </w:rPr>
              <w:fldChar w:fldCharType="separate"/>
            </w:r>
            <w:r>
              <w:rPr>
                <w:rFonts w:hint="eastAsia" w:ascii="宋体" w:hAnsi="宋体" w:cs="宋体"/>
                <w:sz w:val="24"/>
              </w:rPr>
              <w:t>⑴</w:t>
            </w:r>
            <w:r>
              <w:rPr>
                <w:sz w:val="24"/>
              </w:rPr>
              <w:fldChar w:fldCharType="end"/>
            </w:r>
            <w:r>
              <w:rPr>
                <w:sz w:val="24"/>
              </w:rPr>
              <w:t xml:space="preserve"> 大气环境质量现状</w:t>
            </w:r>
          </w:p>
          <w:p>
            <w:pPr>
              <w:spacing w:line="360" w:lineRule="auto"/>
              <w:ind w:firstLine="480" w:firstLineChars="200"/>
              <w:rPr>
                <w:sz w:val="24"/>
              </w:rPr>
            </w:pPr>
            <w:r>
              <w:rPr>
                <w:rFonts w:hint="eastAsia"/>
                <w:sz w:val="24"/>
              </w:rPr>
              <w:t>本项目位于西咸新区秦汉新城范围内。项目所在区域环境空气质量达标情况未发布。本次区域环境空气质量达标判定采用秦汉新城常规空气质量监测结果。根据</w:t>
            </w:r>
            <w:r>
              <w:rPr>
                <w:sz w:val="24"/>
              </w:rPr>
              <w:t>2017</w:t>
            </w:r>
            <w:r>
              <w:rPr>
                <w:rFonts w:hint="eastAsia"/>
                <w:sz w:val="24"/>
              </w:rPr>
              <w:t>年秦汉新城空气自动监测站基本污染物常规监测结果，</w:t>
            </w:r>
            <w:r>
              <w:rPr>
                <w:sz w:val="24"/>
              </w:rPr>
              <w:t>PM</w:t>
            </w:r>
            <w:r>
              <w:rPr>
                <w:sz w:val="24"/>
                <w:vertAlign w:val="subscript"/>
              </w:rPr>
              <w:t>10</w:t>
            </w:r>
            <w:r>
              <w:rPr>
                <w:rFonts w:hint="eastAsia"/>
                <w:sz w:val="24"/>
              </w:rPr>
              <w:t>、</w:t>
            </w:r>
            <w:r>
              <w:rPr>
                <w:sz w:val="24"/>
              </w:rPr>
              <w:t>PM</w:t>
            </w:r>
            <w:r>
              <w:rPr>
                <w:sz w:val="24"/>
                <w:vertAlign w:val="subscript"/>
              </w:rPr>
              <w:t>2.5</w:t>
            </w:r>
            <w:r>
              <w:rPr>
                <w:rFonts w:hint="eastAsia"/>
                <w:sz w:val="24"/>
              </w:rPr>
              <w:t>年均浓度超标，相应百分位数</w:t>
            </w:r>
            <w:r>
              <w:rPr>
                <w:sz w:val="24"/>
              </w:rPr>
              <w:t>24</w:t>
            </w:r>
            <w:r>
              <w:rPr>
                <w:rFonts w:hint="eastAsia"/>
                <w:sz w:val="24"/>
              </w:rPr>
              <w:t>小时或</w:t>
            </w:r>
            <w:r>
              <w:rPr>
                <w:sz w:val="24"/>
              </w:rPr>
              <w:t>8</w:t>
            </w:r>
            <w:r>
              <w:rPr>
                <w:rFonts w:hint="eastAsia"/>
                <w:sz w:val="24"/>
              </w:rPr>
              <w:t>小时均值中</w:t>
            </w:r>
            <w:r>
              <w:rPr>
                <w:sz w:val="24"/>
              </w:rPr>
              <w:t>O</w:t>
            </w:r>
            <w:r>
              <w:rPr>
                <w:sz w:val="24"/>
                <w:vertAlign w:val="subscript"/>
              </w:rPr>
              <w:t>3</w:t>
            </w:r>
            <w:r>
              <w:rPr>
                <w:rFonts w:hint="eastAsia"/>
                <w:sz w:val="24"/>
              </w:rPr>
              <w:t>超标，根据《环境空气质量评价技术规范（试行）</w:t>
            </w:r>
            <w:r>
              <w:rPr>
                <w:sz w:val="24"/>
              </w:rPr>
              <w:t>HJ663-2013</w:t>
            </w:r>
            <w:r>
              <w:rPr>
                <w:rFonts w:hint="eastAsia"/>
                <w:sz w:val="24"/>
              </w:rPr>
              <w:t>》，判定项目所在区域为不达标区。</w:t>
            </w:r>
          </w:p>
          <w:p>
            <w:pPr>
              <w:spacing w:line="360" w:lineRule="auto"/>
              <w:ind w:firstLine="480" w:firstLineChars="200"/>
              <w:rPr>
                <w:sz w:val="24"/>
              </w:rPr>
            </w:pPr>
            <w:r>
              <w:rPr>
                <w:rFonts w:hint="eastAsia"/>
                <w:sz w:val="24"/>
              </w:rPr>
              <w:t>根据现状补充监测</w:t>
            </w:r>
            <w:r>
              <w:rPr>
                <w:sz w:val="24"/>
              </w:rPr>
              <w:t>结果，评价区大气污染物SO</w:t>
            </w:r>
            <w:r>
              <w:rPr>
                <w:sz w:val="24"/>
                <w:vertAlign w:val="subscript"/>
              </w:rPr>
              <w:t>2</w:t>
            </w:r>
            <w:r>
              <w:rPr>
                <w:sz w:val="24"/>
              </w:rPr>
              <w:t>、NO</w:t>
            </w:r>
            <w:r>
              <w:rPr>
                <w:sz w:val="24"/>
                <w:vertAlign w:val="subscript"/>
              </w:rPr>
              <w:t>2</w:t>
            </w:r>
            <w:r>
              <w:rPr>
                <w:sz w:val="24"/>
              </w:rPr>
              <w:t>1</w:t>
            </w:r>
            <w:r>
              <w:rPr>
                <w:rFonts w:hint="eastAsia"/>
                <w:sz w:val="24"/>
              </w:rPr>
              <w:t>小时</w:t>
            </w:r>
            <w:r>
              <w:rPr>
                <w:sz w:val="24"/>
              </w:rPr>
              <w:t>平均浓度值、24</w:t>
            </w:r>
            <w:r>
              <w:rPr>
                <w:rFonts w:hint="eastAsia"/>
                <w:sz w:val="24"/>
              </w:rPr>
              <w:t>小时</w:t>
            </w:r>
            <w:r>
              <w:rPr>
                <w:sz w:val="24"/>
              </w:rPr>
              <w:t>平均浓度值及</w:t>
            </w:r>
            <w:r>
              <w:rPr>
                <w:bCs/>
                <w:sz w:val="24"/>
              </w:rPr>
              <w:t>PM</w:t>
            </w:r>
            <w:r>
              <w:rPr>
                <w:bCs/>
                <w:sz w:val="24"/>
                <w:vertAlign w:val="subscript"/>
              </w:rPr>
              <w:t>10</w:t>
            </w:r>
            <w:r>
              <w:rPr>
                <w:sz w:val="24"/>
              </w:rPr>
              <w:t>24</w:t>
            </w:r>
            <w:r>
              <w:rPr>
                <w:rFonts w:hint="eastAsia"/>
                <w:sz w:val="24"/>
              </w:rPr>
              <w:t>小时</w:t>
            </w:r>
            <w:r>
              <w:rPr>
                <w:sz w:val="24"/>
              </w:rPr>
              <w:t>平均浓度值均满足《环境空气质量标准》（GB3095-2012）二级标准</w:t>
            </w:r>
            <w:r>
              <w:rPr>
                <w:bCs/>
                <w:sz w:val="24"/>
              </w:rPr>
              <w:t>。</w:t>
            </w:r>
          </w:p>
          <w:p>
            <w:pPr>
              <w:spacing w:line="360" w:lineRule="auto"/>
              <w:ind w:firstLine="480" w:firstLineChars="200"/>
              <w:rPr>
                <w:sz w:val="24"/>
              </w:rPr>
            </w:pPr>
            <w:r>
              <w:rPr>
                <w:sz w:val="24"/>
              </w:rPr>
              <w:fldChar w:fldCharType="begin"/>
            </w:r>
            <w:r>
              <w:rPr>
                <w:sz w:val="24"/>
              </w:rPr>
              <w:instrText xml:space="preserve"> = 2 \* GB2 </w:instrText>
            </w:r>
            <w:r>
              <w:rPr>
                <w:sz w:val="24"/>
              </w:rPr>
              <w:fldChar w:fldCharType="separate"/>
            </w:r>
            <w:r>
              <w:rPr>
                <w:rFonts w:hint="eastAsia" w:ascii="宋体" w:hAnsi="宋体" w:cs="宋体"/>
                <w:sz w:val="24"/>
              </w:rPr>
              <w:t>⑵</w:t>
            </w:r>
            <w:r>
              <w:rPr>
                <w:sz w:val="24"/>
              </w:rPr>
              <w:fldChar w:fldCharType="end"/>
            </w:r>
            <w:r>
              <w:rPr>
                <w:sz w:val="24"/>
              </w:rPr>
              <w:t xml:space="preserve"> 声环境质量现状</w:t>
            </w:r>
          </w:p>
          <w:p>
            <w:pPr>
              <w:autoSpaceDE w:val="0"/>
              <w:autoSpaceDN w:val="0"/>
              <w:adjustRightInd w:val="0"/>
              <w:spacing w:line="360" w:lineRule="auto"/>
              <w:ind w:firstLine="480" w:firstLineChars="200"/>
              <w:rPr>
                <w:sz w:val="24"/>
              </w:rPr>
            </w:pPr>
            <w:r>
              <w:rPr>
                <w:sz w:val="24"/>
              </w:rPr>
              <w:t>为了调查项目所处区域的声环境质量现状，</w:t>
            </w:r>
            <w:r>
              <w:rPr>
                <w:rFonts w:hint="eastAsia"/>
                <w:sz w:val="24"/>
              </w:rPr>
              <w:t>陕西渭河发电有限公司委托陕西金盾工程检测有限公司</w:t>
            </w:r>
            <w:r>
              <w:rPr>
                <w:sz w:val="24"/>
              </w:rPr>
              <w:t>于2018年10</w:t>
            </w:r>
            <w:r>
              <w:rPr>
                <w:rFonts w:hint="eastAsia"/>
                <w:sz w:val="24"/>
              </w:rPr>
              <w:t>月</w:t>
            </w:r>
            <w:r>
              <w:rPr>
                <w:sz w:val="24"/>
              </w:rPr>
              <w:t>6</w:t>
            </w:r>
            <w:r>
              <w:rPr>
                <w:rFonts w:hint="eastAsia"/>
                <w:sz w:val="24"/>
              </w:rPr>
              <w:t>日～</w:t>
            </w:r>
            <w:r>
              <w:rPr>
                <w:sz w:val="24"/>
              </w:rPr>
              <w:t>10</w:t>
            </w:r>
            <w:r>
              <w:rPr>
                <w:rFonts w:hint="eastAsia"/>
                <w:sz w:val="24"/>
              </w:rPr>
              <w:t>月</w:t>
            </w:r>
            <w:r>
              <w:rPr>
                <w:sz w:val="24"/>
              </w:rPr>
              <w:t>7</w:t>
            </w:r>
            <w:r>
              <w:rPr>
                <w:rFonts w:hint="eastAsia"/>
                <w:sz w:val="24"/>
              </w:rPr>
              <w:t>日，</w:t>
            </w:r>
            <w:r>
              <w:rPr>
                <w:sz w:val="24"/>
              </w:rPr>
              <w:t>按照《环境影响评价技术导则 声环境》（HJ2.4-2009）、《声环境质量标准》（GB3096-2008）的有关规定，对项目区域声环境质量现状进行了实测。</w:t>
            </w:r>
            <w:r>
              <w:rPr>
                <w:rFonts w:hint="eastAsia"/>
                <w:sz w:val="24"/>
              </w:rPr>
              <w:t>监测</w:t>
            </w:r>
            <w:r>
              <w:rPr>
                <w:sz w:val="24"/>
              </w:rPr>
              <w:t>点位为</w:t>
            </w:r>
            <w:r>
              <w:rPr>
                <w:rFonts w:hint="eastAsia"/>
                <w:sz w:val="24"/>
              </w:rPr>
              <w:t>渭河电厂厂界、柏家咀村、岩张村、毛庞村。</w:t>
            </w:r>
          </w:p>
          <w:p>
            <w:pPr>
              <w:spacing w:line="360" w:lineRule="auto"/>
              <w:ind w:right="105" w:rightChars="50" w:firstLine="480" w:firstLineChars="200"/>
              <w:rPr>
                <w:sz w:val="24"/>
              </w:rPr>
            </w:pPr>
            <w:r>
              <w:rPr>
                <w:rFonts w:hint="eastAsia"/>
                <w:sz w:val="24"/>
              </w:rPr>
              <w:t>根据</w:t>
            </w:r>
            <w:r>
              <w:rPr>
                <w:sz w:val="24"/>
              </w:rPr>
              <w:t>监测结果，</w:t>
            </w:r>
            <w:r>
              <w:rPr>
                <w:rFonts w:hint="eastAsia"/>
                <w:sz w:val="24"/>
              </w:rPr>
              <w:t>渭河电厂厂界、敏感点昼夜间噪声值均能满足《声环境质量标准》（GB3096-2008）中2类、3类标准限值，说明建设项目所在区域声环境质量现状较好。</w:t>
            </w:r>
          </w:p>
          <w:p>
            <w:pPr>
              <w:pStyle w:val="5"/>
              <w:ind w:firstLine="472" w:firstLineChars="196"/>
              <w:rPr>
                <w:rFonts w:eastAsia="宋体"/>
                <w:szCs w:val="24"/>
              </w:rPr>
            </w:pPr>
            <w:bookmarkStart w:id="129" w:name="_Toc477877348"/>
            <w:bookmarkStart w:id="130" w:name="_Toc477877273"/>
            <w:bookmarkStart w:id="131" w:name="_Toc16847"/>
            <w:bookmarkStart w:id="132" w:name="_Toc493776637"/>
            <w:bookmarkStart w:id="133" w:name="_Toc494203156"/>
            <w:bookmarkStart w:id="134" w:name="_Toc494203299"/>
            <w:bookmarkStart w:id="135" w:name="_Toc494203402"/>
            <w:bookmarkStart w:id="136" w:name="_Toc514340335"/>
            <w:bookmarkStart w:id="137" w:name="_Toc514340586"/>
            <w:r>
              <w:rPr>
                <w:rFonts w:eastAsia="宋体"/>
                <w:szCs w:val="24"/>
              </w:rPr>
              <w:t>4、</w:t>
            </w:r>
            <w:bookmarkEnd w:id="129"/>
            <w:bookmarkEnd w:id="130"/>
            <w:bookmarkEnd w:id="131"/>
            <w:bookmarkEnd w:id="132"/>
            <w:bookmarkEnd w:id="133"/>
            <w:bookmarkEnd w:id="134"/>
            <w:bookmarkEnd w:id="135"/>
            <w:r>
              <w:rPr>
                <w:rFonts w:eastAsia="宋体"/>
                <w:szCs w:val="24"/>
              </w:rPr>
              <w:t>主要环境影响</w:t>
            </w:r>
            <w:bookmarkEnd w:id="136"/>
            <w:bookmarkEnd w:id="137"/>
          </w:p>
          <w:p>
            <w:pPr>
              <w:spacing w:line="360" w:lineRule="auto"/>
              <w:ind w:firstLine="480" w:firstLineChars="200"/>
              <w:rPr>
                <w:bCs/>
                <w:sz w:val="24"/>
              </w:rPr>
            </w:pPr>
            <w:r>
              <w:rPr>
                <w:bCs/>
                <w:sz w:val="24"/>
              </w:rPr>
              <w:fldChar w:fldCharType="begin"/>
            </w:r>
            <w:r>
              <w:rPr>
                <w:bCs/>
                <w:sz w:val="24"/>
              </w:rPr>
              <w:instrText xml:space="preserve"> = 1 \* GB2 </w:instrText>
            </w:r>
            <w:r>
              <w:rPr>
                <w:bCs/>
                <w:sz w:val="24"/>
              </w:rPr>
              <w:fldChar w:fldCharType="separate"/>
            </w:r>
            <w:r>
              <w:rPr>
                <w:rFonts w:hint="eastAsia" w:ascii="宋体" w:hAnsi="宋体" w:cs="宋体"/>
                <w:bCs/>
                <w:sz w:val="24"/>
              </w:rPr>
              <w:t>⑴</w:t>
            </w:r>
            <w:r>
              <w:rPr>
                <w:bCs/>
                <w:sz w:val="24"/>
              </w:rPr>
              <w:fldChar w:fldCharType="end"/>
            </w:r>
            <w:r>
              <w:rPr>
                <w:bCs/>
                <w:sz w:val="24"/>
              </w:rPr>
              <w:t xml:space="preserve"> 施工期环境影响</w:t>
            </w:r>
          </w:p>
          <w:p>
            <w:pPr>
              <w:spacing w:line="360" w:lineRule="auto"/>
              <w:ind w:firstLine="480" w:firstLineChars="200"/>
              <w:rPr>
                <w:bCs/>
                <w:sz w:val="24"/>
              </w:rPr>
            </w:pPr>
            <w:r>
              <w:rPr>
                <w:bCs/>
                <w:sz w:val="24"/>
              </w:rPr>
              <w:fldChar w:fldCharType="begin"/>
            </w:r>
            <w:r>
              <w:rPr>
                <w:bCs/>
                <w:sz w:val="24"/>
              </w:rPr>
              <w:instrText xml:space="preserve"> = 1 \* GB3 </w:instrText>
            </w:r>
            <w:r>
              <w:rPr>
                <w:bCs/>
                <w:sz w:val="24"/>
              </w:rPr>
              <w:fldChar w:fldCharType="separate"/>
            </w:r>
            <w:r>
              <w:rPr>
                <w:rFonts w:hint="eastAsia" w:ascii="宋体" w:hAnsi="宋体" w:cs="宋体"/>
                <w:bCs/>
                <w:sz w:val="24"/>
              </w:rPr>
              <w:t>①</w:t>
            </w:r>
            <w:r>
              <w:rPr>
                <w:bCs/>
                <w:sz w:val="24"/>
              </w:rPr>
              <w:fldChar w:fldCharType="end"/>
            </w:r>
            <w:r>
              <w:rPr>
                <w:bCs/>
                <w:sz w:val="24"/>
              </w:rPr>
              <w:t xml:space="preserve"> 环境空气影响</w:t>
            </w:r>
          </w:p>
          <w:p>
            <w:pPr>
              <w:spacing w:line="360" w:lineRule="auto"/>
              <w:ind w:firstLine="480" w:firstLineChars="200"/>
              <w:rPr>
                <w:bCs/>
                <w:sz w:val="24"/>
                <w:lang w:val="sq-AL"/>
              </w:rPr>
            </w:pPr>
            <w:r>
              <w:rPr>
                <w:bCs/>
                <w:sz w:val="24"/>
              </w:rPr>
              <w:t>施工过程中产生的大气污染物主要是各类施工开挖、建筑材料的装卸和运输过程中产生的扬尘；施工机械和运输车辆产生的汽车尾气。通过</w:t>
            </w:r>
            <w:r>
              <w:rPr>
                <w:bCs/>
                <w:sz w:val="24"/>
                <w:lang w:val="sq-AL"/>
              </w:rPr>
              <w:t>采取</w:t>
            </w:r>
            <w:r>
              <w:rPr>
                <w:bCs/>
                <w:sz w:val="24"/>
              </w:rPr>
              <w:t>加强施工管理、定期洒水抑尘、对易起尘物料加盖苫布、控制车速等</w:t>
            </w:r>
            <w:r>
              <w:rPr>
                <w:bCs/>
                <w:sz w:val="24"/>
                <w:lang w:val="sq-AL"/>
              </w:rPr>
              <w:t>防治措施，</w:t>
            </w:r>
            <w:r>
              <w:rPr>
                <w:bCs/>
                <w:sz w:val="24"/>
              </w:rPr>
              <w:t>减小施工废气对周围环境的影响</w:t>
            </w:r>
            <w:r>
              <w:rPr>
                <w:rFonts w:hint="eastAsia"/>
                <w:bCs/>
                <w:sz w:val="24"/>
              </w:rPr>
              <w:t>。</w:t>
            </w:r>
            <w:r>
              <w:rPr>
                <w:bCs/>
                <w:sz w:val="24"/>
              </w:rPr>
              <w:t>此外，</w:t>
            </w:r>
            <w:r>
              <w:rPr>
                <w:bCs/>
                <w:sz w:val="24"/>
                <w:lang w:val="sq-AL"/>
              </w:rPr>
              <w:t>由于施工期扬尘及车辆、机械尾气对环境的影响持续时间较短，因此</w:t>
            </w:r>
            <w:r>
              <w:rPr>
                <w:bCs/>
                <w:sz w:val="24"/>
              </w:rPr>
              <w:t>其</w:t>
            </w:r>
            <w:r>
              <w:rPr>
                <w:rFonts w:hint="eastAsia"/>
                <w:bCs/>
                <w:sz w:val="24"/>
              </w:rPr>
              <w:t>对</w:t>
            </w:r>
            <w:r>
              <w:rPr>
                <w:bCs/>
                <w:sz w:val="24"/>
                <w:lang w:val="sq-AL"/>
              </w:rPr>
              <w:t>环境影响较小。</w:t>
            </w:r>
          </w:p>
          <w:p>
            <w:pPr>
              <w:spacing w:line="360" w:lineRule="auto"/>
              <w:ind w:firstLine="480" w:firstLineChars="200"/>
              <w:rPr>
                <w:bCs/>
                <w:sz w:val="24"/>
              </w:rPr>
            </w:pPr>
            <w:r>
              <w:rPr>
                <w:bCs/>
                <w:sz w:val="24"/>
              </w:rPr>
              <w:fldChar w:fldCharType="begin"/>
            </w:r>
            <w:r>
              <w:rPr>
                <w:bCs/>
                <w:sz w:val="24"/>
              </w:rPr>
              <w:instrText xml:space="preserve"> = 2 \* GB3 </w:instrText>
            </w:r>
            <w:r>
              <w:rPr>
                <w:bCs/>
                <w:sz w:val="24"/>
              </w:rPr>
              <w:fldChar w:fldCharType="separate"/>
            </w:r>
            <w:r>
              <w:rPr>
                <w:rFonts w:hint="eastAsia" w:ascii="宋体" w:hAnsi="宋体" w:cs="宋体"/>
                <w:bCs/>
                <w:sz w:val="24"/>
              </w:rPr>
              <w:t>②</w:t>
            </w:r>
            <w:r>
              <w:rPr>
                <w:bCs/>
                <w:sz w:val="24"/>
              </w:rPr>
              <w:fldChar w:fldCharType="end"/>
            </w:r>
            <w:r>
              <w:rPr>
                <w:bCs/>
                <w:sz w:val="24"/>
              </w:rPr>
              <w:t xml:space="preserve"> 地表水环境影响</w:t>
            </w:r>
          </w:p>
          <w:p>
            <w:pPr>
              <w:spacing w:line="360" w:lineRule="auto"/>
              <w:ind w:firstLine="480" w:firstLineChars="200"/>
              <w:contextualSpacing/>
            </w:pPr>
            <w:r>
              <w:rPr>
                <w:rFonts w:hint="eastAsia"/>
                <w:kern w:val="0"/>
                <w:sz w:val="24"/>
              </w:rPr>
              <w:t>施工</w:t>
            </w:r>
            <w:r>
              <w:rPr>
                <w:kern w:val="0"/>
                <w:sz w:val="24"/>
              </w:rPr>
              <w:t>废水经沉砂池沉淀后全部回用。</w:t>
            </w:r>
            <w:r>
              <w:rPr>
                <w:sz w:val="24"/>
                <w:szCs w:val="20"/>
              </w:rPr>
              <w:t>施工</w:t>
            </w:r>
            <w:r>
              <w:rPr>
                <w:rFonts w:hint="eastAsia"/>
                <w:sz w:val="24"/>
                <w:szCs w:val="20"/>
              </w:rPr>
              <w:t>生活</w:t>
            </w:r>
            <w:r>
              <w:rPr>
                <w:sz w:val="24"/>
                <w:szCs w:val="20"/>
              </w:rPr>
              <w:t>废水依托厂内现有</w:t>
            </w:r>
            <w:r>
              <w:rPr>
                <w:rFonts w:hint="eastAsia"/>
                <w:sz w:val="24"/>
                <w:szCs w:val="20"/>
              </w:rPr>
              <w:t>生活</w:t>
            </w:r>
            <w:r>
              <w:rPr>
                <w:sz w:val="24"/>
                <w:szCs w:val="20"/>
              </w:rPr>
              <w:t>污水处理设施处理。</w:t>
            </w:r>
          </w:p>
          <w:p>
            <w:pPr>
              <w:widowControl/>
              <w:spacing w:line="360" w:lineRule="auto"/>
              <w:ind w:firstLine="480"/>
              <w:rPr>
                <w:kern w:val="0"/>
                <w:sz w:val="24"/>
              </w:rPr>
            </w:pPr>
            <w:r>
              <w:rPr>
                <w:kern w:val="0"/>
                <w:sz w:val="24"/>
              </w:rPr>
              <w:fldChar w:fldCharType="begin"/>
            </w:r>
            <w:r>
              <w:rPr>
                <w:kern w:val="0"/>
                <w:sz w:val="24"/>
              </w:rPr>
              <w:instrText xml:space="preserve"> = 3 \* GB3 </w:instrText>
            </w:r>
            <w:r>
              <w:rPr>
                <w:kern w:val="0"/>
                <w:sz w:val="24"/>
              </w:rPr>
              <w:fldChar w:fldCharType="separate"/>
            </w:r>
            <w:r>
              <w:rPr>
                <w:rFonts w:hint="eastAsia" w:ascii="宋体" w:hAnsi="宋体" w:cs="宋体"/>
                <w:kern w:val="0"/>
                <w:sz w:val="24"/>
              </w:rPr>
              <w:t>③</w:t>
            </w:r>
            <w:r>
              <w:rPr>
                <w:kern w:val="0"/>
                <w:sz w:val="24"/>
              </w:rPr>
              <w:fldChar w:fldCharType="end"/>
            </w:r>
            <w:r>
              <w:rPr>
                <w:kern w:val="0"/>
                <w:sz w:val="24"/>
              </w:rPr>
              <w:t xml:space="preserve"> 噪声环境影响</w:t>
            </w:r>
          </w:p>
          <w:p>
            <w:pPr>
              <w:widowControl/>
              <w:spacing w:line="360" w:lineRule="auto"/>
              <w:ind w:firstLine="480"/>
              <w:rPr>
                <w:kern w:val="0"/>
                <w:sz w:val="24"/>
              </w:rPr>
            </w:pPr>
            <w:r>
              <w:rPr>
                <w:kern w:val="0"/>
                <w:sz w:val="24"/>
              </w:rPr>
              <w:t>施工期噪声主要来源于施工机械，如挖掘机、装载机、切割机等。施工设备产生的噪声较强，评价要求采取合理安排施工时间及产噪设备合理布置等降噪措施</w:t>
            </w:r>
            <w:r>
              <w:rPr>
                <w:rFonts w:hint="eastAsia"/>
                <w:kern w:val="0"/>
                <w:sz w:val="24"/>
              </w:rPr>
              <w:t>。</w:t>
            </w:r>
            <w:r>
              <w:rPr>
                <w:kern w:val="0"/>
                <w:sz w:val="24"/>
              </w:rPr>
              <w:t>此外，其随着施工的结束而消失，因此，项目施工期噪声对周围环境影响较小。</w:t>
            </w:r>
          </w:p>
          <w:p>
            <w:pPr>
              <w:spacing w:line="360" w:lineRule="auto"/>
              <w:ind w:firstLine="480" w:firstLineChars="200"/>
              <w:rPr>
                <w:bCs/>
                <w:sz w:val="24"/>
              </w:rPr>
            </w:pPr>
            <w:r>
              <w:rPr>
                <w:bCs/>
                <w:sz w:val="24"/>
              </w:rPr>
              <w:fldChar w:fldCharType="begin"/>
            </w:r>
            <w:r>
              <w:rPr>
                <w:bCs/>
                <w:sz w:val="24"/>
              </w:rPr>
              <w:instrText xml:space="preserve"> = 4 \* GB3 </w:instrText>
            </w:r>
            <w:r>
              <w:rPr>
                <w:bCs/>
                <w:sz w:val="24"/>
              </w:rPr>
              <w:fldChar w:fldCharType="separate"/>
            </w:r>
            <w:r>
              <w:rPr>
                <w:rFonts w:hint="eastAsia" w:ascii="宋体" w:hAnsi="宋体" w:cs="宋体"/>
                <w:bCs/>
                <w:sz w:val="24"/>
              </w:rPr>
              <w:t>④</w:t>
            </w:r>
            <w:r>
              <w:rPr>
                <w:bCs/>
                <w:sz w:val="24"/>
              </w:rPr>
              <w:fldChar w:fldCharType="end"/>
            </w:r>
            <w:r>
              <w:rPr>
                <w:bCs/>
                <w:sz w:val="24"/>
              </w:rPr>
              <w:t xml:space="preserve"> 固体废物环境影响</w:t>
            </w:r>
          </w:p>
          <w:p>
            <w:pPr>
              <w:spacing w:line="360" w:lineRule="auto"/>
              <w:ind w:firstLine="480" w:firstLineChars="200"/>
              <w:contextualSpacing/>
              <w:rPr>
                <w:sz w:val="24"/>
                <w:szCs w:val="20"/>
              </w:rPr>
            </w:pPr>
            <w:r>
              <w:rPr>
                <w:sz w:val="24"/>
                <w:szCs w:val="20"/>
              </w:rPr>
              <w:t>施工期产生的固体废弃物主要为施工产生的土石方、建筑垃圾、施工人员产生的垃圾。</w:t>
            </w:r>
          </w:p>
          <w:p>
            <w:pPr>
              <w:spacing w:line="360" w:lineRule="auto"/>
              <w:ind w:firstLine="480" w:firstLineChars="200"/>
              <w:rPr>
                <w:bCs/>
                <w:sz w:val="24"/>
              </w:rPr>
            </w:pPr>
            <w:r>
              <w:rPr>
                <w:sz w:val="24"/>
                <w:szCs w:val="20"/>
              </w:rPr>
              <w:t>项目开挖的土石方除用于场地回填平衡，剩余部分尽量做到综合利用，不能综合利用部分</w:t>
            </w:r>
            <w:r>
              <w:rPr>
                <w:rFonts w:hint="eastAsia"/>
                <w:sz w:val="24"/>
                <w:szCs w:val="20"/>
              </w:rPr>
              <w:t>由建设方统一清运至有关部门指定建筑垃圾填埋场妥善处置</w:t>
            </w:r>
            <w:r>
              <w:rPr>
                <w:sz w:val="24"/>
                <w:szCs w:val="20"/>
              </w:rPr>
              <w:t>。</w:t>
            </w:r>
            <w:r>
              <w:rPr>
                <w:rFonts w:hint="eastAsia"/>
                <w:sz w:val="24"/>
                <w:szCs w:val="20"/>
              </w:rPr>
              <w:t>建筑垃圾</w:t>
            </w:r>
            <w:r>
              <w:rPr>
                <w:sz w:val="24"/>
                <w:szCs w:val="20"/>
              </w:rPr>
              <w:t>由建设方统一清运至有关部门指定</w:t>
            </w:r>
            <w:r>
              <w:rPr>
                <w:rFonts w:hint="eastAsia"/>
                <w:sz w:val="24"/>
                <w:szCs w:val="20"/>
              </w:rPr>
              <w:t>建筑垃圾填埋场</w:t>
            </w:r>
            <w:r>
              <w:rPr>
                <w:sz w:val="24"/>
                <w:szCs w:val="20"/>
              </w:rPr>
              <w:t>妥善处置。</w:t>
            </w:r>
            <w:r>
              <w:rPr>
                <w:rFonts w:hint="eastAsia"/>
                <w:sz w:val="24"/>
                <w:szCs w:val="20"/>
              </w:rPr>
              <w:t>生活垃圾统一纳入正阳镇生活垃圾清运系统处置。</w:t>
            </w:r>
          </w:p>
          <w:p>
            <w:pPr>
              <w:spacing w:line="360" w:lineRule="auto"/>
              <w:ind w:firstLine="480" w:firstLineChars="200"/>
              <w:rPr>
                <w:sz w:val="24"/>
                <w:szCs w:val="20"/>
              </w:rPr>
            </w:pPr>
            <w:r>
              <w:rPr>
                <w:sz w:val="24"/>
                <w:szCs w:val="20"/>
              </w:rPr>
              <w:fldChar w:fldCharType="begin"/>
            </w:r>
            <w:r>
              <w:rPr>
                <w:sz w:val="24"/>
                <w:szCs w:val="20"/>
              </w:rPr>
              <w:instrText xml:space="preserve"> = 2 \* GB2 </w:instrText>
            </w:r>
            <w:r>
              <w:rPr>
                <w:sz w:val="24"/>
                <w:szCs w:val="20"/>
              </w:rPr>
              <w:fldChar w:fldCharType="separate"/>
            </w:r>
            <w:r>
              <w:rPr>
                <w:rFonts w:hint="eastAsia" w:ascii="宋体" w:hAnsi="宋体" w:cs="宋体"/>
                <w:sz w:val="24"/>
                <w:szCs w:val="20"/>
              </w:rPr>
              <w:t>⑵</w:t>
            </w:r>
            <w:r>
              <w:rPr>
                <w:sz w:val="24"/>
                <w:szCs w:val="20"/>
              </w:rPr>
              <w:fldChar w:fldCharType="end"/>
            </w:r>
            <w:r>
              <w:rPr>
                <w:sz w:val="24"/>
                <w:szCs w:val="20"/>
              </w:rPr>
              <w:t xml:space="preserve"> 运行期环境影响及污染防治措施可行性</w:t>
            </w:r>
          </w:p>
          <w:p>
            <w:pPr>
              <w:spacing w:line="360" w:lineRule="auto"/>
              <w:ind w:firstLine="480" w:firstLineChars="200"/>
              <w:rPr>
                <w:sz w:val="24"/>
                <w:szCs w:val="20"/>
              </w:rPr>
            </w:pPr>
            <w:r>
              <w:rPr>
                <w:sz w:val="24"/>
                <w:szCs w:val="20"/>
              </w:rPr>
              <w:fldChar w:fldCharType="begin"/>
            </w:r>
            <w:r>
              <w:rPr>
                <w:sz w:val="24"/>
                <w:szCs w:val="20"/>
              </w:rPr>
              <w:instrText xml:space="preserve"> </w:instrText>
            </w:r>
            <w:r>
              <w:rPr>
                <w:rFonts w:hint="eastAsia"/>
                <w:sz w:val="24"/>
                <w:szCs w:val="20"/>
              </w:rPr>
              <w:instrText xml:space="preserve">= 1 \* GB3</w:instrText>
            </w:r>
            <w:r>
              <w:rPr>
                <w:sz w:val="24"/>
                <w:szCs w:val="20"/>
              </w:rPr>
              <w:instrText xml:space="preserve"> </w:instrText>
            </w:r>
            <w:r>
              <w:rPr>
                <w:sz w:val="24"/>
                <w:szCs w:val="20"/>
              </w:rPr>
              <w:fldChar w:fldCharType="separate"/>
            </w:r>
            <w:r>
              <w:rPr>
                <w:rFonts w:hint="eastAsia"/>
                <w:sz w:val="24"/>
                <w:szCs w:val="20"/>
              </w:rPr>
              <w:t>①</w:t>
            </w:r>
            <w:r>
              <w:rPr>
                <w:sz w:val="24"/>
                <w:szCs w:val="20"/>
              </w:rPr>
              <w:fldChar w:fldCharType="end"/>
            </w:r>
            <w:r>
              <w:rPr>
                <w:sz w:val="24"/>
                <w:szCs w:val="20"/>
              </w:rPr>
              <w:t xml:space="preserve"> </w:t>
            </w:r>
            <w:r>
              <w:rPr>
                <w:rFonts w:hint="eastAsia"/>
                <w:sz w:val="24"/>
                <w:szCs w:val="20"/>
              </w:rPr>
              <w:t>环境空气</w:t>
            </w:r>
          </w:p>
          <w:p>
            <w:pPr>
              <w:spacing w:line="360" w:lineRule="auto"/>
              <w:ind w:firstLine="480" w:firstLineChars="200"/>
              <w:rPr>
                <w:b/>
                <w:bCs/>
                <w:kern w:val="24"/>
                <w:sz w:val="24"/>
              </w:rPr>
            </w:pPr>
            <w:r>
              <w:rPr>
                <w:rFonts w:hint="eastAsia"/>
                <w:kern w:val="24"/>
                <w:sz w:val="24"/>
              </w:rPr>
              <w:t>项目为露天煤场全封闭改造工程，属于环保型项目。根据工程分析，项目改造完成后，无组成粉尘排放量</w:t>
            </w:r>
            <w:r>
              <w:rPr>
                <w:kern w:val="24"/>
                <w:sz w:val="24"/>
              </w:rPr>
              <w:t>11.87</w:t>
            </w:r>
            <w:r>
              <w:rPr>
                <w:rFonts w:hint="eastAsia"/>
                <w:kern w:val="24"/>
                <w:sz w:val="24"/>
              </w:rPr>
              <w:t>t/a。相对现状露天煤场无组织排放粉尘排放量减少</w:t>
            </w:r>
            <w:r>
              <w:rPr>
                <w:kern w:val="24"/>
                <w:sz w:val="24"/>
              </w:rPr>
              <w:t>41.98</w:t>
            </w:r>
            <w:r>
              <w:rPr>
                <w:rFonts w:hint="eastAsia"/>
                <w:kern w:val="24"/>
                <w:sz w:val="24"/>
              </w:rPr>
              <w:t>t/a</w:t>
            </w:r>
            <w:r>
              <w:rPr>
                <w:kern w:val="24"/>
                <w:sz w:val="24"/>
              </w:rPr>
              <w:t>，</w:t>
            </w:r>
            <w:r>
              <w:rPr>
                <w:rFonts w:hint="eastAsia"/>
                <w:kern w:val="24"/>
                <w:sz w:val="24"/>
              </w:rPr>
              <w:t>项目建设可有效降低煤场煤尘排放量、改善区域环境空气质量，对周围环境影响具有正效益。</w:t>
            </w:r>
          </w:p>
          <w:p>
            <w:pPr>
              <w:spacing w:line="360" w:lineRule="auto"/>
              <w:ind w:firstLine="480" w:firstLineChars="200"/>
              <w:rPr>
                <w:sz w:val="24"/>
                <w:szCs w:val="20"/>
              </w:rPr>
            </w:pPr>
            <w:r>
              <w:rPr>
                <w:sz w:val="24"/>
                <w:szCs w:val="20"/>
              </w:rPr>
              <w:fldChar w:fldCharType="begin"/>
            </w:r>
            <w:r>
              <w:rPr>
                <w:sz w:val="24"/>
                <w:szCs w:val="20"/>
              </w:rPr>
              <w:instrText xml:space="preserve"> </w:instrText>
            </w:r>
            <w:r>
              <w:rPr>
                <w:rFonts w:hint="eastAsia"/>
                <w:sz w:val="24"/>
                <w:szCs w:val="20"/>
              </w:rPr>
              <w:instrText xml:space="preserve">= 2 \* GB3</w:instrText>
            </w:r>
            <w:r>
              <w:rPr>
                <w:sz w:val="24"/>
                <w:szCs w:val="20"/>
              </w:rPr>
              <w:instrText xml:space="preserve"> </w:instrText>
            </w:r>
            <w:r>
              <w:rPr>
                <w:sz w:val="24"/>
                <w:szCs w:val="20"/>
              </w:rPr>
              <w:fldChar w:fldCharType="separate"/>
            </w:r>
            <w:r>
              <w:rPr>
                <w:rFonts w:hint="eastAsia"/>
                <w:sz w:val="24"/>
                <w:szCs w:val="20"/>
              </w:rPr>
              <w:t>②</w:t>
            </w:r>
            <w:r>
              <w:rPr>
                <w:sz w:val="24"/>
                <w:szCs w:val="20"/>
              </w:rPr>
              <w:fldChar w:fldCharType="end"/>
            </w:r>
            <w:r>
              <w:rPr>
                <w:sz w:val="24"/>
                <w:szCs w:val="20"/>
              </w:rPr>
              <w:t xml:space="preserve"> </w:t>
            </w:r>
            <w:r>
              <w:rPr>
                <w:rFonts w:hint="eastAsia"/>
                <w:sz w:val="24"/>
                <w:szCs w:val="20"/>
              </w:rPr>
              <w:t>地表水</w:t>
            </w:r>
            <w:r>
              <w:rPr>
                <w:sz w:val="24"/>
                <w:szCs w:val="20"/>
              </w:rPr>
              <w:t>环境</w:t>
            </w:r>
          </w:p>
          <w:p>
            <w:pPr>
              <w:spacing w:line="360" w:lineRule="auto"/>
              <w:ind w:firstLine="480" w:firstLineChars="200"/>
              <w:rPr>
                <w:kern w:val="24"/>
                <w:sz w:val="24"/>
              </w:rPr>
            </w:pPr>
            <w:r>
              <w:rPr>
                <w:rFonts w:hint="eastAsia"/>
                <w:kern w:val="0"/>
                <w:sz w:val="24"/>
                <w:szCs w:val="22"/>
              </w:rPr>
              <w:t>项目运行期无废水排放，不会对周围环境造成影响。</w:t>
            </w:r>
          </w:p>
          <w:p>
            <w:pPr>
              <w:spacing w:line="360" w:lineRule="auto"/>
              <w:ind w:firstLine="480" w:firstLineChars="200"/>
              <w:rPr>
                <w:sz w:val="24"/>
                <w:szCs w:val="20"/>
              </w:rPr>
            </w:pPr>
            <w:r>
              <w:rPr>
                <w:sz w:val="24"/>
                <w:szCs w:val="20"/>
              </w:rPr>
              <w:fldChar w:fldCharType="begin"/>
            </w:r>
            <w:r>
              <w:rPr>
                <w:sz w:val="24"/>
                <w:szCs w:val="20"/>
              </w:rPr>
              <w:instrText xml:space="preserve"> </w:instrText>
            </w:r>
            <w:r>
              <w:rPr>
                <w:rFonts w:hint="eastAsia"/>
                <w:sz w:val="24"/>
                <w:szCs w:val="20"/>
              </w:rPr>
              <w:instrText xml:space="preserve">= 3 \* GB3</w:instrText>
            </w:r>
            <w:r>
              <w:rPr>
                <w:sz w:val="24"/>
                <w:szCs w:val="20"/>
              </w:rPr>
              <w:instrText xml:space="preserve"> </w:instrText>
            </w:r>
            <w:r>
              <w:rPr>
                <w:sz w:val="24"/>
                <w:szCs w:val="20"/>
              </w:rPr>
              <w:fldChar w:fldCharType="separate"/>
            </w:r>
            <w:r>
              <w:rPr>
                <w:rFonts w:hint="eastAsia"/>
                <w:sz w:val="24"/>
                <w:szCs w:val="20"/>
              </w:rPr>
              <w:t>③</w:t>
            </w:r>
            <w:r>
              <w:rPr>
                <w:sz w:val="24"/>
                <w:szCs w:val="20"/>
              </w:rPr>
              <w:fldChar w:fldCharType="end"/>
            </w:r>
            <w:r>
              <w:rPr>
                <w:sz w:val="24"/>
                <w:szCs w:val="20"/>
              </w:rPr>
              <w:t xml:space="preserve"> 声环境</w:t>
            </w:r>
          </w:p>
          <w:p>
            <w:pPr>
              <w:spacing w:line="360" w:lineRule="auto"/>
              <w:ind w:firstLine="480" w:firstLineChars="200"/>
              <w:rPr>
                <w:sz w:val="24"/>
                <w:szCs w:val="20"/>
              </w:rPr>
            </w:pPr>
            <w:r>
              <w:rPr>
                <w:rFonts w:hint="eastAsia"/>
                <w:kern w:val="24"/>
                <w:sz w:val="24"/>
              </w:rPr>
              <w:t>技改</w:t>
            </w:r>
            <w:r>
              <w:rPr>
                <w:kern w:val="24"/>
                <w:sz w:val="24"/>
              </w:rPr>
              <w:t>项目完成后，</w:t>
            </w:r>
            <w:r>
              <w:rPr>
                <w:rFonts w:hint="eastAsia"/>
                <w:kern w:val="24"/>
                <w:sz w:val="24"/>
              </w:rPr>
              <w:t>新增噪声设备主要为消防泵房内的各种泵类，一般不运行，噪声环境影响较小。煤场现有噪声设备部分</w:t>
            </w:r>
            <w:r>
              <w:rPr>
                <w:kern w:val="24"/>
                <w:sz w:val="24"/>
              </w:rPr>
              <w:t>拆除，剩余部分</w:t>
            </w:r>
            <w:r>
              <w:rPr>
                <w:rFonts w:hint="eastAsia"/>
                <w:kern w:val="24"/>
                <w:sz w:val="24"/>
              </w:rPr>
              <w:t>封闭于全封闭煤场中，</w:t>
            </w:r>
            <w:r>
              <w:rPr>
                <w:kern w:val="24"/>
                <w:sz w:val="24"/>
              </w:rPr>
              <w:t>全封闭煤场具有</w:t>
            </w:r>
            <w:r>
              <w:rPr>
                <w:rFonts w:hint="eastAsia"/>
                <w:kern w:val="24"/>
                <w:sz w:val="24"/>
              </w:rPr>
              <w:t>隔声作用，</w:t>
            </w:r>
            <w:r>
              <w:rPr>
                <w:rFonts w:hint="eastAsia"/>
                <w:sz w:val="24"/>
                <w:szCs w:val="20"/>
              </w:rPr>
              <w:t>由现状监测结果可知，技改项目完成后厂界噪声能达到《工业企业厂界环境噪声排放标准》（GB12348-2008）3类标准要求，对周围声环境产生影响较小。</w:t>
            </w:r>
          </w:p>
          <w:p>
            <w:pPr>
              <w:spacing w:line="360" w:lineRule="auto"/>
              <w:ind w:firstLine="480" w:firstLineChars="200"/>
              <w:rPr>
                <w:sz w:val="24"/>
                <w:szCs w:val="20"/>
              </w:rPr>
            </w:pPr>
            <w:r>
              <w:rPr>
                <w:sz w:val="24"/>
                <w:szCs w:val="20"/>
              </w:rPr>
              <w:fldChar w:fldCharType="begin"/>
            </w:r>
            <w:r>
              <w:rPr>
                <w:sz w:val="24"/>
                <w:szCs w:val="20"/>
              </w:rPr>
              <w:instrText xml:space="preserve"> </w:instrText>
            </w:r>
            <w:r>
              <w:rPr>
                <w:rFonts w:hint="eastAsia"/>
                <w:sz w:val="24"/>
                <w:szCs w:val="20"/>
              </w:rPr>
              <w:instrText xml:space="preserve">= 4 \* GB3</w:instrText>
            </w:r>
            <w:r>
              <w:rPr>
                <w:sz w:val="24"/>
                <w:szCs w:val="20"/>
              </w:rPr>
              <w:instrText xml:space="preserve"> </w:instrText>
            </w:r>
            <w:r>
              <w:rPr>
                <w:sz w:val="24"/>
                <w:szCs w:val="20"/>
              </w:rPr>
              <w:fldChar w:fldCharType="separate"/>
            </w:r>
            <w:r>
              <w:rPr>
                <w:rFonts w:hint="eastAsia"/>
                <w:sz w:val="24"/>
                <w:szCs w:val="20"/>
              </w:rPr>
              <w:t>④</w:t>
            </w:r>
            <w:r>
              <w:rPr>
                <w:sz w:val="24"/>
                <w:szCs w:val="20"/>
              </w:rPr>
              <w:fldChar w:fldCharType="end"/>
            </w:r>
            <w:r>
              <w:rPr>
                <w:sz w:val="24"/>
                <w:szCs w:val="20"/>
              </w:rPr>
              <w:t xml:space="preserve"> 固体废弃物</w:t>
            </w:r>
          </w:p>
          <w:p>
            <w:pPr>
              <w:spacing w:line="360" w:lineRule="auto"/>
              <w:ind w:firstLine="480" w:firstLineChars="200"/>
              <w:rPr>
                <w:kern w:val="24"/>
                <w:sz w:val="24"/>
              </w:rPr>
            </w:pPr>
            <w:r>
              <w:rPr>
                <w:rFonts w:hint="eastAsia"/>
                <w:kern w:val="24"/>
                <w:sz w:val="24"/>
              </w:rPr>
              <w:t>项目运营期无固体废物产生。</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5 \* GB3</w:instrText>
            </w:r>
            <w:r>
              <w:rPr>
                <w:kern w:val="24"/>
                <w:sz w:val="24"/>
              </w:rPr>
              <w:instrText xml:space="preserve"> </w:instrText>
            </w:r>
            <w:r>
              <w:rPr>
                <w:kern w:val="24"/>
                <w:sz w:val="24"/>
              </w:rPr>
              <w:fldChar w:fldCharType="separate"/>
            </w:r>
            <w:r>
              <w:rPr>
                <w:rFonts w:hint="eastAsia"/>
                <w:kern w:val="24"/>
                <w:sz w:val="24"/>
              </w:rPr>
              <w:t>⑤</w:t>
            </w:r>
            <w:r>
              <w:rPr>
                <w:kern w:val="24"/>
                <w:sz w:val="24"/>
              </w:rPr>
              <w:fldChar w:fldCharType="end"/>
            </w:r>
            <w:r>
              <w:rPr>
                <w:kern w:val="24"/>
                <w:sz w:val="24"/>
              </w:rPr>
              <w:t xml:space="preserve"> </w:t>
            </w:r>
            <w:r>
              <w:rPr>
                <w:rFonts w:hint="eastAsia"/>
                <w:kern w:val="24"/>
                <w:sz w:val="24"/>
              </w:rPr>
              <w:t>生态环境</w:t>
            </w:r>
          </w:p>
          <w:p>
            <w:pPr>
              <w:spacing w:line="360" w:lineRule="auto"/>
              <w:ind w:firstLine="480" w:firstLineChars="200"/>
              <w:rPr>
                <w:kern w:val="24"/>
                <w:sz w:val="24"/>
              </w:rPr>
            </w:pPr>
            <w:r>
              <w:rPr>
                <w:rFonts w:hint="eastAsia"/>
                <w:kern w:val="24"/>
                <w:sz w:val="24"/>
              </w:rPr>
              <w:t>本次技改项目完成储煤场的全封闭，项目建成后减少了煤尘的无组织排放，对周围生态环境将产生积极影响。</w:t>
            </w:r>
          </w:p>
          <w:p>
            <w:pPr>
              <w:spacing w:line="360" w:lineRule="auto"/>
              <w:ind w:firstLine="482" w:firstLineChars="200"/>
              <w:rPr>
                <w:b/>
                <w:sz w:val="24"/>
              </w:rPr>
            </w:pPr>
            <w:r>
              <w:rPr>
                <w:b/>
                <w:sz w:val="24"/>
                <w:szCs w:val="22"/>
              </w:rPr>
              <w:t>5、</w:t>
            </w:r>
            <w:r>
              <w:rPr>
                <w:b/>
                <w:sz w:val="24"/>
              </w:rPr>
              <w:t>环境管理与监测计划</w:t>
            </w:r>
          </w:p>
          <w:p>
            <w:pPr>
              <w:spacing w:line="360" w:lineRule="auto"/>
              <w:ind w:firstLine="480" w:firstLineChars="200"/>
              <w:jc w:val="left"/>
              <w:outlineLvl w:val="0"/>
              <w:rPr>
                <w:sz w:val="24"/>
              </w:rPr>
            </w:pPr>
            <w:bookmarkStart w:id="138" w:name="_Toc477877349"/>
            <w:bookmarkStart w:id="139" w:name="_Toc477877274"/>
            <w:bookmarkStart w:id="140" w:name="_Toc13666"/>
            <w:bookmarkStart w:id="141" w:name="_Toc493776638"/>
            <w:bookmarkStart w:id="142" w:name="_Toc494203157"/>
            <w:bookmarkStart w:id="143" w:name="_Toc494203300"/>
            <w:bookmarkStart w:id="144" w:name="_Toc494203403"/>
            <w:bookmarkStart w:id="145" w:name="_Toc514340336"/>
            <w:bookmarkStart w:id="146" w:name="_Toc514340587"/>
            <w:r>
              <w:rPr>
                <w:sz w:val="24"/>
              </w:rPr>
              <w:t>按照《建设项目环境保护管理设计规定》等有关</w:t>
            </w:r>
            <w:r>
              <w:rPr>
                <w:kern w:val="0"/>
                <w:sz w:val="24"/>
              </w:rPr>
              <w:t>要求，</w:t>
            </w:r>
            <w:r>
              <w:rPr>
                <w:sz w:val="24"/>
              </w:rPr>
              <w:t>建设单位应建立健全施工期环境管理，加强对项目施工期环保设施的运行管理和污染预防。</w:t>
            </w:r>
            <w:bookmarkEnd w:id="138"/>
            <w:bookmarkEnd w:id="139"/>
            <w:bookmarkEnd w:id="140"/>
            <w:bookmarkEnd w:id="141"/>
            <w:bookmarkEnd w:id="142"/>
            <w:bookmarkEnd w:id="143"/>
            <w:bookmarkEnd w:id="144"/>
            <w:bookmarkEnd w:id="145"/>
            <w:bookmarkEnd w:id="146"/>
          </w:p>
          <w:p>
            <w:pPr>
              <w:spacing w:line="360" w:lineRule="auto"/>
              <w:ind w:firstLine="482" w:firstLineChars="200"/>
              <w:rPr>
                <w:b/>
                <w:sz w:val="24"/>
                <w:szCs w:val="22"/>
              </w:rPr>
            </w:pPr>
            <w:r>
              <w:rPr>
                <w:b/>
                <w:sz w:val="24"/>
                <w:szCs w:val="22"/>
              </w:rPr>
              <w:t>6、结论</w:t>
            </w:r>
          </w:p>
          <w:p>
            <w:pPr>
              <w:spacing w:line="360" w:lineRule="auto"/>
              <w:ind w:firstLine="480" w:firstLineChars="200"/>
              <w:rPr>
                <w:sz w:val="24"/>
              </w:rPr>
            </w:pPr>
            <w:r>
              <w:rPr>
                <w:sz w:val="24"/>
              </w:rPr>
              <w:t>项目符合国家产业政策，符合</w:t>
            </w:r>
            <w:r>
              <w:rPr>
                <w:rFonts w:hint="eastAsia"/>
                <w:sz w:val="24"/>
              </w:rPr>
              <w:t>《陕西省“十三五”生态环境保护规划》</w:t>
            </w:r>
            <w:r>
              <w:rPr>
                <w:sz w:val="24"/>
              </w:rPr>
              <w:t>等相关规划要求，选址基本可行。</w:t>
            </w:r>
            <w:r>
              <w:rPr>
                <w:rFonts w:hint="eastAsia"/>
                <w:sz w:val="24"/>
              </w:rPr>
              <w:t>项目实施</w:t>
            </w:r>
            <w:r>
              <w:rPr>
                <w:sz w:val="24"/>
              </w:rPr>
              <w:t>后，储煤场粉尘的排放量可大大较少，从环境保护角度分析，本项目建设可行。</w:t>
            </w:r>
          </w:p>
          <w:p>
            <w:pPr>
              <w:pStyle w:val="77"/>
              <w:spacing w:line="360" w:lineRule="auto"/>
              <w:ind w:firstLine="472" w:firstLineChars="196"/>
              <w:jc w:val="left"/>
              <w:textAlignment w:val="baseline"/>
              <w:rPr>
                <w:b/>
                <w:sz w:val="24"/>
              </w:rPr>
            </w:pPr>
            <w:r>
              <w:rPr>
                <w:b/>
                <w:sz w:val="24"/>
              </w:rPr>
              <w:t>二、主要要求与建议</w:t>
            </w:r>
          </w:p>
          <w:p>
            <w:pPr>
              <w:spacing w:line="360" w:lineRule="auto"/>
              <w:ind w:firstLine="480" w:firstLineChars="200"/>
              <w:rPr>
                <w:rFonts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1 \* GB2</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⑴</w:t>
            </w:r>
            <w:r>
              <w:rPr>
                <w:rFonts w:ascii="宋体" w:hAnsi="宋体"/>
                <w:sz w:val="24"/>
              </w:rPr>
              <w:fldChar w:fldCharType="end"/>
            </w:r>
            <w:r>
              <w:rPr>
                <w:rFonts w:ascii="宋体" w:hAnsi="宋体"/>
                <w:sz w:val="24"/>
              </w:rPr>
              <w:t xml:space="preserve"> 严格执行“三同时”制度，废水、固废、噪声达标排放。</w:t>
            </w:r>
          </w:p>
          <w:p>
            <w:pPr>
              <w:spacing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2 \* GB2</w:instrText>
            </w:r>
            <w:r>
              <w:rPr>
                <w:sz w:val="24"/>
              </w:rPr>
              <w:instrText xml:space="preserve"> </w:instrText>
            </w:r>
            <w:r>
              <w:rPr>
                <w:sz w:val="24"/>
              </w:rPr>
              <w:fldChar w:fldCharType="separate"/>
            </w:r>
            <w:r>
              <w:rPr>
                <w:rFonts w:hint="eastAsia"/>
                <w:sz w:val="24"/>
              </w:rPr>
              <w:t>⑵</w:t>
            </w:r>
            <w:r>
              <w:rPr>
                <w:sz w:val="24"/>
              </w:rPr>
              <w:fldChar w:fldCharType="end"/>
            </w:r>
            <w:r>
              <w:rPr>
                <w:sz w:val="24"/>
              </w:rPr>
              <w:t xml:space="preserve"> </w:t>
            </w:r>
            <w:r>
              <w:rPr>
                <w:rFonts w:hint="eastAsia"/>
                <w:sz w:val="24"/>
              </w:rPr>
              <w:t>将煤场环境风险纳入到全厂风险管理体系中。</w:t>
            </w:r>
          </w:p>
          <w:p>
            <w:pPr>
              <w:spacing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3 \* GB2</w:instrText>
            </w:r>
            <w:r>
              <w:rPr>
                <w:sz w:val="24"/>
              </w:rPr>
              <w:instrText xml:space="preserve"> </w:instrText>
            </w:r>
            <w:r>
              <w:rPr>
                <w:sz w:val="24"/>
              </w:rPr>
              <w:fldChar w:fldCharType="separate"/>
            </w:r>
            <w:r>
              <w:rPr>
                <w:rFonts w:hint="eastAsia"/>
                <w:sz w:val="24"/>
              </w:rPr>
              <w:t>⑶</w:t>
            </w:r>
            <w:r>
              <w:rPr>
                <w:sz w:val="24"/>
              </w:rPr>
              <w:fldChar w:fldCharType="end"/>
            </w:r>
            <w:r>
              <w:rPr>
                <w:rFonts w:hint="eastAsia"/>
                <w:sz w:val="24"/>
              </w:rPr>
              <w:t xml:space="preserve"> </w:t>
            </w:r>
            <w:r>
              <w:rPr>
                <w:sz w:val="24"/>
              </w:rPr>
              <w:t>在实施本项目运营过程中，按国家有关法律、法规进行监督和管理，注意保护环境，使生产和保护相协调，减少对周边环境及居民的影响。</w:t>
            </w:r>
          </w:p>
          <w:p>
            <w:pPr>
              <w:spacing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4 \* GB2</w:instrText>
            </w:r>
            <w:r>
              <w:rPr>
                <w:sz w:val="24"/>
              </w:rPr>
              <w:instrText xml:space="preserve"> </w:instrText>
            </w:r>
            <w:r>
              <w:rPr>
                <w:sz w:val="24"/>
              </w:rPr>
              <w:fldChar w:fldCharType="separate"/>
            </w:r>
            <w:r>
              <w:rPr>
                <w:rFonts w:hint="eastAsia"/>
                <w:sz w:val="24"/>
              </w:rPr>
              <w:t>⑷</w:t>
            </w:r>
            <w:r>
              <w:rPr>
                <w:sz w:val="24"/>
              </w:rPr>
              <w:fldChar w:fldCharType="end"/>
            </w:r>
            <w:r>
              <w:rPr>
                <w:rFonts w:hint="eastAsia"/>
                <w:sz w:val="24"/>
              </w:rPr>
              <w:t xml:space="preserve"> </w:t>
            </w:r>
            <w:r>
              <w:rPr>
                <w:sz w:val="24"/>
              </w:rPr>
              <w:t>做好各项环境保护工作和采取有效措施，进一步加强员工技术与环保意识的培训，完善操作规则和管理制度，定期对设备进行维护和保养，杜绝事故发生。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87" w:hRule="atLeast"/>
          <w:jc w:val="center"/>
        </w:trPr>
        <w:tc>
          <w:tcPr>
            <w:tcW w:w="9067" w:type="dxa"/>
            <w:gridSpan w:val="2"/>
          </w:tcPr>
          <w:p>
            <w:pPr>
              <w:rPr>
                <w:b/>
                <w:bCs/>
                <w:sz w:val="24"/>
              </w:rPr>
            </w:pPr>
            <w:r>
              <w:rPr>
                <w:b/>
                <w:bCs/>
                <w:sz w:val="24"/>
              </w:rPr>
              <w:t>预审意见：</w:t>
            </w: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r>
              <w:rPr>
                <w:b/>
                <w:bCs/>
                <w:sz w:val="24"/>
              </w:rPr>
              <w:t xml:space="preserve">                                                   公   章</w:t>
            </w:r>
          </w:p>
          <w:p>
            <w:pPr>
              <w:rPr>
                <w:b/>
                <w:bCs/>
                <w:sz w:val="24"/>
              </w:rPr>
            </w:pPr>
          </w:p>
          <w:p>
            <w:pPr>
              <w:rPr>
                <w:b/>
                <w:bCs/>
                <w:sz w:val="24"/>
              </w:rPr>
            </w:pPr>
            <w:r>
              <w:rPr>
                <w:b/>
                <w:bCs/>
                <w:sz w:val="24"/>
              </w:rPr>
              <w:t>经办人：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60" w:hRule="atLeast"/>
          <w:jc w:val="center"/>
        </w:trPr>
        <w:tc>
          <w:tcPr>
            <w:tcW w:w="9067" w:type="dxa"/>
            <w:gridSpan w:val="2"/>
          </w:tcPr>
          <w:p>
            <w:pPr>
              <w:rPr>
                <w:b/>
                <w:bCs/>
                <w:sz w:val="24"/>
              </w:rPr>
            </w:pPr>
            <w:r>
              <w:rPr>
                <w:b/>
                <w:bCs/>
                <w:sz w:val="24"/>
              </w:rPr>
              <w:t>下一级环境保护行政主管部门审查意见：</w:t>
            </w:r>
          </w:p>
          <w:p>
            <w:pPr>
              <w:spacing w:before="240"/>
              <w:rPr>
                <w:b/>
                <w:bCs/>
                <w:sz w:val="24"/>
              </w:rPr>
            </w:pPr>
          </w:p>
          <w:p>
            <w:pPr>
              <w:spacing w:before="240"/>
              <w:rPr>
                <w:b/>
                <w:bCs/>
                <w:sz w:val="24"/>
              </w:rPr>
            </w:pPr>
          </w:p>
          <w:p>
            <w:pPr>
              <w:spacing w:before="240"/>
              <w:rPr>
                <w:b/>
                <w:bCs/>
                <w:sz w:val="24"/>
              </w:rPr>
            </w:pPr>
          </w:p>
          <w:p>
            <w:pPr>
              <w:spacing w:before="240"/>
              <w:rPr>
                <w:b/>
                <w:bCs/>
                <w:sz w:val="24"/>
              </w:rPr>
            </w:pPr>
          </w:p>
          <w:p>
            <w:pPr>
              <w:spacing w:before="240"/>
              <w:rPr>
                <w:b/>
                <w:bCs/>
                <w:sz w:val="24"/>
              </w:rPr>
            </w:pPr>
          </w:p>
          <w:p>
            <w:pPr>
              <w:spacing w:before="240"/>
              <w:rPr>
                <w:b/>
                <w:bCs/>
                <w:sz w:val="24"/>
              </w:rPr>
            </w:pPr>
          </w:p>
          <w:p>
            <w:pPr>
              <w:spacing w:before="240"/>
              <w:rPr>
                <w:b/>
                <w:bCs/>
                <w:sz w:val="24"/>
              </w:rPr>
            </w:pPr>
          </w:p>
          <w:p>
            <w:pPr>
              <w:spacing w:before="240"/>
              <w:rPr>
                <w:b/>
                <w:bCs/>
                <w:sz w:val="24"/>
              </w:rPr>
            </w:pPr>
          </w:p>
          <w:p>
            <w:pPr>
              <w:spacing w:before="240"/>
              <w:rPr>
                <w:b/>
                <w:bCs/>
                <w:sz w:val="24"/>
              </w:rPr>
            </w:pPr>
          </w:p>
          <w:p>
            <w:pPr>
              <w:rPr>
                <w:b/>
                <w:bCs/>
                <w:sz w:val="24"/>
              </w:rPr>
            </w:pPr>
            <w:r>
              <w:rPr>
                <w:b/>
                <w:bCs/>
                <w:sz w:val="24"/>
              </w:rPr>
              <w:t xml:space="preserve">                                                   公  章</w:t>
            </w:r>
          </w:p>
          <w:p>
            <w:pPr>
              <w:rPr>
                <w:b/>
                <w:bCs/>
                <w:sz w:val="24"/>
              </w:rPr>
            </w:pPr>
          </w:p>
          <w:p>
            <w:pPr>
              <w:rPr>
                <w:b/>
                <w:bCs/>
                <w:sz w:val="24"/>
              </w:rPr>
            </w:pPr>
            <w:r>
              <w:rPr>
                <w:b/>
                <w:bCs/>
                <w:sz w:val="24"/>
              </w:rPr>
              <w:t>经办人：                                       年    月    日</w:t>
            </w:r>
          </w:p>
          <w:p>
            <w:pPr>
              <w:rPr>
                <w:b/>
                <w:bCs/>
                <w:sz w:val="24"/>
              </w:rPr>
            </w:pPr>
          </w:p>
          <w:p>
            <w:pPr>
              <w:rPr>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452" w:hRule="atLeast"/>
          <w:jc w:val="center"/>
        </w:trPr>
        <w:tc>
          <w:tcPr>
            <w:tcW w:w="9067" w:type="dxa"/>
            <w:gridSpan w:val="2"/>
          </w:tcPr>
          <w:p>
            <w:pPr>
              <w:rPr>
                <w:b/>
                <w:bCs/>
                <w:sz w:val="24"/>
              </w:rPr>
            </w:pPr>
            <w:r>
              <w:rPr>
                <w:b/>
                <w:bCs/>
                <w:sz w:val="24"/>
              </w:rPr>
              <w:t>审批意见：</w:t>
            </w: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r>
              <w:rPr>
                <w:b/>
                <w:bCs/>
                <w:sz w:val="24"/>
              </w:rPr>
              <w:t xml:space="preserve">                                                      公  章</w:t>
            </w:r>
          </w:p>
          <w:p>
            <w:pPr>
              <w:rPr>
                <w:b/>
                <w:bCs/>
                <w:sz w:val="24"/>
              </w:rPr>
            </w:pPr>
            <w:r>
              <w:rPr>
                <w:b/>
                <w:bCs/>
                <w:sz w:val="24"/>
              </w:rPr>
              <w:t xml:space="preserve">经办人：                               </w:t>
            </w:r>
          </w:p>
          <w:p>
            <w:pPr>
              <w:rPr>
                <w:b/>
                <w:bCs/>
                <w:sz w:val="24"/>
              </w:rPr>
            </w:pPr>
            <w:r>
              <w:rPr>
                <w:b/>
                <w:bCs/>
                <w:sz w:val="24"/>
              </w:rPr>
              <w:t xml:space="preserve">                                                 年    月   日</w:t>
            </w: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spacing w:line="520" w:lineRule="exact"/>
              <w:jc w:val="center"/>
              <w:rPr>
                <w:b/>
              </w:rPr>
            </w:pPr>
            <w:r>
              <w:rPr>
                <w:b/>
                <w:sz w:val="28"/>
                <w:szCs w:val="28"/>
              </w:rPr>
              <w:t>注       释</w:t>
            </w:r>
          </w:p>
          <w:p>
            <w:pPr>
              <w:spacing w:line="360" w:lineRule="auto"/>
              <w:ind w:firstLine="420" w:firstLineChars="200"/>
            </w:pPr>
          </w:p>
          <w:p>
            <w:pPr>
              <w:adjustRightInd w:val="0"/>
              <w:snapToGrid w:val="0"/>
              <w:spacing w:line="360" w:lineRule="auto"/>
              <w:ind w:firstLine="480"/>
            </w:pPr>
            <w:r>
              <w:rPr>
                <w:sz w:val="24"/>
              </w:rPr>
              <w:t>一、本报告表应附以下附件、附图：</w:t>
            </w:r>
          </w:p>
          <w:p>
            <w:pPr>
              <w:adjustRightInd w:val="0"/>
              <w:snapToGrid w:val="0"/>
              <w:spacing w:line="360" w:lineRule="auto"/>
              <w:ind w:firstLine="480"/>
            </w:pPr>
            <w:r>
              <w:rPr>
                <w:sz w:val="24"/>
              </w:rPr>
              <w:t>附图1、地理位置与交通图</w:t>
            </w:r>
          </w:p>
          <w:p>
            <w:pPr>
              <w:adjustRightInd w:val="0"/>
              <w:snapToGrid w:val="0"/>
              <w:spacing w:line="360" w:lineRule="auto"/>
              <w:ind w:firstLine="480"/>
            </w:pPr>
            <w:r>
              <w:rPr>
                <w:sz w:val="24"/>
              </w:rPr>
              <w:t>附图2、周边环境关系及环境现状监测点位图</w:t>
            </w:r>
          </w:p>
          <w:p>
            <w:pPr>
              <w:adjustRightInd w:val="0"/>
              <w:snapToGrid w:val="0"/>
              <w:spacing w:line="360" w:lineRule="auto"/>
              <w:ind w:firstLine="480"/>
            </w:pPr>
            <w:r>
              <w:rPr>
                <w:sz w:val="24"/>
              </w:rPr>
              <w:t>附图3、平面布置示意图</w:t>
            </w:r>
          </w:p>
          <w:p>
            <w:pPr>
              <w:adjustRightInd w:val="0"/>
              <w:snapToGrid w:val="0"/>
              <w:spacing w:line="360" w:lineRule="auto"/>
              <w:ind w:firstLine="480" w:firstLineChars="200"/>
            </w:pPr>
            <w:r>
              <w:rPr>
                <w:sz w:val="24"/>
              </w:rPr>
              <w:t>附图4、环境保护目标图</w:t>
            </w:r>
          </w:p>
          <w:p>
            <w:pPr>
              <w:adjustRightInd w:val="0"/>
              <w:snapToGrid w:val="0"/>
              <w:spacing w:line="360" w:lineRule="auto"/>
              <w:ind w:firstLine="480" w:firstLineChars="200"/>
            </w:pPr>
            <w:r>
              <w:rPr>
                <w:sz w:val="24"/>
              </w:rPr>
              <w:t>附件1、委托书</w:t>
            </w:r>
          </w:p>
          <w:p>
            <w:pPr>
              <w:adjustRightInd w:val="0"/>
              <w:snapToGrid w:val="0"/>
              <w:spacing w:line="360" w:lineRule="auto"/>
              <w:ind w:firstLine="480" w:firstLineChars="200"/>
            </w:pPr>
            <w:r>
              <w:rPr>
                <w:sz w:val="24"/>
              </w:rPr>
              <w:t>附件2、</w:t>
            </w:r>
            <w:r>
              <w:rPr>
                <w:rFonts w:hint="eastAsia"/>
                <w:sz w:val="24"/>
              </w:rPr>
              <w:t>执行标准</w:t>
            </w:r>
          </w:p>
          <w:p>
            <w:pPr>
              <w:adjustRightInd w:val="0"/>
              <w:snapToGrid w:val="0"/>
              <w:spacing w:line="360" w:lineRule="auto"/>
              <w:ind w:firstLine="480" w:firstLineChars="200"/>
            </w:pPr>
            <w:r>
              <w:rPr>
                <w:sz w:val="24"/>
              </w:rPr>
              <w:t>附表、审批基础信息表</w:t>
            </w:r>
          </w:p>
          <w:p>
            <w:pPr>
              <w:spacing w:line="360" w:lineRule="auto"/>
            </w:pPr>
            <w:r>
              <w:rPr>
                <w:sz w:val="24"/>
              </w:rPr>
              <w:t xml:space="preserve">    二、如果本报告表不能说明项目产生的污染及对环境造成的影响，应进行专项评价。根据建设项目的特点和当地环境特征，应选下列1~2项进行专项评价。</w:t>
            </w:r>
          </w:p>
          <w:p>
            <w:pPr>
              <w:spacing w:line="360" w:lineRule="auto"/>
              <w:ind w:firstLine="480" w:firstLineChars="200"/>
            </w:pPr>
            <w:r>
              <w:rPr>
                <w:sz w:val="24"/>
              </w:rPr>
              <w:t>1、大气环境影响专项评价</w:t>
            </w:r>
          </w:p>
          <w:p>
            <w:pPr>
              <w:spacing w:line="360" w:lineRule="auto"/>
            </w:pPr>
            <w:r>
              <w:rPr>
                <w:sz w:val="24"/>
              </w:rPr>
              <w:t xml:space="preserve">    2、水环境影响专项评价</w:t>
            </w:r>
          </w:p>
          <w:p>
            <w:pPr>
              <w:spacing w:line="360" w:lineRule="auto"/>
            </w:pPr>
            <w:r>
              <w:rPr>
                <w:sz w:val="24"/>
              </w:rPr>
              <w:t xml:space="preserve">    3、生态环境影响专项评价</w:t>
            </w:r>
          </w:p>
          <w:p>
            <w:pPr>
              <w:spacing w:line="360" w:lineRule="auto"/>
            </w:pPr>
            <w:r>
              <w:rPr>
                <w:sz w:val="24"/>
              </w:rPr>
              <w:t xml:space="preserve">    4、声影响专项评价</w:t>
            </w:r>
          </w:p>
          <w:p>
            <w:pPr>
              <w:spacing w:line="360" w:lineRule="auto"/>
              <w:ind w:firstLine="480"/>
              <w:rPr>
                <w:sz w:val="24"/>
              </w:rPr>
            </w:pPr>
            <w:r>
              <w:rPr>
                <w:sz w:val="24"/>
              </w:rPr>
              <w:t>5、固体废弃物影响专项评价</w:t>
            </w:r>
          </w:p>
          <w:p>
            <w:pPr>
              <w:spacing w:line="360" w:lineRule="auto"/>
              <w:ind w:firstLine="480"/>
              <w:rPr>
                <w:sz w:val="24"/>
              </w:rPr>
            </w:pPr>
            <w:r>
              <w:rPr>
                <w:sz w:val="24"/>
              </w:rPr>
              <w:t>6、环境风险专项评价</w:t>
            </w:r>
          </w:p>
          <w:p>
            <w:pPr>
              <w:spacing w:line="360" w:lineRule="auto"/>
              <w:ind w:firstLine="480" w:firstLineChars="200"/>
            </w:pPr>
            <w:r>
              <w:rPr>
                <w:sz w:val="24"/>
              </w:rPr>
              <w:t>以上专项评价未包括的可另列专项，专项评价按照《环境影响评价技术导则》中的要求进行。</w:t>
            </w:r>
          </w:p>
          <w:p>
            <w:pPr>
              <w:rPr>
                <w:b/>
                <w:bCs/>
                <w:sz w:val="24"/>
              </w:rPr>
            </w:pPr>
          </w:p>
        </w:tc>
      </w:tr>
    </w:tbl>
    <w:p>
      <w:pPr>
        <w:jc w:val="center"/>
      </w:pPr>
    </w:p>
    <w:sectPr>
      <w:footerReference r:id="rId10" w:type="default"/>
      <w:pgSz w:w="11906" w:h="16838"/>
      <w:pgMar w:top="1440" w:right="1440" w:bottom="1440" w:left="1440" w:header="851" w:footer="113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480"/>
      <w:jc w:val="center"/>
      <w:rPr>
        <w:sz w:val="21"/>
        <w:szCs w:val="21"/>
      </w:rPr>
    </w:pPr>
    <w:r>
      <w:rPr>
        <w:rFonts w:hint="eastAsia"/>
        <w:sz w:val="21"/>
        <w:szCs w:val="21"/>
      </w:rPr>
      <w:t>~</w:t>
    </w:r>
    <w:r>
      <w:rPr>
        <w:sz w:val="21"/>
        <w:szCs w:val="21"/>
      </w:rPr>
      <w:t xml:space="preserve"> </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r>
      <w:rPr>
        <w:rFonts w:hint="eastAsia"/>
        <w:sz w:val="21"/>
        <w:szCs w:val="21"/>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480"/>
      <w:jc w:val="center"/>
      <w:rPr>
        <w:sz w:val="21"/>
        <w:szCs w:val="21"/>
      </w:rPr>
    </w:pPr>
    <w:r>
      <w:rPr>
        <w:rFonts w:hint="eastAsia"/>
        <w:sz w:val="21"/>
        <w:szCs w:val="21"/>
      </w:rPr>
      <w:t>~</w:t>
    </w:r>
    <w:r>
      <w:rPr>
        <w:sz w:val="21"/>
        <w:szCs w:val="21"/>
      </w:rPr>
      <w:t xml:space="preserve"> </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50</w:t>
    </w:r>
    <w:r>
      <w:rPr>
        <w:sz w:val="21"/>
        <w:szCs w:val="21"/>
      </w:rPr>
      <w:fldChar w:fldCharType="end"/>
    </w:r>
    <w:r>
      <w:rPr>
        <w:rFonts w:hint="eastAsia"/>
        <w:sz w:val="21"/>
        <w:szCs w:val="21"/>
      </w:rPr>
      <w:t>~</w:t>
    </w:r>
  </w:p>
  <w:p>
    <w:pPr>
      <w:pStyle w:val="23"/>
      <w:tabs>
        <w:tab w:val="center" w:pos="436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14C"/>
    <w:rsid w:val="00000624"/>
    <w:rsid w:val="00000C49"/>
    <w:rsid w:val="00001142"/>
    <w:rsid w:val="000019E7"/>
    <w:rsid w:val="00001FD0"/>
    <w:rsid w:val="00001FF0"/>
    <w:rsid w:val="00002525"/>
    <w:rsid w:val="00002540"/>
    <w:rsid w:val="00003F05"/>
    <w:rsid w:val="0000410C"/>
    <w:rsid w:val="000041EC"/>
    <w:rsid w:val="00004E7C"/>
    <w:rsid w:val="000054D4"/>
    <w:rsid w:val="00005B25"/>
    <w:rsid w:val="00005F78"/>
    <w:rsid w:val="00006896"/>
    <w:rsid w:val="00006A0E"/>
    <w:rsid w:val="00006EF4"/>
    <w:rsid w:val="000076B1"/>
    <w:rsid w:val="0000774F"/>
    <w:rsid w:val="00007778"/>
    <w:rsid w:val="00007851"/>
    <w:rsid w:val="00007926"/>
    <w:rsid w:val="00007AD3"/>
    <w:rsid w:val="00007FC8"/>
    <w:rsid w:val="0001008D"/>
    <w:rsid w:val="00010715"/>
    <w:rsid w:val="00010FB8"/>
    <w:rsid w:val="0001101F"/>
    <w:rsid w:val="00011312"/>
    <w:rsid w:val="0001168B"/>
    <w:rsid w:val="00011DE7"/>
    <w:rsid w:val="00011FD5"/>
    <w:rsid w:val="00012A0C"/>
    <w:rsid w:val="00012CA0"/>
    <w:rsid w:val="00013257"/>
    <w:rsid w:val="00013C9D"/>
    <w:rsid w:val="00013DE4"/>
    <w:rsid w:val="00013E18"/>
    <w:rsid w:val="00013E44"/>
    <w:rsid w:val="00014073"/>
    <w:rsid w:val="00014F8E"/>
    <w:rsid w:val="00015AD7"/>
    <w:rsid w:val="000160CC"/>
    <w:rsid w:val="00016750"/>
    <w:rsid w:val="00016FA7"/>
    <w:rsid w:val="0001745B"/>
    <w:rsid w:val="00017EAE"/>
    <w:rsid w:val="000203DF"/>
    <w:rsid w:val="000204E8"/>
    <w:rsid w:val="00020816"/>
    <w:rsid w:val="00020BB1"/>
    <w:rsid w:val="00020E66"/>
    <w:rsid w:val="00021D1B"/>
    <w:rsid w:val="00021F3E"/>
    <w:rsid w:val="00022804"/>
    <w:rsid w:val="000229CD"/>
    <w:rsid w:val="000242C5"/>
    <w:rsid w:val="00024F10"/>
    <w:rsid w:val="00025BCE"/>
    <w:rsid w:val="00025C80"/>
    <w:rsid w:val="00025E3C"/>
    <w:rsid w:val="0002607C"/>
    <w:rsid w:val="00027384"/>
    <w:rsid w:val="000279E7"/>
    <w:rsid w:val="00027A0A"/>
    <w:rsid w:val="00027E81"/>
    <w:rsid w:val="00030096"/>
    <w:rsid w:val="00030685"/>
    <w:rsid w:val="00030C13"/>
    <w:rsid w:val="000314FC"/>
    <w:rsid w:val="0003162F"/>
    <w:rsid w:val="000318C1"/>
    <w:rsid w:val="0003193F"/>
    <w:rsid w:val="0003210A"/>
    <w:rsid w:val="00032307"/>
    <w:rsid w:val="000329F1"/>
    <w:rsid w:val="00033339"/>
    <w:rsid w:val="00033D3C"/>
    <w:rsid w:val="00033F33"/>
    <w:rsid w:val="0003480E"/>
    <w:rsid w:val="000352F0"/>
    <w:rsid w:val="00035602"/>
    <w:rsid w:val="00035C26"/>
    <w:rsid w:val="00036209"/>
    <w:rsid w:val="0003715A"/>
    <w:rsid w:val="00037426"/>
    <w:rsid w:val="00037BD9"/>
    <w:rsid w:val="00037E54"/>
    <w:rsid w:val="00040DD8"/>
    <w:rsid w:val="00040F88"/>
    <w:rsid w:val="0004166C"/>
    <w:rsid w:val="0004186A"/>
    <w:rsid w:val="00041A1E"/>
    <w:rsid w:val="00041A58"/>
    <w:rsid w:val="00041C85"/>
    <w:rsid w:val="00041FBD"/>
    <w:rsid w:val="0004237F"/>
    <w:rsid w:val="00042838"/>
    <w:rsid w:val="00042958"/>
    <w:rsid w:val="00042F59"/>
    <w:rsid w:val="000436FD"/>
    <w:rsid w:val="000442B0"/>
    <w:rsid w:val="00044B89"/>
    <w:rsid w:val="00044D6F"/>
    <w:rsid w:val="00045850"/>
    <w:rsid w:val="00045F59"/>
    <w:rsid w:val="000463D6"/>
    <w:rsid w:val="00046C3A"/>
    <w:rsid w:val="00046DB2"/>
    <w:rsid w:val="00046DEA"/>
    <w:rsid w:val="000472E1"/>
    <w:rsid w:val="000473B2"/>
    <w:rsid w:val="00047A7E"/>
    <w:rsid w:val="000502DE"/>
    <w:rsid w:val="0005070C"/>
    <w:rsid w:val="0005178A"/>
    <w:rsid w:val="00051839"/>
    <w:rsid w:val="00051866"/>
    <w:rsid w:val="00051D7C"/>
    <w:rsid w:val="00051F0F"/>
    <w:rsid w:val="000525C6"/>
    <w:rsid w:val="0005268F"/>
    <w:rsid w:val="00052756"/>
    <w:rsid w:val="00052DF1"/>
    <w:rsid w:val="000532BB"/>
    <w:rsid w:val="0005350A"/>
    <w:rsid w:val="000537F9"/>
    <w:rsid w:val="00053C32"/>
    <w:rsid w:val="00054339"/>
    <w:rsid w:val="00054B61"/>
    <w:rsid w:val="0005560D"/>
    <w:rsid w:val="0005565C"/>
    <w:rsid w:val="00055AA6"/>
    <w:rsid w:val="00056303"/>
    <w:rsid w:val="00056D9B"/>
    <w:rsid w:val="00056FEB"/>
    <w:rsid w:val="000571FE"/>
    <w:rsid w:val="00057203"/>
    <w:rsid w:val="0006074D"/>
    <w:rsid w:val="00060BA5"/>
    <w:rsid w:val="00060D17"/>
    <w:rsid w:val="00061064"/>
    <w:rsid w:val="00061366"/>
    <w:rsid w:val="00061430"/>
    <w:rsid w:val="00061578"/>
    <w:rsid w:val="00061728"/>
    <w:rsid w:val="000618EB"/>
    <w:rsid w:val="000624A6"/>
    <w:rsid w:val="000633C9"/>
    <w:rsid w:val="000638FE"/>
    <w:rsid w:val="000639B6"/>
    <w:rsid w:val="00064372"/>
    <w:rsid w:val="000644D6"/>
    <w:rsid w:val="00064974"/>
    <w:rsid w:val="00064C54"/>
    <w:rsid w:val="00065374"/>
    <w:rsid w:val="0006575F"/>
    <w:rsid w:val="00065A43"/>
    <w:rsid w:val="00065D0D"/>
    <w:rsid w:val="000661F1"/>
    <w:rsid w:val="0006637D"/>
    <w:rsid w:val="000675D0"/>
    <w:rsid w:val="00067CB2"/>
    <w:rsid w:val="00070205"/>
    <w:rsid w:val="00070875"/>
    <w:rsid w:val="00070B6C"/>
    <w:rsid w:val="00070F02"/>
    <w:rsid w:val="00071325"/>
    <w:rsid w:val="0007171B"/>
    <w:rsid w:val="00071867"/>
    <w:rsid w:val="00071DE1"/>
    <w:rsid w:val="0007215A"/>
    <w:rsid w:val="00072BB8"/>
    <w:rsid w:val="00072CA2"/>
    <w:rsid w:val="00072FF1"/>
    <w:rsid w:val="00073120"/>
    <w:rsid w:val="000735D8"/>
    <w:rsid w:val="00073734"/>
    <w:rsid w:val="000737B5"/>
    <w:rsid w:val="00074A58"/>
    <w:rsid w:val="00074F3A"/>
    <w:rsid w:val="0007518E"/>
    <w:rsid w:val="000752B5"/>
    <w:rsid w:val="00075CE2"/>
    <w:rsid w:val="00076054"/>
    <w:rsid w:val="00076348"/>
    <w:rsid w:val="000765BD"/>
    <w:rsid w:val="00076C7F"/>
    <w:rsid w:val="00076FE1"/>
    <w:rsid w:val="00077AF2"/>
    <w:rsid w:val="00077D38"/>
    <w:rsid w:val="00080B25"/>
    <w:rsid w:val="00081240"/>
    <w:rsid w:val="000817FF"/>
    <w:rsid w:val="00081A3E"/>
    <w:rsid w:val="00081C59"/>
    <w:rsid w:val="000827C5"/>
    <w:rsid w:val="00082A7E"/>
    <w:rsid w:val="00082CB4"/>
    <w:rsid w:val="00083C37"/>
    <w:rsid w:val="000848D0"/>
    <w:rsid w:val="00084BAD"/>
    <w:rsid w:val="0008536A"/>
    <w:rsid w:val="00085896"/>
    <w:rsid w:val="00086341"/>
    <w:rsid w:val="00086657"/>
    <w:rsid w:val="00086970"/>
    <w:rsid w:val="00086DDE"/>
    <w:rsid w:val="000878CB"/>
    <w:rsid w:val="0008796D"/>
    <w:rsid w:val="00087B12"/>
    <w:rsid w:val="00087B76"/>
    <w:rsid w:val="00090043"/>
    <w:rsid w:val="000900E9"/>
    <w:rsid w:val="0009061D"/>
    <w:rsid w:val="00090802"/>
    <w:rsid w:val="00090903"/>
    <w:rsid w:val="00090B49"/>
    <w:rsid w:val="000915F5"/>
    <w:rsid w:val="000919AF"/>
    <w:rsid w:val="00092196"/>
    <w:rsid w:val="00092C0B"/>
    <w:rsid w:val="00092CA2"/>
    <w:rsid w:val="00093311"/>
    <w:rsid w:val="000935EA"/>
    <w:rsid w:val="000936A4"/>
    <w:rsid w:val="000936E4"/>
    <w:rsid w:val="00093B50"/>
    <w:rsid w:val="00093BE6"/>
    <w:rsid w:val="000943A7"/>
    <w:rsid w:val="00094EBA"/>
    <w:rsid w:val="00094F9A"/>
    <w:rsid w:val="0009511A"/>
    <w:rsid w:val="000955B1"/>
    <w:rsid w:val="00095B29"/>
    <w:rsid w:val="00095D81"/>
    <w:rsid w:val="00096193"/>
    <w:rsid w:val="000963E5"/>
    <w:rsid w:val="00096608"/>
    <w:rsid w:val="00096DD8"/>
    <w:rsid w:val="0009718B"/>
    <w:rsid w:val="000974CF"/>
    <w:rsid w:val="000975E6"/>
    <w:rsid w:val="00097982"/>
    <w:rsid w:val="00097AB2"/>
    <w:rsid w:val="00097B24"/>
    <w:rsid w:val="00097FAB"/>
    <w:rsid w:val="000A07D2"/>
    <w:rsid w:val="000A086F"/>
    <w:rsid w:val="000A08E0"/>
    <w:rsid w:val="000A0DDD"/>
    <w:rsid w:val="000A0E8F"/>
    <w:rsid w:val="000A12CC"/>
    <w:rsid w:val="000A1968"/>
    <w:rsid w:val="000A2969"/>
    <w:rsid w:val="000A2B2D"/>
    <w:rsid w:val="000A2D4E"/>
    <w:rsid w:val="000A318F"/>
    <w:rsid w:val="000A31CC"/>
    <w:rsid w:val="000A323F"/>
    <w:rsid w:val="000A3ABD"/>
    <w:rsid w:val="000A419F"/>
    <w:rsid w:val="000A41CB"/>
    <w:rsid w:val="000A43FE"/>
    <w:rsid w:val="000A456F"/>
    <w:rsid w:val="000A5780"/>
    <w:rsid w:val="000A5C91"/>
    <w:rsid w:val="000A6049"/>
    <w:rsid w:val="000A604F"/>
    <w:rsid w:val="000A6BDE"/>
    <w:rsid w:val="000A6CE0"/>
    <w:rsid w:val="000A719F"/>
    <w:rsid w:val="000A7204"/>
    <w:rsid w:val="000A734C"/>
    <w:rsid w:val="000A74DC"/>
    <w:rsid w:val="000A76D3"/>
    <w:rsid w:val="000A7D90"/>
    <w:rsid w:val="000B0CF0"/>
    <w:rsid w:val="000B0FF2"/>
    <w:rsid w:val="000B100F"/>
    <w:rsid w:val="000B1A3B"/>
    <w:rsid w:val="000B1A4B"/>
    <w:rsid w:val="000B1ECC"/>
    <w:rsid w:val="000B1EFD"/>
    <w:rsid w:val="000B1F95"/>
    <w:rsid w:val="000B21A2"/>
    <w:rsid w:val="000B2299"/>
    <w:rsid w:val="000B2481"/>
    <w:rsid w:val="000B2F36"/>
    <w:rsid w:val="000B2FE4"/>
    <w:rsid w:val="000B32B1"/>
    <w:rsid w:val="000B3F51"/>
    <w:rsid w:val="000B412A"/>
    <w:rsid w:val="000B4E73"/>
    <w:rsid w:val="000B4EE4"/>
    <w:rsid w:val="000B500D"/>
    <w:rsid w:val="000B5491"/>
    <w:rsid w:val="000B5C56"/>
    <w:rsid w:val="000B6DD9"/>
    <w:rsid w:val="000B7686"/>
    <w:rsid w:val="000B7812"/>
    <w:rsid w:val="000B7E80"/>
    <w:rsid w:val="000C088C"/>
    <w:rsid w:val="000C09BD"/>
    <w:rsid w:val="000C0D7E"/>
    <w:rsid w:val="000C0F46"/>
    <w:rsid w:val="000C1271"/>
    <w:rsid w:val="000C1418"/>
    <w:rsid w:val="000C1B6D"/>
    <w:rsid w:val="000C1DC7"/>
    <w:rsid w:val="000C1E7E"/>
    <w:rsid w:val="000C2146"/>
    <w:rsid w:val="000C26FF"/>
    <w:rsid w:val="000C271A"/>
    <w:rsid w:val="000C31F7"/>
    <w:rsid w:val="000C3FDA"/>
    <w:rsid w:val="000C4551"/>
    <w:rsid w:val="000C4BB4"/>
    <w:rsid w:val="000C4C3E"/>
    <w:rsid w:val="000C4D59"/>
    <w:rsid w:val="000C5007"/>
    <w:rsid w:val="000C5D2B"/>
    <w:rsid w:val="000C5D49"/>
    <w:rsid w:val="000C6D6D"/>
    <w:rsid w:val="000C6DCD"/>
    <w:rsid w:val="000C72B9"/>
    <w:rsid w:val="000D0633"/>
    <w:rsid w:val="000D10A8"/>
    <w:rsid w:val="000D2010"/>
    <w:rsid w:val="000D230D"/>
    <w:rsid w:val="000D2472"/>
    <w:rsid w:val="000D2761"/>
    <w:rsid w:val="000D3E1C"/>
    <w:rsid w:val="000D434B"/>
    <w:rsid w:val="000D499B"/>
    <w:rsid w:val="000D5B60"/>
    <w:rsid w:val="000D611E"/>
    <w:rsid w:val="000D613A"/>
    <w:rsid w:val="000D653A"/>
    <w:rsid w:val="000D6A1A"/>
    <w:rsid w:val="000D6F36"/>
    <w:rsid w:val="000D71FB"/>
    <w:rsid w:val="000D7486"/>
    <w:rsid w:val="000D790C"/>
    <w:rsid w:val="000D7DD1"/>
    <w:rsid w:val="000E00DA"/>
    <w:rsid w:val="000E024C"/>
    <w:rsid w:val="000E0286"/>
    <w:rsid w:val="000E09C6"/>
    <w:rsid w:val="000E1428"/>
    <w:rsid w:val="000E1647"/>
    <w:rsid w:val="000E189B"/>
    <w:rsid w:val="000E1CB1"/>
    <w:rsid w:val="000E2504"/>
    <w:rsid w:val="000E2564"/>
    <w:rsid w:val="000E25C7"/>
    <w:rsid w:val="000E2718"/>
    <w:rsid w:val="000E2F06"/>
    <w:rsid w:val="000E2F54"/>
    <w:rsid w:val="000E2FA0"/>
    <w:rsid w:val="000E350A"/>
    <w:rsid w:val="000E39C3"/>
    <w:rsid w:val="000E3E23"/>
    <w:rsid w:val="000E40A5"/>
    <w:rsid w:val="000E41AA"/>
    <w:rsid w:val="000E5026"/>
    <w:rsid w:val="000E5C9D"/>
    <w:rsid w:val="000E6650"/>
    <w:rsid w:val="000E6CF1"/>
    <w:rsid w:val="000E6E87"/>
    <w:rsid w:val="000E728A"/>
    <w:rsid w:val="000E75A1"/>
    <w:rsid w:val="000F0187"/>
    <w:rsid w:val="000F03C8"/>
    <w:rsid w:val="000F049A"/>
    <w:rsid w:val="000F1609"/>
    <w:rsid w:val="000F19DD"/>
    <w:rsid w:val="000F1E32"/>
    <w:rsid w:val="000F2344"/>
    <w:rsid w:val="000F2BD1"/>
    <w:rsid w:val="000F3BF2"/>
    <w:rsid w:val="000F3D4A"/>
    <w:rsid w:val="000F40EA"/>
    <w:rsid w:val="000F41C2"/>
    <w:rsid w:val="000F5285"/>
    <w:rsid w:val="000F588A"/>
    <w:rsid w:val="000F5934"/>
    <w:rsid w:val="000F5F2C"/>
    <w:rsid w:val="000F652C"/>
    <w:rsid w:val="000F6853"/>
    <w:rsid w:val="000F700C"/>
    <w:rsid w:val="000F7326"/>
    <w:rsid w:val="000F76F8"/>
    <w:rsid w:val="000F7CBD"/>
    <w:rsid w:val="001001D4"/>
    <w:rsid w:val="0010027E"/>
    <w:rsid w:val="00100368"/>
    <w:rsid w:val="00100A37"/>
    <w:rsid w:val="00101A28"/>
    <w:rsid w:val="00101CAF"/>
    <w:rsid w:val="001024D1"/>
    <w:rsid w:val="0010273C"/>
    <w:rsid w:val="00102AB9"/>
    <w:rsid w:val="00102B6F"/>
    <w:rsid w:val="00103160"/>
    <w:rsid w:val="00103D6D"/>
    <w:rsid w:val="0010442F"/>
    <w:rsid w:val="001046F4"/>
    <w:rsid w:val="001058A2"/>
    <w:rsid w:val="00105DB1"/>
    <w:rsid w:val="001060E9"/>
    <w:rsid w:val="00106514"/>
    <w:rsid w:val="001065E3"/>
    <w:rsid w:val="0010685C"/>
    <w:rsid w:val="00106DEE"/>
    <w:rsid w:val="00107349"/>
    <w:rsid w:val="0010789C"/>
    <w:rsid w:val="00107FAE"/>
    <w:rsid w:val="001100F6"/>
    <w:rsid w:val="0011042C"/>
    <w:rsid w:val="001116EC"/>
    <w:rsid w:val="00111AD2"/>
    <w:rsid w:val="00112626"/>
    <w:rsid w:val="00113EE0"/>
    <w:rsid w:val="001142D0"/>
    <w:rsid w:val="00114481"/>
    <w:rsid w:val="00114C3F"/>
    <w:rsid w:val="001150EE"/>
    <w:rsid w:val="00115114"/>
    <w:rsid w:val="0011540F"/>
    <w:rsid w:val="0011556C"/>
    <w:rsid w:val="001170D7"/>
    <w:rsid w:val="00117D75"/>
    <w:rsid w:val="00117F76"/>
    <w:rsid w:val="001204A6"/>
    <w:rsid w:val="00120CC6"/>
    <w:rsid w:val="00121084"/>
    <w:rsid w:val="0012154E"/>
    <w:rsid w:val="00121AF5"/>
    <w:rsid w:val="00121C19"/>
    <w:rsid w:val="0012206E"/>
    <w:rsid w:val="00122E07"/>
    <w:rsid w:val="0012398C"/>
    <w:rsid w:val="00123EB3"/>
    <w:rsid w:val="00124948"/>
    <w:rsid w:val="00124D01"/>
    <w:rsid w:val="00124E97"/>
    <w:rsid w:val="0012540C"/>
    <w:rsid w:val="00125F58"/>
    <w:rsid w:val="00126032"/>
    <w:rsid w:val="00126252"/>
    <w:rsid w:val="00126B24"/>
    <w:rsid w:val="0012714D"/>
    <w:rsid w:val="001272A1"/>
    <w:rsid w:val="00127CEC"/>
    <w:rsid w:val="00130272"/>
    <w:rsid w:val="00130FFD"/>
    <w:rsid w:val="00131003"/>
    <w:rsid w:val="001310FD"/>
    <w:rsid w:val="0013169E"/>
    <w:rsid w:val="0013177F"/>
    <w:rsid w:val="0013182B"/>
    <w:rsid w:val="0013189D"/>
    <w:rsid w:val="001319CA"/>
    <w:rsid w:val="0013201C"/>
    <w:rsid w:val="001323D5"/>
    <w:rsid w:val="00132DCC"/>
    <w:rsid w:val="00132EBC"/>
    <w:rsid w:val="001337EC"/>
    <w:rsid w:val="00133B22"/>
    <w:rsid w:val="00133B7F"/>
    <w:rsid w:val="00133C53"/>
    <w:rsid w:val="0013403A"/>
    <w:rsid w:val="00135685"/>
    <w:rsid w:val="00135B2E"/>
    <w:rsid w:val="00135C57"/>
    <w:rsid w:val="00135DDB"/>
    <w:rsid w:val="00135E3D"/>
    <w:rsid w:val="001361A8"/>
    <w:rsid w:val="00136269"/>
    <w:rsid w:val="00137150"/>
    <w:rsid w:val="001373AE"/>
    <w:rsid w:val="001375DD"/>
    <w:rsid w:val="00137689"/>
    <w:rsid w:val="00137D29"/>
    <w:rsid w:val="00137D97"/>
    <w:rsid w:val="0014011C"/>
    <w:rsid w:val="0014035D"/>
    <w:rsid w:val="00140BEB"/>
    <w:rsid w:val="00142830"/>
    <w:rsid w:val="001430A3"/>
    <w:rsid w:val="001431F4"/>
    <w:rsid w:val="00143D82"/>
    <w:rsid w:val="00143DB0"/>
    <w:rsid w:val="00144219"/>
    <w:rsid w:val="00144369"/>
    <w:rsid w:val="001445AB"/>
    <w:rsid w:val="00144A03"/>
    <w:rsid w:val="00144AE9"/>
    <w:rsid w:val="00145D07"/>
    <w:rsid w:val="001461C2"/>
    <w:rsid w:val="001467AB"/>
    <w:rsid w:val="00147E0B"/>
    <w:rsid w:val="00150B86"/>
    <w:rsid w:val="00150D45"/>
    <w:rsid w:val="001517E1"/>
    <w:rsid w:val="001520CA"/>
    <w:rsid w:val="00152203"/>
    <w:rsid w:val="00152CD9"/>
    <w:rsid w:val="00153910"/>
    <w:rsid w:val="00153B98"/>
    <w:rsid w:val="001548B4"/>
    <w:rsid w:val="001553D8"/>
    <w:rsid w:val="00155E92"/>
    <w:rsid w:val="00156232"/>
    <w:rsid w:val="001562B8"/>
    <w:rsid w:val="0015635A"/>
    <w:rsid w:val="001564D5"/>
    <w:rsid w:val="001569EB"/>
    <w:rsid w:val="00157EC9"/>
    <w:rsid w:val="00157F24"/>
    <w:rsid w:val="00157FCD"/>
    <w:rsid w:val="00160229"/>
    <w:rsid w:val="001603D8"/>
    <w:rsid w:val="001603F3"/>
    <w:rsid w:val="00160B45"/>
    <w:rsid w:val="00160E8E"/>
    <w:rsid w:val="00160EAF"/>
    <w:rsid w:val="00161198"/>
    <w:rsid w:val="00161E56"/>
    <w:rsid w:val="001621D3"/>
    <w:rsid w:val="00162469"/>
    <w:rsid w:val="001625D9"/>
    <w:rsid w:val="00162722"/>
    <w:rsid w:val="001629B9"/>
    <w:rsid w:val="00162ADA"/>
    <w:rsid w:val="00162D31"/>
    <w:rsid w:val="00162E10"/>
    <w:rsid w:val="00162EC7"/>
    <w:rsid w:val="00162EDF"/>
    <w:rsid w:val="001630B2"/>
    <w:rsid w:val="001631FE"/>
    <w:rsid w:val="00163564"/>
    <w:rsid w:val="001638AC"/>
    <w:rsid w:val="00164B42"/>
    <w:rsid w:val="00166171"/>
    <w:rsid w:val="001662D1"/>
    <w:rsid w:val="0016669B"/>
    <w:rsid w:val="0016692F"/>
    <w:rsid w:val="001671AA"/>
    <w:rsid w:val="00167A8E"/>
    <w:rsid w:val="00167E1B"/>
    <w:rsid w:val="00170087"/>
    <w:rsid w:val="001707A6"/>
    <w:rsid w:val="00170BC3"/>
    <w:rsid w:val="0017203E"/>
    <w:rsid w:val="00172A27"/>
    <w:rsid w:val="00172D1B"/>
    <w:rsid w:val="0017309F"/>
    <w:rsid w:val="00173247"/>
    <w:rsid w:val="00173306"/>
    <w:rsid w:val="00173428"/>
    <w:rsid w:val="001735FA"/>
    <w:rsid w:val="001744C3"/>
    <w:rsid w:val="001750A3"/>
    <w:rsid w:val="0017557E"/>
    <w:rsid w:val="0017575C"/>
    <w:rsid w:val="001757F2"/>
    <w:rsid w:val="00175A2A"/>
    <w:rsid w:val="00175D42"/>
    <w:rsid w:val="00176157"/>
    <w:rsid w:val="001762E7"/>
    <w:rsid w:val="00176939"/>
    <w:rsid w:val="0017720A"/>
    <w:rsid w:val="00177B98"/>
    <w:rsid w:val="00177F57"/>
    <w:rsid w:val="00177F88"/>
    <w:rsid w:val="00180240"/>
    <w:rsid w:val="00180331"/>
    <w:rsid w:val="00180709"/>
    <w:rsid w:val="00180A79"/>
    <w:rsid w:val="00180F68"/>
    <w:rsid w:val="001810D7"/>
    <w:rsid w:val="001812C8"/>
    <w:rsid w:val="00182095"/>
    <w:rsid w:val="00182298"/>
    <w:rsid w:val="0018236D"/>
    <w:rsid w:val="00182867"/>
    <w:rsid w:val="00182FFB"/>
    <w:rsid w:val="001831EC"/>
    <w:rsid w:val="001835BD"/>
    <w:rsid w:val="00183CAA"/>
    <w:rsid w:val="00183DDE"/>
    <w:rsid w:val="00183FB3"/>
    <w:rsid w:val="00184351"/>
    <w:rsid w:val="001844CD"/>
    <w:rsid w:val="001848C7"/>
    <w:rsid w:val="00184979"/>
    <w:rsid w:val="00184EBE"/>
    <w:rsid w:val="001851A9"/>
    <w:rsid w:val="00185A29"/>
    <w:rsid w:val="00185D70"/>
    <w:rsid w:val="00186A10"/>
    <w:rsid w:val="00186C50"/>
    <w:rsid w:val="00186CD6"/>
    <w:rsid w:val="00187845"/>
    <w:rsid w:val="00187988"/>
    <w:rsid w:val="00187A22"/>
    <w:rsid w:val="00187C3E"/>
    <w:rsid w:val="001904B4"/>
    <w:rsid w:val="0019076E"/>
    <w:rsid w:val="0019079D"/>
    <w:rsid w:val="0019114B"/>
    <w:rsid w:val="001915FB"/>
    <w:rsid w:val="0019229A"/>
    <w:rsid w:val="00192A14"/>
    <w:rsid w:val="00193120"/>
    <w:rsid w:val="001932EC"/>
    <w:rsid w:val="0019376D"/>
    <w:rsid w:val="00193A77"/>
    <w:rsid w:val="00193AF4"/>
    <w:rsid w:val="00193E58"/>
    <w:rsid w:val="00193EF6"/>
    <w:rsid w:val="001944C2"/>
    <w:rsid w:val="0019484C"/>
    <w:rsid w:val="00194EB4"/>
    <w:rsid w:val="0019516D"/>
    <w:rsid w:val="0019521A"/>
    <w:rsid w:val="00195B21"/>
    <w:rsid w:val="00195F77"/>
    <w:rsid w:val="00196452"/>
    <w:rsid w:val="00196C79"/>
    <w:rsid w:val="0019732C"/>
    <w:rsid w:val="001978FA"/>
    <w:rsid w:val="001A006E"/>
    <w:rsid w:val="001A03B0"/>
    <w:rsid w:val="001A0A9A"/>
    <w:rsid w:val="001A1641"/>
    <w:rsid w:val="001A310F"/>
    <w:rsid w:val="001A3163"/>
    <w:rsid w:val="001A3753"/>
    <w:rsid w:val="001A3925"/>
    <w:rsid w:val="001A3E27"/>
    <w:rsid w:val="001A42CD"/>
    <w:rsid w:val="001A503A"/>
    <w:rsid w:val="001A5116"/>
    <w:rsid w:val="001A5220"/>
    <w:rsid w:val="001A5FAC"/>
    <w:rsid w:val="001A6C4A"/>
    <w:rsid w:val="001A7351"/>
    <w:rsid w:val="001A7897"/>
    <w:rsid w:val="001B06A2"/>
    <w:rsid w:val="001B0A0B"/>
    <w:rsid w:val="001B108B"/>
    <w:rsid w:val="001B150C"/>
    <w:rsid w:val="001B1826"/>
    <w:rsid w:val="001B1A68"/>
    <w:rsid w:val="001B25BC"/>
    <w:rsid w:val="001B2621"/>
    <w:rsid w:val="001B304F"/>
    <w:rsid w:val="001B358C"/>
    <w:rsid w:val="001B35A0"/>
    <w:rsid w:val="001B3A7A"/>
    <w:rsid w:val="001B3BB4"/>
    <w:rsid w:val="001B3D9F"/>
    <w:rsid w:val="001B3F1B"/>
    <w:rsid w:val="001B4A57"/>
    <w:rsid w:val="001B4DA9"/>
    <w:rsid w:val="001B5496"/>
    <w:rsid w:val="001B577D"/>
    <w:rsid w:val="001B5EFC"/>
    <w:rsid w:val="001B704A"/>
    <w:rsid w:val="001B7B0F"/>
    <w:rsid w:val="001C0264"/>
    <w:rsid w:val="001C0525"/>
    <w:rsid w:val="001C116C"/>
    <w:rsid w:val="001C19CE"/>
    <w:rsid w:val="001C1B86"/>
    <w:rsid w:val="001C1ED5"/>
    <w:rsid w:val="001C262B"/>
    <w:rsid w:val="001C26D7"/>
    <w:rsid w:val="001C32B6"/>
    <w:rsid w:val="001C32EB"/>
    <w:rsid w:val="001C3507"/>
    <w:rsid w:val="001C3AF3"/>
    <w:rsid w:val="001C40EA"/>
    <w:rsid w:val="001C449D"/>
    <w:rsid w:val="001C4582"/>
    <w:rsid w:val="001C45AD"/>
    <w:rsid w:val="001C4757"/>
    <w:rsid w:val="001C4B67"/>
    <w:rsid w:val="001C5085"/>
    <w:rsid w:val="001C5A15"/>
    <w:rsid w:val="001C5F5D"/>
    <w:rsid w:val="001C604C"/>
    <w:rsid w:val="001C6079"/>
    <w:rsid w:val="001C60CB"/>
    <w:rsid w:val="001C6166"/>
    <w:rsid w:val="001C6265"/>
    <w:rsid w:val="001C6A22"/>
    <w:rsid w:val="001C6F3B"/>
    <w:rsid w:val="001C706E"/>
    <w:rsid w:val="001C7DEE"/>
    <w:rsid w:val="001C7F1C"/>
    <w:rsid w:val="001C7F1D"/>
    <w:rsid w:val="001D0813"/>
    <w:rsid w:val="001D0B85"/>
    <w:rsid w:val="001D0DC0"/>
    <w:rsid w:val="001D1214"/>
    <w:rsid w:val="001D1349"/>
    <w:rsid w:val="001D188C"/>
    <w:rsid w:val="001D1CCF"/>
    <w:rsid w:val="001D1FA0"/>
    <w:rsid w:val="001D2C5E"/>
    <w:rsid w:val="001D2FCC"/>
    <w:rsid w:val="001D353F"/>
    <w:rsid w:val="001D3D58"/>
    <w:rsid w:val="001D443D"/>
    <w:rsid w:val="001D4A88"/>
    <w:rsid w:val="001D55AB"/>
    <w:rsid w:val="001D5662"/>
    <w:rsid w:val="001D647F"/>
    <w:rsid w:val="001D65DA"/>
    <w:rsid w:val="001D713E"/>
    <w:rsid w:val="001D7694"/>
    <w:rsid w:val="001D7911"/>
    <w:rsid w:val="001D7E0C"/>
    <w:rsid w:val="001E006C"/>
    <w:rsid w:val="001E05DB"/>
    <w:rsid w:val="001E0895"/>
    <w:rsid w:val="001E1526"/>
    <w:rsid w:val="001E21BE"/>
    <w:rsid w:val="001E26D8"/>
    <w:rsid w:val="001E2794"/>
    <w:rsid w:val="001E2E51"/>
    <w:rsid w:val="001E32A0"/>
    <w:rsid w:val="001E32DD"/>
    <w:rsid w:val="001E40AB"/>
    <w:rsid w:val="001E43F3"/>
    <w:rsid w:val="001E484A"/>
    <w:rsid w:val="001E5162"/>
    <w:rsid w:val="001E55D3"/>
    <w:rsid w:val="001E5801"/>
    <w:rsid w:val="001E5936"/>
    <w:rsid w:val="001E5956"/>
    <w:rsid w:val="001E627D"/>
    <w:rsid w:val="001E63A5"/>
    <w:rsid w:val="001E65DB"/>
    <w:rsid w:val="001E6782"/>
    <w:rsid w:val="001E6CB4"/>
    <w:rsid w:val="001E6E5A"/>
    <w:rsid w:val="001E6F80"/>
    <w:rsid w:val="001E74C7"/>
    <w:rsid w:val="001E77ED"/>
    <w:rsid w:val="001F03A7"/>
    <w:rsid w:val="001F0AF5"/>
    <w:rsid w:val="001F0D21"/>
    <w:rsid w:val="001F0E8C"/>
    <w:rsid w:val="001F1016"/>
    <w:rsid w:val="001F105B"/>
    <w:rsid w:val="001F109A"/>
    <w:rsid w:val="001F19BB"/>
    <w:rsid w:val="001F1BFC"/>
    <w:rsid w:val="001F230F"/>
    <w:rsid w:val="001F263A"/>
    <w:rsid w:val="001F368C"/>
    <w:rsid w:val="001F3756"/>
    <w:rsid w:val="001F3888"/>
    <w:rsid w:val="001F49AC"/>
    <w:rsid w:val="001F4C72"/>
    <w:rsid w:val="001F5615"/>
    <w:rsid w:val="001F5D5D"/>
    <w:rsid w:val="001F5DF1"/>
    <w:rsid w:val="001F5FB6"/>
    <w:rsid w:val="001F678E"/>
    <w:rsid w:val="001F78AD"/>
    <w:rsid w:val="0020028A"/>
    <w:rsid w:val="00200595"/>
    <w:rsid w:val="00201346"/>
    <w:rsid w:val="002014DD"/>
    <w:rsid w:val="00201934"/>
    <w:rsid w:val="002020FA"/>
    <w:rsid w:val="002027E2"/>
    <w:rsid w:val="0020331C"/>
    <w:rsid w:val="002034B3"/>
    <w:rsid w:val="00203A9E"/>
    <w:rsid w:val="00203C7D"/>
    <w:rsid w:val="00204132"/>
    <w:rsid w:val="002041BC"/>
    <w:rsid w:val="00205056"/>
    <w:rsid w:val="00205474"/>
    <w:rsid w:val="00205571"/>
    <w:rsid w:val="00205FC6"/>
    <w:rsid w:val="002060C4"/>
    <w:rsid w:val="00206215"/>
    <w:rsid w:val="002065F8"/>
    <w:rsid w:val="00206813"/>
    <w:rsid w:val="002068E8"/>
    <w:rsid w:val="00206904"/>
    <w:rsid w:val="00206E24"/>
    <w:rsid w:val="00207844"/>
    <w:rsid w:val="0020785C"/>
    <w:rsid w:val="00207898"/>
    <w:rsid w:val="00207BFD"/>
    <w:rsid w:val="00207C95"/>
    <w:rsid w:val="00210AAD"/>
    <w:rsid w:val="002111AD"/>
    <w:rsid w:val="0021133E"/>
    <w:rsid w:val="00211989"/>
    <w:rsid w:val="00211AC7"/>
    <w:rsid w:val="00211F06"/>
    <w:rsid w:val="00211F0D"/>
    <w:rsid w:val="0021270C"/>
    <w:rsid w:val="0021270D"/>
    <w:rsid w:val="00212C4D"/>
    <w:rsid w:val="00212FB1"/>
    <w:rsid w:val="002138E8"/>
    <w:rsid w:val="00213AB2"/>
    <w:rsid w:val="00213C36"/>
    <w:rsid w:val="00213DCD"/>
    <w:rsid w:val="00213ECE"/>
    <w:rsid w:val="00214B7A"/>
    <w:rsid w:val="00214C1C"/>
    <w:rsid w:val="002151EA"/>
    <w:rsid w:val="00215406"/>
    <w:rsid w:val="00216129"/>
    <w:rsid w:val="002162F5"/>
    <w:rsid w:val="0021691D"/>
    <w:rsid w:val="00216BC8"/>
    <w:rsid w:val="00216FD7"/>
    <w:rsid w:val="002171C9"/>
    <w:rsid w:val="00217268"/>
    <w:rsid w:val="002175CB"/>
    <w:rsid w:val="002179BB"/>
    <w:rsid w:val="00217D24"/>
    <w:rsid w:val="0022060A"/>
    <w:rsid w:val="00220CC4"/>
    <w:rsid w:val="00221059"/>
    <w:rsid w:val="00221173"/>
    <w:rsid w:val="00221BA7"/>
    <w:rsid w:val="00221CDA"/>
    <w:rsid w:val="00222457"/>
    <w:rsid w:val="00222BAA"/>
    <w:rsid w:val="002234C5"/>
    <w:rsid w:val="0022440D"/>
    <w:rsid w:val="0022465E"/>
    <w:rsid w:val="00224D7D"/>
    <w:rsid w:val="00225946"/>
    <w:rsid w:val="0022643F"/>
    <w:rsid w:val="00226DFA"/>
    <w:rsid w:val="002270EC"/>
    <w:rsid w:val="0022767D"/>
    <w:rsid w:val="00227D19"/>
    <w:rsid w:val="0023093D"/>
    <w:rsid w:val="00230CBD"/>
    <w:rsid w:val="00231406"/>
    <w:rsid w:val="002317CC"/>
    <w:rsid w:val="00231B00"/>
    <w:rsid w:val="00231BC3"/>
    <w:rsid w:val="00232232"/>
    <w:rsid w:val="00232AFA"/>
    <w:rsid w:val="00232F01"/>
    <w:rsid w:val="0023444B"/>
    <w:rsid w:val="00234BA8"/>
    <w:rsid w:val="00234ECD"/>
    <w:rsid w:val="0023526C"/>
    <w:rsid w:val="002355B6"/>
    <w:rsid w:val="0023694D"/>
    <w:rsid w:val="00237345"/>
    <w:rsid w:val="002374E8"/>
    <w:rsid w:val="002379CF"/>
    <w:rsid w:val="00240154"/>
    <w:rsid w:val="0024016A"/>
    <w:rsid w:val="002406B6"/>
    <w:rsid w:val="002406FA"/>
    <w:rsid w:val="00240AD9"/>
    <w:rsid w:val="00240C46"/>
    <w:rsid w:val="00240E71"/>
    <w:rsid w:val="00241089"/>
    <w:rsid w:val="00241AE2"/>
    <w:rsid w:val="00241BA3"/>
    <w:rsid w:val="002423E0"/>
    <w:rsid w:val="002427D9"/>
    <w:rsid w:val="002428B9"/>
    <w:rsid w:val="00242B59"/>
    <w:rsid w:val="00242E24"/>
    <w:rsid w:val="00243630"/>
    <w:rsid w:val="00243664"/>
    <w:rsid w:val="00243D43"/>
    <w:rsid w:val="002444C9"/>
    <w:rsid w:val="0024456F"/>
    <w:rsid w:val="00244D15"/>
    <w:rsid w:val="00245158"/>
    <w:rsid w:val="002463BA"/>
    <w:rsid w:val="00246D1F"/>
    <w:rsid w:val="00246DE0"/>
    <w:rsid w:val="00247659"/>
    <w:rsid w:val="002476A5"/>
    <w:rsid w:val="0024772A"/>
    <w:rsid w:val="00247D03"/>
    <w:rsid w:val="00250466"/>
    <w:rsid w:val="00250A0F"/>
    <w:rsid w:val="00250AA2"/>
    <w:rsid w:val="00251432"/>
    <w:rsid w:val="00251DAC"/>
    <w:rsid w:val="00252E59"/>
    <w:rsid w:val="0025340C"/>
    <w:rsid w:val="00253F47"/>
    <w:rsid w:val="0025494C"/>
    <w:rsid w:val="0025631B"/>
    <w:rsid w:val="00256857"/>
    <w:rsid w:val="002568B3"/>
    <w:rsid w:val="00256B57"/>
    <w:rsid w:val="00256F0D"/>
    <w:rsid w:val="002570A2"/>
    <w:rsid w:val="0025768F"/>
    <w:rsid w:val="0025792B"/>
    <w:rsid w:val="00257944"/>
    <w:rsid w:val="00257F02"/>
    <w:rsid w:val="002601DE"/>
    <w:rsid w:val="002602E8"/>
    <w:rsid w:val="00260367"/>
    <w:rsid w:val="002606D6"/>
    <w:rsid w:val="00260A95"/>
    <w:rsid w:val="00260C20"/>
    <w:rsid w:val="00261097"/>
    <w:rsid w:val="00261AF0"/>
    <w:rsid w:val="00261C1C"/>
    <w:rsid w:val="00261EE9"/>
    <w:rsid w:val="002638F9"/>
    <w:rsid w:val="00263A41"/>
    <w:rsid w:val="002647ED"/>
    <w:rsid w:val="002648C0"/>
    <w:rsid w:val="00264A87"/>
    <w:rsid w:val="00264CDE"/>
    <w:rsid w:val="00264F67"/>
    <w:rsid w:val="002651B7"/>
    <w:rsid w:val="002654D0"/>
    <w:rsid w:val="00265E8A"/>
    <w:rsid w:val="0026664F"/>
    <w:rsid w:val="0026685A"/>
    <w:rsid w:val="002679D4"/>
    <w:rsid w:val="0027134E"/>
    <w:rsid w:val="00271735"/>
    <w:rsid w:val="002717C1"/>
    <w:rsid w:val="00271828"/>
    <w:rsid w:val="00271C10"/>
    <w:rsid w:val="00271D4D"/>
    <w:rsid w:val="002725CB"/>
    <w:rsid w:val="00272800"/>
    <w:rsid w:val="00272E09"/>
    <w:rsid w:val="0027300E"/>
    <w:rsid w:val="00273105"/>
    <w:rsid w:val="00273923"/>
    <w:rsid w:val="00273AFC"/>
    <w:rsid w:val="00274856"/>
    <w:rsid w:val="0027606E"/>
    <w:rsid w:val="002764A7"/>
    <w:rsid w:val="00277528"/>
    <w:rsid w:val="00277E3F"/>
    <w:rsid w:val="00277E70"/>
    <w:rsid w:val="00277FB3"/>
    <w:rsid w:val="002801A3"/>
    <w:rsid w:val="00280511"/>
    <w:rsid w:val="00280552"/>
    <w:rsid w:val="00281125"/>
    <w:rsid w:val="00281450"/>
    <w:rsid w:val="002819B8"/>
    <w:rsid w:val="00282991"/>
    <w:rsid w:val="00282B1D"/>
    <w:rsid w:val="00282CBC"/>
    <w:rsid w:val="002831AB"/>
    <w:rsid w:val="0028346F"/>
    <w:rsid w:val="00283517"/>
    <w:rsid w:val="002842C3"/>
    <w:rsid w:val="002843D3"/>
    <w:rsid w:val="002849F9"/>
    <w:rsid w:val="002853BA"/>
    <w:rsid w:val="002856FE"/>
    <w:rsid w:val="002857D3"/>
    <w:rsid w:val="00285861"/>
    <w:rsid w:val="00285AB4"/>
    <w:rsid w:val="0028684F"/>
    <w:rsid w:val="00286A3D"/>
    <w:rsid w:val="00287133"/>
    <w:rsid w:val="00287515"/>
    <w:rsid w:val="00287F09"/>
    <w:rsid w:val="00290C45"/>
    <w:rsid w:val="002915BD"/>
    <w:rsid w:val="0029173D"/>
    <w:rsid w:val="00291C3C"/>
    <w:rsid w:val="00291EC3"/>
    <w:rsid w:val="00292066"/>
    <w:rsid w:val="002922F8"/>
    <w:rsid w:val="00292A67"/>
    <w:rsid w:val="00292BC6"/>
    <w:rsid w:val="00292E5C"/>
    <w:rsid w:val="002932FE"/>
    <w:rsid w:val="00293432"/>
    <w:rsid w:val="0029365D"/>
    <w:rsid w:val="00294104"/>
    <w:rsid w:val="002949CE"/>
    <w:rsid w:val="00294B01"/>
    <w:rsid w:val="00294FF7"/>
    <w:rsid w:val="00295051"/>
    <w:rsid w:val="00297A03"/>
    <w:rsid w:val="00297C6A"/>
    <w:rsid w:val="002A014A"/>
    <w:rsid w:val="002A0194"/>
    <w:rsid w:val="002A05FB"/>
    <w:rsid w:val="002A0657"/>
    <w:rsid w:val="002A0741"/>
    <w:rsid w:val="002A1BE5"/>
    <w:rsid w:val="002A25EF"/>
    <w:rsid w:val="002A262D"/>
    <w:rsid w:val="002A3191"/>
    <w:rsid w:val="002A32A5"/>
    <w:rsid w:val="002A349F"/>
    <w:rsid w:val="002A3567"/>
    <w:rsid w:val="002A3B4E"/>
    <w:rsid w:val="002A3FF1"/>
    <w:rsid w:val="002A418B"/>
    <w:rsid w:val="002A47BC"/>
    <w:rsid w:val="002A4BC7"/>
    <w:rsid w:val="002A4FBF"/>
    <w:rsid w:val="002A51E9"/>
    <w:rsid w:val="002A5439"/>
    <w:rsid w:val="002A592E"/>
    <w:rsid w:val="002A5D8C"/>
    <w:rsid w:val="002A6063"/>
    <w:rsid w:val="002A6661"/>
    <w:rsid w:val="002A70A6"/>
    <w:rsid w:val="002A7229"/>
    <w:rsid w:val="002A7A88"/>
    <w:rsid w:val="002A7F5B"/>
    <w:rsid w:val="002B1303"/>
    <w:rsid w:val="002B19B2"/>
    <w:rsid w:val="002B1C5C"/>
    <w:rsid w:val="002B1DC1"/>
    <w:rsid w:val="002B2447"/>
    <w:rsid w:val="002B24A5"/>
    <w:rsid w:val="002B2684"/>
    <w:rsid w:val="002B26C3"/>
    <w:rsid w:val="002B27DC"/>
    <w:rsid w:val="002B2B77"/>
    <w:rsid w:val="002B3F71"/>
    <w:rsid w:val="002B466B"/>
    <w:rsid w:val="002B478C"/>
    <w:rsid w:val="002B5DD0"/>
    <w:rsid w:val="002B5E1E"/>
    <w:rsid w:val="002B5E76"/>
    <w:rsid w:val="002B605F"/>
    <w:rsid w:val="002B66F7"/>
    <w:rsid w:val="002B6CF9"/>
    <w:rsid w:val="002B72CB"/>
    <w:rsid w:val="002B7489"/>
    <w:rsid w:val="002B76E3"/>
    <w:rsid w:val="002C0288"/>
    <w:rsid w:val="002C02E9"/>
    <w:rsid w:val="002C046F"/>
    <w:rsid w:val="002C107D"/>
    <w:rsid w:val="002C10A9"/>
    <w:rsid w:val="002C127A"/>
    <w:rsid w:val="002C17EA"/>
    <w:rsid w:val="002C2142"/>
    <w:rsid w:val="002C230B"/>
    <w:rsid w:val="002C232F"/>
    <w:rsid w:val="002C2684"/>
    <w:rsid w:val="002C302C"/>
    <w:rsid w:val="002C37CB"/>
    <w:rsid w:val="002C3DC9"/>
    <w:rsid w:val="002C3E22"/>
    <w:rsid w:val="002C40B4"/>
    <w:rsid w:val="002C40CC"/>
    <w:rsid w:val="002C41B0"/>
    <w:rsid w:val="002C45F8"/>
    <w:rsid w:val="002C500A"/>
    <w:rsid w:val="002C55C2"/>
    <w:rsid w:val="002C56B9"/>
    <w:rsid w:val="002C5905"/>
    <w:rsid w:val="002C5BEE"/>
    <w:rsid w:val="002C5E8C"/>
    <w:rsid w:val="002C63AB"/>
    <w:rsid w:val="002C6C68"/>
    <w:rsid w:val="002C6F68"/>
    <w:rsid w:val="002D0333"/>
    <w:rsid w:val="002D0CBC"/>
    <w:rsid w:val="002D13C7"/>
    <w:rsid w:val="002D14C9"/>
    <w:rsid w:val="002D1661"/>
    <w:rsid w:val="002D2785"/>
    <w:rsid w:val="002D2F52"/>
    <w:rsid w:val="002D31F4"/>
    <w:rsid w:val="002D372D"/>
    <w:rsid w:val="002D3C04"/>
    <w:rsid w:val="002D4348"/>
    <w:rsid w:val="002D459F"/>
    <w:rsid w:val="002D4720"/>
    <w:rsid w:val="002D4890"/>
    <w:rsid w:val="002D54A6"/>
    <w:rsid w:val="002D5540"/>
    <w:rsid w:val="002D55DA"/>
    <w:rsid w:val="002D5BA8"/>
    <w:rsid w:val="002D5BAF"/>
    <w:rsid w:val="002D5D3C"/>
    <w:rsid w:val="002D62A8"/>
    <w:rsid w:val="002D62E7"/>
    <w:rsid w:val="002D649C"/>
    <w:rsid w:val="002D6578"/>
    <w:rsid w:val="002D6AD1"/>
    <w:rsid w:val="002D6BDA"/>
    <w:rsid w:val="002D7366"/>
    <w:rsid w:val="002D743C"/>
    <w:rsid w:val="002D7571"/>
    <w:rsid w:val="002D7B8F"/>
    <w:rsid w:val="002E0403"/>
    <w:rsid w:val="002E0C2C"/>
    <w:rsid w:val="002E0FC0"/>
    <w:rsid w:val="002E1530"/>
    <w:rsid w:val="002E2865"/>
    <w:rsid w:val="002E2AAC"/>
    <w:rsid w:val="002E2D85"/>
    <w:rsid w:val="002E381B"/>
    <w:rsid w:val="002E3A5F"/>
    <w:rsid w:val="002E3BD6"/>
    <w:rsid w:val="002E3FDF"/>
    <w:rsid w:val="002E42F2"/>
    <w:rsid w:val="002E5096"/>
    <w:rsid w:val="002E5730"/>
    <w:rsid w:val="002E5D79"/>
    <w:rsid w:val="002E5D88"/>
    <w:rsid w:val="002E607C"/>
    <w:rsid w:val="002E6EBC"/>
    <w:rsid w:val="002E70A8"/>
    <w:rsid w:val="002E71BC"/>
    <w:rsid w:val="002E720B"/>
    <w:rsid w:val="002E7289"/>
    <w:rsid w:val="002E751D"/>
    <w:rsid w:val="002E7BAE"/>
    <w:rsid w:val="002F001A"/>
    <w:rsid w:val="002F0EB4"/>
    <w:rsid w:val="002F1004"/>
    <w:rsid w:val="002F1422"/>
    <w:rsid w:val="002F1C3C"/>
    <w:rsid w:val="002F2A53"/>
    <w:rsid w:val="002F2CFE"/>
    <w:rsid w:val="002F2FEF"/>
    <w:rsid w:val="002F44B2"/>
    <w:rsid w:val="002F4665"/>
    <w:rsid w:val="002F48EE"/>
    <w:rsid w:val="002F4C04"/>
    <w:rsid w:val="002F4F73"/>
    <w:rsid w:val="002F585D"/>
    <w:rsid w:val="002F5999"/>
    <w:rsid w:val="002F6957"/>
    <w:rsid w:val="002F6D02"/>
    <w:rsid w:val="002F72F3"/>
    <w:rsid w:val="002F732D"/>
    <w:rsid w:val="002F76CA"/>
    <w:rsid w:val="002F7C3E"/>
    <w:rsid w:val="00300452"/>
    <w:rsid w:val="003005B2"/>
    <w:rsid w:val="003009C5"/>
    <w:rsid w:val="00300BDB"/>
    <w:rsid w:val="0030106E"/>
    <w:rsid w:val="00301A9A"/>
    <w:rsid w:val="00302706"/>
    <w:rsid w:val="0030295D"/>
    <w:rsid w:val="00302C28"/>
    <w:rsid w:val="003033DE"/>
    <w:rsid w:val="00303B5E"/>
    <w:rsid w:val="00304B1B"/>
    <w:rsid w:val="00304FFE"/>
    <w:rsid w:val="00305963"/>
    <w:rsid w:val="00305BF1"/>
    <w:rsid w:val="00306474"/>
    <w:rsid w:val="00306554"/>
    <w:rsid w:val="00306FE2"/>
    <w:rsid w:val="0030719F"/>
    <w:rsid w:val="00307275"/>
    <w:rsid w:val="00307997"/>
    <w:rsid w:val="003110D4"/>
    <w:rsid w:val="00311673"/>
    <w:rsid w:val="003118BC"/>
    <w:rsid w:val="00311A1A"/>
    <w:rsid w:val="00312044"/>
    <w:rsid w:val="003129EC"/>
    <w:rsid w:val="00313592"/>
    <w:rsid w:val="00313C3D"/>
    <w:rsid w:val="00314615"/>
    <w:rsid w:val="00314C8C"/>
    <w:rsid w:val="00314DD8"/>
    <w:rsid w:val="003157EF"/>
    <w:rsid w:val="003158EA"/>
    <w:rsid w:val="003158EC"/>
    <w:rsid w:val="00315986"/>
    <w:rsid w:val="00315A0D"/>
    <w:rsid w:val="00315B03"/>
    <w:rsid w:val="00315DE5"/>
    <w:rsid w:val="00315F70"/>
    <w:rsid w:val="003160C0"/>
    <w:rsid w:val="003163B7"/>
    <w:rsid w:val="003164B8"/>
    <w:rsid w:val="00316D62"/>
    <w:rsid w:val="003171B2"/>
    <w:rsid w:val="00317263"/>
    <w:rsid w:val="003172AE"/>
    <w:rsid w:val="00317321"/>
    <w:rsid w:val="003177B5"/>
    <w:rsid w:val="00320939"/>
    <w:rsid w:val="00320A50"/>
    <w:rsid w:val="00320AEA"/>
    <w:rsid w:val="00320FE8"/>
    <w:rsid w:val="00321DB5"/>
    <w:rsid w:val="00322F9C"/>
    <w:rsid w:val="003230AA"/>
    <w:rsid w:val="0032329C"/>
    <w:rsid w:val="003239A1"/>
    <w:rsid w:val="00324643"/>
    <w:rsid w:val="00324B52"/>
    <w:rsid w:val="00324B70"/>
    <w:rsid w:val="00324C99"/>
    <w:rsid w:val="00324F4F"/>
    <w:rsid w:val="00324FBF"/>
    <w:rsid w:val="00325293"/>
    <w:rsid w:val="003254B8"/>
    <w:rsid w:val="00326592"/>
    <w:rsid w:val="0032698F"/>
    <w:rsid w:val="00327372"/>
    <w:rsid w:val="00327C06"/>
    <w:rsid w:val="003312B2"/>
    <w:rsid w:val="0033245C"/>
    <w:rsid w:val="003326BE"/>
    <w:rsid w:val="003326E3"/>
    <w:rsid w:val="00332DAF"/>
    <w:rsid w:val="00332E24"/>
    <w:rsid w:val="00332E92"/>
    <w:rsid w:val="00333549"/>
    <w:rsid w:val="003339E2"/>
    <w:rsid w:val="003346E7"/>
    <w:rsid w:val="003349A3"/>
    <w:rsid w:val="003351C5"/>
    <w:rsid w:val="003354B5"/>
    <w:rsid w:val="0033570C"/>
    <w:rsid w:val="003367A2"/>
    <w:rsid w:val="00336D46"/>
    <w:rsid w:val="00336F3C"/>
    <w:rsid w:val="0033709B"/>
    <w:rsid w:val="00337667"/>
    <w:rsid w:val="0033777D"/>
    <w:rsid w:val="003377D7"/>
    <w:rsid w:val="00337CD0"/>
    <w:rsid w:val="00337E9F"/>
    <w:rsid w:val="00337F45"/>
    <w:rsid w:val="00337F98"/>
    <w:rsid w:val="00340044"/>
    <w:rsid w:val="003403FC"/>
    <w:rsid w:val="00341BF3"/>
    <w:rsid w:val="00341BFC"/>
    <w:rsid w:val="0034254C"/>
    <w:rsid w:val="00342704"/>
    <w:rsid w:val="003436E4"/>
    <w:rsid w:val="00343F4F"/>
    <w:rsid w:val="003441E9"/>
    <w:rsid w:val="00345876"/>
    <w:rsid w:val="00345B9D"/>
    <w:rsid w:val="003461A9"/>
    <w:rsid w:val="00346909"/>
    <w:rsid w:val="00347047"/>
    <w:rsid w:val="003478C6"/>
    <w:rsid w:val="003478FB"/>
    <w:rsid w:val="00347907"/>
    <w:rsid w:val="00347A8A"/>
    <w:rsid w:val="00347B39"/>
    <w:rsid w:val="00347CE4"/>
    <w:rsid w:val="003503A8"/>
    <w:rsid w:val="0035191D"/>
    <w:rsid w:val="00351B10"/>
    <w:rsid w:val="003544E5"/>
    <w:rsid w:val="00354C75"/>
    <w:rsid w:val="003557E8"/>
    <w:rsid w:val="00355854"/>
    <w:rsid w:val="0035669C"/>
    <w:rsid w:val="00356E0E"/>
    <w:rsid w:val="00356F46"/>
    <w:rsid w:val="00356FF3"/>
    <w:rsid w:val="003577F7"/>
    <w:rsid w:val="00357D37"/>
    <w:rsid w:val="00360082"/>
    <w:rsid w:val="003605E2"/>
    <w:rsid w:val="00360A7C"/>
    <w:rsid w:val="00360ABA"/>
    <w:rsid w:val="00360D34"/>
    <w:rsid w:val="00361762"/>
    <w:rsid w:val="00361A41"/>
    <w:rsid w:val="0036311A"/>
    <w:rsid w:val="00363BDC"/>
    <w:rsid w:val="0036427E"/>
    <w:rsid w:val="00364312"/>
    <w:rsid w:val="00364446"/>
    <w:rsid w:val="003656FE"/>
    <w:rsid w:val="00365977"/>
    <w:rsid w:val="00365B56"/>
    <w:rsid w:val="00366070"/>
    <w:rsid w:val="00366C67"/>
    <w:rsid w:val="00366D71"/>
    <w:rsid w:val="00367860"/>
    <w:rsid w:val="00367E93"/>
    <w:rsid w:val="0037096B"/>
    <w:rsid w:val="00371373"/>
    <w:rsid w:val="00371CC1"/>
    <w:rsid w:val="00371F77"/>
    <w:rsid w:val="00371FE2"/>
    <w:rsid w:val="003721A3"/>
    <w:rsid w:val="00372679"/>
    <w:rsid w:val="003729EB"/>
    <w:rsid w:val="00372BC2"/>
    <w:rsid w:val="00373E15"/>
    <w:rsid w:val="003746E4"/>
    <w:rsid w:val="00374F10"/>
    <w:rsid w:val="003750A7"/>
    <w:rsid w:val="003754A3"/>
    <w:rsid w:val="0037556A"/>
    <w:rsid w:val="00375F9B"/>
    <w:rsid w:val="00376407"/>
    <w:rsid w:val="00376640"/>
    <w:rsid w:val="003769BD"/>
    <w:rsid w:val="00377396"/>
    <w:rsid w:val="00380540"/>
    <w:rsid w:val="00380DF2"/>
    <w:rsid w:val="00381995"/>
    <w:rsid w:val="00381FB8"/>
    <w:rsid w:val="003829A4"/>
    <w:rsid w:val="00382A17"/>
    <w:rsid w:val="003838CF"/>
    <w:rsid w:val="003839A0"/>
    <w:rsid w:val="00384ECA"/>
    <w:rsid w:val="0038517C"/>
    <w:rsid w:val="003854AC"/>
    <w:rsid w:val="0038588B"/>
    <w:rsid w:val="00385F5A"/>
    <w:rsid w:val="00385F74"/>
    <w:rsid w:val="00386216"/>
    <w:rsid w:val="00386228"/>
    <w:rsid w:val="003864AC"/>
    <w:rsid w:val="003875A9"/>
    <w:rsid w:val="0038777F"/>
    <w:rsid w:val="00387E59"/>
    <w:rsid w:val="003901EB"/>
    <w:rsid w:val="003907B9"/>
    <w:rsid w:val="00390CE5"/>
    <w:rsid w:val="00390CE8"/>
    <w:rsid w:val="003912E6"/>
    <w:rsid w:val="00391466"/>
    <w:rsid w:val="003916B3"/>
    <w:rsid w:val="003916C3"/>
    <w:rsid w:val="00391D36"/>
    <w:rsid w:val="00392DF0"/>
    <w:rsid w:val="0039352C"/>
    <w:rsid w:val="00393803"/>
    <w:rsid w:val="0039392C"/>
    <w:rsid w:val="003944A6"/>
    <w:rsid w:val="003945DC"/>
    <w:rsid w:val="00394B00"/>
    <w:rsid w:val="00394BAA"/>
    <w:rsid w:val="00394DEB"/>
    <w:rsid w:val="00395247"/>
    <w:rsid w:val="003953BC"/>
    <w:rsid w:val="00395600"/>
    <w:rsid w:val="00395CC7"/>
    <w:rsid w:val="0039611C"/>
    <w:rsid w:val="003963D9"/>
    <w:rsid w:val="00396F7B"/>
    <w:rsid w:val="003975AB"/>
    <w:rsid w:val="00397955"/>
    <w:rsid w:val="00397BAF"/>
    <w:rsid w:val="00397DC2"/>
    <w:rsid w:val="003A04E1"/>
    <w:rsid w:val="003A14D9"/>
    <w:rsid w:val="003A19D1"/>
    <w:rsid w:val="003A1B1A"/>
    <w:rsid w:val="003A1C37"/>
    <w:rsid w:val="003A2274"/>
    <w:rsid w:val="003A2697"/>
    <w:rsid w:val="003A28C1"/>
    <w:rsid w:val="003A2CA7"/>
    <w:rsid w:val="003A2D0D"/>
    <w:rsid w:val="003A337B"/>
    <w:rsid w:val="003A3D5C"/>
    <w:rsid w:val="003A3E24"/>
    <w:rsid w:val="003A4551"/>
    <w:rsid w:val="003A461F"/>
    <w:rsid w:val="003A4A40"/>
    <w:rsid w:val="003A4AA7"/>
    <w:rsid w:val="003A58A9"/>
    <w:rsid w:val="003A5B1A"/>
    <w:rsid w:val="003A6BC4"/>
    <w:rsid w:val="003A722E"/>
    <w:rsid w:val="003A7459"/>
    <w:rsid w:val="003A79C3"/>
    <w:rsid w:val="003B0499"/>
    <w:rsid w:val="003B0CC4"/>
    <w:rsid w:val="003B0F13"/>
    <w:rsid w:val="003B0FA3"/>
    <w:rsid w:val="003B1524"/>
    <w:rsid w:val="003B1673"/>
    <w:rsid w:val="003B17BC"/>
    <w:rsid w:val="003B180C"/>
    <w:rsid w:val="003B1C75"/>
    <w:rsid w:val="003B2349"/>
    <w:rsid w:val="003B3209"/>
    <w:rsid w:val="003B3B0B"/>
    <w:rsid w:val="003B3C4D"/>
    <w:rsid w:val="003B3CAE"/>
    <w:rsid w:val="003B41C3"/>
    <w:rsid w:val="003B41E7"/>
    <w:rsid w:val="003B4203"/>
    <w:rsid w:val="003B45E8"/>
    <w:rsid w:val="003B46FB"/>
    <w:rsid w:val="003B4AC6"/>
    <w:rsid w:val="003B51C5"/>
    <w:rsid w:val="003B566E"/>
    <w:rsid w:val="003B5E64"/>
    <w:rsid w:val="003B61E7"/>
    <w:rsid w:val="003B669E"/>
    <w:rsid w:val="003B70A4"/>
    <w:rsid w:val="003B7206"/>
    <w:rsid w:val="003B7E90"/>
    <w:rsid w:val="003B7EDF"/>
    <w:rsid w:val="003C07B1"/>
    <w:rsid w:val="003C09BB"/>
    <w:rsid w:val="003C0DFF"/>
    <w:rsid w:val="003C0F57"/>
    <w:rsid w:val="003C1101"/>
    <w:rsid w:val="003C2395"/>
    <w:rsid w:val="003C2FF5"/>
    <w:rsid w:val="003C33DA"/>
    <w:rsid w:val="003C374C"/>
    <w:rsid w:val="003C3AE1"/>
    <w:rsid w:val="003C40B1"/>
    <w:rsid w:val="003C480C"/>
    <w:rsid w:val="003C5093"/>
    <w:rsid w:val="003C52E1"/>
    <w:rsid w:val="003C5713"/>
    <w:rsid w:val="003C5786"/>
    <w:rsid w:val="003C5BDD"/>
    <w:rsid w:val="003C5D2D"/>
    <w:rsid w:val="003C5FBC"/>
    <w:rsid w:val="003C6E49"/>
    <w:rsid w:val="003C6F47"/>
    <w:rsid w:val="003C6FF3"/>
    <w:rsid w:val="003C7739"/>
    <w:rsid w:val="003D046A"/>
    <w:rsid w:val="003D08FD"/>
    <w:rsid w:val="003D0F75"/>
    <w:rsid w:val="003D1214"/>
    <w:rsid w:val="003D1441"/>
    <w:rsid w:val="003D19A4"/>
    <w:rsid w:val="003D1C02"/>
    <w:rsid w:val="003D2147"/>
    <w:rsid w:val="003D307D"/>
    <w:rsid w:val="003D3A7E"/>
    <w:rsid w:val="003D3CED"/>
    <w:rsid w:val="003D3DC7"/>
    <w:rsid w:val="003D418C"/>
    <w:rsid w:val="003D4BDE"/>
    <w:rsid w:val="003D4D50"/>
    <w:rsid w:val="003D53A5"/>
    <w:rsid w:val="003D55B0"/>
    <w:rsid w:val="003D5646"/>
    <w:rsid w:val="003D5A95"/>
    <w:rsid w:val="003D6608"/>
    <w:rsid w:val="003D662F"/>
    <w:rsid w:val="003D674F"/>
    <w:rsid w:val="003D6B9F"/>
    <w:rsid w:val="003D6C9E"/>
    <w:rsid w:val="003E0749"/>
    <w:rsid w:val="003E0932"/>
    <w:rsid w:val="003E0DEE"/>
    <w:rsid w:val="003E1070"/>
    <w:rsid w:val="003E172A"/>
    <w:rsid w:val="003E198A"/>
    <w:rsid w:val="003E20AD"/>
    <w:rsid w:val="003E20E8"/>
    <w:rsid w:val="003E25A3"/>
    <w:rsid w:val="003E27D9"/>
    <w:rsid w:val="003E2AB1"/>
    <w:rsid w:val="003E2CAA"/>
    <w:rsid w:val="003E2F4E"/>
    <w:rsid w:val="003E3AE6"/>
    <w:rsid w:val="003E3B4F"/>
    <w:rsid w:val="003E3F81"/>
    <w:rsid w:val="003E4222"/>
    <w:rsid w:val="003E4268"/>
    <w:rsid w:val="003E4614"/>
    <w:rsid w:val="003E49C8"/>
    <w:rsid w:val="003E5706"/>
    <w:rsid w:val="003E5E05"/>
    <w:rsid w:val="003E61E3"/>
    <w:rsid w:val="003E6356"/>
    <w:rsid w:val="003E6B21"/>
    <w:rsid w:val="003E6BB4"/>
    <w:rsid w:val="003E6E3C"/>
    <w:rsid w:val="003E7257"/>
    <w:rsid w:val="003E7B19"/>
    <w:rsid w:val="003E7CA4"/>
    <w:rsid w:val="003F19D4"/>
    <w:rsid w:val="003F1D59"/>
    <w:rsid w:val="003F226E"/>
    <w:rsid w:val="003F306E"/>
    <w:rsid w:val="003F403A"/>
    <w:rsid w:val="003F4DD5"/>
    <w:rsid w:val="003F5134"/>
    <w:rsid w:val="003F521A"/>
    <w:rsid w:val="003F592D"/>
    <w:rsid w:val="003F598A"/>
    <w:rsid w:val="003F5B99"/>
    <w:rsid w:val="003F5D1E"/>
    <w:rsid w:val="003F5E6A"/>
    <w:rsid w:val="003F6F54"/>
    <w:rsid w:val="003F7988"/>
    <w:rsid w:val="003F7A66"/>
    <w:rsid w:val="003F7E50"/>
    <w:rsid w:val="003F7FA0"/>
    <w:rsid w:val="00400191"/>
    <w:rsid w:val="00400677"/>
    <w:rsid w:val="00400767"/>
    <w:rsid w:val="00400E50"/>
    <w:rsid w:val="00402290"/>
    <w:rsid w:val="004024BA"/>
    <w:rsid w:val="004028E9"/>
    <w:rsid w:val="00402909"/>
    <w:rsid w:val="004033CD"/>
    <w:rsid w:val="0040353E"/>
    <w:rsid w:val="00403C89"/>
    <w:rsid w:val="00404C98"/>
    <w:rsid w:val="00404FC1"/>
    <w:rsid w:val="00405574"/>
    <w:rsid w:val="00405EB0"/>
    <w:rsid w:val="00406765"/>
    <w:rsid w:val="004067D2"/>
    <w:rsid w:val="0040681E"/>
    <w:rsid w:val="00406C47"/>
    <w:rsid w:val="00407293"/>
    <w:rsid w:val="00410442"/>
    <w:rsid w:val="00410DBF"/>
    <w:rsid w:val="00411A9E"/>
    <w:rsid w:val="00411CED"/>
    <w:rsid w:val="00411EA9"/>
    <w:rsid w:val="004121A8"/>
    <w:rsid w:val="00412924"/>
    <w:rsid w:val="00412966"/>
    <w:rsid w:val="00414254"/>
    <w:rsid w:val="00414587"/>
    <w:rsid w:val="0041482C"/>
    <w:rsid w:val="00414931"/>
    <w:rsid w:val="00414C1F"/>
    <w:rsid w:val="00415277"/>
    <w:rsid w:val="004169BC"/>
    <w:rsid w:val="00416A73"/>
    <w:rsid w:val="00416BA6"/>
    <w:rsid w:val="00417234"/>
    <w:rsid w:val="004173D9"/>
    <w:rsid w:val="00417713"/>
    <w:rsid w:val="004179BC"/>
    <w:rsid w:val="00417B06"/>
    <w:rsid w:val="004205D2"/>
    <w:rsid w:val="00420933"/>
    <w:rsid w:val="0042197B"/>
    <w:rsid w:val="00421DBD"/>
    <w:rsid w:val="00421F50"/>
    <w:rsid w:val="00422396"/>
    <w:rsid w:val="00422674"/>
    <w:rsid w:val="00422CFE"/>
    <w:rsid w:val="004230EF"/>
    <w:rsid w:val="004231B0"/>
    <w:rsid w:val="004231F7"/>
    <w:rsid w:val="00423999"/>
    <w:rsid w:val="00423E22"/>
    <w:rsid w:val="00424263"/>
    <w:rsid w:val="00424958"/>
    <w:rsid w:val="00424B48"/>
    <w:rsid w:val="004256E3"/>
    <w:rsid w:val="00426033"/>
    <w:rsid w:val="004263EA"/>
    <w:rsid w:val="004269A1"/>
    <w:rsid w:val="00426F0C"/>
    <w:rsid w:val="00427776"/>
    <w:rsid w:val="0043049D"/>
    <w:rsid w:val="004311CF"/>
    <w:rsid w:val="00431539"/>
    <w:rsid w:val="004318CD"/>
    <w:rsid w:val="0043197E"/>
    <w:rsid w:val="00431F67"/>
    <w:rsid w:val="00432199"/>
    <w:rsid w:val="0043250C"/>
    <w:rsid w:val="0043259D"/>
    <w:rsid w:val="00432726"/>
    <w:rsid w:val="00432A4E"/>
    <w:rsid w:val="00433688"/>
    <w:rsid w:val="00433E2F"/>
    <w:rsid w:val="00434232"/>
    <w:rsid w:val="00434A8D"/>
    <w:rsid w:val="00435FFB"/>
    <w:rsid w:val="00436408"/>
    <w:rsid w:val="00436498"/>
    <w:rsid w:val="00436D62"/>
    <w:rsid w:val="00436F06"/>
    <w:rsid w:val="00436F20"/>
    <w:rsid w:val="00437056"/>
    <w:rsid w:val="0043755C"/>
    <w:rsid w:val="004378F8"/>
    <w:rsid w:val="00437A66"/>
    <w:rsid w:val="00437A87"/>
    <w:rsid w:val="004405D8"/>
    <w:rsid w:val="0044108E"/>
    <w:rsid w:val="00441295"/>
    <w:rsid w:val="0044168B"/>
    <w:rsid w:val="00441816"/>
    <w:rsid w:val="004422DC"/>
    <w:rsid w:val="0044240A"/>
    <w:rsid w:val="004426DA"/>
    <w:rsid w:val="00442CD8"/>
    <w:rsid w:val="004430C8"/>
    <w:rsid w:val="004431A4"/>
    <w:rsid w:val="00443260"/>
    <w:rsid w:val="00443478"/>
    <w:rsid w:val="00443497"/>
    <w:rsid w:val="0044370F"/>
    <w:rsid w:val="00443ABE"/>
    <w:rsid w:val="00444165"/>
    <w:rsid w:val="00445BB5"/>
    <w:rsid w:val="00445C13"/>
    <w:rsid w:val="00446122"/>
    <w:rsid w:val="0044734B"/>
    <w:rsid w:val="00447DA0"/>
    <w:rsid w:val="0045026C"/>
    <w:rsid w:val="00450376"/>
    <w:rsid w:val="00450911"/>
    <w:rsid w:val="00451212"/>
    <w:rsid w:val="004516BE"/>
    <w:rsid w:val="00452284"/>
    <w:rsid w:val="004523C1"/>
    <w:rsid w:val="0045255F"/>
    <w:rsid w:val="004526A8"/>
    <w:rsid w:val="0045299A"/>
    <w:rsid w:val="004529F2"/>
    <w:rsid w:val="00452BC7"/>
    <w:rsid w:val="00452D6A"/>
    <w:rsid w:val="00453BA9"/>
    <w:rsid w:val="00453E1E"/>
    <w:rsid w:val="004541B3"/>
    <w:rsid w:val="004541B8"/>
    <w:rsid w:val="00454698"/>
    <w:rsid w:val="00454829"/>
    <w:rsid w:val="0045486E"/>
    <w:rsid w:val="00454B29"/>
    <w:rsid w:val="00454F5E"/>
    <w:rsid w:val="0045546A"/>
    <w:rsid w:val="00455741"/>
    <w:rsid w:val="00455878"/>
    <w:rsid w:val="00456B6D"/>
    <w:rsid w:val="00456B9C"/>
    <w:rsid w:val="00457C99"/>
    <w:rsid w:val="00457E37"/>
    <w:rsid w:val="004600BE"/>
    <w:rsid w:val="00460257"/>
    <w:rsid w:val="00460487"/>
    <w:rsid w:val="00460A85"/>
    <w:rsid w:val="00461759"/>
    <w:rsid w:val="00461806"/>
    <w:rsid w:val="004621B0"/>
    <w:rsid w:val="00462A1C"/>
    <w:rsid w:val="00462C33"/>
    <w:rsid w:val="00463584"/>
    <w:rsid w:val="0046378E"/>
    <w:rsid w:val="00464A21"/>
    <w:rsid w:val="0046506C"/>
    <w:rsid w:val="004652D7"/>
    <w:rsid w:val="004653CC"/>
    <w:rsid w:val="0046593F"/>
    <w:rsid w:val="00465FF6"/>
    <w:rsid w:val="00466C7B"/>
    <w:rsid w:val="00466D82"/>
    <w:rsid w:val="00467423"/>
    <w:rsid w:val="0046798F"/>
    <w:rsid w:val="00467DCD"/>
    <w:rsid w:val="0047012A"/>
    <w:rsid w:val="0047088B"/>
    <w:rsid w:val="00470EAB"/>
    <w:rsid w:val="0047128F"/>
    <w:rsid w:val="00471930"/>
    <w:rsid w:val="00472172"/>
    <w:rsid w:val="0047264C"/>
    <w:rsid w:val="004727F8"/>
    <w:rsid w:val="004728B1"/>
    <w:rsid w:val="00472ED8"/>
    <w:rsid w:val="0047349C"/>
    <w:rsid w:val="00473570"/>
    <w:rsid w:val="004735A9"/>
    <w:rsid w:val="0047366C"/>
    <w:rsid w:val="004736C9"/>
    <w:rsid w:val="00474B22"/>
    <w:rsid w:val="00475803"/>
    <w:rsid w:val="0047586C"/>
    <w:rsid w:val="00475B8B"/>
    <w:rsid w:val="00475BC8"/>
    <w:rsid w:val="00475C8A"/>
    <w:rsid w:val="004766C4"/>
    <w:rsid w:val="0047670C"/>
    <w:rsid w:val="004772F8"/>
    <w:rsid w:val="00477635"/>
    <w:rsid w:val="00477A77"/>
    <w:rsid w:val="00477B23"/>
    <w:rsid w:val="004803FA"/>
    <w:rsid w:val="0048055B"/>
    <w:rsid w:val="00480862"/>
    <w:rsid w:val="00480D4E"/>
    <w:rsid w:val="00481B1D"/>
    <w:rsid w:val="00481CC9"/>
    <w:rsid w:val="00482320"/>
    <w:rsid w:val="0048246A"/>
    <w:rsid w:val="004824C2"/>
    <w:rsid w:val="0048279A"/>
    <w:rsid w:val="00482A21"/>
    <w:rsid w:val="00482DD4"/>
    <w:rsid w:val="004831CA"/>
    <w:rsid w:val="00483EFF"/>
    <w:rsid w:val="00484679"/>
    <w:rsid w:val="0048492F"/>
    <w:rsid w:val="004856EC"/>
    <w:rsid w:val="00485C88"/>
    <w:rsid w:val="00485E29"/>
    <w:rsid w:val="004861E2"/>
    <w:rsid w:val="00486304"/>
    <w:rsid w:val="00486853"/>
    <w:rsid w:val="0048730B"/>
    <w:rsid w:val="00487DA0"/>
    <w:rsid w:val="0049031B"/>
    <w:rsid w:val="00490571"/>
    <w:rsid w:val="00490F55"/>
    <w:rsid w:val="00491C52"/>
    <w:rsid w:val="00491F6C"/>
    <w:rsid w:val="0049245B"/>
    <w:rsid w:val="00492AC3"/>
    <w:rsid w:val="00493093"/>
    <w:rsid w:val="0049312D"/>
    <w:rsid w:val="00494577"/>
    <w:rsid w:val="0049478B"/>
    <w:rsid w:val="00494DEC"/>
    <w:rsid w:val="0049575A"/>
    <w:rsid w:val="00495A06"/>
    <w:rsid w:val="0049608E"/>
    <w:rsid w:val="0049704C"/>
    <w:rsid w:val="00497840"/>
    <w:rsid w:val="004A0AD6"/>
    <w:rsid w:val="004A0B8F"/>
    <w:rsid w:val="004A0D5B"/>
    <w:rsid w:val="004A101B"/>
    <w:rsid w:val="004A1568"/>
    <w:rsid w:val="004A1BA1"/>
    <w:rsid w:val="004A1FE2"/>
    <w:rsid w:val="004A231A"/>
    <w:rsid w:val="004A2AB5"/>
    <w:rsid w:val="004A2C66"/>
    <w:rsid w:val="004A362D"/>
    <w:rsid w:val="004A4314"/>
    <w:rsid w:val="004A43AB"/>
    <w:rsid w:val="004A48BC"/>
    <w:rsid w:val="004A5407"/>
    <w:rsid w:val="004A56A1"/>
    <w:rsid w:val="004A57B8"/>
    <w:rsid w:val="004A5F46"/>
    <w:rsid w:val="004A6195"/>
    <w:rsid w:val="004A6A13"/>
    <w:rsid w:val="004A6B22"/>
    <w:rsid w:val="004A6E0A"/>
    <w:rsid w:val="004A6F9C"/>
    <w:rsid w:val="004A7339"/>
    <w:rsid w:val="004A7653"/>
    <w:rsid w:val="004A7B5F"/>
    <w:rsid w:val="004A7E56"/>
    <w:rsid w:val="004A7F8F"/>
    <w:rsid w:val="004B004E"/>
    <w:rsid w:val="004B0544"/>
    <w:rsid w:val="004B08AB"/>
    <w:rsid w:val="004B15EB"/>
    <w:rsid w:val="004B174A"/>
    <w:rsid w:val="004B1C04"/>
    <w:rsid w:val="004B1C3A"/>
    <w:rsid w:val="004B3973"/>
    <w:rsid w:val="004B3A61"/>
    <w:rsid w:val="004B3C06"/>
    <w:rsid w:val="004B4EC6"/>
    <w:rsid w:val="004B5872"/>
    <w:rsid w:val="004B596D"/>
    <w:rsid w:val="004B5C58"/>
    <w:rsid w:val="004B60A8"/>
    <w:rsid w:val="004B6287"/>
    <w:rsid w:val="004B6F8B"/>
    <w:rsid w:val="004B7054"/>
    <w:rsid w:val="004B73B6"/>
    <w:rsid w:val="004B77BE"/>
    <w:rsid w:val="004B795A"/>
    <w:rsid w:val="004C00A8"/>
    <w:rsid w:val="004C168F"/>
    <w:rsid w:val="004C19D5"/>
    <w:rsid w:val="004C1DA5"/>
    <w:rsid w:val="004C2513"/>
    <w:rsid w:val="004C2AD5"/>
    <w:rsid w:val="004C30EA"/>
    <w:rsid w:val="004C414A"/>
    <w:rsid w:val="004C4779"/>
    <w:rsid w:val="004C4899"/>
    <w:rsid w:val="004C4D64"/>
    <w:rsid w:val="004C4F96"/>
    <w:rsid w:val="004C53F3"/>
    <w:rsid w:val="004C57E6"/>
    <w:rsid w:val="004C5930"/>
    <w:rsid w:val="004C5DE0"/>
    <w:rsid w:val="004C6373"/>
    <w:rsid w:val="004C6653"/>
    <w:rsid w:val="004C682E"/>
    <w:rsid w:val="004C6A05"/>
    <w:rsid w:val="004C6A40"/>
    <w:rsid w:val="004C6BEB"/>
    <w:rsid w:val="004C782F"/>
    <w:rsid w:val="004C797D"/>
    <w:rsid w:val="004D078E"/>
    <w:rsid w:val="004D1031"/>
    <w:rsid w:val="004D124F"/>
    <w:rsid w:val="004D12DA"/>
    <w:rsid w:val="004D1F03"/>
    <w:rsid w:val="004D2316"/>
    <w:rsid w:val="004D3567"/>
    <w:rsid w:val="004D3B48"/>
    <w:rsid w:val="004D4423"/>
    <w:rsid w:val="004D49E0"/>
    <w:rsid w:val="004D4A0A"/>
    <w:rsid w:val="004D5FD6"/>
    <w:rsid w:val="004D6103"/>
    <w:rsid w:val="004D622F"/>
    <w:rsid w:val="004D627E"/>
    <w:rsid w:val="004D64BD"/>
    <w:rsid w:val="004D6E9D"/>
    <w:rsid w:val="004D7071"/>
    <w:rsid w:val="004D73DA"/>
    <w:rsid w:val="004D7CEB"/>
    <w:rsid w:val="004E038A"/>
    <w:rsid w:val="004E098E"/>
    <w:rsid w:val="004E139A"/>
    <w:rsid w:val="004E19BB"/>
    <w:rsid w:val="004E1D3E"/>
    <w:rsid w:val="004E1E1F"/>
    <w:rsid w:val="004E2992"/>
    <w:rsid w:val="004E33CB"/>
    <w:rsid w:val="004E3D38"/>
    <w:rsid w:val="004E45B5"/>
    <w:rsid w:val="004E4C6B"/>
    <w:rsid w:val="004E4DCC"/>
    <w:rsid w:val="004E4E78"/>
    <w:rsid w:val="004E56C5"/>
    <w:rsid w:val="004E6006"/>
    <w:rsid w:val="004E6103"/>
    <w:rsid w:val="004E63D6"/>
    <w:rsid w:val="004E69A2"/>
    <w:rsid w:val="004F03AB"/>
    <w:rsid w:val="004F0409"/>
    <w:rsid w:val="004F09BC"/>
    <w:rsid w:val="004F1326"/>
    <w:rsid w:val="004F1348"/>
    <w:rsid w:val="004F20A9"/>
    <w:rsid w:val="004F250F"/>
    <w:rsid w:val="004F309D"/>
    <w:rsid w:val="004F3376"/>
    <w:rsid w:val="004F33D6"/>
    <w:rsid w:val="004F34A4"/>
    <w:rsid w:val="004F3DEA"/>
    <w:rsid w:val="004F4833"/>
    <w:rsid w:val="004F48AE"/>
    <w:rsid w:val="004F4E34"/>
    <w:rsid w:val="004F5353"/>
    <w:rsid w:val="004F5AC4"/>
    <w:rsid w:val="004F5BEF"/>
    <w:rsid w:val="004F5EC2"/>
    <w:rsid w:val="004F6083"/>
    <w:rsid w:val="004F614D"/>
    <w:rsid w:val="004F6993"/>
    <w:rsid w:val="004F7B78"/>
    <w:rsid w:val="004F7B89"/>
    <w:rsid w:val="0050016A"/>
    <w:rsid w:val="00500607"/>
    <w:rsid w:val="005008BC"/>
    <w:rsid w:val="00500CF7"/>
    <w:rsid w:val="00501215"/>
    <w:rsid w:val="00501EFD"/>
    <w:rsid w:val="00502659"/>
    <w:rsid w:val="005036A7"/>
    <w:rsid w:val="00503FF2"/>
    <w:rsid w:val="005040CB"/>
    <w:rsid w:val="005042E7"/>
    <w:rsid w:val="0050459F"/>
    <w:rsid w:val="00504A5C"/>
    <w:rsid w:val="00504ABA"/>
    <w:rsid w:val="00504EC3"/>
    <w:rsid w:val="005058E8"/>
    <w:rsid w:val="00505AE5"/>
    <w:rsid w:val="00505E77"/>
    <w:rsid w:val="00506020"/>
    <w:rsid w:val="0050634E"/>
    <w:rsid w:val="005069ED"/>
    <w:rsid w:val="00506D60"/>
    <w:rsid w:val="00507417"/>
    <w:rsid w:val="00507986"/>
    <w:rsid w:val="005079FB"/>
    <w:rsid w:val="00507D01"/>
    <w:rsid w:val="005102F2"/>
    <w:rsid w:val="005108FA"/>
    <w:rsid w:val="00510A7F"/>
    <w:rsid w:val="00510C75"/>
    <w:rsid w:val="00510D66"/>
    <w:rsid w:val="005114DA"/>
    <w:rsid w:val="0051216C"/>
    <w:rsid w:val="005121E1"/>
    <w:rsid w:val="005124DF"/>
    <w:rsid w:val="00512713"/>
    <w:rsid w:val="005129A9"/>
    <w:rsid w:val="00512D84"/>
    <w:rsid w:val="00513507"/>
    <w:rsid w:val="00513C23"/>
    <w:rsid w:val="00513DE5"/>
    <w:rsid w:val="00514335"/>
    <w:rsid w:val="0051484D"/>
    <w:rsid w:val="005152B2"/>
    <w:rsid w:val="005155DF"/>
    <w:rsid w:val="00516516"/>
    <w:rsid w:val="005165CF"/>
    <w:rsid w:val="005169D2"/>
    <w:rsid w:val="00516EAB"/>
    <w:rsid w:val="00517003"/>
    <w:rsid w:val="00517133"/>
    <w:rsid w:val="005171A9"/>
    <w:rsid w:val="005171F5"/>
    <w:rsid w:val="00517681"/>
    <w:rsid w:val="00517BFB"/>
    <w:rsid w:val="00520658"/>
    <w:rsid w:val="005208A2"/>
    <w:rsid w:val="00520A76"/>
    <w:rsid w:val="00520D3D"/>
    <w:rsid w:val="00520E5A"/>
    <w:rsid w:val="005211F4"/>
    <w:rsid w:val="005213E9"/>
    <w:rsid w:val="00521B9A"/>
    <w:rsid w:val="005230B5"/>
    <w:rsid w:val="00523CFE"/>
    <w:rsid w:val="0052475F"/>
    <w:rsid w:val="00524786"/>
    <w:rsid w:val="005248B2"/>
    <w:rsid w:val="0052493E"/>
    <w:rsid w:val="00524B24"/>
    <w:rsid w:val="00524D98"/>
    <w:rsid w:val="005253A2"/>
    <w:rsid w:val="0052546A"/>
    <w:rsid w:val="0052560B"/>
    <w:rsid w:val="00525974"/>
    <w:rsid w:val="00525A2B"/>
    <w:rsid w:val="00525AE0"/>
    <w:rsid w:val="00525E1B"/>
    <w:rsid w:val="0052655A"/>
    <w:rsid w:val="00526689"/>
    <w:rsid w:val="00526867"/>
    <w:rsid w:val="00526968"/>
    <w:rsid w:val="00526BD9"/>
    <w:rsid w:val="005273D8"/>
    <w:rsid w:val="005276A8"/>
    <w:rsid w:val="00527CD3"/>
    <w:rsid w:val="00530018"/>
    <w:rsid w:val="0053019A"/>
    <w:rsid w:val="005301F2"/>
    <w:rsid w:val="005302ED"/>
    <w:rsid w:val="0053046A"/>
    <w:rsid w:val="00530637"/>
    <w:rsid w:val="005306BA"/>
    <w:rsid w:val="00530826"/>
    <w:rsid w:val="00530CE6"/>
    <w:rsid w:val="005310C9"/>
    <w:rsid w:val="00531ED0"/>
    <w:rsid w:val="00532650"/>
    <w:rsid w:val="00533FE3"/>
    <w:rsid w:val="00534EAE"/>
    <w:rsid w:val="0053541C"/>
    <w:rsid w:val="005354D6"/>
    <w:rsid w:val="0053570A"/>
    <w:rsid w:val="00535BAB"/>
    <w:rsid w:val="00536323"/>
    <w:rsid w:val="005365E5"/>
    <w:rsid w:val="0053677B"/>
    <w:rsid w:val="005369FB"/>
    <w:rsid w:val="00536BD7"/>
    <w:rsid w:val="005374D3"/>
    <w:rsid w:val="00537FD9"/>
    <w:rsid w:val="00540842"/>
    <w:rsid w:val="00540BFF"/>
    <w:rsid w:val="00540FC7"/>
    <w:rsid w:val="005411FC"/>
    <w:rsid w:val="00541788"/>
    <w:rsid w:val="00541836"/>
    <w:rsid w:val="00541A0F"/>
    <w:rsid w:val="00541F5D"/>
    <w:rsid w:val="005427FD"/>
    <w:rsid w:val="00542914"/>
    <w:rsid w:val="00542B56"/>
    <w:rsid w:val="00542BFA"/>
    <w:rsid w:val="005435EF"/>
    <w:rsid w:val="00543FC2"/>
    <w:rsid w:val="00544142"/>
    <w:rsid w:val="0054417C"/>
    <w:rsid w:val="0054512F"/>
    <w:rsid w:val="005453F6"/>
    <w:rsid w:val="00545762"/>
    <w:rsid w:val="005459F4"/>
    <w:rsid w:val="00545B06"/>
    <w:rsid w:val="005466BD"/>
    <w:rsid w:val="00546DE4"/>
    <w:rsid w:val="005470D3"/>
    <w:rsid w:val="00547795"/>
    <w:rsid w:val="00547FD7"/>
    <w:rsid w:val="00550056"/>
    <w:rsid w:val="00550756"/>
    <w:rsid w:val="005512EA"/>
    <w:rsid w:val="005513EB"/>
    <w:rsid w:val="00551527"/>
    <w:rsid w:val="0055157E"/>
    <w:rsid w:val="00551944"/>
    <w:rsid w:val="005519E0"/>
    <w:rsid w:val="00551A13"/>
    <w:rsid w:val="00551AA9"/>
    <w:rsid w:val="00551CE0"/>
    <w:rsid w:val="00551F4C"/>
    <w:rsid w:val="00552278"/>
    <w:rsid w:val="00552D94"/>
    <w:rsid w:val="00553298"/>
    <w:rsid w:val="00553725"/>
    <w:rsid w:val="00553925"/>
    <w:rsid w:val="0055418F"/>
    <w:rsid w:val="0055423F"/>
    <w:rsid w:val="005549E3"/>
    <w:rsid w:val="00554DC0"/>
    <w:rsid w:val="00555501"/>
    <w:rsid w:val="00555B36"/>
    <w:rsid w:val="005569C8"/>
    <w:rsid w:val="005572E4"/>
    <w:rsid w:val="00557373"/>
    <w:rsid w:val="005574FA"/>
    <w:rsid w:val="005604F6"/>
    <w:rsid w:val="00560DF8"/>
    <w:rsid w:val="005614B9"/>
    <w:rsid w:val="00561EFF"/>
    <w:rsid w:val="005627E7"/>
    <w:rsid w:val="00563500"/>
    <w:rsid w:val="005638F8"/>
    <w:rsid w:val="0056415B"/>
    <w:rsid w:val="005643B4"/>
    <w:rsid w:val="005643E7"/>
    <w:rsid w:val="00564933"/>
    <w:rsid w:val="00565508"/>
    <w:rsid w:val="00565C81"/>
    <w:rsid w:val="005660D4"/>
    <w:rsid w:val="005660DA"/>
    <w:rsid w:val="005665BF"/>
    <w:rsid w:val="0056664B"/>
    <w:rsid w:val="00566AEE"/>
    <w:rsid w:val="00566BDD"/>
    <w:rsid w:val="00567084"/>
    <w:rsid w:val="00567364"/>
    <w:rsid w:val="005674B8"/>
    <w:rsid w:val="005702E0"/>
    <w:rsid w:val="005702E8"/>
    <w:rsid w:val="00570B83"/>
    <w:rsid w:val="00570E0F"/>
    <w:rsid w:val="00571A1A"/>
    <w:rsid w:val="00571B3E"/>
    <w:rsid w:val="00571DE2"/>
    <w:rsid w:val="00574472"/>
    <w:rsid w:val="00574C04"/>
    <w:rsid w:val="00574CF3"/>
    <w:rsid w:val="00575198"/>
    <w:rsid w:val="005751C7"/>
    <w:rsid w:val="00575611"/>
    <w:rsid w:val="00575B19"/>
    <w:rsid w:val="00576677"/>
    <w:rsid w:val="00576B41"/>
    <w:rsid w:val="00576E7F"/>
    <w:rsid w:val="0057721B"/>
    <w:rsid w:val="00577FF2"/>
    <w:rsid w:val="005804A8"/>
    <w:rsid w:val="00580970"/>
    <w:rsid w:val="00582184"/>
    <w:rsid w:val="0058283C"/>
    <w:rsid w:val="00582BD3"/>
    <w:rsid w:val="005832EE"/>
    <w:rsid w:val="0058357E"/>
    <w:rsid w:val="005835D4"/>
    <w:rsid w:val="00583696"/>
    <w:rsid w:val="005841B6"/>
    <w:rsid w:val="00584958"/>
    <w:rsid w:val="005851E6"/>
    <w:rsid w:val="0058550F"/>
    <w:rsid w:val="00585673"/>
    <w:rsid w:val="005857AA"/>
    <w:rsid w:val="00585AC8"/>
    <w:rsid w:val="00585F04"/>
    <w:rsid w:val="00586B9D"/>
    <w:rsid w:val="00586C4E"/>
    <w:rsid w:val="00586E50"/>
    <w:rsid w:val="00586F99"/>
    <w:rsid w:val="0058791D"/>
    <w:rsid w:val="00587EC7"/>
    <w:rsid w:val="00587EE3"/>
    <w:rsid w:val="00590727"/>
    <w:rsid w:val="0059099B"/>
    <w:rsid w:val="005916A6"/>
    <w:rsid w:val="00591FFF"/>
    <w:rsid w:val="00592393"/>
    <w:rsid w:val="00592631"/>
    <w:rsid w:val="00593970"/>
    <w:rsid w:val="005949D0"/>
    <w:rsid w:val="00594E17"/>
    <w:rsid w:val="00595DBF"/>
    <w:rsid w:val="00595E17"/>
    <w:rsid w:val="005963BE"/>
    <w:rsid w:val="00596C9E"/>
    <w:rsid w:val="00597743"/>
    <w:rsid w:val="005A01FB"/>
    <w:rsid w:val="005A0639"/>
    <w:rsid w:val="005A0D28"/>
    <w:rsid w:val="005A1BBF"/>
    <w:rsid w:val="005A25D1"/>
    <w:rsid w:val="005A29B9"/>
    <w:rsid w:val="005A3328"/>
    <w:rsid w:val="005A34EA"/>
    <w:rsid w:val="005A4A32"/>
    <w:rsid w:val="005A5022"/>
    <w:rsid w:val="005A5E30"/>
    <w:rsid w:val="005A5E69"/>
    <w:rsid w:val="005A5EFB"/>
    <w:rsid w:val="005A656E"/>
    <w:rsid w:val="005A65FE"/>
    <w:rsid w:val="005A6606"/>
    <w:rsid w:val="005A6BE8"/>
    <w:rsid w:val="005A6F5B"/>
    <w:rsid w:val="005A79BF"/>
    <w:rsid w:val="005A7BB6"/>
    <w:rsid w:val="005B06FC"/>
    <w:rsid w:val="005B0A87"/>
    <w:rsid w:val="005B0CFC"/>
    <w:rsid w:val="005B0D7A"/>
    <w:rsid w:val="005B1072"/>
    <w:rsid w:val="005B193F"/>
    <w:rsid w:val="005B1A38"/>
    <w:rsid w:val="005B1B2F"/>
    <w:rsid w:val="005B1E5A"/>
    <w:rsid w:val="005B2741"/>
    <w:rsid w:val="005B3103"/>
    <w:rsid w:val="005B38D8"/>
    <w:rsid w:val="005B39B0"/>
    <w:rsid w:val="005B3A37"/>
    <w:rsid w:val="005B4313"/>
    <w:rsid w:val="005B4471"/>
    <w:rsid w:val="005B55C4"/>
    <w:rsid w:val="005B5BB4"/>
    <w:rsid w:val="005B5C3B"/>
    <w:rsid w:val="005B6816"/>
    <w:rsid w:val="005B6E2C"/>
    <w:rsid w:val="005B6F47"/>
    <w:rsid w:val="005B7032"/>
    <w:rsid w:val="005B71B1"/>
    <w:rsid w:val="005B744F"/>
    <w:rsid w:val="005B7613"/>
    <w:rsid w:val="005B7774"/>
    <w:rsid w:val="005B77B1"/>
    <w:rsid w:val="005B7BDD"/>
    <w:rsid w:val="005B7C68"/>
    <w:rsid w:val="005B7EE4"/>
    <w:rsid w:val="005C0689"/>
    <w:rsid w:val="005C0990"/>
    <w:rsid w:val="005C0D54"/>
    <w:rsid w:val="005C0ED2"/>
    <w:rsid w:val="005C0FCA"/>
    <w:rsid w:val="005C1DC4"/>
    <w:rsid w:val="005C1F33"/>
    <w:rsid w:val="005C21DE"/>
    <w:rsid w:val="005C26DB"/>
    <w:rsid w:val="005C368A"/>
    <w:rsid w:val="005C3884"/>
    <w:rsid w:val="005C3C55"/>
    <w:rsid w:val="005C4051"/>
    <w:rsid w:val="005C422C"/>
    <w:rsid w:val="005C4CE4"/>
    <w:rsid w:val="005C4D83"/>
    <w:rsid w:val="005C55C6"/>
    <w:rsid w:val="005C5AD6"/>
    <w:rsid w:val="005C7100"/>
    <w:rsid w:val="005C751A"/>
    <w:rsid w:val="005C7543"/>
    <w:rsid w:val="005C7DE2"/>
    <w:rsid w:val="005C7F35"/>
    <w:rsid w:val="005D06CC"/>
    <w:rsid w:val="005D0C16"/>
    <w:rsid w:val="005D1160"/>
    <w:rsid w:val="005D19C4"/>
    <w:rsid w:val="005D223B"/>
    <w:rsid w:val="005D2488"/>
    <w:rsid w:val="005D2DA6"/>
    <w:rsid w:val="005D3264"/>
    <w:rsid w:val="005D35F3"/>
    <w:rsid w:val="005D3614"/>
    <w:rsid w:val="005D3A67"/>
    <w:rsid w:val="005D41C8"/>
    <w:rsid w:val="005D4986"/>
    <w:rsid w:val="005D4B1D"/>
    <w:rsid w:val="005D4B68"/>
    <w:rsid w:val="005D4D0C"/>
    <w:rsid w:val="005D5091"/>
    <w:rsid w:val="005D5127"/>
    <w:rsid w:val="005D5686"/>
    <w:rsid w:val="005D57B2"/>
    <w:rsid w:val="005D5D4B"/>
    <w:rsid w:val="005D5DFB"/>
    <w:rsid w:val="005D6233"/>
    <w:rsid w:val="005D72F2"/>
    <w:rsid w:val="005D7467"/>
    <w:rsid w:val="005D7617"/>
    <w:rsid w:val="005D7AB0"/>
    <w:rsid w:val="005D7BA6"/>
    <w:rsid w:val="005E00A8"/>
    <w:rsid w:val="005E0400"/>
    <w:rsid w:val="005E0B71"/>
    <w:rsid w:val="005E1556"/>
    <w:rsid w:val="005E1A6D"/>
    <w:rsid w:val="005E1CBE"/>
    <w:rsid w:val="005E1FDF"/>
    <w:rsid w:val="005E2C81"/>
    <w:rsid w:val="005E2DE2"/>
    <w:rsid w:val="005E3A86"/>
    <w:rsid w:val="005E3F2E"/>
    <w:rsid w:val="005E41C8"/>
    <w:rsid w:val="005E4257"/>
    <w:rsid w:val="005E4684"/>
    <w:rsid w:val="005E474C"/>
    <w:rsid w:val="005E4A9A"/>
    <w:rsid w:val="005E5092"/>
    <w:rsid w:val="005E55CA"/>
    <w:rsid w:val="005E5B28"/>
    <w:rsid w:val="005E5E1A"/>
    <w:rsid w:val="005E5EB5"/>
    <w:rsid w:val="005E626C"/>
    <w:rsid w:val="005E6384"/>
    <w:rsid w:val="005E6508"/>
    <w:rsid w:val="005E69B1"/>
    <w:rsid w:val="005E6F0B"/>
    <w:rsid w:val="005E7D7A"/>
    <w:rsid w:val="005F04D6"/>
    <w:rsid w:val="005F058E"/>
    <w:rsid w:val="005F064E"/>
    <w:rsid w:val="005F0A1B"/>
    <w:rsid w:val="005F0DBD"/>
    <w:rsid w:val="005F1859"/>
    <w:rsid w:val="005F1A83"/>
    <w:rsid w:val="005F1E12"/>
    <w:rsid w:val="005F1E1B"/>
    <w:rsid w:val="005F2850"/>
    <w:rsid w:val="005F2B4A"/>
    <w:rsid w:val="005F3072"/>
    <w:rsid w:val="005F316A"/>
    <w:rsid w:val="005F31E8"/>
    <w:rsid w:val="005F3D0A"/>
    <w:rsid w:val="005F4E3F"/>
    <w:rsid w:val="005F4FCB"/>
    <w:rsid w:val="005F55B2"/>
    <w:rsid w:val="005F5704"/>
    <w:rsid w:val="005F5A89"/>
    <w:rsid w:val="005F608B"/>
    <w:rsid w:val="005F609A"/>
    <w:rsid w:val="005F63C2"/>
    <w:rsid w:val="005F6D51"/>
    <w:rsid w:val="005F7089"/>
    <w:rsid w:val="005F7A57"/>
    <w:rsid w:val="005F7D56"/>
    <w:rsid w:val="0060087B"/>
    <w:rsid w:val="00600D98"/>
    <w:rsid w:val="006010B1"/>
    <w:rsid w:val="00601AB6"/>
    <w:rsid w:val="00601FCF"/>
    <w:rsid w:val="0060212A"/>
    <w:rsid w:val="00602303"/>
    <w:rsid w:val="006023C1"/>
    <w:rsid w:val="006024E5"/>
    <w:rsid w:val="006027E0"/>
    <w:rsid w:val="00602D4A"/>
    <w:rsid w:val="00603C73"/>
    <w:rsid w:val="00603C99"/>
    <w:rsid w:val="00603EA6"/>
    <w:rsid w:val="00604024"/>
    <w:rsid w:val="006048D4"/>
    <w:rsid w:val="006055CB"/>
    <w:rsid w:val="0060568D"/>
    <w:rsid w:val="006057ED"/>
    <w:rsid w:val="0060591A"/>
    <w:rsid w:val="00605984"/>
    <w:rsid w:val="00605A3C"/>
    <w:rsid w:val="00605EF8"/>
    <w:rsid w:val="00606983"/>
    <w:rsid w:val="00606AB7"/>
    <w:rsid w:val="00606D1A"/>
    <w:rsid w:val="0060732C"/>
    <w:rsid w:val="0060748A"/>
    <w:rsid w:val="006077A7"/>
    <w:rsid w:val="006079ED"/>
    <w:rsid w:val="00610211"/>
    <w:rsid w:val="0061058C"/>
    <w:rsid w:val="0061084D"/>
    <w:rsid w:val="00610A72"/>
    <w:rsid w:val="00610FC2"/>
    <w:rsid w:val="00611B91"/>
    <w:rsid w:val="00612872"/>
    <w:rsid w:val="0061308A"/>
    <w:rsid w:val="00613625"/>
    <w:rsid w:val="006137BE"/>
    <w:rsid w:val="00613DB5"/>
    <w:rsid w:val="00614B01"/>
    <w:rsid w:val="00615077"/>
    <w:rsid w:val="006153F5"/>
    <w:rsid w:val="00615DEB"/>
    <w:rsid w:val="00616323"/>
    <w:rsid w:val="00616687"/>
    <w:rsid w:val="00620253"/>
    <w:rsid w:val="006217F3"/>
    <w:rsid w:val="006219A9"/>
    <w:rsid w:val="00621E9B"/>
    <w:rsid w:val="006222DF"/>
    <w:rsid w:val="006222EF"/>
    <w:rsid w:val="0062261A"/>
    <w:rsid w:val="006228E6"/>
    <w:rsid w:val="00622DA8"/>
    <w:rsid w:val="00623423"/>
    <w:rsid w:val="0062344B"/>
    <w:rsid w:val="006235A4"/>
    <w:rsid w:val="006238C8"/>
    <w:rsid w:val="00623A4F"/>
    <w:rsid w:val="00624529"/>
    <w:rsid w:val="00624A16"/>
    <w:rsid w:val="00624E59"/>
    <w:rsid w:val="006250A8"/>
    <w:rsid w:val="006252EE"/>
    <w:rsid w:val="00625403"/>
    <w:rsid w:val="006256A4"/>
    <w:rsid w:val="0062599D"/>
    <w:rsid w:val="00626B74"/>
    <w:rsid w:val="00626F04"/>
    <w:rsid w:val="006301B7"/>
    <w:rsid w:val="0063044C"/>
    <w:rsid w:val="00630EEC"/>
    <w:rsid w:val="006313AE"/>
    <w:rsid w:val="00631A62"/>
    <w:rsid w:val="006320A6"/>
    <w:rsid w:val="00632745"/>
    <w:rsid w:val="006329F4"/>
    <w:rsid w:val="00632EF9"/>
    <w:rsid w:val="0063364F"/>
    <w:rsid w:val="00633CB4"/>
    <w:rsid w:val="00633FA0"/>
    <w:rsid w:val="006344C5"/>
    <w:rsid w:val="0063496A"/>
    <w:rsid w:val="0063578A"/>
    <w:rsid w:val="0063640B"/>
    <w:rsid w:val="0063646F"/>
    <w:rsid w:val="00636844"/>
    <w:rsid w:val="0063709D"/>
    <w:rsid w:val="0063742D"/>
    <w:rsid w:val="006374D6"/>
    <w:rsid w:val="006401CD"/>
    <w:rsid w:val="00641185"/>
    <w:rsid w:val="00641BAF"/>
    <w:rsid w:val="00642277"/>
    <w:rsid w:val="00642963"/>
    <w:rsid w:val="0064327E"/>
    <w:rsid w:val="00643EBC"/>
    <w:rsid w:val="0064442D"/>
    <w:rsid w:val="006444CD"/>
    <w:rsid w:val="006445EF"/>
    <w:rsid w:val="00644A62"/>
    <w:rsid w:val="006450FF"/>
    <w:rsid w:val="00645F36"/>
    <w:rsid w:val="00645F3C"/>
    <w:rsid w:val="006464F4"/>
    <w:rsid w:val="00646AAF"/>
    <w:rsid w:val="00647035"/>
    <w:rsid w:val="0064722D"/>
    <w:rsid w:val="006474FD"/>
    <w:rsid w:val="00647E78"/>
    <w:rsid w:val="00647F89"/>
    <w:rsid w:val="00650363"/>
    <w:rsid w:val="006504FE"/>
    <w:rsid w:val="006506C3"/>
    <w:rsid w:val="00651637"/>
    <w:rsid w:val="00651BD1"/>
    <w:rsid w:val="00651E05"/>
    <w:rsid w:val="00651E7E"/>
    <w:rsid w:val="006524C2"/>
    <w:rsid w:val="0065267A"/>
    <w:rsid w:val="00652722"/>
    <w:rsid w:val="00652775"/>
    <w:rsid w:val="00652EEE"/>
    <w:rsid w:val="00653330"/>
    <w:rsid w:val="0065345D"/>
    <w:rsid w:val="006539A3"/>
    <w:rsid w:val="00653C88"/>
    <w:rsid w:val="00653E48"/>
    <w:rsid w:val="00654293"/>
    <w:rsid w:val="00654665"/>
    <w:rsid w:val="00654A48"/>
    <w:rsid w:val="00654B86"/>
    <w:rsid w:val="00655A61"/>
    <w:rsid w:val="00656278"/>
    <w:rsid w:val="00656B63"/>
    <w:rsid w:val="00656C0A"/>
    <w:rsid w:val="006570F7"/>
    <w:rsid w:val="0065714B"/>
    <w:rsid w:val="00657980"/>
    <w:rsid w:val="00657D67"/>
    <w:rsid w:val="00657F7F"/>
    <w:rsid w:val="00660988"/>
    <w:rsid w:val="00660AF3"/>
    <w:rsid w:val="00660C68"/>
    <w:rsid w:val="0066243C"/>
    <w:rsid w:val="006624E8"/>
    <w:rsid w:val="006627E0"/>
    <w:rsid w:val="0066280E"/>
    <w:rsid w:val="00663198"/>
    <w:rsid w:val="006635AD"/>
    <w:rsid w:val="00663A92"/>
    <w:rsid w:val="00663BA2"/>
    <w:rsid w:val="00663FA8"/>
    <w:rsid w:val="00664352"/>
    <w:rsid w:val="006645AD"/>
    <w:rsid w:val="00665BD3"/>
    <w:rsid w:val="00665F46"/>
    <w:rsid w:val="00666742"/>
    <w:rsid w:val="00666E62"/>
    <w:rsid w:val="00666FC2"/>
    <w:rsid w:val="00667219"/>
    <w:rsid w:val="006678E5"/>
    <w:rsid w:val="00667E55"/>
    <w:rsid w:val="00667FCF"/>
    <w:rsid w:val="006709D4"/>
    <w:rsid w:val="00671303"/>
    <w:rsid w:val="00671370"/>
    <w:rsid w:val="00671E6F"/>
    <w:rsid w:val="0067209B"/>
    <w:rsid w:val="006720EF"/>
    <w:rsid w:val="00672E90"/>
    <w:rsid w:val="00673551"/>
    <w:rsid w:val="006735CA"/>
    <w:rsid w:val="00673EF1"/>
    <w:rsid w:val="00674257"/>
    <w:rsid w:val="0067469D"/>
    <w:rsid w:val="006758DD"/>
    <w:rsid w:val="00675BA6"/>
    <w:rsid w:val="00675F8E"/>
    <w:rsid w:val="006764A2"/>
    <w:rsid w:val="00676824"/>
    <w:rsid w:val="00676BE8"/>
    <w:rsid w:val="006772F1"/>
    <w:rsid w:val="0067764C"/>
    <w:rsid w:val="00677704"/>
    <w:rsid w:val="006777ED"/>
    <w:rsid w:val="00677A11"/>
    <w:rsid w:val="00677FDC"/>
    <w:rsid w:val="006806D3"/>
    <w:rsid w:val="00680B20"/>
    <w:rsid w:val="00681636"/>
    <w:rsid w:val="0068164D"/>
    <w:rsid w:val="00681849"/>
    <w:rsid w:val="00681942"/>
    <w:rsid w:val="0068234F"/>
    <w:rsid w:val="00682501"/>
    <w:rsid w:val="00682D5E"/>
    <w:rsid w:val="006830C1"/>
    <w:rsid w:val="006831CB"/>
    <w:rsid w:val="00683FB9"/>
    <w:rsid w:val="00684C4D"/>
    <w:rsid w:val="00684FB9"/>
    <w:rsid w:val="00685CD1"/>
    <w:rsid w:val="00685DF5"/>
    <w:rsid w:val="00686224"/>
    <w:rsid w:val="0068675F"/>
    <w:rsid w:val="00686CE8"/>
    <w:rsid w:val="0068734B"/>
    <w:rsid w:val="0068743D"/>
    <w:rsid w:val="0068775B"/>
    <w:rsid w:val="00687970"/>
    <w:rsid w:val="006879D4"/>
    <w:rsid w:val="00687CC3"/>
    <w:rsid w:val="00690012"/>
    <w:rsid w:val="00690389"/>
    <w:rsid w:val="006909B5"/>
    <w:rsid w:val="006909BC"/>
    <w:rsid w:val="00690A08"/>
    <w:rsid w:val="00690A79"/>
    <w:rsid w:val="00690E46"/>
    <w:rsid w:val="006915A5"/>
    <w:rsid w:val="0069188F"/>
    <w:rsid w:val="006926FC"/>
    <w:rsid w:val="0069281E"/>
    <w:rsid w:val="00692867"/>
    <w:rsid w:val="00692C93"/>
    <w:rsid w:val="00692CBC"/>
    <w:rsid w:val="00692F4E"/>
    <w:rsid w:val="00692FEE"/>
    <w:rsid w:val="006936E1"/>
    <w:rsid w:val="00693BB6"/>
    <w:rsid w:val="00693E73"/>
    <w:rsid w:val="0069495F"/>
    <w:rsid w:val="00694B1F"/>
    <w:rsid w:val="0069507D"/>
    <w:rsid w:val="006950B9"/>
    <w:rsid w:val="00695A18"/>
    <w:rsid w:val="00695C53"/>
    <w:rsid w:val="0069662A"/>
    <w:rsid w:val="006966B7"/>
    <w:rsid w:val="00696FFE"/>
    <w:rsid w:val="006971EB"/>
    <w:rsid w:val="006977F3"/>
    <w:rsid w:val="006977F7"/>
    <w:rsid w:val="00697ADD"/>
    <w:rsid w:val="006A038B"/>
    <w:rsid w:val="006A05B9"/>
    <w:rsid w:val="006A06C1"/>
    <w:rsid w:val="006A0AFB"/>
    <w:rsid w:val="006A0CE9"/>
    <w:rsid w:val="006A0D51"/>
    <w:rsid w:val="006A0FCB"/>
    <w:rsid w:val="006A14BC"/>
    <w:rsid w:val="006A1694"/>
    <w:rsid w:val="006A1718"/>
    <w:rsid w:val="006A1D14"/>
    <w:rsid w:val="006A1D2D"/>
    <w:rsid w:val="006A1E62"/>
    <w:rsid w:val="006A28E3"/>
    <w:rsid w:val="006A2AE3"/>
    <w:rsid w:val="006A2D72"/>
    <w:rsid w:val="006A2E56"/>
    <w:rsid w:val="006A33F4"/>
    <w:rsid w:val="006A3E68"/>
    <w:rsid w:val="006A4B93"/>
    <w:rsid w:val="006A4CC6"/>
    <w:rsid w:val="006A4D7C"/>
    <w:rsid w:val="006A4DF7"/>
    <w:rsid w:val="006A4E62"/>
    <w:rsid w:val="006A4EFB"/>
    <w:rsid w:val="006A5C25"/>
    <w:rsid w:val="006A5DF2"/>
    <w:rsid w:val="006A6035"/>
    <w:rsid w:val="006A64CA"/>
    <w:rsid w:val="006A64F3"/>
    <w:rsid w:val="006A6730"/>
    <w:rsid w:val="006A76AD"/>
    <w:rsid w:val="006A7D0C"/>
    <w:rsid w:val="006A7DBC"/>
    <w:rsid w:val="006B03E6"/>
    <w:rsid w:val="006B0CAC"/>
    <w:rsid w:val="006B216B"/>
    <w:rsid w:val="006B2987"/>
    <w:rsid w:val="006B2B7E"/>
    <w:rsid w:val="006B2BC3"/>
    <w:rsid w:val="006B2C53"/>
    <w:rsid w:val="006B2CCA"/>
    <w:rsid w:val="006B31CA"/>
    <w:rsid w:val="006B31D0"/>
    <w:rsid w:val="006B373F"/>
    <w:rsid w:val="006B388A"/>
    <w:rsid w:val="006B3B66"/>
    <w:rsid w:val="006B4137"/>
    <w:rsid w:val="006B452A"/>
    <w:rsid w:val="006B4764"/>
    <w:rsid w:val="006B499B"/>
    <w:rsid w:val="006B5218"/>
    <w:rsid w:val="006B5A18"/>
    <w:rsid w:val="006B5E51"/>
    <w:rsid w:val="006B623A"/>
    <w:rsid w:val="006B6A84"/>
    <w:rsid w:val="006B6AAC"/>
    <w:rsid w:val="006B704A"/>
    <w:rsid w:val="006B7336"/>
    <w:rsid w:val="006B7776"/>
    <w:rsid w:val="006B7C49"/>
    <w:rsid w:val="006C0329"/>
    <w:rsid w:val="006C11EB"/>
    <w:rsid w:val="006C18EB"/>
    <w:rsid w:val="006C198E"/>
    <w:rsid w:val="006C2199"/>
    <w:rsid w:val="006C24C6"/>
    <w:rsid w:val="006C2504"/>
    <w:rsid w:val="006C2E60"/>
    <w:rsid w:val="006C30FE"/>
    <w:rsid w:val="006C4334"/>
    <w:rsid w:val="006C48A0"/>
    <w:rsid w:val="006C55F2"/>
    <w:rsid w:val="006C57C8"/>
    <w:rsid w:val="006C5B72"/>
    <w:rsid w:val="006C5FE0"/>
    <w:rsid w:val="006C628D"/>
    <w:rsid w:val="006C6610"/>
    <w:rsid w:val="006C6959"/>
    <w:rsid w:val="006C696F"/>
    <w:rsid w:val="006C7047"/>
    <w:rsid w:val="006C74C5"/>
    <w:rsid w:val="006C7527"/>
    <w:rsid w:val="006C7602"/>
    <w:rsid w:val="006C7B40"/>
    <w:rsid w:val="006D0214"/>
    <w:rsid w:val="006D0B78"/>
    <w:rsid w:val="006D0DA1"/>
    <w:rsid w:val="006D180E"/>
    <w:rsid w:val="006D1DFB"/>
    <w:rsid w:val="006D21F2"/>
    <w:rsid w:val="006D2799"/>
    <w:rsid w:val="006D2A05"/>
    <w:rsid w:val="006D2A5A"/>
    <w:rsid w:val="006D2CB0"/>
    <w:rsid w:val="006D306E"/>
    <w:rsid w:val="006D3223"/>
    <w:rsid w:val="006D3D4A"/>
    <w:rsid w:val="006D40FE"/>
    <w:rsid w:val="006D4A54"/>
    <w:rsid w:val="006D4F2C"/>
    <w:rsid w:val="006D50EF"/>
    <w:rsid w:val="006D52AB"/>
    <w:rsid w:val="006D5C96"/>
    <w:rsid w:val="006D5F2B"/>
    <w:rsid w:val="006D616E"/>
    <w:rsid w:val="006D62F3"/>
    <w:rsid w:val="006D6325"/>
    <w:rsid w:val="006D67DF"/>
    <w:rsid w:val="006D6DBE"/>
    <w:rsid w:val="006D77A1"/>
    <w:rsid w:val="006D7895"/>
    <w:rsid w:val="006E0099"/>
    <w:rsid w:val="006E04E0"/>
    <w:rsid w:val="006E0BFA"/>
    <w:rsid w:val="006E10D8"/>
    <w:rsid w:val="006E1641"/>
    <w:rsid w:val="006E1C21"/>
    <w:rsid w:val="006E20F7"/>
    <w:rsid w:val="006E219B"/>
    <w:rsid w:val="006E292D"/>
    <w:rsid w:val="006E397A"/>
    <w:rsid w:val="006E39DF"/>
    <w:rsid w:val="006E3A07"/>
    <w:rsid w:val="006E3F95"/>
    <w:rsid w:val="006E5391"/>
    <w:rsid w:val="006E5B4E"/>
    <w:rsid w:val="006E5CF3"/>
    <w:rsid w:val="006E5ED1"/>
    <w:rsid w:val="006E5EDC"/>
    <w:rsid w:val="006E6521"/>
    <w:rsid w:val="006E72B3"/>
    <w:rsid w:val="006E7B11"/>
    <w:rsid w:val="006E7DB9"/>
    <w:rsid w:val="006F04D3"/>
    <w:rsid w:val="006F0821"/>
    <w:rsid w:val="006F0A29"/>
    <w:rsid w:val="006F0DF2"/>
    <w:rsid w:val="006F0EC4"/>
    <w:rsid w:val="006F1202"/>
    <w:rsid w:val="006F13BE"/>
    <w:rsid w:val="006F1635"/>
    <w:rsid w:val="006F1748"/>
    <w:rsid w:val="006F1A8E"/>
    <w:rsid w:val="006F1E8D"/>
    <w:rsid w:val="006F2015"/>
    <w:rsid w:val="006F2431"/>
    <w:rsid w:val="006F2F91"/>
    <w:rsid w:val="006F2FE5"/>
    <w:rsid w:val="006F306C"/>
    <w:rsid w:val="006F3847"/>
    <w:rsid w:val="006F3A68"/>
    <w:rsid w:val="006F3D04"/>
    <w:rsid w:val="006F43DE"/>
    <w:rsid w:val="006F47F4"/>
    <w:rsid w:val="006F4A5D"/>
    <w:rsid w:val="006F61C1"/>
    <w:rsid w:val="006F6527"/>
    <w:rsid w:val="006F6B2C"/>
    <w:rsid w:val="006F6F07"/>
    <w:rsid w:val="006F6F9F"/>
    <w:rsid w:val="006F71A7"/>
    <w:rsid w:val="006F741F"/>
    <w:rsid w:val="0070026B"/>
    <w:rsid w:val="0070027E"/>
    <w:rsid w:val="00700ADE"/>
    <w:rsid w:val="00700D1A"/>
    <w:rsid w:val="00700D9E"/>
    <w:rsid w:val="00701219"/>
    <w:rsid w:val="00701742"/>
    <w:rsid w:val="007020D8"/>
    <w:rsid w:val="007021D9"/>
    <w:rsid w:val="00702C0D"/>
    <w:rsid w:val="00703BD6"/>
    <w:rsid w:val="007041DC"/>
    <w:rsid w:val="0070460B"/>
    <w:rsid w:val="00704638"/>
    <w:rsid w:val="00704ACC"/>
    <w:rsid w:val="00704B36"/>
    <w:rsid w:val="00704DB2"/>
    <w:rsid w:val="00705807"/>
    <w:rsid w:val="00706A9C"/>
    <w:rsid w:val="0071030C"/>
    <w:rsid w:val="00711037"/>
    <w:rsid w:val="007115D9"/>
    <w:rsid w:val="00711E2A"/>
    <w:rsid w:val="00711E47"/>
    <w:rsid w:val="00711FA4"/>
    <w:rsid w:val="007122C5"/>
    <w:rsid w:val="0071384C"/>
    <w:rsid w:val="00713AE1"/>
    <w:rsid w:val="0071413E"/>
    <w:rsid w:val="007142AF"/>
    <w:rsid w:val="00714635"/>
    <w:rsid w:val="0071507F"/>
    <w:rsid w:val="0071536A"/>
    <w:rsid w:val="0071556E"/>
    <w:rsid w:val="007168CF"/>
    <w:rsid w:val="007168EB"/>
    <w:rsid w:val="00716FD7"/>
    <w:rsid w:val="007170CF"/>
    <w:rsid w:val="007201F4"/>
    <w:rsid w:val="00720E7C"/>
    <w:rsid w:val="0072132A"/>
    <w:rsid w:val="00722368"/>
    <w:rsid w:val="007227C3"/>
    <w:rsid w:val="00723321"/>
    <w:rsid w:val="007237A2"/>
    <w:rsid w:val="00723BB6"/>
    <w:rsid w:val="00723FC8"/>
    <w:rsid w:val="00726B5B"/>
    <w:rsid w:val="0072723A"/>
    <w:rsid w:val="0072758B"/>
    <w:rsid w:val="00727D58"/>
    <w:rsid w:val="00727E20"/>
    <w:rsid w:val="00727F40"/>
    <w:rsid w:val="0073009E"/>
    <w:rsid w:val="0073156D"/>
    <w:rsid w:val="007316A0"/>
    <w:rsid w:val="007318B4"/>
    <w:rsid w:val="00731C01"/>
    <w:rsid w:val="00731D94"/>
    <w:rsid w:val="00732345"/>
    <w:rsid w:val="007324CC"/>
    <w:rsid w:val="00733BE3"/>
    <w:rsid w:val="007340CD"/>
    <w:rsid w:val="00735829"/>
    <w:rsid w:val="00735E4C"/>
    <w:rsid w:val="00736920"/>
    <w:rsid w:val="00736AAC"/>
    <w:rsid w:val="00736AD1"/>
    <w:rsid w:val="00736BFA"/>
    <w:rsid w:val="00737845"/>
    <w:rsid w:val="00737DD8"/>
    <w:rsid w:val="007402EE"/>
    <w:rsid w:val="007408BB"/>
    <w:rsid w:val="00740B3A"/>
    <w:rsid w:val="00742368"/>
    <w:rsid w:val="00742470"/>
    <w:rsid w:val="0074282C"/>
    <w:rsid w:val="007439AC"/>
    <w:rsid w:val="0074436D"/>
    <w:rsid w:val="007451FC"/>
    <w:rsid w:val="00745242"/>
    <w:rsid w:val="007462CE"/>
    <w:rsid w:val="007468FD"/>
    <w:rsid w:val="00746F2E"/>
    <w:rsid w:val="00746F79"/>
    <w:rsid w:val="00750092"/>
    <w:rsid w:val="0075016F"/>
    <w:rsid w:val="007506CF"/>
    <w:rsid w:val="007507A6"/>
    <w:rsid w:val="0075080F"/>
    <w:rsid w:val="007508D1"/>
    <w:rsid w:val="00750C49"/>
    <w:rsid w:val="00750F21"/>
    <w:rsid w:val="00751447"/>
    <w:rsid w:val="007518CE"/>
    <w:rsid w:val="00752B4D"/>
    <w:rsid w:val="0075336F"/>
    <w:rsid w:val="00753767"/>
    <w:rsid w:val="00753E5E"/>
    <w:rsid w:val="00754801"/>
    <w:rsid w:val="00754F1A"/>
    <w:rsid w:val="007552C6"/>
    <w:rsid w:val="00755B22"/>
    <w:rsid w:val="00755D03"/>
    <w:rsid w:val="00755F04"/>
    <w:rsid w:val="00756307"/>
    <w:rsid w:val="007563EF"/>
    <w:rsid w:val="00756622"/>
    <w:rsid w:val="0075688D"/>
    <w:rsid w:val="00756BB1"/>
    <w:rsid w:val="00756F76"/>
    <w:rsid w:val="00760372"/>
    <w:rsid w:val="00760852"/>
    <w:rsid w:val="00760C23"/>
    <w:rsid w:val="00760FAB"/>
    <w:rsid w:val="0076140E"/>
    <w:rsid w:val="00761937"/>
    <w:rsid w:val="0076194E"/>
    <w:rsid w:val="007620B9"/>
    <w:rsid w:val="00762AE3"/>
    <w:rsid w:val="00762BC3"/>
    <w:rsid w:val="007634E3"/>
    <w:rsid w:val="00763FB0"/>
    <w:rsid w:val="00763FF1"/>
    <w:rsid w:val="00764238"/>
    <w:rsid w:val="00764C67"/>
    <w:rsid w:val="00764D27"/>
    <w:rsid w:val="0076552F"/>
    <w:rsid w:val="00766446"/>
    <w:rsid w:val="00766893"/>
    <w:rsid w:val="00766980"/>
    <w:rsid w:val="00766DBA"/>
    <w:rsid w:val="00767468"/>
    <w:rsid w:val="007679C1"/>
    <w:rsid w:val="00767A25"/>
    <w:rsid w:val="00767C14"/>
    <w:rsid w:val="00767F21"/>
    <w:rsid w:val="0077034F"/>
    <w:rsid w:val="007706FC"/>
    <w:rsid w:val="00770AE0"/>
    <w:rsid w:val="00772295"/>
    <w:rsid w:val="0077244E"/>
    <w:rsid w:val="00772539"/>
    <w:rsid w:val="007725C1"/>
    <w:rsid w:val="00772658"/>
    <w:rsid w:val="00772B27"/>
    <w:rsid w:val="007735E5"/>
    <w:rsid w:val="00773A8A"/>
    <w:rsid w:val="00773D66"/>
    <w:rsid w:val="00774786"/>
    <w:rsid w:val="00774CF5"/>
    <w:rsid w:val="00775164"/>
    <w:rsid w:val="007752E4"/>
    <w:rsid w:val="007753F1"/>
    <w:rsid w:val="007756E6"/>
    <w:rsid w:val="00775B1B"/>
    <w:rsid w:val="00775BE6"/>
    <w:rsid w:val="0077634F"/>
    <w:rsid w:val="00776630"/>
    <w:rsid w:val="007767CF"/>
    <w:rsid w:val="00776996"/>
    <w:rsid w:val="00776B1D"/>
    <w:rsid w:val="00776E1B"/>
    <w:rsid w:val="0077756D"/>
    <w:rsid w:val="007777D1"/>
    <w:rsid w:val="0077793B"/>
    <w:rsid w:val="00777CBF"/>
    <w:rsid w:val="00777E43"/>
    <w:rsid w:val="007800D5"/>
    <w:rsid w:val="0078087B"/>
    <w:rsid w:val="007810B0"/>
    <w:rsid w:val="00781594"/>
    <w:rsid w:val="00781844"/>
    <w:rsid w:val="00781AB9"/>
    <w:rsid w:val="00782977"/>
    <w:rsid w:val="0078297E"/>
    <w:rsid w:val="00782E84"/>
    <w:rsid w:val="00782F39"/>
    <w:rsid w:val="00783811"/>
    <w:rsid w:val="00783A8C"/>
    <w:rsid w:val="00783AF1"/>
    <w:rsid w:val="00783D6C"/>
    <w:rsid w:val="007840C2"/>
    <w:rsid w:val="007849D1"/>
    <w:rsid w:val="00784A05"/>
    <w:rsid w:val="00784FE3"/>
    <w:rsid w:val="00785F62"/>
    <w:rsid w:val="00786588"/>
    <w:rsid w:val="00786A92"/>
    <w:rsid w:val="00786D39"/>
    <w:rsid w:val="0078798A"/>
    <w:rsid w:val="00787F27"/>
    <w:rsid w:val="00790B4F"/>
    <w:rsid w:val="007910C9"/>
    <w:rsid w:val="00791704"/>
    <w:rsid w:val="007917DF"/>
    <w:rsid w:val="00792125"/>
    <w:rsid w:val="00792812"/>
    <w:rsid w:val="00792B39"/>
    <w:rsid w:val="00793963"/>
    <w:rsid w:val="00793D4B"/>
    <w:rsid w:val="0079444D"/>
    <w:rsid w:val="007947E3"/>
    <w:rsid w:val="00794997"/>
    <w:rsid w:val="007949C9"/>
    <w:rsid w:val="00794C91"/>
    <w:rsid w:val="00794DB9"/>
    <w:rsid w:val="00794DF5"/>
    <w:rsid w:val="007954A7"/>
    <w:rsid w:val="007960CD"/>
    <w:rsid w:val="00796540"/>
    <w:rsid w:val="00796679"/>
    <w:rsid w:val="00796F1C"/>
    <w:rsid w:val="00796FBC"/>
    <w:rsid w:val="0079721E"/>
    <w:rsid w:val="0079728F"/>
    <w:rsid w:val="00797B57"/>
    <w:rsid w:val="00797BB3"/>
    <w:rsid w:val="00797DF7"/>
    <w:rsid w:val="007A03D6"/>
    <w:rsid w:val="007A051D"/>
    <w:rsid w:val="007A0BD1"/>
    <w:rsid w:val="007A1A06"/>
    <w:rsid w:val="007A1CD2"/>
    <w:rsid w:val="007A2BA7"/>
    <w:rsid w:val="007A2C38"/>
    <w:rsid w:val="007A2D19"/>
    <w:rsid w:val="007A32F6"/>
    <w:rsid w:val="007A3305"/>
    <w:rsid w:val="007A3652"/>
    <w:rsid w:val="007A38A8"/>
    <w:rsid w:val="007A410C"/>
    <w:rsid w:val="007A475F"/>
    <w:rsid w:val="007A534A"/>
    <w:rsid w:val="007A56CF"/>
    <w:rsid w:val="007A580F"/>
    <w:rsid w:val="007A68B3"/>
    <w:rsid w:val="007A6942"/>
    <w:rsid w:val="007A69A8"/>
    <w:rsid w:val="007A6C0E"/>
    <w:rsid w:val="007A7074"/>
    <w:rsid w:val="007A7077"/>
    <w:rsid w:val="007A7CAC"/>
    <w:rsid w:val="007A7F76"/>
    <w:rsid w:val="007B0310"/>
    <w:rsid w:val="007B0606"/>
    <w:rsid w:val="007B0803"/>
    <w:rsid w:val="007B0A20"/>
    <w:rsid w:val="007B1498"/>
    <w:rsid w:val="007B197A"/>
    <w:rsid w:val="007B2564"/>
    <w:rsid w:val="007B2840"/>
    <w:rsid w:val="007B2B9C"/>
    <w:rsid w:val="007B2EB5"/>
    <w:rsid w:val="007B3046"/>
    <w:rsid w:val="007B323A"/>
    <w:rsid w:val="007B3292"/>
    <w:rsid w:val="007B38D3"/>
    <w:rsid w:val="007B3A7B"/>
    <w:rsid w:val="007B3DA6"/>
    <w:rsid w:val="007B404F"/>
    <w:rsid w:val="007B420B"/>
    <w:rsid w:val="007B4578"/>
    <w:rsid w:val="007B4FC2"/>
    <w:rsid w:val="007B501E"/>
    <w:rsid w:val="007B51EA"/>
    <w:rsid w:val="007B6591"/>
    <w:rsid w:val="007B7455"/>
    <w:rsid w:val="007B7460"/>
    <w:rsid w:val="007B787D"/>
    <w:rsid w:val="007C0497"/>
    <w:rsid w:val="007C0A6A"/>
    <w:rsid w:val="007C0B3E"/>
    <w:rsid w:val="007C0D16"/>
    <w:rsid w:val="007C1046"/>
    <w:rsid w:val="007C1311"/>
    <w:rsid w:val="007C19D3"/>
    <w:rsid w:val="007C1D02"/>
    <w:rsid w:val="007C275C"/>
    <w:rsid w:val="007C3396"/>
    <w:rsid w:val="007C34BF"/>
    <w:rsid w:val="007C3806"/>
    <w:rsid w:val="007C3A26"/>
    <w:rsid w:val="007C3B39"/>
    <w:rsid w:val="007C4569"/>
    <w:rsid w:val="007C4855"/>
    <w:rsid w:val="007C4FE7"/>
    <w:rsid w:val="007C508C"/>
    <w:rsid w:val="007C52E6"/>
    <w:rsid w:val="007C56B6"/>
    <w:rsid w:val="007C59D2"/>
    <w:rsid w:val="007C65A5"/>
    <w:rsid w:val="007C677D"/>
    <w:rsid w:val="007C6AC1"/>
    <w:rsid w:val="007C7285"/>
    <w:rsid w:val="007C7CE5"/>
    <w:rsid w:val="007D0A2F"/>
    <w:rsid w:val="007D0BD6"/>
    <w:rsid w:val="007D130D"/>
    <w:rsid w:val="007D1512"/>
    <w:rsid w:val="007D1947"/>
    <w:rsid w:val="007D1B60"/>
    <w:rsid w:val="007D1D81"/>
    <w:rsid w:val="007D25EA"/>
    <w:rsid w:val="007D3669"/>
    <w:rsid w:val="007D4287"/>
    <w:rsid w:val="007D4685"/>
    <w:rsid w:val="007D4A51"/>
    <w:rsid w:val="007D4FA9"/>
    <w:rsid w:val="007D5109"/>
    <w:rsid w:val="007D5871"/>
    <w:rsid w:val="007D592F"/>
    <w:rsid w:val="007D5B7E"/>
    <w:rsid w:val="007D6235"/>
    <w:rsid w:val="007D6F60"/>
    <w:rsid w:val="007D6F8D"/>
    <w:rsid w:val="007D7216"/>
    <w:rsid w:val="007D7254"/>
    <w:rsid w:val="007D7545"/>
    <w:rsid w:val="007D756D"/>
    <w:rsid w:val="007D782D"/>
    <w:rsid w:val="007D7871"/>
    <w:rsid w:val="007E0036"/>
    <w:rsid w:val="007E02C5"/>
    <w:rsid w:val="007E0D92"/>
    <w:rsid w:val="007E0DCE"/>
    <w:rsid w:val="007E1143"/>
    <w:rsid w:val="007E11C1"/>
    <w:rsid w:val="007E137D"/>
    <w:rsid w:val="007E1684"/>
    <w:rsid w:val="007E1B18"/>
    <w:rsid w:val="007E2C6E"/>
    <w:rsid w:val="007E37CB"/>
    <w:rsid w:val="007E3A91"/>
    <w:rsid w:val="007E3D0F"/>
    <w:rsid w:val="007E4A7C"/>
    <w:rsid w:val="007E4ED7"/>
    <w:rsid w:val="007E5501"/>
    <w:rsid w:val="007E5817"/>
    <w:rsid w:val="007E5FE9"/>
    <w:rsid w:val="007E67DB"/>
    <w:rsid w:val="007E6C6A"/>
    <w:rsid w:val="007E6E36"/>
    <w:rsid w:val="007E7B12"/>
    <w:rsid w:val="007F046F"/>
    <w:rsid w:val="007F1298"/>
    <w:rsid w:val="007F1B68"/>
    <w:rsid w:val="007F27D9"/>
    <w:rsid w:val="007F2A93"/>
    <w:rsid w:val="007F3348"/>
    <w:rsid w:val="007F3471"/>
    <w:rsid w:val="007F3A09"/>
    <w:rsid w:val="007F3D3C"/>
    <w:rsid w:val="007F43A5"/>
    <w:rsid w:val="007F44D6"/>
    <w:rsid w:val="007F53CC"/>
    <w:rsid w:val="007F5977"/>
    <w:rsid w:val="007F5C69"/>
    <w:rsid w:val="007F5E93"/>
    <w:rsid w:val="007F63BC"/>
    <w:rsid w:val="007F712A"/>
    <w:rsid w:val="007F74C8"/>
    <w:rsid w:val="007F7693"/>
    <w:rsid w:val="007F7B85"/>
    <w:rsid w:val="00800377"/>
    <w:rsid w:val="00800AC9"/>
    <w:rsid w:val="00800B7D"/>
    <w:rsid w:val="0080178D"/>
    <w:rsid w:val="00801E89"/>
    <w:rsid w:val="008020BC"/>
    <w:rsid w:val="008023E3"/>
    <w:rsid w:val="008033AA"/>
    <w:rsid w:val="0080353E"/>
    <w:rsid w:val="00803581"/>
    <w:rsid w:val="00804762"/>
    <w:rsid w:val="008047EE"/>
    <w:rsid w:val="008055CC"/>
    <w:rsid w:val="008056FE"/>
    <w:rsid w:val="008057EA"/>
    <w:rsid w:val="00805C69"/>
    <w:rsid w:val="00805E75"/>
    <w:rsid w:val="00805EC8"/>
    <w:rsid w:val="00806401"/>
    <w:rsid w:val="00806412"/>
    <w:rsid w:val="00806419"/>
    <w:rsid w:val="0080644B"/>
    <w:rsid w:val="00806590"/>
    <w:rsid w:val="00806621"/>
    <w:rsid w:val="008068BE"/>
    <w:rsid w:val="00806AE3"/>
    <w:rsid w:val="00806E56"/>
    <w:rsid w:val="008072FC"/>
    <w:rsid w:val="0080742C"/>
    <w:rsid w:val="008075B8"/>
    <w:rsid w:val="0080794D"/>
    <w:rsid w:val="00810291"/>
    <w:rsid w:val="0081042A"/>
    <w:rsid w:val="008109C7"/>
    <w:rsid w:val="00810C5D"/>
    <w:rsid w:val="008118CB"/>
    <w:rsid w:val="00811980"/>
    <w:rsid w:val="00811AA3"/>
    <w:rsid w:val="00811AF5"/>
    <w:rsid w:val="00811D8E"/>
    <w:rsid w:val="0081214D"/>
    <w:rsid w:val="00812EC7"/>
    <w:rsid w:val="008130C0"/>
    <w:rsid w:val="00813122"/>
    <w:rsid w:val="008131F8"/>
    <w:rsid w:val="00813431"/>
    <w:rsid w:val="008139AD"/>
    <w:rsid w:val="00813D76"/>
    <w:rsid w:val="00814132"/>
    <w:rsid w:val="008141A7"/>
    <w:rsid w:val="008143A1"/>
    <w:rsid w:val="00814672"/>
    <w:rsid w:val="0081491E"/>
    <w:rsid w:val="00814A4E"/>
    <w:rsid w:val="00814C5F"/>
    <w:rsid w:val="00814F6D"/>
    <w:rsid w:val="00815308"/>
    <w:rsid w:val="0081593B"/>
    <w:rsid w:val="008159E8"/>
    <w:rsid w:val="00815A48"/>
    <w:rsid w:val="00815AB3"/>
    <w:rsid w:val="00815F52"/>
    <w:rsid w:val="008161AA"/>
    <w:rsid w:val="00817FF3"/>
    <w:rsid w:val="00820AEB"/>
    <w:rsid w:val="008225B7"/>
    <w:rsid w:val="008225C1"/>
    <w:rsid w:val="008231B3"/>
    <w:rsid w:val="00823857"/>
    <w:rsid w:val="00824E46"/>
    <w:rsid w:val="00824EFE"/>
    <w:rsid w:val="008251E5"/>
    <w:rsid w:val="00825348"/>
    <w:rsid w:val="00825B10"/>
    <w:rsid w:val="00825BAC"/>
    <w:rsid w:val="00826C3B"/>
    <w:rsid w:val="00826D40"/>
    <w:rsid w:val="00827623"/>
    <w:rsid w:val="008276BE"/>
    <w:rsid w:val="00827896"/>
    <w:rsid w:val="00827970"/>
    <w:rsid w:val="008300A3"/>
    <w:rsid w:val="008303FA"/>
    <w:rsid w:val="00830778"/>
    <w:rsid w:val="00830B18"/>
    <w:rsid w:val="00831076"/>
    <w:rsid w:val="008318EE"/>
    <w:rsid w:val="00831983"/>
    <w:rsid w:val="00831AC9"/>
    <w:rsid w:val="0083210F"/>
    <w:rsid w:val="00832162"/>
    <w:rsid w:val="00832632"/>
    <w:rsid w:val="00832A6F"/>
    <w:rsid w:val="00832F55"/>
    <w:rsid w:val="008331AB"/>
    <w:rsid w:val="00834517"/>
    <w:rsid w:val="00834735"/>
    <w:rsid w:val="008348D3"/>
    <w:rsid w:val="00834BBE"/>
    <w:rsid w:val="008353CB"/>
    <w:rsid w:val="008354DB"/>
    <w:rsid w:val="00835C35"/>
    <w:rsid w:val="008364ED"/>
    <w:rsid w:val="00836856"/>
    <w:rsid w:val="0083764F"/>
    <w:rsid w:val="00837813"/>
    <w:rsid w:val="00837F67"/>
    <w:rsid w:val="0084009C"/>
    <w:rsid w:val="008405DA"/>
    <w:rsid w:val="00840C30"/>
    <w:rsid w:val="00842CE2"/>
    <w:rsid w:val="00843470"/>
    <w:rsid w:val="008434AE"/>
    <w:rsid w:val="00843527"/>
    <w:rsid w:val="00843953"/>
    <w:rsid w:val="00843A67"/>
    <w:rsid w:val="00843E73"/>
    <w:rsid w:val="00845439"/>
    <w:rsid w:val="00845C95"/>
    <w:rsid w:val="0084655B"/>
    <w:rsid w:val="00846736"/>
    <w:rsid w:val="00846943"/>
    <w:rsid w:val="00846B18"/>
    <w:rsid w:val="00847910"/>
    <w:rsid w:val="00847ABD"/>
    <w:rsid w:val="0085057C"/>
    <w:rsid w:val="008505BD"/>
    <w:rsid w:val="00850BC8"/>
    <w:rsid w:val="00850F85"/>
    <w:rsid w:val="00851262"/>
    <w:rsid w:val="008516C9"/>
    <w:rsid w:val="008528EF"/>
    <w:rsid w:val="00852A8B"/>
    <w:rsid w:val="00852C8A"/>
    <w:rsid w:val="008530C5"/>
    <w:rsid w:val="00853F20"/>
    <w:rsid w:val="008541AE"/>
    <w:rsid w:val="00855118"/>
    <w:rsid w:val="00855421"/>
    <w:rsid w:val="00855929"/>
    <w:rsid w:val="00855E39"/>
    <w:rsid w:val="00855E74"/>
    <w:rsid w:val="00855EC8"/>
    <w:rsid w:val="00855F50"/>
    <w:rsid w:val="00856360"/>
    <w:rsid w:val="00856D79"/>
    <w:rsid w:val="008575D1"/>
    <w:rsid w:val="008577D1"/>
    <w:rsid w:val="008611B6"/>
    <w:rsid w:val="00861815"/>
    <w:rsid w:val="008621D6"/>
    <w:rsid w:val="00862295"/>
    <w:rsid w:val="008628F0"/>
    <w:rsid w:val="00862A59"/>
    <w:rsid w:val="00863453"/>
    <w:rsid w:val="00863A75"/>
    <w:rsid w:val="00863F7E"/>
    <w:rsid w:val="0086471A"/>
    <w:rsid w:val="0086479A"/>
    <w:rsid w:val="008648EB"/>
    <w:rsid w:val="00864994"/>
    <w:rsid w:val="00864F08"/>
    <w:rsid w:val="00865357"/>
    <w:rsid w:val="008656A7"/>
    <w:rsid w:val="00865A78"/>
    <w:rsid w:val="0086669F"/>
    <w:rsid w:val="00866BD5"/>
    <w:rsid w:val="008671FD"/>
    <w:rsid w:val="00867D73"/>
    <w:rsid w:val="00867F37"/>
    <w:rsid w:val="008705A9"/>
    <w:rsid w:val="008707AA"/>
    <w:rsid w:val="00870A28"/>
    <w:rsid w:val="00870FD4"/>
    <w:rsid w:val="00871566"/>
    <w:rsid w:val="00871670"/>
    <w:rsid w:val="00871D82"/>
    <w:rsid w:val="00872142"/>
    <w:rsid w:val="008724BF"/>
    <w:rsid w:val="008724CE"/>
    <w:rsid w:val="0087252A"/>
    <w:rsid w:val="008725C8"/>
    <w:rsid w:val="00872BF5"/>
    <w:rsid w:val="008732BF"/>
    <w:rsid w:val="00873FBF"/>
    <w:rsid w:val="00874793"/>
    <w:rsid w:val="00875110"/>
    <w:rsid w:val="00875894"/>
    <w:rsid w:val="00875AB8"/>
    <w:rsid w:val="00875D1A"/>
    <w:rsid w:val="00875FE4"/>
    <w:rsid w:val="00876385"/>
    <w:rsid w:val="008767ED"/>
    <w:rsid w:val="0087757A"/>
    <w:rsid w:val="0087766F"/>
    <w:rsid w:val="0087786B"/>
    <w:rsid w:val="008778C5"/>
    <w:rsid w:val="0088008F"/>
    <w:rsid w:val="0088097B"/>
    <w:rsid w:val="008813E2"/>
    <w:rsid w:val="00881812"/>
    <w:rsid w:val="00881884"/>
    <w:rsid w:val="00882335"/>
    <w:rsid w:val="00882555"/>
    <w:rsid w:val="00883265"/>
    <w:rsid w:val="00883CF9"/>
    <w:rsid w:val="008840E7"/>
    <w:rsid w:val="00884594"/>
    <w:rsid w:val="00884D00"/>
    <w:rsid w:val="00884F2F"/>
    <w:rsid w:val="008853BB"/>
    <w:rsid w:val="00885738"/>
    <w:rsid w:val="00885C15"/>
    <w:rsid w:val="00886542"/>
    <w:rsid w:val="00886BCF"/>
    <w:rsid w:val="00887435"/>
    <w:rsid w:val="00887DB6"/>
    <w:rsid w:val="008906FE"/>
    <w:rsid w:val="00890869"/>
    <w:rsid w:val="00890A2E"/>
    <w:rsid w:val="00890A70"/>
    <w:rsid w:val="00890E1E"/>
    <w:rsid w:val="00891ADF"/>
    <w:rsid w:val="008921E0"/>
    <w:rsid w:val="008923B5"/>
    <w:rsid w:val="00892495"/>
    <w:rsid w:val="00892BC7"/>
    <w:rsid w:val="00892D07"/>
    <w:rsid w:val="008932FA"/>
    <w:rsid w:val="00894562"/>
    <w:rsid w:val="008945C1"/>
    <w:rsid w:val="00895515"/>
    <w:rsid w:val="008955BD"/>
    <w:rsid w:val="00895EDF"/>
    <w:rsid w:val="00896029"/>
    <w:rsid w:val="008961DD"/>
    <w:rsid w:val="00896404"/>
    <w:rsid w:val="0089692E"/>
    <w:rsid w:val="00896975"/>
    <w:rsid w:val="0089759F"/>
    <w:rsid w:val="008978AA"/>
    <w:rsid w:val="008A01FD"/>
    <w:rsid w:val="008A07ED"/>
    <w:rsid w:val="008A0898"/>
    <w:rsid w:val="008A09AD"/>
    <w:rsid w:val="008A1658"/>
    <w:rsid w:val="008A1A3D"/>
    <w:rsid w:val="008A1E15"/>
    <w:rsid w:val="008A2C03"/>
    <w:rsid w:val="008A2C6A"/>
    <w:rsid w:val="008A2D8F"/>
    <w:rsid w:val="008A2D92"/>
    <w:rsid w:val="008A3527"/>
    <w:rsid w:val="008A35B3"/>
    <w:rsid w:val="008A3865"/>
    <w:rsid w:val="008A3EBC"/>
    <w:rsid w:val="008A55C4"/>
    <w:rsid w:val="008A6210"/>
    <w:rsid w:val="008A68E8"/>
    <w:rsid w:val="008A69EC"/>
    <w:rsid w:val="008A69FD"/>
    <w:rsid w:val="008A6E6B"/>
    <w:rsid w:val="008A6EC1"/>
    <w:rsid w:val="008A78AC"/>
    <w:rsid w:val="008B0300"/>
    <w:rsid w:val="008B04F1"/>
    <w:rsid w:val="008B092C"/>
    <w:rsid w:val="008B0D7E"/>
    <w:rsid w:val="008B146B"/>
    <w:rsid w:val="008B155C"/>
    <w:rsid w:val="008B273A"/>
    <w:rsid w:val="008B27F1"/>
    <w:rsid w:val="008B2A46"/>
    <w:rsid w:val="008B2BE4"/>
    <w:rsid w:val="008B3B8F"/>
    <w:rsid w:val="008B4564"/>
    <w:rsid w:val="008B4ADE"/>
    <w:rsid w:val="008B4B92"/>
    <w:rsid w:val="008B5065"/>
    <w:rsid w:val="008B50D2"/>
    <w:rsid w:val="008B5B2B"/>
    <w:rsid w:val="008B6197"/>
    <w:rsid w:val="008B67B8"/>
    <w:rsid w:val="008B6A0A"/>
    <w:rsid w:val="008B70BB"/>
    <w:rsid w:val="008B7128"/>
    <w:rsid w:val="008B716B"/>
    <w:rsid w:val="008B76AA"/>
    <w:rsid w:val="008B7F50"/>
    <w:rsid w:val="008B7F98"/>
    <w:rsid w:val="008C01B7"/>
    <w:rsid w:val="008C020F"/>
    <w:rsid w:val="008C0D87"/>
    <w:rsid w:val="008C0DA4"/>
    <w:rsid w:val="008C144A"/>
    <w:rsid w:val="008C2A1E"/>
    <w:rsid w:val="008C330B"/>
    <w:rsid w:val="008C3622"/>
    <w:rsid w:val="008C369C"/>
    <w:rsid w:val="008C39F7"/>
    <w:rsid w:val="008C3B4C"/>
    <w:rsid w:val="008C43E7"/>
    <w:rsid w:val="008C49D0"/>
    <w:rsid w:val="008C4FA5"/>
    <w:rsid w:val="008C65EA"/>
    <w:rsid w:val="008C6628"/>
    <w:rsid w:val="008C723D"/>
    <w:rsid w:val="008C744B"/>
    <w:rsid w:val="008D1028"/>
    <w:rsid w:val="008D16B1"/>
    <w:rsid w:val="008D1DCE"/>
    <w:rsid w:val="008D1E57"/>
    <w:rsid w:val="008D20E3"/>
    <w:rsid w:val="008D2C38"/>
    <w:rsid w:val="008D3462"/>
    <w:rsid w:val="008D37A4"/>
    <w:rsid w:val="008D381F"/>
    <w:rsid w:val="008D3852"/>
    <w:rsid w:val="008D3959"/>
    <w:rsid w:val="008D3B12"/>
    <w:rsid w:val="008D52AE"/>
    <w:rsid w:val="008D6559"/>
    <w:rsid w:val="008D6921"/>
    <w:rsid w:val="008D69ED"/>
    <w:rsid w:val="008D749A"/>
    <w:rsid w:val="008D7831"/>
    <w:rsid w:val="008D7ABD"/>
    <w:rsid w:val="008E0004"/>
    <w:rsid w:val="008E0A3B"/>
    <w:rsid w:val="008E0CF6"/>
    <w:rsid w:val="008E0EEF"/>
    <w:rsid w:val="008E1CEE"/>
    <w:rsid w:val="008E1F0A"/>
    <w:rsid w:val="008E2642"/>
    <w:rsid w:val="008E2970"/>
    <w:rsid w:val="008E2E2C"/>
    <w:rsid w:val="008E3ACA"/>
    <w:rsid w:val="008E3C8A"/>
    <w:rsid w:val="008E4093"/>
    <w:rsid w:val="008E4E45"/>
    <w:rsid w:val="008E51B2"/>
    <w:rsid w:val="008E51DD"/>
    <w:rsid w:val="008E5307"/>
    <w:rsid w:val="008E55AC"/>
    <w:rsid w:val="008E56D0"/>
    <w:rsid w:val="008E571F"/>
    <w:rsid w:val="008E5837"/>
    <w:rsid w:val="008E584A"/>
    <w:rsid w:val="008E6073"/>
    <w:rsid w:val="008E686E"/>
    <w:rsid w:val="008E6871"/>
    <w:rsid w:val="008E7384"/>
    <w:rsid w:val="008E73C9"/>
    <w:rsid w:val="008E74D6"/>
    <w:rsid w:val="008E7887"/>
    <w:rsid w:val="008E7A85"/>
    <w:rsid w:val="008E7B3A"/>
    <w:rsid w:val="008E7FDF"/>
    <w:rsid w:val="008F098C"/>
    <w:rsid w:val="008F0A69"/>
    <w:rsid w:val="008F0B50"/>
    <w:rsid w:val="008F0CEB"/>
    <w:rsid w:val="008F0E8D"/>
    <w:rsid w:val="008F15A9"/>
    <w:rsid w:val="008F1868"/>
    <w:rsid w:val="008F2906"/>
    <w:rsid w:val="008F37D7"/>
    <w:rsid w:val="008F4318"/>
    <w:rsid w:val="008F4A19"/>
    <w:rsid w:val="008F4C45"/>
    <w:rsid w:val="008F548B"/>
    <w:rsid w:val="008F6080"/>
    <w:rsid w:val="008F64FA"/>
    <w:rsid w:val="008F657D"/>
    <w:rsid w:val="008F674C"/>
    <w:rsid w:val="008F7241"/>
    <w:rsid w:val="008F7751"/>
    <w:rsid w:val="008F78E6"/>
    <w:rsid w:val="008F7EF7"/>
    <w:rsid w:val="00900019"/>
    <w:rsid w:val="00900DB3"/>
    <w:rsid w:val="009018B3"/>
    <w:rsid w:val="00901AB2"/>
    <w:rsid w:val="00901B21"/>
    <w:rsid w:val="0090210A"/>
    <w:rsid w:val="00903885"/>
    <w:rsid w:val="00903E2E"/>
    <w:rsid w:val="00904326"/>
    <w:rsid w:val="00905FA8"/>
    <w:rsid w:val="00906380"/>
    <w:rsid w:val="009068BF"/>
    <w:rsid w:val="009069BD"/>
    <w:rsid w:val="00906B88"/>
    <w:rsid w:val="00906F4F"/>
    <w:rsid w:val="00910046"/>
    <w:rsid w:val="009105AA"/>
    <w:rsid w:val="00910B01"/>
    <w:rsid w:val="00910DD0"/>
    <w:rsid w:val="00910F56"/>
    <w:rsid w:val="009119E7"/>
    <w:rsid w:val="00911DD8"/>
    <w:rsid w:val="0091210F"/>
    <w:rsid w:val="0091228C"/>
    <w:rsid w:val="00912603"/>
    <w:rsid w:val="0091290A"/>
    <w:rsid w:val="00912C6B"/>
    <w:rsid w:val="00912FB7"/>
    <w:rsid w:val="00913006"/>
    <w:rsid w:val="009134F6"/>
    <w:rsid w:val="00913889"/>
    <w:rsid w:val="00913D70"/>
    <w:rsid w:val="00915399"/>
    <w:rsid w:val="009159EC"/>
    <w:rsid w:val="00916098"/>
    <w:rsid w:val="009165A9"/>
    <w:rsid w:val="00916C9F"/>
    <w:rsid w:val="009173F3"/>
    <w:rsid w:val="0091784B"/>
    <w:rsid w:val="00917E18"/>
    <w:rsid w:val="00917EF1"/>
    <w:rsid w:val="00917F0B"/>
    <w:rsid w:val="00920727"/>
    <w:rsid w:val="00920E83"/>
    <w:rsid w:val="009219AF"/>
    <w:rsid w:val="00921CCE"/>
    <w:rsid w:val="009221E9"/>
    <w:rsid w:val="00922AB2"/>
    <w:rsid w:val="00922CDD"/>
    <w:rsid w:val="009234D7"/>
    <w:rsid w:val="0092368E"/>
    <w:rsid w:val="00923CFE"/>
    <w:rsid w:val="009240C0"/>
    <w:rsid w:val="009241DA"/>
    <w:rsid w:val="009245B5"/>
    <w:rsid w:val="00924ABE"/>
    <w:rsid w:val="00924B25"/>
    <w:rsid w:val="0092565C"/>
    <w:rsid w:val="009259E6"/>
    <w:rsid w:val="00925A3C"/>
    <w:rsid w:val="00925A48"/>
    <w:rsid w:val="00925A7C"/>
    <w:rsid w:val="00925DA6"/>
    <w:rsid w:val="009262C0"/>
    <w:rsid w:val="009263E0"/>
    <w:rsid w:val="009273E0"/>
    <w:rsid w:val="009277E5"/>
    <w:rsid w:val="009277F2"/>
    <w:rsid w:val="00927D65"/>
    <w:rsid w:val="009303EB"/>
    <w:rsid w:val="009305F9"/>
    <w:rsid w:val="00930D4A"/>
    <w:rsid w:val="00930DCB"/>
    <w:rsid w:val="00930F68"/>
    <w:rsid w:val="0093187A"/>
    <w:rsid w:val="00931C8B"/>
    <w:rsid w:val="0093204D"/>
    <w:rsid w:val="009321B1"/>
    <w:rsid w:val="00933309"/>
    <w:rsid w:val="009339CB"/>
    <w:rsid w:val="0093446C"/>
    <w:rsid w:val="009347C0"/>
    <w:rsid w:val="009349EB"/>
    <w:rsid w:val="00935437"/>
    <w:rsid w:val="00935DAD"/>
    <w:rsid w:val="0093611A"/>
    <w:rsid w:val="0093679C"/>
    <w:rsid w:val="009368DE"/>
    <w:rsid w:val="00936F40"/>
    <w:rsid w:val="009370CE"/>
    <w:rsid w:val="009377B1"/>
    <w:rsid w:val="00937D85"/>
    <w:rsid w:val="009401FB"/>
    <w:rsid w:val="009402C1"/>
    <w:rsid w:val="00940503"/>
    <w:rsid w:val="0094067D"/>
    <w:rsid w:val="009409EE"/>
    <w:rsid w:val="0094123D"/>
    <w:rsid w:val="009413E1"/>
    <w:rsid w:val="009417C8"/>
    <w:rsid w:val="009418F3"/>
    <w:rsid w:val="00941990"/>
    <w:rsid w:val="00941EDB"/>
    <w:rsid w:val="00942592"/>
    <w:rsid w:val="00942C3E"/>
    <w:rsid w:val="00942E7C"/>
    <w:rsid w:val="00942F2F"/>
    <w:rsid w:val="009430D4"/>
    <w:rsid w:val="009431D8"/>
    <w:rsid w:val="0094323E"/>
    <w:rsid w:val="00943D34"/>
    <w:rsid w:val="0094502C"/>
    <w:rsid w:val="00945731"/>
    <w:rsid w:val="00946DC7"/>
    <w:rsid w:val="00946E46"/>
    <w:rsid w:val="00947C65"/>
    <w:rsid w:val="00950F61"/>
    <w:rsid w:val="00951574"/>
    <w:rsid w:val="009517CB"/>
    <w:rsid w:val="009522C3"/>
    <w:rsid w:val="00952CFF"/>
    <w:rsid w:val="00952DBE"/>
    <w:rsid w:val="0095363C"/>
    <w:rsid w:val="00953B72"/>
    <w:rsid w:val="00953EC1"/>
    <w:rsid w:val="009540D4"/>
    <w:rsid w:val="009543E3"/>
    <w:rsid w:val="00954785"/>
    <w:rsid w:val="009547F1"/>
    <w:rsid w:val="00954802"/>
    <w:rsid w:val="009557A6"/>
    <w:rsid w:val="009557B4"/>
    <w:rsid w:val="00956270"/>
    <w:rsid w:val="00956567"/>
    <w:rsid w:val="0095696D"/>
    <w:rsid w:val="00956A6F"/>
    <w:rsid w:val="0095718E"/>
    <w:rsid w:val="009575DC"/>
    <w:rsid w:val="009579EC"/>
    <w:rsid w:val="00957A0C"/>
    <w:rsid w:val="00957DE9"/>
    <w:rsid w:val="00960485"/>
    <w:rsid w:val="0096061C"/>
    <w:rsid w:val="00960A04"/>
    <w:rsid w:val="00961204"/>
    <w:rsid w:val="00961A79"/>
    <w:rsid w:val="00961BB4"/>
    <w:rsid w:val="009624AA"/>
    <w:rsid w:val="009637E0"/>
    <w:rsid w:val="00963AE8"/>
    <w:rsid w:val="00963B0C"/>
    <w:rsid w:val="009641DB"/>
    <w:rsid w:val="009642D8"/>
    <w:rsid w:val="00964469"/>
    <w:rsid w:val="009647E7"/>
    <w:rsid w:val="00965172"/>
    <w:rsid w:val="00965180"/>
    <w:rsid w:val="009651DA"/>
    <w:rsid w:val="00965961"/>
    <w:rsid w:val="00965D9A"/>
    <w:rsid w:val="00965F83"/>
    <w:rsid w:val="0096626D"/>
    <w:rsid w:val="00966C26"/>
    <w:rsid w:val="009676A5"/>
    <w:rsid w:val="00967F04"/>
    <w:rsid w:val="009706B5"/>
    <w:rsid w:val="00970D24"/>
    <w:rsid w:val="0097145F"/>
    <w:rsid w:val="00971764"/>
    <w:rsid w:val="00971860"/>
    <w:rsid w:val="009727DC"/>
    <w:rsid w:val="00973676"/>
    <w:rsid w:val="00973A1B"/>
    <w:rsid w:val="00974439"/>
    <w:rsid w:val="00974855"/>
    <w:rsid w:val="00974953"/>
    <w:rsid w:val="00974C9F"/>
    <w:rsid w:val="00975498"/>
    <w:rsid w:val="0097570C"/>
    <w:rsid w:val="00975F65"/>
    <w:rsid w:val="009767CE"/>
    <w:rsid w:val="0097681F"/>
    <w:rsid w:val="00976D02"/>
    <w:rsid w:val="00977642"/>
    <w:rsid w:val="0097778A"/>
    <w:rsid w:val="009777B3"/>
    <w:rsid w:val="00980E4D"/>
    <w:rsid w:val="00980E6F"/>
    <w:rsid w:val="00981BAF"/>
    <w:rsid w:val="0098205E"/>
    <w:rsid w:val="00982578"/>
    <w:rsid w:val="00983779"/>
    <w:rsid w:val="0098388C"/>
    <w:rsid w:val="0098412D"/>
    <w:rsid w:val="009843B2"/>
    <w:rsid w:val="00984562"/>
    <w:rsid w:val="0098459B"/>
    <w:rsid w:val="0098486F"/>
    <w:rsid w:val="0098499C"/>
    <w:rsid w:val="00984BE2"/>
    <w:rsid w:val="00984FD4"/>
    <w:rsid w:val="00985117"/>
    <w:rsid w:val="0098619D"/>
    <w:rsid w:val="009862F1"/>
    <w:rsid w:val="009866AF"/>
    <w:rsid w:val="00986A9B"/>
    <w:rsid w:val="00987074"/>
    <w:rsid w:val="0098722A"/>
    <w:rsid w:val="00987248"/>
    <w:rsid w:val="00987EDD"/>
    <w:rsid w:val="00990268"/>
    <w:rsid w:val="00990407"/>
    <w:rsid w:val="009904F5"/>
    <w:rsid w:val="009908D4"/>
    <w:rsid w:val="00991256"/>
    <w:rsid w:val="00991FC6"/>
    <w:rsid w:val="0099224C"/>
    <w:rsid w:val="00992DBC"/>
    <w:rsid w:val="00992F20"/>
    <w:rsid w:val="0099319C"/>
    <w:rsid w:val="00993303"/>
    <w:rsid w:val="00993C44"/>
    <w:rsid w:val="00993F96"/>
    <w:rsid w:val="009941D2"/>
    <w:rsid w:val="00994684"/>
    <w:rsid w:val="00994E9F"/>
    <w:rsid w:val="0099577C"/>
    <w:rsid w:val="00995AD1"/>
    <w:rsid w:val="00995F79"/>
    <w:rsid w:val="009962F4"/>
    <w:rsid w:val="0099635E"/>
    <w:rsid w:val="00996B17"/>
    <w:rsid w:val="00997058"/>
    <w:rsid w:val="009975C7"/>
    <w:rsid w:val="00997E43"/>
    <w:rsid w:val="009A05C0"/>
    <w:rsid w:val="009A0E14"/>
    <w:rsid w:val="009A1102"/>
    <w:rsid w:val="009A184D"/>
    <w:rsid w:val="009A19E6"/>
    <w:rsid w:val="009A1A3D"/>
    <w:rsid w:val="009A1D00"/>
    <w:rsid w:val="009A2735"/>
    <w:rsid w:val="009A3075"/>
    <w:rsid w:val="009A3851"/>
    <w:rsid w:val="009A3D51"/>
    <w:rsid w:val="009A4947"/>
    <w:rsid w:val="009A4FB2"/>
    <w:rsid w:val="009A50F7"/>
    <w:rsid w:val="009A58EE"/>
    <w:rsid w:val="009A5AFE"/>
    <w:rsid w:val="009A5B8A"/>
    <w:rsid w:val="009A5CB9"/>
    <w:rsid w:val="009A685E"/>
    <w:rsid w:val="009A69BD"/>
    <w:rsid w:val="009A6AD8"/>
    <w:rsid w:val="009A7463"/>
    <w:rsid w:val="009A7618"/>
    <w:rsid w:val="009A78B2"/>
    <w:rsid w:val="009A7DCC"/>
    <w:rsid w:val="009B0E9B"/>
    <w:rsid w:val="009B12A6"/>
    <w:rsid w:val="009B12B4"/>
    <w:rsid w:val="009B1437"/>
    <w:rsid w:val="009B1928"/>
    <w:rsid w:val="009B1D74"/>
    <w:rsid w:val="009B21C8"/>
    <w:rsid w:val="009B2881"/>
    <w:rsid w:val="009B2F0E"/>
    <w:rsid w:val="009B2F4F"/>
    <w:rsid w:val="009B39C3"/>
    <w:rsid w:val="009B40E5"/>
    <w:rsid w:val="009B46A5"/>
    <w:rsid w:val="009B48BE"/>
    <w:rsid w:val="009B4D5A"/>
    <w:rsid w:val="009B57CA"/>
    <w:rsid w:val="009B5832"/>
    <w:rsid w:val="009B58F9"/>
    <w:rsid w:val="009B5A04"/>
    <w:rsid w:val="009B5A70"/>
    <w:rsid w:val="009B5EC4"/>
    <w:rsid w:val="009B5ED4"/>
    <w:rsid w:val="009B6E1B"/>
    <w:rsid w:val="009B6FF8"/>
    <w:rsid w:val="009B7CFE"/>
    <w:rsid w:val="009B7E7B"/>
    <w:rsid w:val="009B7F31"/>
    <w:rsid w:val="009B7FD6"/>
    <w:rsid w:val="009C01FE"/>
    <w:rsid w:val="009C0284"/>
    <w:rsid w:val="009C029E"/>
    <w:rsid w:val="009C0D93"/>
    <w:rsid w:val="009C11B3"/>
    <w:rsid w:val="009C12AF"/>
    <w:rsid w:val="009C132B"/>
    <w:rsid w:val="009C19B5"/>
    <w:rsid w:val="009C19F3"/>
    <w:rsid w:val="009C1F01"/>
    <w:rsid w:val="009C2198"/>
    <w:rsid w:val="009C2861"/>
    <w:rsid w:val="009C3077"/>
    <w:rsid w:val="009C3262"/>
    <w:rsid w:val="009C4108"/>
    <w:rsid w:val="009C4BBD"/>
    <w:rsid w:val="009C55A2"/>
    <w:rsid w:val="009C5868"/>
    <w:rsid w:val="009C6882"/>
    <w:rsid w:val="009C6A0A"/>
    <w:rsid w:val="009C6A87"/>
    <w:rsid w:val="009C6CBE"/>
    <w:rsid w:val="009C6FA4"/>
    <w:rsid w:val="009C7806"/>
    <w:rsid w:val="009C7871"/>
    <w:rsid w:val="009C7A30"/>
    <w:rsid w:val="009C7A76"/>
    <w:rsid w:val="009C7D76"/>
    <w:rsid w:val="009C7DFA"/>
    <w:rsid w:val="009C7EE3"/>
    <w:rsid w:val="009D17F3"/>
    <w:rsid w:val="009D1E9C"/>
    <w:rsid w:val="009D211A"/>
    <w:rsid w:val="009D224B"/>
    <w:rsid w:val="009D2518"/>
    <w:rsid w:val="009D2BD0"/>
    <w:rsid w:val="009D2EEA"/>
    <w:rsid w:val="009D316D"/>
    <w:rsid w:val="009D3259"/>
    <w:rsid w:val="009D45FC"/>
    <w:rsid w:val="009D4DC4"/>
    <w:rsid w:val="009D4F96"/>
    <w:rsid w:val="009D4FB3"/>
    <w:rsid w:val="009D50D7"/>
    <w:rsid w:val="009D5844"/>
    <w:rsid w:val="009D5B96"/>
    <w:rsid w:val="009D5EF6"/>
    <w:rsid w:val="009D6FA5"/>
    <w:rsid w:val="009D7395"/>
    <w:rsid w:val="009D747C"/>
    <w:rsid w:val="009D752D"/>
    <w:rsid w:val="009D7774"/>
    <w:rsid w:val="009E08FB"/>
    <w:rsid w:val="009E194F"/>
    <w:rsid w:val="009E1FD1"/>
    <w:rsid w:val="009E205B"/>
    <w:rsid w:val="009E2100"/>
    <w:rsid w:val="009E226B"/>
    <w:rsid w:val="009E294E"/>
    <w:rsid w:val="009E3719"/>
    <w:rsid w:val="009E3C48"/>
    <w:rsid w:val="009E3D95"/>
    <w:rsid w:val="009E4882"/>
    <w:rsid w:val="009E4B33"/>
    <w:rsid w:val="009E50FD"/>
    <w:rsid w:val="009E5C53"/>
    <w:rsid w:val="009E5CD6"/>
    <w:rsid w:val="009E6500"/>
    <w:rsid w:val="009E7791"/>
    <w:rsid w:val="009F012E"/>
    <w:rsid w:val="009F0921"/>
    <w:rsid w:val="009F0F5A"/>
    <w:rsid w:val="009F121F"/>
    <w:rsid w:val="009F1B64"/>
    <w:rsid w:val="009F25A2"/>
    <w:rsid w:val="009F2FB3"/>
    <w:rsid w:val="009F3535"/>
    <w:rsid w:val="009F36EB"/>
    <w:rsid w:val="009F3700"/>
    <w:rsid w:val="009F3803"/>
    <w:rsid w:val="009F3E59"/>
    <w:rsid w:val="009F43F1"/>
    <w:rsid w:val="009F4CAF"/>
    <w:rsid w:val="009F5393"/>
    <w:rsid w:val="009F5B94"/>
    <w:rsid w:val="009F6493"/>
    <w:rsid w:val="009F6844"/>
    <w:rsid w:val="009F6C8C"/>
    <w:rsid w:val="009F6EAF"/>
    <w:rsid w:val="009F731D"/>
    <w:rsid w:val="009F7443"/>
    <w:rsid w:val="009F7A74"/>
    <w:rsid w:val="009F7DCA"/>
    <w:rsid w:val="00A0067B"/>
    <w:rsid w:val="00A0110D"/>
    <w:rsid w:val="00A011FC"/>
    <w:rsid w:val="00A0148E"/>
    <w:rsid w:val="00A01C23"/>
    <w:rsid w:val="00A01C59"/>
    <w:rsid w:val="00A023FC"/>
    <w:rsid w:val="00A024BE"/>
    <w:rsid w:val="00A029BD"/>
    <w:rsid w:val="00A02EF8"/>
    <w:rsid w:val="00A03056"/>
    <w:rsid w:val="00A0341C"/>
    <w:rsid w:val="00A0396A"/>
    <w:rsid w:val="00A0429A"/>
    <w:rsid w:val="00A043A6"/>
    <w:rsid w:val="00A04A26"/>
    <w:rsid w:val="00A04FEF"/>
    <w:rsid w:val="00A051C0"/>
    <w:rsid w:val="00A05D88"/>
    <w:rsid w:val="00A06072"/>
    <w:rsid w:val="00A06586"/>
    <w:rsid w:val="00A069D8"/>
    <w:rsid w:val="00A0706C"/>
    <w:rsid w:val="00A07344"/>
    <w:rsid w:val="00A078E3"/>
    <w:rsid w:val="00A108BB"/>
    <w:rsid w:val="00A10BC1"/>
    <w:rsid w:val="00A10C21"/>
    <w:rsid w:val="00A10E6D"/>
    <w:rsid w:val="00A111F6"/>
    <w:rsid w:val="00A11AC3"/>
    <w:rsid w:val="00A12220"/>
    <w:rsid w:val="00A12A23"/>
    <w:rsid w:val="00A12A9A"/>
    <w:rsid w:val="00A12DBA"/>
    <w:rsid w:val="00A13508"/>
    <w:rsid w:val="00A13AE4"/>
    <w:rsid w:val="00A13AEC"/>
    <w:rsid w:val="00A14162"/>
    <w:rsid w:val="00A14C24"/>
    <w:rsid w:val="00A14FF5"/>
    <w:rsid w:val="00A17AB9"/>
    <w:rsid w:val="00A17D52"/>
    <w:rsid w:val="00A2065D"/>
    <w:rsid w:val="00A208BF"/>
    <w:rsid w:val="00A208EA"/>
    <w:rsid w:val="00A2100D"/>
    <w:rsid w:val="00A2152C"/>
    <w:rsid w:val="00A21751"/>
    <w:rsid w:val="00A22FDC"/>
    <w:rsid w:val="00A234EF"/>
    <w:rsid w:val="00A23B3A"/>
    <w:rsid w:val="00A23F3E"/>
    <w:rsid w:val="00A2402B"/>
    <w:rsid w:val="00A24126"/>
    <w:rsid w:val="00A24F18"/>
    <w:rsid w:val="00A250AD"/>
    <w:rsid w:val="00A252BB"/>
    <w:rsid w:val="00A256E7"/>
    <w:rsid w:val="00A25D11"/>
    <w:rsid w:val="00A26749"/>
    <w:rsid w:val="00A27842"/>
    <w:rsid w:val="00A27C9C"/>
    <w:rsid w:val="00A27F9E"/>
    <w:rsid w:val="00A30147"/>
    <w:rsid w:val="00A301E6"/>
    <w:rsid w:val="00A301F2"/>
    <w:rsid w:val="00A30370"/>
    <w:rsid w:val="00A307C9"/>
    <w:rsid w:val="00A30AD7"/>
    <w:rsid w:val="00A312EA"/>
    <w:rsid w:val="00A31452"/>
    <w:rsid w:val="00A31949"/>
    <w:rsid w:val="00A339DD"/>
    <w:rsid w:val="00A33B43"/>
    <w:rsid w:val="00A344C1"/>
    <w:rsid w:val="00A351ED"/>
    <w:rsid w:val="00A3558D"/>
    <w:rsid w:val="00A3561C"/>
    <w:rsid w:val="00A356AD"/>
    <w:rsid w:val="00A35983"/>
    <w:rsid w:val="00A35EC3"/>
    <w:rsid w:val="00A36419"/>
    <w:rsid w:val="00A36B0F"/>
    <w:rsid w:val="00A37872"/>
    <w:rsid w:val="00A37F80"/>
    <w:rsid w:val="00A4050C"/>
    <w:rsid w:val="00A40A7E"/>
    <w:rsid w:val="00A40B9A"/>
    <w:rsid w:val="00A40C87"/>
    <w:rsid w:val="00A40DBB"/>
    <w:rsid w:val="00A41427"/>
    <w:rsid w:val="00A4189E"/>
    <w:rsid w:val="00A41DCB"/>
    <w:rsid w:val="00A42293"/>
    <w:rsid w:val="00A4237C"/>
    <w:rsid w:val="00A424FD"/>
    <w:rsid w:val="00A42510"/>
    <w:rsid w:val="00A42604"/>
    <w:rsid w:val="00A42B24"/>
    <w:rsid w:val="00A43734"/>
    <w:rsid w:val="00A4378C"/>
    <w:rsid w:val="00A44652"/>
    <w:rsid w:val="00A44EC8"/>
    <w:rsid w:val="00A44EF4"/>
    <w:rsid w:val="00A4515C"/>
    <w:rsid w:val="00A4532E"/>
    <w:rsid w:val="00A46279"/>
    <w:rsid w:val="00A46C75"/>
    <w:rsid w:val="00A474B9"/>
    <w:rsid w:val="00A47621"/>
    <w:rsid w:val="00A47811"/>
    <w:rsid w:val="00A47879"/>
    <w:rsid w:val="00A47A60"/>
    <w:rsid w:val="00A503BD"/>
    <w:rsid w:val="00A50562"/>
    <w:rsid w:val="00A5078A"/>
    <w:rsid w:val="00A50BA5"/>
    <w:rsid w:val="00A51128"/>
    <w:rsid w:val="00A51279"/>
    <w:rsid w:val="00A51694"/>
    <w:rsid w:val="00A51873"/>
    <w:rsid w:val="00A51CDC"/>
    <w:rsid w:val="00A51EA9"/>
    <w:rsid w:val="00A525CD"/>
    <w:rsid w:val="00A52AE9"/>
    <w:rsid w:val="00A52BDF"/>
    <w:rsid w:val="00A53385"/>
    <w:rsid w:val="00A53B8A"/>
    <w:rsid w:val="00A540CA"/>
    <w:rsid w:val="00A54649"/>
    <w:rsid w:val="00A54726"/>
    <w:rsid w:val="00A5503F"/>
    <w:rsid w:val="00A5517B"/>
    <w:rsid w:val="00A555EE"/>
    <w:rsid w:val="00A564C5"/>
    <w:rsid w:val="00A574EE"/>
    <w:rsid w:val="00A57ABF"/>
    <w:rsid w:val="00A57B04"/>
    <w:rsid w:val="00A57B5F"/>
    <w:rsid w:val="00A57D90"/>
    <w:rsid w:val="00A60296"/>
    <w:rsid w:val="00A6052B"/>
    <w:rsid w:val="00A60A5F"/>
    <w:rsid w:val="00A60E13"/>
    <w:rsid w:val="00A60F78"/>
    <w:rsid w:val="00A613DE"/>
    <w:rsid w:val="00A618CC"/>
    <w:rsid w:val="00A62134"/>
    <w:rsid w:val="00A6222E"/>
    <w:rsid w:val="00A62E5A"/>
    <w:rsid w:val="00A62F3C"/>
    <w:rsid w:val="00A6390C"/>
    <w:rsid w:val="00A63BF9"/>
    <w:rsid w:val="00A63DCE"/>
    <w:rsid w:val="00A641AA"/>
    <w:rsid w:val="00A64476"/>
    <w:rsid w:val="00A6461D"/>
    <w:rsid w:val="00A64C30"/>
    <w:rsid w:val="00A65059"/>
    <w:rsid w:val="00A65927"/>
    <w:rsid w:val="00A66361"/>
    <w:rsid w:val="00A66CE1"/>
    <w:rsid w:val="00A67A6F"/>
    <w:rsid w:val="00A708BE"/>
    <w:rsid w:val="00A7103C"/>
    <w:rsid w:val="00A71186"/>
    <w:rsid w:val="00A71A26"/>
    <w:rsid w:val="00A72077"/>
    <w:rsid w:val="00A7261B"/>
    <w:rsid w:val="00A7289D"/>
    <w:rsid w:val="00A72B77"/>
    <w:rsid w:val="00A72C60"/>
    <w:rsid w:val="00A73207"/>
    <w:rsid w:val="00A7366B"/>
    <w:rsid w:val="00A73D2E"/>
    <w:rsid w:val="00A73FBA"/>
    <w:rsid w:val="00A741CB"/>
    <w:rsid w:val="00A741CC"/>
    <w:rsid w:val="00A7457B"/>
    <w:rsid w:val="00A74586"/>
    <w:rsid w:val="00A74651"/>
    <w:rsid w:val="00A747EC"/>
    <w:rsid w:val="00A74A85"/>
    <w:rsid w:val="00A74F28"/>
    <w:rsid w:val="00A7554E"/>
    <w:rsid w:val="00A76C83"/>
    <w:rsid w:val="00A7704D"/>
    <w:rsid w:val="00A77DCB"/>
    <w:rsid w:val="00A77F23"/>
    <w:rsid w:val="00A80C65"/>
    <w:rsid w:val="00A80EFC"/>
    <w:rsid w:val="00A814A1"/>
    <w:rsid w:val="00A8198E"/>
    <w:rsid w:val="00A81B44"/>
    <w:rsid w:val="00A81C84"/>
    <w:rsid w:val="00A82074"/>
    <w:rsid w:val="00A82F1B"/>
    <w:rsid w:val="00A8396A"/>
    <w:rsid w:val="00A843EA"/>
    <w:rsid w:val="00A848AE"/>
    <w:rsid w:val="00A84C2C"/>
    <w:rsid w:val="00A85353"/>
    <w:rsid w:val="00A8540D"/>
    <w:rsid w:val="00A859CC"/>
    <w:rsid w:val="00A85DB2"/>
    <w:rsid w:val="00A85E4C"/>
    <w:rsid w:val="00A85F06"/>
    <w:rsid w:val="00A8653A"/>
    <w:rsid w:val="00A8670F"/>
    <w:rsid w:val="00A86DBB"/>
    <w:rsid w:val="00A871F8"/>
    <w:rsid w:val="00A876B0"/>
    <w:rsid w:val="00A90567"/>
    <w:rsid w:val="00A914E1"/>
    <w:rsid w:val="00A915C1"/>
    <w:rsid w:val="00A91A76"/>
    <w:rsid w:val="00A91AD8"/>
    <w:rsid w:val="00A92025"/>
    <w:rsid w:val="00A9210F"/>
    <w:rsid w:val="00A9247E"/>
    <w:rsid w:val="00A927B6"/>
    <w:rsid w:val="00A92AA4"/>
    <w:rsid w:val="00A936CB"/>
    <w:rsid w:val="00A93E3C"/>
    <w:rsid w:val="00A94584"/>
    <w:rsid w:val="00A951DF"/>
    <w:rsid w:val="00A954FD"/>
    <w:rsid w:val="00A955FF"/>
    <w:rsid w:val="00A959DC"/>
    <w:rsid w:val="00A963E0"/>
    <w:rsid w:val="00A96700"/>
    <w:rsid w:val="00A96884"/>
    <w:rsid w:val="00A96BAF"/>
    <w:rsid w:val="00A96F67"/>
    <w:rsid w:val="00A975F2"/>
    <w:rsid w:val="00A97755"/>
    <w:rsid w:val="00A97DE2"/>
    <w:rsid w:val="00A97ECB"/>
    <w:rsid w:val="00AA09A5"/>
    <w:rsid w:val="00AA11D1"/>
    <w:rsid w:val="00AA1242"/>
    <w:rsid w:val="00AA1CBD"/>
    <w:rsid w:val="00AA1E85"/>
    <w:rsid w:val="00AA20D3"/>
    <w:rsid w:val="00AA227E"/>
    <w:rsid w:val="00AA2671"/>
    <w:rsid w:val="00AA3355"/>
    <w:rsid w:val="00AA3456"/>
    <w:rsid w:val="00AA369C"/>
    <w:rsid w:val="00AA3F88"/>
    <w:rsid w:val="00AA42BC"/>
    <w:rsid w:val="00AA4C03"/>
    <w:rsid w:val="00AA5D5C"/>
    <w:rsid w:val="00AA5D9C"/>
    <w:rsid w:val="00AA60F7"/>
    <w:rsid w:val="00AA6635"/>
    <w:rsid w:val="00AA68EB"/>
    <w:rsid w:val="00AA6A5A"/>
    <w:rsid w:val="00AA6C5A"/>
    <w:rsid w:val="00AA70A8"/>
    <w:rsid w:val="00AA71DF"/>
    <w:rsid w:val="00AA7621"/>
    <w:rsid w:val="00AA78F8"/>
    <w:rsid w:val="00AA7D98"/>
    <w:rsid w:val="00AA7DDA"/>
    <w:rsid w:val="00AB1832"/>
    <w:rsid w:val="00AB189A"/>
    <w:rsid w:val="00AB1A1F"/>
    <w:rsid w:val="00AB1A20"/>
    <w:rsid w:val="00AB1EC1"/>
    <w:rsid w:val="00AB22A4"/>
    <w:rsid w:val="00AB3595"/>
    <w:rsid w:val="00AB380B"/>
    <w:rsid w:val="00AB5096"/>
    <w:rsid w:val="00AB527C"/>
    <w:rsid w:val="00AB57D4"/>
    <w:rsid w:val="00AB5D63"/>
    <w:rsid w:val="00AB68FB"/>
    <w:rsid w:val="00AB7048"/>
    <w:rsid w:val="00AC0038"/>
    <w:rsid w:val="00AC04B6"/>
    <w:rsid w:val="00AC064A"/>
    <w:rsid w:val="00AC0BA1"/>
    <w:rsid w:val="00AC101F"/>
    <w:rsid w:val="00AC1212"/>
    <w:rsid w:val="00AC135A"/>
    <w:rsid w:val="00AC14F6"/>
    <w:rsid w:val="00AC1660"/>
    <w:rsid w:val="00AC2B67"/>
    <w:rsid w:val="00AC35FC"/>
    <w:rsid w:val="00AC36C0"/>
    <w:rsid w:val="00AC380B"/>
    <w:rsid w:val="00AC39F1"/>
    <w:rsid w:val="00AC3F8E"/>
    <w:rsid w:val="00AC4BC5"/>
    <w:rsid w:val="00AC4F67"/>
    <w:rsid w:val="00AC512F"/>
    <w:rsid w:val="00AC51FE"/>
    <w:rsid w:val="00AC548C"/>
    <w:rsid w:val="00AC57BC"/>
    <w:rsid w:val="00AC59A8"/>
    <w:rsid w:val="00AC61E7"/>
    <w:rsid w:val="00AC65E0"/>
    <w:rsid w:val="00AC6C2E"/>
    <w:rsid w:val="00AC6D03"/>
    <w:rsid w:val="00AC71B0"/>
    <w:rsid w:val="00AC7559"/>
    <w:rsid w:val="00AC7719"/>
    <w:rsid w:val="00AC778F"/>
    <w:rsid w:val="00AC7CC3"/>
    <w:rsid w:val="00AC7E0B"/>
    <w:rsid w:val="00AD08EF"/>
    <w:rsid w:val="00AD1AE0"/>
    <w:rsid w:val="00AD20BC"/>
    <w:rsid w:val="00AD27B5"/>
    <w:rsid w:val="00AD2A50"/>
    <w:rsid w:val="00AD349F"/>
    <w:rsid w:val="00AD449B"/>
    <w:rsid w:val="00AD47CA"/>
    <w:rsid w:val="00AD482F"/>
    <w:rsid w:val="00AD49CC"/>
    <w:rsid w:val="00AD4A6D"/>
    <w:rsid w:val="00AD526D"/>
    <w:rsid w:val="00AD52CF"/>
    <w:rsid w:val="00AD532E"/>
    <w:rsid w:val="00AD56C1"/>
    <w:rsid w:val="00AD59BA"/>
    <w:rsid w:val="00AD5A45"/>
    <w:rsid w:val="00AD6164"/>
    <w:rsid w:val="00AD6363"/>
    <w:rsid w:val="00AD636B"/>
    <w:rsid w:val="00AD639A"/>
    <w:rsid w:val="00AD67FF"/>
    <w:rsid w:val="00AD69D9"/>
    <w:rsid w:val="00AD6AEB"/>
    <w:rsid w:val="00AD7743"/>
    <w:rsid w:val="00AD7822"/>
    <w:rsid w:val="00AD7B6B"/>
    <w:rsid w:val="00AD7EC9"/>
    <w:rsid w:val="00AE0854"/>
    <w:rsid w:val="00AE08D9"/>
    <w:rsid w:val="00AE0C9E"/>
    <w:rsid w:val="00AE10F0"/>
    <w:rsid w:val="00AE157F"/>
    <w:rsid w:val="00AE1F5A"/>
    <w:rsid w:val="00AE2089"/>
    <w:rsid w:val="00AE2989"/>
    <w:rsid w:val="00AE3376"/>
    <w:rsid w:val="00AE3518"/>
    <w:rsid w:val="00AE35C5"/>
    <w:rsid w:val="00AE37F2"/>
    <w:rsid w:val="00AE3E9B"/>
    <w:rsid w:val="00AE405B"/>
    <w:rsid w:val="00AE408C"/>
    <w:rsid w:val="00AE478E"/>
    <w:rsid w:val="00AE5193"/>
    <w:rsid w:val="00AE580E"/>
    <w:rsid w:val="00AE5BD4"/>
    <w:rsid w:val="00AE5DC3"/>
    <w:rsid w:val="00AE627E"/>
    <w:rsid w:val="00AE744B"/>
    <w:rsid w:val="00AE7515"/>
    <w:rsid w:val="00AE7E22"/>
    <w:rsid w:val="00AE7F84"/>
    <w:rsid w:val="00AF06FD"/>
    <w:rsid w:val="00AF1A05"/>
    <w:rsid w:val="00AF1D16"/>
    <w:rsid w:val="00AF2168"/>
    <w:rsid w:val="00AF301A"/>
    <w:rsid w:val="00AF3203"/>
    <w:rsid w:val="00AF3A4A"/>
    <w:rsid w:val="00AF3DCA"/>
    <w:rsid w:val="00AF3F9A"/>
    <w:rsid w:val="00AF41D9"/>
    <w:rsid w:val="00AF425F"/>
    <w:rsid w:val="00AF5447"/>
    <w:rsid w:val="00AF5C70"/>
    <w:rsid w:val="00AF5FFB"/>
    <w:rsid w:val="00AF64E5"/>
    <w:rsid w:val="00AF6668"/>
    <w:rsid w:val="00AF692A"/>
    <w:rsid w:val="00AF6AE8"/>
    <w:rsid w:val="00AF750D"/>
    <w:rsid w:val="00AF77B0"/>
    <w:rsid w:val="00AF7E57"/>
    <w:rsid w:val="00B00105"/>
    <w:rsid w:val="00B0023D"/>
    <w:rsid w:val="00B006D9"/>
    <w:rsid w:val="00B00CFF"/>
    <w:rsid w:val="00B010D7"/>
    <w:rsid w:val="00B0126A"/>
    <w:rsid w:val="00B0184A"/>
    <w:rsid w:val="00B0198C"/>
    <w:rsid w:val="00B01F51"/>
    <w:rsid w:val="00B03471"/>
    <w:rsid w:val="00B03515"/>
    <w:rsid w:val="00B03716"/>
    <w:rsid w:val="00B03AF2"/>
    <w:rsid w:val="00B03E00"/>
    <w:rsid w:val="00B04E34"/>
    <w:rsid w:val="00B04F77"/>
    <w:rsid w:val="00B0556C"/>
    <w:rsid w:val="00B0660B"/>
    <w:rsid w:val="00B06AEE"/>
    <w:rsid w:val="00B06DBB"/>
    <w:rsid w:val="00B06EBF"/>
    <w:rsid w:val="00B074D0"/>
    <w:rsid w:val="00B075E7"/>
    <w:rsid w:val="00B1095B"/>
    <w:rsid w:val="00B10A7E"/>
    <w:rsid w:val="00B121CF"/>
    <w:rsid w:val="00B12EC8"/>
    <w:rsid w:val="00B1314A"/>
    <w:rsid w:val="00B143D5"/>
    <w:rsid w:val="00B14F8E"/>
    <w:rsid w:val="00B14F9D"/>
    <w:rsid w:val="00B1521F"/>
    <w:rsid w:val="00B15B33"/>
    <w:rsid w:val="00B15B76"/>
    <w:rsid w:val="00B15BBC"/>
    <w:rsid w:val="00B15D6B"/>
    <w:rsid w:val="00B16594"/>
    <w:rsid w:val="00B16AFB"/>
    <w:rsid w:val="00B1708A"/>
    <w:rsid w:val="00B17F16"/>
    <w:rsid w:val="00B20288"/>
    <w:rsid w:val="00B20506"/>
    <w:rsid w:val="00B2087C"/>
    <w:rsid w:val="00B20F7A"/>
    <w:rsid w:val="00B20FC9"/>
    <w:rsid w:val="00B21235"/>
    <w:rsid w:val="00B21447"/>
    <w:rsid w:val="00B216E6"/>
    <w:rsid w:val="00B21E3D"/>
    <w:rsid w:val="00B21FC9"/>
    <w:rsid w:val="00B2205B"/>
    <w:rsid w:val="00B22803"/>
    <w:rsid w:val="00B23336"/>
    <w:rsid w:val="00B23372"/>
    <w:rsid w:val="00B23474"/>
    <w:rsid w:val="00B237B6"/>
    <w:rsid w:val="00B23D21"/>
    <w:rsid w:val="00B24147"/>
    <w:rsid w:val="00B24E47"/>
    <w:rsid w:val="00B25378"/>
    <w:rsid w:val="00B258C8"/>
    <w:rsid w:val="00B263B7"/>
    <w:rsid w:val="00B26CFD"/>
    <w:rsid w:val="00B274CC"/>
    <w:rsid w:val="00B2763F"/>
    <w:rsid w:val="00B30370"/>
    <w:rsid w:val="00B30511"/>
    <w:rsid w:val="00B30886"/>
    <w:rsid w:val="00B31216"/>
    <w:rsid w:val="00B31224"/>
    <w:rsid w:val="00B312EF"/>
    <w:rsid w:val="00B31553"/>
    <w:rsid w:val="00B31B9B"/>
    <w:rsid w:val="00B31D6B"/>
    <w:rsid w:val="00B3288C"/>
    <w:rsid w:val="00B32966"/>
    <w:rsid w:val="00B32C42"/>
    <w:rsid w:val="00B334EB"/>
    <w:rsid w:val="00B338DD"/>
    <w:rsid w:val="00B33DBC"/>
    <w:rsid w:val="00B34C0C"/>
    <w:rsid w:val="00B34E0F"/>
    <w:rsid w:val="00B34EDA"/>
    <w:rsid w:val="00B35062"/>
    <w:rsid w:val="00B352DC"/>
    <w:rsid w:val="00B365CC"/>
    <w:rsid w:val="00B36624"/>
    <w:rsid w:val="00B36768"/>
    <w:rsid w:val="00B367BC"/>
    <w:rsid w:val="00B36E7C"/>
    <w:rsid w:val="00B36F87"/>
    <w:rsid w:val="00B374FA"/>
    <w:rsid w:val="00B379A7"/>
    <w:rsid w:val="00B40357"/>
    <w:rsid w:val="00B40876"/>
    <w:rsid w:val="00B41021"/>
    <w:rsid w:val="00B41179"/>
    <w:rsid w:val="00B41D24"/>
    <w:rsid w:val="00B41D9E"/>
    <w:rsid w:val="00B4207B"/>
    <w:rsid w:val="00B420FD"/>
    <w:rsid w:val="00B424CE"/>
    <w:rsid w:val="00B428FC"/>
    <w:rsid w:val="00B42933"/>
    <w:rsid w:val="00B42E6B"/>
    <w:rsid w:val="00B43418"/>
    <w:rsid w:val="00B43FF3"/>
    <w:rsid w:val="00B441C9"/>
    <w:rsid w:val="00B44716"/>
    <w:rsid w:val="00B44ABA"/>
    <w:rsid w:val="00B4538C"/>
    <w:rsid w:val="00B45405"/>
    <w:rsid w:val="00B454C3"/>
    <w:rsid w:val="00B4550C"/>
    <w:rsid w:val="00B4563B"/>
    <w:rsid w:val="00B459BA"/>
    <w:rsid w:val="00B4602C"/>
    <w:rsid w:val="00B46B24"/>
    <w:rsid w:val="00B47102"/>
    <w:rsid w:val="00B474A7"/>
    <w:rsid w:val="00B477A7"/>
    <w:rsid w:val="00B4799E"/>
    <w:rsid w:val="00B47BA5"/>
    <w:rsid w:val="00B511A5"/>
    <w:rsid w:val="00B51627"/>
    <w:rsid w:val="00B519C5"/>
    <w:rsid w:val="00B51B22"/>
    <w:rsid w:val="00B51EA0"/>
    <w:rsid w:val="00B52B2F"/>
    <w:rsid w:val="00B536C5"/>
    <w:rsid w:val="00B53C53"/>
    <w:rsid w:val="00B53E39"/>
    <w:rsid w:val="00B53F93"/>
    <w:rsid w:val="00B544A2"/>
    <w:rsid w:val="00B54D9A"/>
    <w:rsid w:val="00B55DCE"/>
    <w:rsid w:val="00B56264"/>
    <w:rsid w:val="00B565F7"/>
    <w:rsid w:val="00B56948"/>
    <w:rsid w:val="00B56AB3"/>
    <w:rsid w:val="00B56B18"/>
    <w:rsid w:val="00B5768D"/>
    <w:rsid w:val="00B6094A"/>
    <w:rsid w:val="00B60A8A"/>
    <w:rsid w:val="00B60C7D"/>
    <w:rsid w:val="00B61179"/>
    <w:rsid w:val="00B618D2"/>
    <w:rsid w:val="00B61BAA"/>
    <w:rsid w:val="00B61DB8"/>
    <w:rsid w:val="00B62274"/>
    <w:rsid w:val="00B62AC8"/>
    <w:rsid w:val="00B62F87"/>
    <w:rsid w:val="00B631D8"/>
    <w:rsid w:val="00B6328A"/>
    <w:rsid w:val="00B6344D"/>
    <w:rsid w:val="00B639BA"/>
    <w:rsid w:val="00B644B2"/>
    <w:rsid w:val="00B64817"/>
    <w:rsid w:val="00B64F79"/>
    <w:rsid w:val="00B651A1"/>
    <w:rsid w:val="00B65214"/>
    <w:rsid w:val="00B659F9"/>
    <w:rsid w:val="00B65D02"/>
    <w:rsid w:val="00B665EC"/>
    <w:rsid w:val="00B66DFF"/>
    <w:rsid w:val="00B66FEB"/>
    <w:rsid w:val="00B676F9"/>
    <w:rsid w:val="00B70231"/>
    <w:rsid w:val="00B706B3"/>
    <w:rsid w:val="00B70E18"/>
    <w:rsid w:val="00B7232F"/>
    <w:rsid w:val="00B72442"/>
    <w:rsid w:val="00B728C9"/>
    <w:rsid w:val="00B738C4"/>
    <w:rsid w:val="00B74195"/>
    <w:rsid w:val="00B7419F"/>
    <w:rsid w:val="00B74312"/>
    <w:rsid w:val="00B74760"/>
    <w:rsid w:val="00B748BB"/>
    <w:rsid w:val="00B74C9D"/>
    <w:rsid w:val="00B751A0"/>
    <w:rsid w:val="00B7554F"/>
    <w:rsid w:val="00B76042"/>
    <w:rsid w:val="00B76402"/>
    <w:rsid w:val="00B76765"/>
    <w:rsid w:val="00B76FB6"/>
    <w:rsid w:val="00B77223"/>
    <w:rsid w:val="00B77F6B"/>
    <w:rsid w:val="00B77FC6"/>
    <w:rsid w:val="00B802B3"/>
    <w:rsid w:val="00B8054E"/>
    <w:rsid w:val="00B80BE1"/>
    <w:rsid w:val="00B811D5"/>
    <w:rsid w:val="00B81805"/>
    <w:rsid w:val="00B81AD1"/>
    <w:rsid w:val="00B81D4C"/>
    <w:rsid w:val="00B829EA"/>
    <w:rsid w:val="00B829FF"/>
    <w:rsid w:val="00B83E19"/>
    <w:rsid w:val="00B84668"/>
    <w:rsid w:val="00B846F2"/>
    <w:rsid w:val="00B8488E"/>
    <w:rsid w:val="00B84A03"/>
    <w:rsid w:val="00B85055"/>
    <w:rsid w:val="00B85A4A"/>
    <w:rsid w:val="00B85AF5"/>
    <w:rsid w:val="00B85BA5"/>
    <w:rsid w:val="00B85D00"/>
    <w:rsid w:val="00B8600D"/>
    <w:rsid w:val="00B86598"/>
    <w:rsid w:val="00B86B0A"/>
    <w:rsid w:val="00B873EA"/>
    <w:rsid w:val="00B87DD4"/>
    <w:rsid w:val="00B90036"/>
    <w:rsid w:val="00B90610"/>
    <w:rsid w:val="00B90A00"/>
    <w:rsid w:val="00B90A58"/>
    <w:rsid w:val="00B90A76"/>
    <w:rsid w:val="00B90A9E"/>
    <w:rsid w:val="00B90F78"/>
    <w:rsid w:val="00B91873"/>
    <w:rsid w:val="00B91914"/>
    <w:rsid w:val="00B91FA8"/>
    <w:rsid w:val="00B92492"/>
    <w:rsid w:val="00B9265A"/>
    <w:rsid w:val="00B9285C"/>
    <w:rsid w:val="00B92AEE"/>
    <w:rsid w:val="00B946C4"/>
    <w:rsid w:val="00B94960"/>
    <w:rsid w:val="00B9503B"/>
    <w:rsid w:val="00B9511E"/>
    <w:rsid w:val="00B952E6"/>
    <w:rsid w:val="00B960D3"/>
    <w:rsid w:val="00B965E6"/>
    <w:rsid w:val="00B96E3E"/>
    <w:rsid w:val="00B96E75"/>
    <w:rsid w:val="00B96EF3"/>
    <w:rsid w:val="00B975BC"/>
    <w:rsid w:val="00B97715"/>
    <w:rsid w:val="00B97932"/>
    <w:rsid w:val="00B97F06"/>
    <w:rsid w:val="00BA06BE"/>
    <w:rsid w:val="00BA0735"/>
    <w:rsid w:val="00BA0C42"/>
    <w:rsid w:val="00BA10C1"/>
    <w:rsid w:val="00BA13D1"/>
    <w:rsid w:val="00BA1612"/>
    <w:rsid w:val="00BA1D33"/>
    <w:rsid w:val="00BA22F0"/>
    <w:rsid w:val="00BA2768"/>
    <w:rsid w:val="00BA32E2"/>
    <w:rsid w:val="00BA39A0"/>
    <w:rsid w:val="00BA3A9C"/>
    <w:rsid w:val="00BA3D5F"/>
    <w:rsid w:val="00BA4122"/>
    <w:rsid w:val="00BA4153"/>
    <w:rsid w:val="00BA432E"/>
    <w:rsid w:val="00BA4390"/>
    <w:rsid w:val="00BA4D5E"/>
    <w:rsid w:val="00BA5838"/>
    <w:rsid w:val="00BA58E3"/>
    <w:rsid w:val="00BA5DE6"/>
    <w:rsid w:val="00BA66D5"/>
    <w:rsid w:val="00BA6757"/>
    <w:rsid w:val="00BA6923"/>
    <w:rsid w:val="00BA6D2F"/>
    <w:rsid w:val="00BA72C5"/>
    <w:rsid w:val="00BA7414"/>
    <w:rsid w:val="00BA7491"/>
    <w:rsid w:val="00BA782C"/>
    <w:rsid w:val="00BA7C7E"/>
    <w:rsid w:val="00BA7D6D"/>
    <w:rsid w:val="00BA7FCA"/>
    <w:rsid w:val="00BB0663"/>
    <w:rsid w:val="00BB0AE4"/>
    <w:rsid w:val="00BB1151"/>
    <w:rsid w:val="00BB1631"/>
    <w:rsid w:val="00BB1726"/>
    <w:rsid w:val="00BB1DAD"/>
    <w:rsid w:val="00BB1E08"/>
    <w:rsid w:val="00BB22E0"/>
    <w:rsid w:val="00BB24B8"/>
    <w:rsid w:val="00BB2DCE"/>
    <w:rsid w:val="00BB2E25"/>
    <w:rsid w:val="00BB3002"/>
    <w:rsid w:val="00BB4264"/>
    <w:rsid w:val="00BB44FB"/>
    <w:rsid w:val="00BB4C0C"/>
    <w:rsid w:val="00BB4C16"/>
    <w:rsid w:val="00BB511E"/>
    <w:rsid w:val="00BB627E"/>
    <w:rsid w:val="00BB72A0"/>
    <w:rsid w:val="00BB775F"/>
    <w:rsid w:val="00BB77F1"/>
    <w:rsid w:val="00BB7890"/>
    <w:rsid w:val="00BB78D0"/>
    <w:rsid w:val="00BB7E8E"/>
    <w:rsid w:val="00BC036A"/>
    <w:rsid w:val="00BC0787"/>
    <w:rsid w:val="00BC0936"/>
    <w:rsid w:val="00BC0B3C"/>
    <w:rsid w:val="00BC0E9D"/>
    <w:rsid w:val="00BC1BA6"/>
    <w:rsid w:val="00BC2135"/>
    <w:rsid w:val="00BC2254"/>
    <w:rsid w:val="00BC255C"/>
    <w:rsid w:val="00BC268C"/>
    <w:rsid w:val="00BC2FCB"/>
    <w:rsid w:val="00BC380F"/>
    <w:rsid w:val="00BC3838"/>
    <w:rsid w:val="00BC39D5"/>
    <w:rsid w:val="00BC3C16"/>
    <w:rsid w:val="00BC3DCC"/>
    <w:rsid w:val="00BC46C1"/>
    <w:rsid w:val="00BC502D"/>
    <w:rsid w:val="00BC54A9"/>
    <w:rsid w:val="00BC5D1A"/>
    <w:rsid w:val="00BC60D4"/>
    <w:rsid w:val="00BC6B4D"/>
    <w:rsid w:val="00BC750E"/>
    <w:rsid w:val="00BC7643"/>
    <w:rsid w:val="00BC77AD"/>
    <w:rsid w:val="00BD02B9"/>
    <w:rsid w:val="00BD03AB"/>
    <w:rsid w:val="00BD0E11"/>
    <w:rsid w:val="00BD1033"/>
    <w:rsid w:val="00BD1202"/>
    <w:rsid w:val="00BD14F8"/>
    <w:rsid w:val="00BD159F"/>
    <w:rsid w:val="00BD16F1"/>
    <w:rsid w:val="00BD1B1E"/>
    <w:rsid w:val="00BD1FF1"/>
    <w:rsid w:val="00BD26B5"/>
    <w:rsid w:val="00BD275E"/>
    <w:rsid w:val="00BD2DCF"/>
    <w:rsid w:val="00BD2EF8"/>
    <w:rsid w:val="00BD315B"/>
    <w:rsid w:val="00BD3AAC"/>
    <w:rsid w:val="00BD3B5B"/>
    <w:rsid w:val="00BD3C56"/>
    <w:rsid w:val="00BD3D40"/>
    <w:rsid w:val="00BD41F2"/>
    <w:rsid w:val="00BD4433"/>
    <w:rsid w:val="00BD52E4"/>
    <w:rsid w:val="00BD54AD"/>
    <w:rsid w:val="00BD5E2E"/>
    <w:rsid w:val="00BD6434"/>
    <w:rsid w:val="00BD6462"/>
    <w:rsid w:val="00BD656B"/>
    <w:rsid w:val="00BD6D5F"/>
    <w:rsid w:val="00BD6FD8"/>
    <w:rsid w:val="00BE0239"/>
    <w:rsid w:val="00BE05A6"/>
    <w:rsid w:val="00BE0C0A"/>
    <w:rsid w:val="00BE0E3F"/>
    <w:rsid w:val="00BE0F2B"/>
    <w:rsid w:val="00BE1020"/>
    <w:rsid w:val="00BE16EC"/>
    <w:rsid w:val="00BE2126"/>
    <w:rsid w:val="00BE22D1"/>
    <w:rsid w:val="00BE24C3"/>
    <w:rsid w:val="00BE33A4"/>
    <w:rsid w:val="00BE405B"/>
    <w:rsid w:val="00BE4158"/>
    <w:rsid w:val="00BE46E7"/>
    <w:rsid w:val="00BE48ED"/>
    <w:rsid w:val="00BE4D3F"/>
    <w:rsid w:val="00BE5256"/>
    <w:rsid w:val="00BE53FB"/>
    <w:rsid w:val="00BE57D7"/>
    <w:rsid w:val="00BE655C"/>
    <w:rsid w:val="00BE65F4"/>
    <w:rsid w:val="00BE6A1A"/>
    <w:rsid w:val="00BE6DB0"/>
    <w:rsid w:val="00BE6FE4"/>
    <w:rsid w:val="00BE7261"/>
    <w:rsid w:val="00BE759A"/>
    <w:rsid w:val="00BE762D"/>
    <w:rsid w:val="00BE76F3"/>
    <w:rsid w:val="00BE795F"/>
    <w:rsid w:val="00BF048B"/>
    <w:rsid w:val="00BF085A"/>
    <w:rsid w:val="00BF0862"/>
    <w:rsid w:val="00BF1365"/>
    <w:rsid w:val="00BF14A0"/>
    <w:rsid w:val="00BF178E"/>
    <w:rsid w:val="00BF1A01"/>
    <w:rsid w:val="00BF1B61"/>
    <w:rsid w:val="00BF2118"/>
    <w:rsid w:val="00BF251B"/>
    <w:rsid w:val="00BF269F"/>
    <w:rsid w:val="00BF34FE"/>
    <w:rsid w:val="00BF3614"/>
    <w:rsid w:val="00BF3626"/>
    <w:rsid w:val="00BF3A55"/>
    <w:rsid w:val="00BF3B67"/>
    <w:rsid w:val="00BF3D86"/>
    <w:rsid w:val="00BF4151"/>
    <w:rsid w:val="00BF4511"/>
    <w:rsid w:val="00BF46AA"/>
    <w:rsid w:val="00BF4898"/>
    <w:rsid w:val="00BF4AF9"/>
    <w:rsid w:val="00BF4B74"/>
    <w:rsid w:val="00BF5031"/>
    <w:rsid w:val="00BF514A"/>
    <w:rsid w:val="00BF5AB7"/>
    <w:rsid w:val="00BF6931"/>
    <w:rsid w:val="00BF7062"/>
    <w:rsid w:val="00BF71AA"/>
    <w:rsid w:val="00BF75B9"/>
    <w:rsid w:val="00BF7B40"/>
    <w:rsid w:val="00C0012C"/>
    <w:rsid w:val="00C00252"/>
    <w:rsid w:val="00C00509"/>
    <w:rsid w:val="00C00852"/>
    <w:rsid w:val="00C00B2D"/>
    <w:rsid w:val="00C01B32"/>
    <w:rsid w:val="00C01F8E"/>
    <w:rsid w:val="00C02108"/>
    <w:rsid w:val="00C0225A"/>
    <w:rsid w:val="00C02325"/>
    <w:rsid w:val="00C0287D"/>
    <w:rsid w:val="00C03D8F"/>
    <w:rsid w:val="00C03DD2"/>
    <w:rsid w:val="00C03E70"/>
    <w:rsid w:val="00C03F23"/>
    <w:rsid w:val="00C0434E"/>
    <w:rsid w:val="00C045B8"/>
    <w:rsid w:val="00C04FF0"/>
    <w:rsid w:val="00C054C2"/>
    <w:rsid w:val="00C05566"/>
    <w:rsid w:val="00C058A5"/>
    <w:rsid w:val="00C05A42"/>
    <w:rsid w:val="00C05C40"/>
    <w:rsid w:val="00C05E6B"/>
    <w:rsid w:val="00C060B4"/>
    <w:rsid w:val="00C074BC"/>
    <w:rsid w:val="00C079AA"/>
    <w:rsid w:val="00C07ECA"/>
    <w:rsid w:val="00C103DF"/>
    <w:rsid w:val="00C1080D"/>
    <w:rsid w:val="00C10A2C"/>
    <w:rsid w:val="00C11067"/>
    <w:rsid w:val="00C11103"/>
    <w:rsid w:val="00C117EF"/>
    <w:rsid w:val="00C11C37"/>
    <w:rsid w:val="00C1215E"/>
    <w:rsid w:val="00C132E1"/>
    <w:rsid w:val="00C13D3A"/>
    <w:rsid w:val="00C14033"/>
    <w:rsid w:val="00C143E8"/>
    <w:rsid w:val="00C16669"/>
    <w:rsid w:val="00C16EEC"/>
    <w:rsid w:val="00C170C7"/>
    <w:rsid w:val="00C1715B"/>
    <w:rsid w:val="00C17830"/>
    <w:rsid w:val="00C17850"/>
    <w:rsid w:val="00C17B54"/>
    <w:rsid w:val="00C203DC"/>
    <w:rsid w:val="00C20539"/>
    <w:rsid w:val="00C208F3"/>
    <w:rsid w:val="00C214C3"/>
    <w:rsid w:val="00C217AF"/>
    <w:rsid w:val="00C21CD8"/>
    <w:rsid w:val="00C22371"/>
    <w:rsid w:val="00C22967"/>
    <w:rsid w:val="00C23BD3"/>
    <w:rsid w:val="00C24021"/>
    <w:rsid w:val="00C24C21"/>
    <w:rsid w:val="00C24D61"/>
    <w:rsid w:val="00C24EAE"/>
    <w:rsid w:val="00C25209"/>
    <w:rsid w:val="00C25603"/>
    <w:rsid w:val="00C25F50"/>
    <w:rsid w:val="00C27271"/>
    <w:rsid w:val="00C27796"/>
    <w:rsid w:val="00C27D79"/>
    <w:rsid w:val="00C300C0"/>
    <w:rsid w:val="00C30534"/>
    <w:rsid w:val="00C30859"/>
    <w:rsid w:val="00C31CE4"/>
    <w:rsid w:val="00C31E41"/>
    <w:rsid w:val="00C31F16"/>
    <w:rsid w:val="00C320E2"/>
    <w:rsid w:val="00C326B1"/>
    <w:rsid w:val="00C326C6"/>
    <w:rsid w:val="00C32E05"/>
    <w:rsid w:val="00C33014"/>
    <w:rsid w:val="00C33309"/>
    <w:rsid w:val="00C33668"/>
    <w:rsid w:val="00C33A9B"/>
    <w:rsid w:val="00C3400E"/>
    <w:rsid w:val="00C349CF"/>
    <w:rsid w:val="00C34D31"/>
    <w:rsid w:val="00C35064"/>
    <w:rsid w:val="00C350A1"/>
    <w:rsid w:val="00C3510B"/>
    <w:rsid w:val="00C351A0"/>
    <w:rsid w:val="00C35241"/>
    <w:rsid w:val="00C352FF"/>
    <w:rsid w:val="00C3562F"/>
    <w:rsid w:val="00C357B9"/>
    <w:rsid w:val="00C35EED"/>
    <w:rsid w:val="00C35F51"/>
    <w:rsid w:val="00C36566"/>
    <w:rsid w:val="00C37278"/>
    <w:rsid w:val="00C37346"/>
    <w:rsid w:val="00C3756A"/>
    <w:rsid w:val="00C379F9"/>
    <w:rsid w:val="00C37CFC"/>
    <w:rsid w:val="00C41011"/>
    <w:rsid w:val="00C41754"/>
    <w:rsid w:val="00C41816"/>
    <w:rsid w:val="00C42149"/>
    <w:rsid w:val="00C4230D"/>
    <w:rsid w:val="00C423B1"/>
    <w:rsid w:val="00C42494"/>
    <w:rsid w:val="00C424E8"/>
    <w:rsid w:val="00C42540"/>
    <w:rsid w:val="00C426AA"/>
    <w:rsid w:val="00C442D5"/>
    <w:rsid w:val="00C4448C"/>
    <w:rsid w:val="00C44BBB"/>
    <w:rsid w:val="00C44E25"/>
    <w:rsid w:val="00C45245"/>
    <w:rsid w:val="00C4584F"/>
    <w:rsid w:val="00C46351"/>
    <w:rsid w:val="00C46448"/>
    <w:rsid w:val="00C464D8"/>
    <w:rsid w:val="00C468CE"/>
    <w:rsid w:val="00C46901"/>
    <w:rsid w:val="00C47613"/>
    <w:rsid w:val="00C47877"/>
    <w:rsid w:val="00C47A87"/>
    <w:rsid w:val="00C5064F"/>
    <w:rsid w:val="00C509C6"/>
    <w:rsid w:val="00C50A68"/>
    <w:rsid w:val="00C512F6"/>
    <w:rsid w:val="00C5165C"/>
    <w:rsid w:val="00C517E2"/>
    <w:rsid w:val="00C51E87"/>
    <w:rsid w:val="00C51E95"/>
    <w:rsid w:val="00C52182"/>
    <w:rsid w:val="00C5219E"/>
    <w:rsid w:val="00C52855"/>
    <w:rsid w:val="00C53566"/>
    <w:rsid w:val="00C54EF2"/>
    <w:rsid w:val="00C552FA"/>
    <w:rsid w:val="00C558C6"/>
    <w:rsid w:val="00C55ABF"/>
    <w:rsid w:val="00C55C2B"/>
    <w:rsid w:val="00C55E3F"/>
    <w:rsid w:val="00C55E4A"/>
    <w:rsid w:val="00C56138"/>
    <w:rsid w:val="00C5695C"/>
    <w:rsid w:val="00C56DBB"/>
    <w:rsid w:val="00C56EC4"/>
    <w:rsid w:val="00C571AF"/>
    <w:rsid w:val="00C573C8"/>
    <w:rsid w:val="00C57A98"/>
    <w:rsid w:val="00C57DB9"/>
    <w:rsid w:val="00C57DFD"/>
    <w:rsid w:val="00C57F9E"/>
    <w:rsid w:val="00C57FCE"/>
    <w:rsid w:val="00C57FDB"/>
    <w:rsid w:val="00C6040E"/>
    <w:rsid w:val="00C60F6B"/>
    <w:rsid w:val="00C61275"/>
    <w:rsid w:val="00C61796"/>
    <w:rsid w:val="00C61834"/>
    <w:rsid w:val="00C620DD"/>
    <w:rsid w:val="00C624BC"/>
    <w:rsid w:val="00C62A08"/>
    <w:rsid w:val="00C63783"/>
    <w:rsid w:val="00C638F8"/>
    <w:rsid w:val="00C6541F"/>
    <w:rsid w:val="00C65880"/>
    <w:rsid w:val="00C664CA"/>
    <w:rsid w:val="00C66981"/>
    <w:rsid w:val="00C67292"/>
    <w:rsid w:val="00C67B03"/>
    <w:rsid w:val="00C700C6"/>
    <w:rsid w:val="00C7022C"/>
    <w:rsid w:val="00C70F3B"/>
    <w:rsid w:val="00C711D6"/>
    <w:rsid w:val="00C71AC8"/>
    <w:rsid w:val="00C71D88"/>
    <w:rsid w:val="00C72569"/>
    <w:rsid w:val="00C72806"/>
    <w:rsid w:val="00C732AF"/>
    <w:rsid w:val="00C73D8F"/>
    <w:rsid w:val="00C74881"/>
    <w:rsid w:val="00C74A90"/>
    <w:rsid w:val="00C74AF1"/>
    <w:rsid w:val="00C74BEF"/>
    <w:rsid w:val="00C74E49"/>
    <w:rsid w:val="00C755B8"/>
    <w:rsid w:val="00C7595E"/>
    <w:rsid w:val="00C75BA1"/>
    <w:rsid w:val="00C75E88"/>
    <w:rsid w:val="00C76347"/>
    <w:rsid w:val="00C76A83"/>
    <w:rsid w:val="00C76C66"/>
    <w:rsid w:val="00C76FA1"/>
    <w:rsid w:val="00C7722A"/>
    <w:rsid w:val="00C778CF"/>
    <w:rsid w:val="00C7796B"/>
    <w:rsid w:val="00C77C36"/>
    <w:rsid w:val="00C8080A"/>
    <w:rsid w:val="00C809B1"/>
    <w:rsid w:val="00C80CC4"/>
    <w:rsid w:val="00C81652"/>
    <w:rsid w:val="00C8189B"/>
    <w:rsid w:val="00C81A62"/>
    <w:rsid w:val="00C82605"/>
    <w:rsid w:val="00C8278A"/>
    <w:rsid w:val="00C8325E"/>
    <w:rsid w:val="00C836D9"/>
    <w:rsid w:val="00C83D84"/>
    <w:rsid w:val="00C843BE"/>
    <w:rsid w:val="00C8499D"/>
    <w:rsid w:val="00C85EFF"/>
    <w:rsid w:val="00C86952"/>
    <w:rsid w:val="00C86B88"/>
    <w:rsid w:val="00C8709B"/>
    <w:rsid w:val="00C8714A"/>
    <w:rsid w:val="00C87462"/>
    <w:rsid w:val="00C878CC"/>
    <w:rsid w:val="00C87E99"/>
    <w:rsid w:val="00C9003D"/>
    <w:rsid w:val="00C9012B"/>
    <w:rsid w:val="00C9027E"/>
    <w:rsid w:val="00C90615"/>
    <w:rsid w:val="00C90AEF"/>
    <w:rsid w:val="00C90B14"/>
    <w:rsid w:val="00C916E2"/>
    <w:rsid w:val="00C91C7C"/>
    <w:rsid w:val="00C91F60"/>
    <w:rsid w:val="00C929B6"/>
    <w:rsid w:val="00C9334A"/>
    <w:rsid w:val="00C93CD4"/>
    <w:rsid w:val="00C93CE6"/>
    <w:rsid w:val="00C93DA9"/>
    <w:rsid w:val="00C93EF4"/>
    <w:rsid w:val="00C941BD"/>
    <w:rsid w:val="00C9469E"/>
    <w:rsid w:val="00C94CC1"/>
    <w:rsid w:val="00C950A3"/>
    <w:rsid w:val="00C951BF"/>
    <w:rsid w:val="00C952A8"/>
    <w:rsid w:val="00C95C24"/>
    <w:rsid w:val="00C95CF8"/>
    <w:rsid w:val="00C965E6"/>
    <w:rsid w:val="00C96774"/>
    <w:rsid w:val="00C96991"/>
    <w:rsid w:val="00C96B50"/>
    <w:rsid w:val="00C97910"/>
    <w:rsid w:val="00CA025A"/>
    <w:rsid w:val="00CA0344"/>
    <w:rsid w:val="00CA0629"/>
    <w:rsid w:val="00CA0A94"/>
    <w:rsid w:val="00CA14FC"/>
    <w:rsid w:val="00CA1624"/>
    <w:rsid w:val="00CA1A92"/>
    <w:rsid w:val="00CA232A"/>
    <w:rsid w:val="00CA2603"/>
    <w:rsid w:val="00CA3403"/>
    <w:rsid w:val="00CA359D"/>
    <w:rsid w:val="00CA3678"/>
    <w:rsid w:val="00CA4411"/>
    <w:rsid w:val="00CA5151"/>
    <w:rsid w:val="00CA5162"/>
    <w:rsid w:val="00CA5D16"/>
    <w:rsid w:val="00CA6293"/>
    <w:rsid w:val="00CA632F"/>
    <w:rsid w:val="00CA68B9"/>
    <w:rsid w:val="00CA69B0"/>
    <w:rsid w:val="00CA6E19"/>
    <w:rsid w:val="00CB0928"/>
    <w:rsid w:val="00CB0B62"/>
    <w:rsid w:val="00CB0CF5"/>
    <w:rsid w:val="00CB0F5A"/>
    <w:rsid w:val="00CB159D"/>
    <w:rsid w:val="00CB171F"/>
    <w:rsid w:val="00CB228D"/>
    <w:rsid w:val="00CB26A5"/>
    <w:rsid w:val="00CB292D"/>
    <w:rsid w:val="00CB2A31"/>
    <w:rsid w:val="00CB2B0A"/>
    <w:rsid w:val="00CB2C92"/>
    <w:rsid w:val="00CB3417"/>
    <w:rsid w:val="00CB3F01"/>
    <w:rsid w:val="00CB4576"/>
    <w:rsid w:val="00CB45F3"/>
    <w:rsid w:val="00CB49E4"/>
    <w:rsid w:val="00CB4BE1"/>
    <w:rsid w:val="00CB4D32"/>
    <w:rsid w:val="00CB4E0C"/>
    <w:rsid w:val="00CB5211"/>
    <w:rsid w:val="00CB57B8"/>
    <w:rsid w:val="00CB5D2B"/>
    <w:rsid w:val="00CB61A6"/>
    <w:rsid w:val="00CB634C"/>
    <w:rsid w:val="00CB6A66"/>
    <w:rsid w:val="00CB70DE"/>
    <w:rsid w:val="00CB7A4B"/>
    <w:rsid w:val="00CB7A4C"/>
    <w:rsid w:val="00CC15C7"/>
    <w:rsid w:val="00CC199A"/>
    <w:rsid w:val="00CC19A0"/>
    <w:rsid w:val="00CC1CD0"/>
    <w:rsid w:val="00CC23A3"/>
    <w:rsid w:val="00CC2463"/>
    <w:rsid w:val="00CC308C"/>
    <w:rsid w:val="00CC34AB"/>
    <w:rsid w:val="00CC367C"/>
    <w:rsid w:val="00CC3852"/>
    <w:rsid w:val="00CC3EA0"/>
    <w:rsid w:val="00CC4553"/>
    <w:rsid w:val="00CC4B26"/>
    <w:rsid w:val="00CC4EBF"/>
    <w:rsid w:val="00CC5885"/>
    <w:rsid w:val="00CC59D3"/>
    <w:rsid w:val="00CC5C4D"/>
    <w:rsid w:val="00CC5C62"/>
    <w:rsid w:val="00CC647F"/>
    <w:rsid w:val="00CC70D7"/>
    <w:rsid w:val="00CC7286"/>
    <w:rsid w:val="00CC7EED"/>
    <w:rsid w:val="00CD0371"/>
    <w:rsid w:val="00CD06D1"/>
    <w:rsid w:val="00CD0BE6"/>
    <w:rsid w:val="00CD0F25"/>
    <w:rsid w:val="00CD21BB"/>
    <w:rsid w:val="00CD28B8"/>
    <w:rsid w:val="00CD291D"/>
    <w:rsid w:val="00CD35F4"/>
    <w:rsid w:val="00CD3920"/>
    <w:rsid w:val="00CD3D60"/>
    <w:rsid w:val="00CD3E23"/>
    <w:rsid w:val="00CD4071"/>
    <w:rsid w:val="00CD4304"/>
    <w:rsid w:val="00CD4A54"/>
    <w:rsid w:val="00CD4E5A"/>
    <w:rsid w:val="00CD5219"/>
    <w:rsid w:val="00CD56EC"/>
    <w:rsid w:val="00CD5997"/>
    <w:rsid w:val="00CD5CDC"/>
    <w:rsid w:val="00CD5D09"/>
    <w:rsid w:val="00CD5DB7"/>
    <w:rsid w:val="00CD6138"/>
    <w:rsid w:val="00CD6411"/>
    <w:rsid w:val="00CD64C8"/>
    <w:rsid w:val="00CD68E8"/>
    <w:rsid w:val="00CD6A37"/>
    <w:rsid w:val="00CD6C4A"/>
    <w:rsid w:val="00CD6E14"/>
    <w:rsid w:val="00CD7294"/>
    <w:rsid w:val="00CD72AB"/>
    <w:rsid w:val="00CD7767"/>
    <w:rsid w:val="00CE175D"/>
    <w:rsid w:val="00CE187B"/>
    <w:rsid w:val="00CE18BC"/>
    <w:rsid w:val="00CE1BD1"/>
    <w:rsid w:val="00CE1CBF"/>
    <w:rsid w:val="00CE1D75"/>
    <w:rsid w:val="00CE21F0"/>
    <w:rsid w:val="00CE3369"/>
    <w:rsid w:val="00CE38EA"/>
    <w:rsid w:val="00CE3BE3"/>
    <w:rsid w:val="00CE4296"/>
    <w:rsid w:val="00CE4340"/>
    <w:rsid w:val="00CE4594"/>
    <w:rsid w:val="00CE4880"/>
    <w:rsid w:val="00CE4BFE"/>
    <w:rsid w:val="00CE51FC"/>
    <w:rsid w:val="00CE586E"/>
    <w:rsid w:val="00CE59C6"/>
    <w:rsid w:val="00CE5BA2"/>
    <w:rsid w:val="00CE5BED"/>
    <w:rsid w:val="00CE6FCE"/>
    <w:rsid w:val="00CE7006"/>
    <w:rsid w:val="00CE7195"/>
    <w:rsid w:val="00CE7A82"/>
    <w:rsid w:val="00CE7C01"/>
    <w:rsid w:val="00CF0794"/>
    <w:rsid w:val="00CF10CE"/>
    <w:rsid w:val="00CF1EAB"/>
    <w:rsid w:val="00CF2785"/>
    <w:rsid w:val="00CF2C2A"/>
    <w:rsid w:val="00CF333D"/>
    <w:rsid w:val="00CF351E"/>
    <w:rsid w:val="00CF3A4F"/>
    <w:rsid w:val="00CF3EC0"/>
    <w:rsid w:val="00CF43A2"/>
    <w:rsid w:val="00CF44FD"/>
    <w:rsid w:val="00CF5742"/>
    <w:rsid w:val="00CF64AD"/>
    <w:rsid w:val="00CF690E"/>
    <w:rsid w:val="00CF6C54"/>
    <w:rsid w:val="00D00153"/>
    <w:rsid w:val="00D00939"/>
    <w:rsid w:val="00D00961"/>
    <w:rsid w:val="00D00C5E"/>
    <w:rsid w:val="00D014FD"/>
    <w:rsid w:val="00D01ACD"/>
    <w:rsid w:val="00D01B37"/>
    <w:rsid w:val="00D0218A"/>
    <w:rsid w:val="00D026FF"/>
    <w:rsid w:val="00D036BF"/>
    <w:rsid w:val="00D03921"/>
    <w:rsid w:val="00D03AF3"/>
    <w:rsid w:val="00D03F0E"/>
    <w:rsid w:val="00D0495A"/>
    <w:rsid w:val="00D04F7F"/>
    <w:rsid w:val="00D056EB"/>
    <w:rsid w:val="00D067A5"/>
    <w:rsid w:val="00D06B70"/>
    <w:rsid w:val="00D06C36"/>
    <w:rsid w:val="00D0717A"/>
    <w:rsid w:val="00D0758C"/>
    <w:rsid w:val="00D075DB"/>
    <w:rsid w:val="00D0788B"/>
    <w:rsid w:val="00D07DAD"/>
    <w:rsid w:val="00D1032B"/>
    <w:rsid w:val="00D10503"/>
    <w:rsid w:val="00D10D88"/>
    <w:rsid w:val="00D1141F"/>
    <w:rsid w:val="00D11D0B"/>
    <w:rsid w:val="00D11E7B"/>
    <w:rsid w:val="00D12488"/>
    <w:rsid w:val="00D12CE0"/>
    <w:rsid w:val="00D1330D"/>
    <w:rsid w:val="00D13494"/>
    <w:rsid w:val="00D13697"/>
    <w:rsid w:val="00D13BAE"/>
    <w:rsid w:val="00D143B3"/>
    <w:rsid w:val="00D15095"/>
    <w:rsid w:val="00D151A2"/>
    <w:rsid w:val="00D15FB8"/>
    <w:rsid w:val="00D16227"/>
    <w:rsid w:val="00D164EE"/>
    <w:rsid w:val="00D16E4D"/>
    <w:rsid w:val="00D1707C"/>
    <w:rsid w:val="00D17671"/>
    <w:rsid w:val="00D17892"/>
    <w:rsid w:val="00D17C3C"/>
    <w:rsid w:val="00D20448"/>
    <w:rsid w:val="00D205F9"/>
    <w:rsid w:val="00D206B7"/>
    <w:rsid w:val="00D207DB"/>
    <w:rsid w:val="00D20F02"/>
    <w:rsid w:val="00D20FC3"/>
    <w:rsid w:val="00D2148D"/>
    <w:rsid w:val="00D215B5"/>
    <w:rsid w:val="00D222B0"/>
    <w:rsid w:val="00D22496"/>
    <w:rsid w:val="00D22C3E"/>
    <w:rsid w:val="00D22C63"/>
    <w:rsid w:val="00D22CB0"/>
    <w:rsid w:val="00D22D3D"/>
    <w:rsid w:val="00D23213"/>
    <w:rsid w:val="00D23636"/>
    <w:rsid w:val="00D23946"/>
    <w:rsid w:val="00D2404D"/>
    <w:rsid w:val="00D2423B"/>
    <w:rsid w:val="00D24988"/>
    <w:rsid w:val="00D25654"/>
    <w:rsid w:val="00D265AF"/>
    <w:rsid w:val="00D26C4A"/>
    <w:rsid w:val="00D2770E"/>
    <w:rsid w:val="00D302F3"/>
    <w:rsid w:val="00D30392"/>
    <w:rsid w:val="00D30C80"/>
    <w:rsid w:val="00D3113E"/>
    <w:rsid w:val="00D3129C"/>
    <w:rsid w:val="00D31A07"/>
    <w:rsid w:val="00D330DF"/>
    <w:rsid w:val="00D335CC"/>
    <w:rsid w:val="00D33D50"/>
    <w:rsid w:val="00D3416B"/>
    <w:rsid w:val="00D34787"/>
    <w:rsid w:val="00D34906"/>
    <w:rsid w:val="00D35690"/>
    <w:rsid w:val="00D359E6"/>
    <w:rsid w:val="00D365C4"/>
    <w:rsid w:val="00D3695D"/>
    <w:rsid w:val="00D36A13"/>
    <w:rsid w:val="00D36CD3"/>
    <w:rsid w:val="00D36DF2"/>
    <w:rsid w:val="00D3719D"/>
    <w:rsid w:val="00D3739A"/>
    <w:rsid w:val="00D37657"/>
    <w:rsid w:val="00D37D59"/>
    <w:rsid w:val="00D40362"/>
    <w:rsid w:val="00D405EB"/>
    <w:rsid w:val="00D40D01"/>
    <w:rsid w:val="00D40DED"/>
    <w:rsid w:val="00D41E75"/>
    <w:rsid w:val="00D41FB6"/>
    <w:rsid w:val="00D4214A"/>
    <w:rsid w:val="00D42267"/>
    <w:rsid w:val="00D42511"/>
    <w:rsid w:val="00D42B20"/>
    <w:rsid w:val="00D42BC0"/>
    <w:rsid w:val="00D42E0E"/>
    <w:rsid w:val="00D43471"/>
    <w:rsid w:val="00D4468E"/>
    <w:rsid w:val="00D44AA4"/>
    <w:rsid w:val="00D44D8C"/>
    <w:rsid w:val="00D44EBC"/>
    <w:rsid w:val="00D468CC"/>
    <w:rsid w:val="00D473C4"/>
    <w:rsid w:val="00D47587"/>
    <w:rsid w:val="00D50123"/>
    <w:rsid w:val="00D50415"/>
    <w:rsid w:val="00D50723"/>
    <w:rsid w:val="00D50C4D"/>
    <w:rsid w:val="00D514B9"/>
    <w:rsid w:val="00D516DC"/>
    <w:rsid w:val="00D51E7C"/>
    <w:rsid w:val="00D51E97"/>
    <w:rsid w:val="00D51F92"/>
    <w:rsid w:val="00D52191"/>
    <w:rsid w:val="00D52C7A"/>
    <w:rsid w:val="00D52DA4"/>
    <w:rsid w:val="00D53780"/>
    <w:rsid w:val="00D53DE0"/>
    <w:rsid w:val="00D5418F"/>
    <w:rsid w:val="00D5442E"/>
    <w:rsid w:val="00D54555"/>
    <w:rsid w:val="00D54B1B"/>
    <w:rsid w:val="00D54D88"/>
    <w:rsid w:val="00D55115"/>
    <w:rsid w:val="00D552F1"/>
    <w:rsid w:val="00D557D8"/>
    <w:rsid w:val="00D558EE"/>
    <w:rsid w:val="00D561F7"/>
    <w:rsid w:val="00D56ABE"/>
    <w:rsid w:val="00D56BC1"/>
    <w:rsid w:val="00D57F1A"/>
    <w:rsid w:val="00D606ED"/>
    <w:rsid w:val="00D6078C"/>
    <w:rsid w:val="00D60950"/>
    <w:rsid w:val="00D60E20"/>
    <w:rsid w:val="00D60E6E"/>
    <w:rsid w:val="00D6180C"/>
    <w:rsid w:val="00D61AC7"/>
    <w:rsid w:val="00D62A57"/>
    <w:rsid w:val="00D62E93"/>
    <w:rsid w:val="00D62FB9"/>
    <w:rsid w:val="00D63889"/>
    <w:rsid w:val="00D63893"/>
    <w:rsid w:val="00D63C87"/>
    <w:rsid w:val="00D6450C"/>
    <w:rsid w:val="00D64D48"/>
    <w:rsid w:val="00D65EE0"/>
    <w:rsid w:val="00D660AB"/>
    <w:rsid w:val="00D66C80"/>
    <w:rsid w:val="00D66F57"/>
    <w:rsid w:val="00D67358"/>
    <w:rsid w:val="00D675DC"/>
    <w:rsid w:val="00D67B51"/>
    <w:rsid w:val="00D67F76"/>
    <w:rsid w:val="00D70B73"/>
    <w:rsid w:val="00D71A8B"/>
    <w:rsid w:val="00D71E82"/>
    <w:rsid w:val="00D71EDC"/>
    <w:rsid w:val="00D71F3E"/>
    <w:rsid w:val="00D72659"/>
    <w:rsid w:val="00D72691"/>
    <w:rsid w:val="00D7289B"/>
    <w:rsid w:val="00D72963"/>
    <w:rsid w:val="00D72A72"/>
    <w:rsid w:val="00D72C2F"/>
    <w:rsid w:val="00D73CCD"/>
    <w:rsid w:val="00D74082"/>
    <w:rsid w:val="00D7513E"/>
    <w:rsid w:val="00D7522F"/>
    <w:rsid w:val="00D7544A"/>
    <w:rsid w:val="00D75BD2"/>
    <w:rsid w:val="00D764A6"/>
    <w:rsid w:val="00D76C10"/>
    <w:rsid w:val="00D7770C"/>
    <w:rsid w:val="00D77D2E"/>
    <w:rsid w:val="00D803D4"/>
    <w:rsid w:val="00D80728"/>
    <w:rsid w:val="00D80CA3"/>
    <w:rsid w:val="00D80D30"/>
    <w:rsid w:val="00D812FB"/>
    <w:rsid w:val="00D82BEF"/>
    <w:rsid w:val="00D82E64"/>
    <w:rsid w:val="00D83F23"/>
    <w:rsid w:val="00D83F26"/>
    <w:rsid w:val="00D841F0"/>
    <w:rsid w:val="00D8514C"/>
    <w:rsid w:val="00D85B3A"/>
    <w:rsid w:val="00D85C68"/>
    <w:rsid w:val="00D85ED6"/>
    <w:rsid w:val="00D86564"/>
    <w:rsid w:val="00D86634"/>
    <w:rsid w:val="00D868FD"/>
    <w:rsid w:val="00D86EAC"/>
    <w:rsid w:val="00D86EFB"/>
    <w:rsid w:val="00D87A04"/>
    <w:rsid w:val="00D87CD0"/>
    <w:rsid w:val="00D87D5B"/>
    <w:rsid w:val="00D900DE"/>
    <w:rsid w:val="00D9051E"/>
    <w:rsid w:val="00D9094D"/>
    <w:rsid w:val="00D90B3D"/>
    <w:rsid w:val="00D90E6A"/>
    <w:rsid w:val="00D919DF"/>
    <w:rsid w:val="00D91BBD"/>
    <w:rsid w:val="00D91C4F"/>
    <w:rsid w:val="00D91CAD"/>
    <w:rsid w:val="00D92045"/>
    <w:rsid w:val="00D92183"/>
    <w:rsid w:val="00D923D1"/>
    <w:rsid w:val="00D92F93"/>
    <w:rsid w:val="00D931FE"/>
    <w:rsid w:val="00D932FC"/>
    <w:rsid w:val="00D945A2"/>
    <w:rsid w:val="00D94835"/>
    <w:rsid w:val="00D954F4"/>
    <w:rsid w:val="00D95516"/>
    <w:rsid w:val="00D95952"/>
    <w:rsid w:val="00D95A4E"/>
    <w:rsid w:val="00D95DC9"/>
    <w:rsid w:val="00D966B3"/>
    <w:rsid w:val="00D96841"/>
    <w:rsid w:val="00D969E8"/>
    <w:rsid w:val="00D97721"/>
    <w:rsid w:val="00DA0B8E"/>
    <w:rsid w:val="00DA24B0"/>
    <w:rsid w:val="00DA2606"/>
    <w:rsid w:val="00DA2F3F"/>
    <w:rsid w:val="00DA3021"/>
    <w:rsid w:val="00DA33D2"/>
    <w:rsid w:val="00DA391E"/>
    <w:rsid w:val="00DA3D8E"/>
    <w:rsid w:val="00DA3E93"/>
    <w:rsid w:val="00DA3EA7"/>
    <w:rsid w:val="00DA3EF8"/>
    <w:rsid w:val="00DA4243"/>
    <w:rsid w:val="00DA47F2"/>
    <w:rsid w:val="00DA49C0"/>
    <w:rsid w:val="00DA4C0F"/>
    <w:rsid w:val="00DA5329"/>
    <w:rsid w:val="00DA644D"/>
    <w:rsid w:val="00DA674F"/>
    <w:rsid w:val="00DA6A6A"/>
    <w:rsid w:val="00DA6D5A"/>
    <w:rsid w:val="00DA6EA9"/>
    <w:rsid w:val="00DB0184"/>
    <w:rsid w:val="00DB0761"/>
    <w:rsid w:val="00DB095B"/>
    <w:rsid w:val="00DB0AC3"/>
    <w:rsid w:val="00DB0B98"/>
    <w:rsid w:val="00DB1011"/>
    <w:rsid w:val="00DB1285"/>
    <w:rsid w:val="00DB17DC"/>
    <w:rsid w:val="00DB1CF4"/>
    <w:rsid w:val="00DB1DF3"/>
    <w:rsid w:val="00DB2079"/>
    <w:rsid w:val="00DB217F"/>
    <w:rsid w:val="00DB2194"/>
    <w:rsid w:val="00DB2642"/>
    <w:rsid w:val="00DB2BC3"/>
    <w:rsid w:val="00DB320D"/>
    <w:rsid w:val="00DB35FA"/>
    <w:rsid w:val="00DB4055"/>
    <w:rsid w:val="00DB444A"/>
    <w:rsid w:val="00DB45D2"/>
    <w:rsid w:val="00DB4B62"/>
    <w:rsid w:val="00DB4C86"/>
    <w:rsid w:val="00DB4D60"/>
    <w:rsid w:val="00DB5CBF"/>
    <w:rsid w:val="00DB64FD"/>
    <w:rsid w:val="00DB69A7"/>
    <w:rsid w:val="00DB6ADA"/>
    <w:rsid w:val="00DB6E53"/>
    <w:rsid w:val="00DB72CE"/>
    <w:rsid w:val="00DB7365"/>
    <w:rsid w:val="00DB78A4"/>
    <w:rsid w:val="00DB79AB"/>
    <w:rsid w:val="00DB7CC4"/>
    <w:rsid w:val="00DC0518"/>
    <w:rsid w:val="00DC07C5"/>
    <w:rsid w:val="00DC0C2E"/>
    <w:rsid w:val="00DC161F"/>
    <w:rsid w:val="00DC1E17"/>
    <w:rsid w:val="00DC28A4"/>
    <w:rsid w:val="00DC2B9B"/>
    <w:rsid w:val="00DC2C89"/>
    <w:rsid w:val="00DC2DB7"/>
    <w:rsid w:val="00DC3463"/>
    <w:rsid w:val="00DC34DD"/>
    <w:rsid w:val="00DC35E6"/>
    <w:rsid w:val="00DC3D89"/>
    <w:rsid w:val="00DC3DE3"/>
    <w:rsid w:val="00DC41C3"/>
    <w:rsid w:val="00DC41F1"/>
    <w:rsid w:val="00DC48DC"/>
    <w:rsid w:val="00DC4B5C"/>
    <w:rsid w:val="00DC523C"/>
    <w:rsid w:val="00DC54E3"/>
    <w:rsid w:val="00DC57BC"/>
    <w:rsid w:val="00DC5C2A"/>
    <w:rsid w:val="00DC5E5E"/>
    <w:rsid w:val="00DC61F6"/>
    <w:rsid w:val="00DC650D"/>
    <w:rsid w:val="00DC6A3C"/>
    <w:rsid w:val="00DC7D54"/>
    <w:rsid w:val="00DD08BC"/>
    <w:rsid w:val="00DD08EC"/>
    <w:rsid w:val="00DD0D79"/>
    <w:rsid w:val="00DD118F"/>
    <w:rsid w:val="00DD122A"/>
    <w:rsid w:val="00DD2169"/>
    <w:rsid w:val="00DD3119"/>
    <w:rsid w:val="00DD373A"/>
    <w:rsid w:val="00DD3B18"/>
    <w:rsid w:val="00DD3C29"/>
    <w:rsid w:val="00DD4246"/>
    <w:rsid w:val="00DD4F13"/>
    <w:rsid w:val="00DD50F0"/>
    <w:rsid w:val="00DD5300"/>
    <w:rsid w:val="00DD5487"/>
    <w:rsid w:val="00DD560C"/>
    <w:rsid w:val="00DD5788"/>
    <w:rsid w:val="00DD5C95"/>
    <w:rsid w:val="00DD611E"/>
    <w:rsid w:val="00DD6146"/>
    <w:rsid w:val="00DD68B0"/>
    <w:rsid w:val="00DD6AE4"/>
    <w:rsid w:val="00DD6C25"/>
    <w:rsid w:val="00DD6FB9"/>
    <w:rsid w:val="00DD7174"/>
    <w:rsid w:val="00DD72B1"/>
    <w:rsid w:val="00DD7BCF"/>
    <w:rsid w:val="00DD7C3A"/>
    <w:rsid w:val="00DD7F34"/>
    <w:rsid w:val="00DE004E"/>
    <w:rsid w:val="00DE15BC"/>
    <w:rsid w:val="00DE1940"/>
    <w:rsid w:val="00DE278B"/>
    <w:rsid w:val="00DE293E"/>
    <w:rsid w:val="00DE297C"/>
    <w:rsid w:val="00DE2FA2"/>
    <w:rsid w:val="00DE3600"/>
    <w:rsid w:val="00DE3A4C"/>
    <w:rsid w:val="00DE4952"/>
    <w:rsid w:val="00DE542C"/>
    <w:rsid w:val="00DE5CA8"/>
    <w:rsid w:val="00DE5CD0"/>
    <w:rsid w:val="00DE62E3"/>
    <w:rsid w:val="00DE68FA"/>
    <w:rsid w:val="00DE6FBA"/>
    <w:rsid w:val="00DE7150"/>
    <w:rsid w:val="00DE725F"/>
    <w:rsid w:val="00DE7472"/>
    <w:rsid w:val="00DE7738"/>
    <w:rsid w:val="00DE7B47"/>
    <w:rsid w:val="00DF0171"/>
    <w:rsid w:val="00DF0423"/>
    <w:rsid w:val="00DF07BF"/>
    <w:rsid w:val="00DF0BC8"/>
    <w:rsid w:val="00DF17EB"/>
    <w:rsid w:val="00DF222A"/>
    <w:rsid w:val="00DF22C9"/>
    <w:rsid w:val="00DF2500"/>
    <w:rsid w:val="00DF252E"/>
    <w:rsid w:val="00DF2949"/>
    <w:rsid w:val="00DF2DEB"/>
    <w:rsid w:val="00DF36F6"/>
    <w:rsid w:val="00DF3FA3"/>
    <w:rsid w:val="00DF4231"/>
    <w:rsid w:val="00DF45DD"/>
    <w:rsid w:val="00DF51BB"/>
    <w:rsid w:val="00DF55C6"/>
    <w:rsid w:val="00DF5BE3"/>
    <w:rsid w:val="00DF5C6B"/>
    <w:rsid w:val="00DF5EDD"/>
    <w:rsid w:val="00DF618D"/>
    <w:rsid w:val="00DF618F"/>
    <w:rsid w:val="00DF6261"/>
    <w:rsid w:val="00DF6540"/>
    <w:rsid w:val="00DF69AB"/>
    <w:rsid w:val="00DF7443"/>
    <w:rsid w:val="00DF7A80"/>
    <w:rsid w:val="00E00052"/>
    <w:rsid w:val="00E0059C"/>
    <w:rsid w:val="00E00A70"/>
    <w:rsid w:val="00E00A82"/>
    <w:rsid w:val="00E014AD"/>
    <w:rsid w:val="00E0237F"/>
    <w:rsid w:val="00E024CF"/>
    <w:rsid w:val="00E0256F"/>
    <w:rsid w:val="00E0286F"/>
    <w:rsid w:val="00E02B84"/>
    <w:rsid w:val="00E02E8E"/>
    <w:rsid w:val="00E03091"/>
    <w:rsid w:val="00E03420"/>
    <w:rsid w:val="00E03C56"/>
    <w:rsid w:val="00E03D1C"/>
    <w:rsid w:val="00E0469F"/>
    <w:rsid w:val="00E04D1D"/>
    <w:rsid w:val="00E056E9"/>
    <w:rsid w:val="00E05A74"/>
    <w:rsid w:val="00E06BBA"/>
    <w:rsid w:val="00E06D8A"/>
    <w:rsid w:val="00E06F2C"/>
    <w:rsid w:val="00E07EA6"/>
    <w:rsid w:val="00E07EB9"/>
    <w:rsid w:val="00E1018D"/>
    <w:rsid w:val="00E102AF"/>
    <w:rsid w:val="00E1110D"/>
    <w:rsid w:val="00E113D9"/>
    <w:rsid w:val="00E113E7"/>
    <w:rsid w:val="00E120D0"/>
    <w:rsid w:val="00E12544"/>
    <w:rsid w:val="00E135CD"/>
    <w:rsid w:val="00E1497F"/>
    <w:rsid w:val="00E14AEB"/>
    <w:rsid w:val="00E151B1"/>
    <w:rsid w:val="00E154DA"/>
    <w:rsid w:val="00E15E57"/>
    <w:rsid w:val="00E16039"/>
    <w:rsid w:val="00E160B8"/>
    <w:rsid w:val="00E170D5"/>
    <w:rsid w:val="00E2065B"/>
    <w:rsid w:val="00E206C1"/>
    <w:rsid w:val="00E20D14"/>
    <w:rsid w:val="00E21110"/>
    <w:rsid w:val="00E215E6"/>
    <w:rsid w:val="00E21D2B"/>
    <w:rsid w:val="00E22068"/>
    <w:rsid w:val="00E225A2"/>
    <w:rsid w:val="00E22EC9"/>
    <w:rsid w:val="00E22F13"/>
    <w:rsid w:val="00E23642"/>
    <w:rsid w:val="00E23659"/>
    <w:rsid w:val="00E23675"/>
    <w:rsid w:val="00E2396E"/>
    <w:rsid w:val="00E23CD6"/>
    <w:rsid w:val="00E240FF"/>
    <w:rsid w:val="00E24B07"/>
    <w:rsid w:val="00E252B9"/>
    <w:rsid w:val="00E2536C"/>
    <w:rsid w:val="00E2596C"/>
    <w:rsid w:val="00E25A20"/>
    <w:rsid w:val="00E25AD7"/>
    <w:rsid w:val="00E26BC6"/>
    <w:rsid w:val="00E26BE8"/>
    <w:rsid w:val="00E2704D"/>
    <w:rsid w:val="00E275B5"/>
    <w:rsid w:val="00E2799E"/>
    <w:rsid w:val="00E27A14"/>
    <w:rsid w:val="00E300B0"/>
    <w:rsid w:val="00E30424"/>
    <w:rsid w:val="00E309E2"/>
    <w:rsid w:val="00E30C5B"/>
    <w:rsid w:val="00E30D93"/>
    <w:rsid w:val="00E31980"/>
    <w:rsid w:val="00E31C0F"/>
    <w:rsid w:val="00E320BC"/>
    <w:rsid w:val="00E32672"/>
    <w:rsid w:val="00E329F4"/>
    <w:rsid w:val="00E32A2B"/>
    <w:rsid w:val="00E32BD5"/>
    <w:rsid w:val="00E331F9"/>
    <w:rsid w:val="00E336F9"/>
    <w:rsid w:val="00E33E05"/>
    <w:rsid w:val="00E340DE"/>
    <w:rsid w:val="00E34481"/>
    <w:rsid w:val="00E34FBA"/>
    <w:rsid w:val="00E35096"/>
    <w:rsid w:val="00E3568A"/>
    <w:rsid w:val="00E364D9"/>
    <w:rsid w:val="00E372C4"/>
    <w:rsid w:val="00E373B9"/>
    <w:rsid w:val="00E37706"/>
    <w:rsid w:val="00E37FE8"/>
    <w:rsid w:val="00E407B8"/>
    <w:rsid w:val="00E40C38"/>
    <w:rsid w:val="00E4184A"/>
    <w:rsid w:val="00E42306"/>
    <w:rsid w:val="00E423BD"/>
    <w:rsid w:val="00E437FA"/>
    <w:rsid w:val="00E448F7"/>
    <w:rsid w:val="00E44973"/>
    <w:rsid w:val="00E44AD6"/>
    <w:rsid w:val="00E44D2B"/>
    <w:rsid w:val="00E44ED7"/>
    <w:rsid w:val="00E451C9"/>
    <w:rsid w:val="00E45AC7"/>
    <w:rsid w:val="00E4629D"/>
    <w:rsid w:val="00E46421"/>
    <w:rsid w:val="00E46CF0"/>
    <w:rsid w:val="00E46D03"/>
    <w:rsid w:val="00E46EFC"/>
    <w:rsid w:val="00E47394"/>
    <w:rsid w:val="00E473D7"/>
    <w:rsid w:val="00E47B9A"/>
    <w:rsid w:val="00E503D4"/>
    <w:rsid w:val="00E5055E"/>
    <w:rsid w:val="00E5089A"/>
    <w:rsid w:val="00E5099C"/>
    <w:rsid w:val="00E51121"/>
    <w:rsid w:val="00E5143F"/>
    <w:rsid w:val="00E519CC"/>
    <w:rsid w:val="00E51B5F"/>
    <w:rsid w:val="00E51F15"/>
    <w:rsid w:val="00E51FB5"/>
    <w:rsid w:val="00E522E8"/>
    <w:rsid w:val="00E52512"/>
    <w:rsid w:val="00E52774"/>
    <w:rsid w:val="00E52D8E"/>
    <w:rsid w:val="00E52EE3"/>
    <w:rsid w:val="00E52F3A"/>
    <w:rsid w:val="00E52F6F"/>
    <w:rsid w:val="00E5333E"/>
    <w:rsid w:val="00E536BE"/>
    <w:rsid w:val="00E53879"/>
    <w:rsid w:val="00E53920"/>
    <w:rsid w:val="00E546BC"/>
    <w:rsid w:val="00E54F8C"/>
    <w:rsid w:val="00E555C5"/>
    <w:rsid w:val="00E555F6"/>
    <w:rsid w:val="00E55C7C"/>
    <w:rsid w:val="00E55D42"/>
    <w:rsid w:val="00E56DC3"/>
    <w:rsid w:val="00E572D6"/>
    <w:rsid w:val="00E60051"/>
    <w:rsid w:val="00E60303"/>
    <w:rsid w:val="00E60CC4"/>
    <w:rsid w:val="00E60D13"/>
    <w:rsid w:val="00E61910"/>
    <w:rsid w:val="00E61F4F"/>
    <w:rsid w:val="00E62299"/>
    <w:rsid w:val="00E62401"/>
    <w:rsid w:val="00E6244C"/>
    <w:rsid w:val="00E62580"/>
    <w:rsid w:val="00E627AE"/>
    <w:rsid w:val="00E62985"/>
    <w:rsid w:val="00E62B51"/>
    <w:rsid w:val="00E63AE8"/>
    <w:rsid w:val="00E63CB8"/>
    <w:rsid w:val="00E64546"/>
    <w:rsid w:val="00E649E7"/>
    <w:rsid w:val="00E6507F"/>
    <w:rsid w:val="00E6545D"/>
    <w:rsid w:val="00E654B3"/>
    <w:rsid w:val="00E655B5"/>
    <w:rsid w:val="00E655BF"/>
    <w:rsid w:val="00E65CD1"/>
    <w:rsid w:val="00E65D5E"/>
    <w:rsid w:val="00E660CA"/>
    <w:rsid w:val="00E663B4"/>
    <w:rsid w:val="00E66830"/>
    <w:rsid w:val="00E66E4C"/>
    <w:rsid w:val="00E673FD"/>
    <w:rsid w:val="00E67637"/>
    <w:rsid w:val="00E6763B"/>
    <w:rsid w:val="00E7022B"/>
    <w:rsid w:val="00E70361"/>
    <w:rsid w:val="00E707E1"/>
    <w:rsid w:val="00E70D41"/>
    <w:rsid w:val="00E710F8"/>
    <w:rsid w:val="00E71537"/>
    <w:rsid w:val="00E7159F"/>
    <w:rsid w:val="00E71A3E"/>
    <w:rsid w:val="00E721A5"/>
    <w:rsid w:val="00E7282F"/>
    <w:rsid w:val="00E72C2F"/>
    <w:rsid w:val="00E73531"/>
    <w:rsid w:val="00E738A4"/>
    <w:rsid w:val="00E74BB8"/>
    <w:rsid w:val="00E74C9D"/>
    <w:rsid w:val="00E74EA2"/>
    <w:rsid w:val="00E7635E"/>
    <w:rsid w:val="00E7674E"/>
    <w:rsid w:val="00E76F8B"/>
    <w:rsid w:val="00E77C58"/>
    <w:rsid w:val="00E803E4"/>
    <w:rsid w:val="00E804BC"/>
    <w:rsid w:val="00E805AC"/>
    <w:rsid w:val="00E80CC4"/>
    <w:rsid w:val="00E81129"/>
    <w:rsid w:val="00E811E3"/>
    <w:rsid w:val="00E81730"/>
    <w:rsid w:val="00E81CC0"/>
    <w:rsid w:val="00E823E7"/>
    <w:rsid w:val="00E823E9"/>
    <w:rsid w:val="00E82481"/>
    <w:rsid w:val="00E82F21"/>
    <w:rsid w:val="00E838C5"/>
    <w:rsid w:val="00E838EE"/>
    <w:rsid w:val="00E8390A"/>
    <w:rsid w:val="00E83F6A"/>
    <w:rsid w:val="00E8466C"/>
    <w:rsid w:val="00E84F2A"/>
    <w:rsid w:val="00E8589B"/>
    <w:rsid w:val="00E8597C"/>
    <w:rsid w:val="00E85E3A"/>
    <w:rsid w:val="00E863F3"/>
    <w:rsid w:val="00E874A4"/>
    <w:rsid w:val="00E87639"/>
    <w:rsid w:val="00E8783C"/>
    <w:rsid w:val="00E87DD5"/>
    <w:rsid w:val="00E90C00"/>
    <w:rsid w:val="00E91204"/>
    <w:rsid w:val="00E91244"/>
    <w:rsid w:val="00E924A0"/>
    <w:rsid w:val="00E92542"/>
    <w:rsid w:val="00E92ECB"/>
    <w:rsid w:val="00E94172"/>
    <w:rsid w:val="00E94253"/>
    <w:rsid w:val="00E94368"/>
    <w:rsid w:val="00E943AC"/>
    <w:rsid w:val="00E9442A"/>
    <w:rsid w:val="00E945BA"/>
    <w:rsid w:val="00E948C0"/>
    <w:rsid w:val="00E9499A"/>
    <w:rsid w:val="00E95191"/>
    <w:rsid w:val="00E9549E"/>
    <w:rsid w:val="00E95513"/>
    <w:rsid w:val="00E95D49"/>
    <w:rsid w:val="00E96A76"/>
    <w:rsid w:val="00E96C70"/>
    <w:rsid w:val="00EA0237"/>
    <w:rsid w:val="00EA06FB"/>
    <w:rsid w:val="00EA0DFF"/>
    <w:rsid w:val="00EA0E89"/>
    <w:rsid w:val="00EA0F75"/>
    <w:rsid w:val="00EA193B"/>
    <w:rsid w:val="00EA1A5B"/>
    <w:rsid w:val="00EA213F"/>
    <w:rsid w:val="00EA23F3"/>
    <w:rsid w:val="00EA2946"/>
    <w:rsid w:val="00EA3313"/>
    <w:rsid w:val="00EA3795"/>
    <w:rsid w:val="00EA37FC"/>
    <w:rsid w:val="00EA3F5F"/>
    <w:rsid w:val="00EA4299"/>
    <w:rsid w:val="00EA451C"/>
    <w:rsid w:val="00EA487A"/>
    <w:rsid w:val="00EA49D7"/>
    <w:rsid w:val="00EA5382"/>
    <w:rsid w:val="00EA5AA9"/>
    <w:rsid w:val="00EA6194"/>
    <w:rsid w:val="00EA6426"/>
    <w:rsid w:val="00EA64A0"/>
    <w:rsid w:val="00EA6896"/>
    <w:rsid w:val="00EA7483"/>
    <w:rsid w:val="00EA756B"/>
    <w:rsid w:val="00EA780D"/>
    <w:rsid w:val="00EA7AA3"/>
    <w:rsid w:val="00EA7C25"/>
    <w:rsid w:val="00EA7C93"/>
    <w:rsid w:val="00EB02B1"/>
    <w:rsid w:val="00EB0F04"/>
    <w:rsid w:val="00EB1092"/>
    <w:rsid w:val="00EB1BA4"/>
    <w:rsid w:val="00EB24FA"/>
    <w:rsid w:val="00EB3503"/>
    <w:rsid w:val="00EB4451"/>
    <w:rsid w:val="00EB534C"/>
    <w:rsid w:val="00EB58D2"/>
    <w:rsid w:val="00EB688D"/>
    <w:rsid w:val="00EB69EF"/>
    <w:rsid w:val="00EB69F7"/>
    <w:rsid w:val="00EB7C43"/>
    <w:rsid w:val="00EC0616"/>
    <w:rsid w:val="00EC065A"/>
    <w:rsid w:val="00EC079B"/>
    <w:rsid w:val="00EC0983"/>
    <w:rsid w:val="00EC14D3"/>
    <w:rsid w:val="00EC1642"/>
    <w:rsid w:val="00EC1929"/>
    <w:rsid w:val="00EC19CE"/>
    <w:rsid w:val="00EC1B68"/>
    <w:rsid w:val="00EC1BCD"/>
    <w:rsid w:val="00EC1C47"/>
    <w:rsid w:val="00EC1DC8"/>
    <w:rsid w:val="00EC1F44"/>
    <w:rsid w:val="00EC2DDA"/>
    <w:rsid w:val="00EC3878"/>
    <w:rsid w:val="00EC3F2E"/>
    <w:rsid w:val="00EC4B98"/>
    <w:rsid w:val="00EC5189"/>
    <w:rsid w:val="00EC51F7"/>
    <w:rsid w:val="00EC5432"/>
    <w:rsid w:val="00EC63E5"/>
    <w:rsid w:val="00EC6803"/>
    <w:rsid w:val="00EC6C7F"/>
    <w:rsid w:val="00EC732B"/>
    <w:rsid w:val="00EC7718"/>
    <w:rsid w:val="00ED028E"/>
    <w:rsid w:val="00ED0A0A"/>
    <w:rsid w:val="00ED0E7A"/>
    <w:rsid w:val="00ED1A75"/>
    <w:rsid w:val="00ED1B29"/>
    <w:rsid w:val="00ED1CC7"/>
    <w:rsid w:val="00ED226B"/>
    <w:rsid w:val="00ED2357"/>
    <w:rsid w:val="00ED2C12"/>
    <w:rsid w:val="00ED3477"/>
    <w:rsid w:val="00ED36E8"/>
    <w:rsid w:val="00ED3842"/>
    <w:rsid w:val="00ED3D2F"/>
    <w:rsid w:val="00ED49C2"/>
    <w:rsid w:val="00ED4C50"/>
    <w:rsid w:val="00ED4DF9"/>
    <w:rsid w:val="00ED5A65"/>
    <w:rsid w:val="00ED606A"/>
    <w:rsid w:val="00ED6393"/>
    <w:rsid w:val="00ED7A86"/>
    <w:rsid w:val="00ED7FEE"/>
    <w:rsid w:val="00EE0759"/>
    <w:rsid w:val="00EE0EAC"/>
    <w:rsid w:val="00EE1EBB"/>
    <w:rsid w:val="00EE206C"/>
    <w:rsid w:val="00EE22CD"/>
    <w:rsid w:val="00EE24A8"/>
    <w:rsid w:val="00EE2B59"/>
    <w:rsid w:val="00EE2EA8"/>
    <w:rsid w:val="00EE3298"/>
    <w:rsid w:val="00EE3643"/>
    <w:rsid w:val="00EE37E9"/>
    <w:rsid w:val="00EE5D3E"/>
    <w:rsid w:val="00EE6BAE"/>
    <w:rsid w:val="00EE6FDA"/>
    <w:rsid w:val="00EE7518"/>
    <w:rsid w:val="00EE7AAB"/>
    <w:rsid w:val="00EE7E8C"/>
    <w:rsid w:val="00EE7F83"/>
    <w:rsid w:val="00EF0775"/>
    <w:rsid w:val="00EF07B1"/>
    <w:rsid w:val="00EF1749"/>
    <w:rsid w:val="00EF1C1F"/>
    <w:rsid w:val="00EF274E"/>
    <w:rsid w:val="00EF2A86"/>
    <w:rsid w:val="00EF2AD4"/>
    <w:rsid w:val="00EF2B67"/>
    <w:rsid w:val="00EF3309"/>
    <w:rsid w:val="00EF3391"/>
    <w:rsid w:val="00EF3CFA"/>
    <w:rsid w:val="00EF467C"/>
    <w:rsid w:val="00EF49BA"/>
    <w:rsid w:val="00EF49C7"/>
    <w:rsid w:val="00EF521F"/>
    <w:rsid w:val="00EF5D1C"/>
    <w:rsid w:val="00EF6705"/>
    <w:rsid w:val="00EF69B0"/>
    <w:rsid w:val="00EF7823"/>
    <w:rsid w:val="00F00801"/>
    <w:rsid w:val="00F00983"/>
    <w:rsid w:val="00F00A0B"/>
    <w:rsid w:val="00F00BC0"/>
    <w:rsid w:val="00F01620"/>
    <w:rsid w:val="00F01FD7"/>
    <w:rsid w:val="00F02240"/>
    <w:rsid w:val="00F0225A"/>
    <w:rsid w:val="00F02571"/>
    <w:rsid w:val="00F02AB1"/>
    <w:rsid w:val="00F02C31"/>
    <w:rsid w:val="00F0370E"/>
    <w:rsid w:val="00F041C7"/>
    <w:rsid w:val="00F043CB"/>
    <w:rsid w:val="00F0492B"/>
    <w:rsid w:val="00F04DBF"/>
    <w:rsid w:val="00F0550F"/>
    <w:rsid w:val="00F055A3"/>
    <w:rsid w:val="00F0578A"/>
    <w:rsid w:val="00F0579E"/>
    <w:rsid w:val="00F05942"/>
    <w:rsid w:val="00F05AF4"/>
    <w:rsid w:val="00F05B5D"/>
    <w:rsid w:val="00F05F38"/>
    <w:rsid w:val="00F06186"/>
    <w:rsid w:val="00F068BB"/>
    <w:rsid w:val="00F06A65"/>
    <w:rsid w:val="00F07443"/>
    <w:rsid w:val="00F075CF"/>
    <w:rsid w:val="00F07BEF"/>
    <w:rsid w:val="00F101F7"/>
    <w:rsid w:val="00F10351"/>
    <w:rsid w:val="00F10CF6"/>
    <w:rsid w:val="00F11569"/>
    <w:rsid w:val="00F11612"/>
    <w:rsid w:val="00F11711"/>
    <w:rsid w:val="00F117C3"/>
    <w:rsid w:val="00F11E2F"/>
    <w:rsid w:val="00F125B7"/>
    <w:rsid w:val="00F129A1"/>
    <w:rsid w:val="00F1302A"/>
    <w:rsid w:val="00F13607"/>
    <w:rsid w:val="00F13CA5"/>
    <w:rsid w:val="00F13DFA"/>
    <w:rsid w:val="00F1425C"/>
    <w:rsid w:val="00F142FC"/>
    <w:rsid w:val="00F14B9A"/>
    <w:rsid w:val="00F14DE2"/>
    <w:rsid w:val="00F15849"/>
    <w:rsid w:val="00F15A9D"/>
    <w:rsid w:val="00F15E61"/>
    <w:rsid w:val="00F160A2"/>
    <w:rsid w:val="00F165C4"/>
    <w:rsid w:val="00F16677"/>
    <w:rsid w:val="00F1710A"/>
    <w:rsid w:val="00F17141"/>
    <w:rsid w:val="00F1714E"/>
    <w:rsid w:val="00F17FEE"/>
    <w:rsid w:val="00F2021D"/>
    <w:rsid w:val="00F204A9"/>
    <w:rsid w:val="00F2125F"/>
    <w:rsid w:val="00F216C8"/>
    <w:rsid w:val="00F217FC"/>
    <w:rsid w:val="00F21B0D"/>
    <w:rsid w:val="00F21CE7"/>
    <w:rsid w:val="00F21E25"/>
    <w:rsid w:val="00F2258F"/>
    <w:rsid w:val="00F232C2"/>
    <w:rsid w:val="00F2357E"/>
    <w:rsid w:val="00F23761"/>
    <w:rsid w:val="00F23766"/>
    <w:rsid w:val="00F23913"/>
    <w:rsid w:val="00F23A1C"/>
    <w:rsid w:val="00F23C28"/>
    <w:rsid w:val="00F23C46"/>
    <w:rsid w:val="00F23F68"/>
    <w:rsid w:val="00F24F17"/>
    <w:rsid w:val="00F25072"/>
    <w:rsid w:val="00F2512B"/>
    <w:rsid w:val="00F25436"/>
    <w:rsid w:val="00F25EC0"/>
    <w:rsid w:val="00F2697D"/>
    <w:rsid w:val="00F26B49"/>
    <w:rsid w:val="00F26DCC"/>
    <w:rsid w:val="00F277E9"/>
    <w:rsid w:val="00F27C45"/>
    <w:rsid w:val="00F3098A"/>
    <w:rsid w:val="00F3161D"/>
    <w:rsid w:val="00F3171A"/>
    <w:rsid w:val="00F31AE1"/>
    <w:rsid w:val="00F31BA9"/>
    <w:rsid w:val="00F31F04"/>
    <w:rsid w:val="00F330D4"/>
    <w:rsid w:val="00F332D0"/>
    <w:rsid w:val="00F33632"/>
    <w:rsid w:val="00F3375C"/>
    <w:rsid w:val="00F34170"/>
    <w:rsid w:val="00F34477"/>
    <w:rsid w:val="00F348B9"/>
    <w:rsid w:val="00F34FB4"/>
    <w:rsid w:val="00F35AE1"/>
    <w:rsid w:val="00F36A64"/>
    <w:rsid w:val="00F36B6C"/>
    <w:rsid w:val="00F36D0B"/>
    <w:rsid w:val="00F37D38"/>
    <w:rsid w:val="00F40B9B"/>
    <w:rsid w:val="00F40C0D"/>
    <w:rsid w:val="00F41A59"/>
    <w:rsid w:val="00F42BBD"/>
    <w:rsid w:val="00F42F43"/>
    <w:rsid w:val="00F4316B"/>
    <w:rsid w:val="00F43336"/>
    <w:rsid w:val="00F43B66"/>
    <w:rsid w:val="00F43CA6"/>
    <w:rsid w:val="00F440E7"/>
    <w:rsid w:val="00F44618"/>
    <w:rsid w:val="00F448D5"/>
    <w:rsid w:val="00F44A14"/>
    <w:rsid w:val="00F44B73"/>
    <w:rsid w:val="00F44B89"/>
    <w:rsid w:val="00F45268"/>
    <w:rsid w:val="00F455A6"/>
    <w:rsid w:val="00F456CA"/>
    <w:rsid w:val="00F458E0"/>
    <w:rsid w:val="00F46974"/>
    <w:rsid w:val="00F46E37"/>
    <w:rsid w:val="00F47BCA"/>
    <w:rsid w:val="00F5016E"/>
    <w:rsid w:val="00F5045B"/>
    <w:rsid w:val="00F509EE"/>
    <w:rsid w:val="00F51561"/>
    <w:rsid w:val="00F515F6"/>
    <w:rsid w:val="00F5186C"/>
    <w:rsid w:val="00F51D11"/>
    <w:rsid w:val="00F522E5"/>
    <w:rsid w:val="00F52A8E"/>
    <w:rsid w:val="00F531A7"/>
    <w:rsid w:val="00F53512"/>
    <w:rsid w:val="00F539A2"/>
    <w:rsid w:val="00F53EC3"/>
    <w:rsid w:val="00F54038"/>
    <w:rsid w:val="00F54372"/>
    <w:rsid w:val="00F54B44"/>
    <w:rsid w:val="00F5550D"/>
    <w:rsid w:val="00F55C55"/>
    <w:rsid w:val="00F56234"/>
    <w:rsid w:val="00F564E0"/>
    <w:rsid w:val="00F567F5"/>
    <w:rsid w:val="00F573CF"/>
    <w:rsid w:val="00F5761B"/>
    <w:rsid w:val="00F60199"/>
    <w:rsid w:val="00F60401"/>
    <w:rsid w:val="00F608D1"/>
    <w:rsid w:val="00F609D0"/>
    <w:rsid w:val="00F60B66"/>
    <w:rsid w:val="00F60E06"/>
    <w:rsid w:val="00F61232"/>
    <w:rsid w:val="00F61AC9"/>
    <w:rsid w:val="00F61B98"/>
    <w:rsid w:val="00F61C33"/>
    <w:rsid w:val="00F61F1C"/>
    <w:rsid w:val="00F622C7"/>
    <w:rsid w:val="00F623B3"/>
    <w:rsid w:val="00F62907"/>
    <w:rsid w:val="00F62C79"/>
    <w:rsid w:val="00F631C9"/>
    <w:rsid w:val="00F64354"/>
    <w:rsid w:val="00F65BF1"/>
    <w:rsid w:val="00F6616E"/>
    <w:rsid w:val="00F6646F"/>
    <w:rsid w:val="00F66719"/>
    <w:rsid w:val="00F66A26"/>
    <w:rsid w:val="00F66E60"/>
    <w:rsid w:val="00F67190"/>
    <w:rsid w:val="00F6722E"/>
    <w:rsid w:val="00F67359"/>
    <w:rsid w:val="00F6743F"/>
    <w:rsid w:val="00F6753A"/>
    <w:rsid w:val="00F67821"/>
    <w:rsid w:val="00F67923"/>
    <w:rsid w:val="00F67E15"/>
    <w:rsid w:val="00F707F5"/>
    <w:rsid w:val="00F70A23"/>
    <w:rsid w:val="00F70CA0"/>
    <w:rsid w:val="00F71467"/>
    <w:rsid w:val="00F714CF"/>
    <w:rsid w:val="00F716DD"/>
    <w:rsid w:val="00F7258C"/>
    <w:rsid w:val="00F73BCC"/>
    <w:rsid w:val="00F73FD1"/>
    <w:rsid w:val="00F74224"/>
    <w:rsid w:val="00F74417"/>
    <w:rsid w:val="00F74B4E"/>
    <w:rsid w:val="00F74BE4"/>
    <w:rsid w:val="00F75D32"/>
    <w:rsid w:val="00F76F2C"/>
    <w:rsid w:val="00F77057"/>
    <w:rsid w:val="00F77817"/>
    <w:rsid w:val="00F8016E"/>
    <w:rsid w:val="00F8042A"/>
    <w:rsid w:val="00F80693"/>
    <w:rsid w:val="00F80D3D"/>
    <w:rsid w:val="00F80DE7"/>
    <w:rsid w:val="00F8176D"/>
    <w:rsid w:val="00F817B4"/>
    <w:rsid w:val="00F81E12"/>
    <w:rsid w:val="00F81F55"/>
    <w:rsid w:val="00F8215A"/>
    <w:rsid w:val="00F82F2B"/>
    <w:rsid w:val="00F83F0A"/>
    <w:rsid w:val="00F84176"/>
    <w:rsid w:val="00F8484F"/>
    <w:rsid w:val="00F85A42"/>
    <w:rsid w:val="00F85A4D"/>
    <w:rsid w:val="00F86153"/>
    <w:rsid w:val="00F869FB"/>
    <w:rsid w:val="00F877FA"/>
    <w:rsid w:val="00F878C2"/>
    <w:rsid w:val="00F87AF7"/>
    <w:rsid w:val="00F9084C"/>
    <w:rsid w:val="00F90CCE"/>
    <w:rsid w:val="00F911F8"/>
    <w:rsid w:val="00F912D0"/>
    <w:rsid w:val="00F9175D"/>
    <w:rsid w:val="00F93242"/>
    <w:rsid w:val="00F94772"/>
    <w:rsid w:val="00F947CA"/>
    <w:rsid w:val="00F94B9F"/>
    <w:rsid w:val="00F950E1"/>
    <w:rsid w:val="00F95124"/>
    <w:rsid w:val="00F95419"/>
    <w:rsid w:val="00F959B9"/>
    <w:rsid w:val="00F960FB"/>
    <w:rsid w:val="00F961DA"/>
    <w:rsid w:val="00F96453"/>
    <w:rsid w:val="00F971DC"/>
    <w:rsid w:val="00F9747F"/>
    <w:rsid w:val="00F97692"/>
    <w:rsid w:val="00FA068A"/>
    <w:rsid w:val="00FA0F59"/>
    <w:rsid w:val="00FA1702"/>
    <w:rsid w:val="00FA1EB0"/>
    <w:rsid w:val="00FA23CF"/>
    <w:rsid w:val="00FA2C25"/>
    <w:rsid w:val="00FA2CFB"/>
    <w:rsid w:val="00FA3150"/>
    <w:rsid w:val="00FA35A5"/>
    <w:rsid w:val="00FA378E"/>
    <w:rsid w:val="00FA39C9"/>
    <w:rsid w:val="00FA4609"/>
    <w:rsid w:val="00FA46FB"/>
    <w:rsid w:val="00FA49E0"/>
    <w:rsid w:val="00FA4CB9"/>
    <w:rsid w:val="00FA5D92"/>
    <w:rsid w:val="00FA65FB"/>
    <w:rsid w:val="00FA6A23"/>
    <w:rsid w:val="00FA6C77"/>
    <w:rsid w:val="00FB03F4"/>
    <w:rsid w:val="00FB0D5D"/>
    <w:rsid w:val="00FB0E36"/>
    <w:rsid w:val="00FB0FEA"/>
    <w:rsid w:val="00FB1069"/>
    <w:rsid w:val="00FB1099"/>
    <w:rsid w:val="00FB1D67"/>
    <w:rsid w:val="00FB2123"/>
    <w:rsid w:val="00FB21B1"/>
    <w:rsid w:val="00FB2545"/>
    <w:rsid w:val="00FB2934"/>
    <w:rsid w:val="00FB3148"/>
    <w:rsid w:val="00FB314A"/>
    <w:rsid w:val="00FB35C8"/>
    <w:rsid w:val="00FB3BAD"/>
    <w:rsid w:val="00FB3BE1"/>
    <w:rsid w:val="00FB4F52"/>
    <w:rsid w:val="00FB5008"/>
    <w:rsid w:val="00FB5229"/>
    <w:rsid w:val="00FB57D8"/>
    <w:rsid w:val="00FB5C2F"/>
    <w:rsid w:val="00FB630A"/>
    <w:rsid w:val="00FB65A9"/>
    <w:rsid w:val="00FB670C"/>
    <w:rsid w:val="00FB720F"/>
    <w:rsid w:val="00FB72ED"/>
    <w:rsid w:val="00FB7593"/>
    <w:rsid w:val="00FB7B5C"/>
    <w:rsid w:val="00FB7CD1"/>
    <w:rsid w:val="00FB7E7B"/>
    <w:rsid w:val="00FC07EF"/>
    <w:rsid w:val="00FC08CA"/>
    <w:rsid w:val="00FC0D61"/>
    <w:rsid w:val="00FC0E04"/>
    <w:rsid w:val="00FC11D7"/>
    <w:rsid w:val="00FC12B8"/>
    <w:rsid w:val="00FC2059"/>
    <w:rsid w:val="00FC2236"/>
    <w:rsid w:val="00FC2BAA"/>
    <w:rsid w:val="00FC3158"/>
    <w:rsid w:val="00FC3611"/>
    <w:rsid w:val="00FC3A3E"/>
    <w:rsid w:val="00FC5173"/>
    <w:rsid w:val="00FC5A44"/>
    <w:rsid w:val="00FC6025"/>
    <w:rsid w:val="00FC6117"/>
    <w:rsid w:val="00FD0CD0"/>
    <w:rsid w:val="00FD0CD6"/>
    <w:rsid w:val="00FD1184"/>
    <w:rsid w:val="00FD1448"/>
    <w:rsid w:val="00FD16CC"/>
    <w:rsid w:val="00FD1A8E"/>
    <w:rsid w:val="00FD1D7C"/>
    <w:rsid w:val="00FD1E3C"/>
    <w:rsid w:val="00FD21AF"/>
    <w:rsid w:val="00FD2407"/>
    <w:rsid w:val="00FD351F"/>
    <w:rsid w:val="00FD395F"/>
    <w:rsid w:val="00FD39FA"/>
    <w:rsid w:val="00FD4055"/>
    <w:rsid w:val="00FD4118"/>
    <w:rsid w:val="00FD4149"/>
    <w:rsid w:val="00FD463E"/>
    <w:rsid w:val="00FD49E3"/>
    <w:rsid w:val="00FD4A8F"/>
    <w:rsid w:val="00FD4A9A"/>
    <w:rsid w:val="00FD4C82"/>
    <w:rsid w:val="00FD5342"/>
    <w:rsid w:val="00FD5815"/>
    <w:rsid w:val="00FD5C10"/>
    <w:rsid w:val="00FD5C16"/>
    <w:rsid w:val="00FD5D91"/>
    <w:rsid w:val="00FD6829"/>
    <w:rsid w:val="00FD6B7D"/>
    <w:rsid w:val="00FD6D43"/>
    <w:rsid w:val="00FD751E"/>
    <w:rsid w:val="00FD763B"/>
    <w:rsid w:val="00FD77B4"/>
    <w:rsid w:val="00FE04DB"/>
    <w:rsid w:val="00FE167A"/>
    <w:rsid w:val="00FE1BF9"/>
    <w:rsid w:val="00FE2966"/>
    <w:rsid w:val="00FE4156"/>
    <w:rsid w:val="00FE4514"/>
    <w:rsid w:val="00FE47D1"/>
    <w:rsid w:val="00FE4A59"/>
    <w:rsid w:val="00FE54BE"/>
    <w:rsid w:val="00FE552C"/>
    <w:rsid w:val="00FE55F1"/>
    <w:rsid w:val="00FE5791"/>
    <w:rsid w:val="00FE5B6F"/>
    <w:rsid w:val="00FE5F78"/>
    <w:rsid w:val="00FE5F79"/>
    <w:rsid w:val="00FE6438"/>
    <w:rsid w:val="00FE6E12"/>
    <w:rsid w:val="00FE6FF8"/>
    <w:rsid w:val="00FE7FF5"/>
    <w:rsid w:val="00FF022F"/>
    <w:rsid w:val="00FF0281"/>
    <w:rsid w:val="00FF03F4"/>
    <w:rsid w:val="00FF06D8"/>
    <w:rsid w:val="00FF087F"/>
    <w:rsid w:val="00FF0E90"/>
    <w:rsid w:val="00FF10AA"/>
    <w:rsid w:val="00FF13CE"/>
    <w:rsid w:val="00FF1792"/>
    <w:rsid w:val="00FF1BE7"/>
    <w:rsid w:val="00FF2287"/>
    <w:rsid w:val="00FF30F7"/>
    <w:rsid w:val="00FF318A"/>
    <w:rsid w:val="00FF4056"/>
    <w:rsid w:val="00FF466D"/>
    <w:rsid w:val="00FF4ACB"/>
    <w:rsid w:val="00FF4F5F"/>
    <w:rsid w:val="00FF52D8"/>
    <w:rsid w:val="00FF537F"/>
    <w:rsid w:val="00FF54B4"/>
    <w:rsid w:val="00FF5D1D"/>
    <w:rsid w:val="00FF6D7A"/>
    <w:rsid w:val="016F780A"/>
    <w:rsid w:val="01B130C4"/>
    <w:rsid w:val="06E65AA6"/>
    <w:rsid w:val="08AF3C79"/>
    <w:rsid w:val="0BF47196"/>
    <w:rsid w:val="0ED71CF8"/>
    <w:rsid w:val="11023029"/>
    <w:rsid w:val="111C27A4"/>
    <w:rsid w:val="1409615D"/>
    <w:rsid w:val="1633468C"/>
    <w:rsid w:val="1694121E"/>
    <w:rsid w:val="170D06E0"/>
    <w:rsid w:val="1B323DDB"/>
    <w:rsid w:val="1EB94106"/>
    <w:rsid w:val="1EFE7376"/>
    <w:rsid w:val="20AC5329"/>
    <w:rsid w:val="20FB24A7"/>
    <w:rsid w:val="25161CCF"/>
    <w:rsid w:val="25FB57CE"/>
    <w:rsid w:val="34C55757"/>
    <w:rsid w:val="3B8818B3"/>
    <w:rsid w:val="4A1A65A1"/>
    <w:rsid w:val="4BB61845"/>
    <w:rsid w:val="4E152629"/>
    <w:rsid w:val="4EAE1F0C"/>
    <w:rsid w:val="4FEA5B5A"/>
    <w:rsid w:val="50D80473"/>
    <w:rsid w:val="51C403EC"/>
    <w:rsid w:val="540E1A0E"/>
    <w:rsid w:val="64535468"/>
    <w:rsid w:val="67B41CCB"/>
    <w:rsid w:val="73C25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9"/>
    <w:pPr>
      <w:keepNext/>
      <w:keepLines/>
      <w:spacing w:line="360" w:lineRule="auto"/>
      <w:jc w:val="left"/>
      <w:outlineLvl w:val="0"/>
    </w:pPr>
    <w:rPr>
      <w:rFonts w:ascii="宋体"/>
      <w:b/>
      <w:bCs/>
      <w:kern w:val="44"/>
      <w:sz w:val="28"/>
      <w:szCs w:val="44"/>
    </w:rPr>
  </w:style>
  <w:style w:type="paragraph" w:styleId="3">
    <w:name w:val="heading 2"/>
    <w:basedOn w:val="1"/>
    <w:next w:val="4"/>
    <w:link w:val="105"/>
    <w:qFormat/>
    <w:uiPriority w:val="9"/>
    <w:pPr>
      <w:keepNext/>
      <w:keepLines/>
      <w:spacing w:line="360" w:lineRule="auto"/>
      <w:outlineLvl w:val="1"/>
    </w:pPr>
    <w:rPr>
      <w:rFonts w:ascii="仿宋_GB2312" w:hAnsi="宋体" w:eastAsia="仿宋_GB2312"/>
      <w:b/>
      <w:sz w:val="24"/>
      <w:szCs w:val="20"/>
    </w:rPr>
  </w:style>
  <w:style w:type="paragraph" w:styleId="5">
    <w:name w:val="heading 3"/>
    <w:basedOn w:val="1"/>
    <w:next w:val="1"/>
    <w:link w:val="104"/>
    <w:qFormat/>
    <w:uiPriority w:val="9"/>
    <w:pPr>
      <w:keepNext/>
      <w:keepLines/>
      <w:spacing w:line="360" w:lineRule="auto"/>
      <w:outlineLvl w:val="2"/>
    </w:pPr>
    <w:rPr>
      <w:rFonts w:eastAsia="楷体_GB2312"/>
      <w:b/>
      <w:bCs/>
      <w:sz w:val="24"/>
      <w:szCs w:val="32"/>
    </w:rPr>
  </w:style>
  <w:style w:type="paragraph" w:styleId="6">
    <w:name w:val="heading 4"/>
    <w:basedOn w:val="1"/>
    <w:next w:val="1"/>
    <w:link w:val="103"/>
    <w:qFormat/>
    <w:uiPriority w:val="9"/>
    <w:pPr>
      <w:keepNext/>
      <w:keepLines/>
      <w:spacing w:before="280" w:after="290" w:line="376" w:lineRule="auto"/>
      <w:outlineLvl w:val="3"/>
    </w:pPr>
    <w:rPr>
      <w:rFonts w:ascii="Cambria" w:hAnsi="Cambria"/>
      <w:b/>
      <w:bCs/>
      <w:kern w:val="0"/>
      <w:sz w:val="28"/>
      <w:szCs w:val="28"/>
    </w:rPr>
  </w:style>
  <w:style w:type="character" w:default="1" w:styleId="34">
    <w:name w:val="Default Paragraph Font"/>
    <w:unhideWhenUsed/>
    <w:qFormat/>
    <w:uiPriority w:val="1"/>
  </w:style>
  <w:style w:type="table" w:default="1" w:styleId="39">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48"/>
    <w:qFormat/>
    <w:uiPriority w:val="0"/>
    <w:rPr>
      <w:sz w:val="28"/>
      <w:szCs w:val="20"/>
    </w:rPr>
  </w:style>
  <w:style w:type="paragraph" w:styleId="7">
    <w:name w:val="annotation subject"/>
    <w:basedOn w:val="8"/>
    <w:next w:val="8"/>
    <w:semiHidden/>
    <w:qFormat/>
    <w:uiPriority w:val="0"/>
    <w:rPr>
      <w:b/>
      <w:bCs/>
    </w:rPr>
  </w:style>
  <w:style w:type="paragraph" w:styleId="8">
    <w:name w:val="annotation text"/>
    <w:basedOn w:val="1"/>
    <w:semiHidden/>
    <w:qFormat/>
    <w:uiPriority w:val="0"/>
    <w:pPr>
      <w:jc w:val="left"/>
    </w:pPr>
  </w:style>
  <w:style w:type="paragraph" w:styleId="9">
    <w:name w:val="toc 7"/>
    <w:basedOn w:val="1"/>
    <w:next w:val="1"/>
    <w:unhideWhenUsed/>
    <w:qFormat/>
    <w:uiPriority w:val="0"/>
    <w:pPr>
      <w:ind w:left="1260"/>
      <w:jc w:val="left"/>
    </w:pPr>
    <w:rPr>
      <w:rFonts w:ascii="Calibri" w:hAnsi="Calibri"/>
      <w:sz w:val="18"/>
      <w:szCs w:val="18"/>
    </w:rPr>
  </w:style>
  <w:style w:type="paragraph" w:styleId="10">
    <w:name w:val="Body Text First Indent"/>
    <w:basedOn w:val="11"/>
    <w:link w:val="41"/>
    <w:qFormat/>
    <w:uiPriority w:val="0"/>
    <w:pPr>
      <w:ind w:firstLine="420" w:firstLineChars="100"/>
    </w:pPr>
  </w:style>
  <w:style w:type="paragraph" w:styleId="11">
    <w:name w:val="Body Text"/>
    <w:basedOn w:val="1"/>
    <w:link w:val="46"/>
    <w:qFormat/>
    <w:uiPriority w:val="0"/>
    <w:pPr>
      <w:spacing w:after="120"/>
    </w:pPr>
  </w:style>
  <w:style w:type="paragraph" w:styleId="12">
    <w:name w:val="Document Map"/>
    <w:basedOn w:val="1"/>
    <w:link w:val="53"/>
    <w:qFormat/>
    <w:uiPriority w:val="0"/>
    <w:rPr>
      <w:rFonts w:ascii="宋体"/>
      <w:sz w:val="18"/>
      <w:szCs w:val="18"/>
    </w:rPr>
  </w:style>
  <w:style w:type="paragraph" w:styleId="13">
    <w:name w:val="Body Text 3"/>
    <w:basedOn w:val="1"/>
    <w:qFormat/>
    <w:uiPriority w:val="0"/>
    <w:pPr>
      <w:spacing w:beforeLines="50" w:afterLines="50" w:line="520" w:lineRule="atLeast"/>
    </w:pPr>
    <w:rPr>
      <w:rFonts w:ascii="华文中宋" w:eastAsia="华文中宋"/>
      <w:sz w:val="30"/>
      <w:szCs w:val="20"/>
    </w:rPr>
  </w:style>
  <w:style w:type="paragraph" w:styleId="14">
    <w:name w:val="Body Text Indent"/>
    <w:basedOn w:val="1"/>
    <w:qFormat/>
    <w:uiPriority w:val="0"/>
    <w:pPr>
      <w:tabs>
        <w:tab w:val="left" w:pos="210"/>
      </w:tabs>
      <w:spacing w:line="360" w:lineRule="auto"/>
      <w:ind w:firstLine="420" w:firstLineChars="175"/>
    </w:pPr>
    <w:rPr>
      <w:sz w:val="24"/>
    </w:rPr>
  </w:style>
  <w:style w:type="paragraph" w:styleId="15">
    <w:name w:val="Block Text"/>
    <w:basedOn w:val="1"/>
    <w:qFormat/>
    <w:uiPriority w:val="0"/>
    <w:pPr>
      <w:autoSpaceDE w:val="0"/>
      <w:autoSpaceDN w:val="0"/>
      <w:adjustRightInd w:val="0"/>
      <w:spacing w:before="1" w:line="537" w:lineRule="exact"/>
      <w:ind w:left="88" w:right="6"/>
    </w:pPr>
    <w:rPr>
      <w:kern w:val="0"/>
      <w:sz w:val="28"/>
      <w:szCs w:val="20"/>
    </w:rPr>
  </w:style>
  <w:style w:type="paragraph" w:styleId="16">
    <w:name w:val="toc 5"/>
    <w:basedOn w:val="1"/>
    <w:next w:val="1"/>
    <w:unhideWhenUsed/>
    <w:qFormat/>
    <w:uiPriority w:val="0"/>
    <w:pPr>
      <w:ind w:left="840"/>
      <w:jc w:val="left"/>
    </w:pPr>
    <w:rPr>
      <w:rFonts w:ascii="Calibri" w:hAnsi="Calibri"/>
      <w:sz w:val="18"/>
      <w:szCs w:val="18"/>
    </w:rPr>
  </w:style>
  <w:style w:type="paragraph" w:styleId="17">
    <w:name w:val="toc 3"/>
    <w:basedOn w:val="1"/>
    <w:next w:val="1"/>
    <w:unhideWhenUsed/>
    <w:qFormat/>
    <w:uiPriority w:val="39"/>
    <w:pPr>
      <w:ind w:left="420"/>
      <w:jc w:val="left"/>
    </w:pPr>
    <w:rPr>
      <w:rFonts w:ascii="Calibri" w:hAnsi="Calibri"/>
      <w:i/>
      <w:iCs/>
      <w:sz w:val="20"/>
      <w:szCs w:val="20"/>
    </w:rPr>
  </w:style>
  <w:style w:type="paragraph" w:styleId="18">
    <w:name w:val="Plain Text"/>
    <w:basedOn w:val="1"/>
    <w:link w:val="47"/>
    <w:qFormat/>
    <w:uiPriority w:val="0"/>
    <w:rPr>
      <w:rFonts w:ascii="宋体" w:hAnsi="Courier New"/>
      <w:sz w:val="28"/>
      <w:szCs w:val="20"/>
    </w:rPr>
  </w:style>
  <w:style w:type="paragraph" w:styleId="19">
    <w:name w:val="toc 8"/>
    <w:basedOn w:val="1"/>
    <w:next w:val="1"/>
    <w:unhideWhenUsed/>
    <w:qFormat/>
    <w:uiPriority w:val="0"/>
    <w:pPr>
      <w:ind w:left="1470"/>
      <w:jc w:val="left"/>
    </w:pPr>
    <w:rPr>
      <w:rFonts w:ascii="Calibri" w:hAnsi="Calibri"/>
      <w:sz w:val="18"/>
      <w:szCs w:val="18"/>
    </w:rPr>
  </w:style>
  <w:style w:type="paragraph" w:styleId="20">
    <w:name w:val="Date"/>
    <w:basedOn w:val="1"/>
    <w:next w:val="1"/>
    <w:link w:val="59"/>
    <w:qFormat/>
    <w:uiPriority w:val="0"/>
    <w:pPr>
      <w:adjustRightInd w:val="0"/>
      <w:textAlignment w:val="baseline"/>
    </w:pPr>
    <w:rPr>
      <w:sz w:val="24"/>
      <w:szCs w:val="20"/>
    </w:rPr>
  </w:style>
  <w:style w:type="paragraph" w:styleId="21">
    <w:name w:val="Body Text Indent 2"/>
    <w:basedOn w:val="1"/>
    <w:link w:val="106"/>
    <w:qFormat/>
    <w:uiPriority w:val="0"/>
    <w:pPr>
      <w:spacing w:after="120" w:line="480" w:lineRule="auto"/>
      <w:ind w:left="420" w:leftChars="200"/>
    </w:pPr>
  </w:style>
  <w:style w:type="paragraph" w:styleId="22">
    <w:name w:val="Balloon Text"/>
    <w:basedOn w:val="1"/>
    <w:link w:val="52"/>
    <w:qFormat/>
    <w:uiPriority w:val="99"/>
    <w:rPr>
      <w:sz w:val="18"/>
      <w:szCs w:val="18"/>
    </w:rPr>
  </w:style>
  <w:style w:type="paragraph" w:styleId="23">
    <w:name w:val="footer"/>
    <w:basedOn w:val="1"/>
    <w:link w:val="42"/>
    <w:unhideWhenUsed/>
    <w:qFormat/>
    <w:uiPriority w:val="99"/>
    <w:pPr>
      <w:tabs>
        <w:tab w:val="center" w:pos="4153"/>
        <w:tab w:val="right" w:pos="8306"/>
      </w:tabs>
      <w:snapToGrid w:val="0"/>
      <w:jc w:val="left"/>
    </w:pPr>
    <w:rPr>
      <w:sz w:val="18"/>
      <w:szCs w:val="18"/>
    </w:rPr>
  </w:style>
  <w:style w:type="paragraph" w:styleId="24">
    <w:name w:val="header"/>
    <w:basedOn w:val="1"/>
    <w:link w:val="60"/>
    <w:qFormat/>
    <w:uiPriority w:val="99"/>
    <w:pPr>
      <w:tabs>
        <w:tab w:val="center" w:pos="4153"/>
        <w:tab w:val="right" w:pos="8306"/>
      </w:tabs>
      <w:snapToGrid w:val="0"/>
      <w:jc w:val="center"/>
    </w:pPr>
    <w:rPr>
      <w:sz w:val="18"/>
      <w:szCs w:val="18"/>
    </w:rPr>
  </w:style>
  <w:style w:type="paragraph" w:styleId="25">
    <w:name w:val="toc 1"/>
    <w:basedOn w:val="1"/>
    <w:next w:val="1"/>
    <w:qFormat/>
    <w:uiPriority w:val="39"/>
    <w:pPr>
      <w:spacing w:before="120" w:after="120"/>
      <w:jc w:val="left"/>
    </w:pPr>
    <w:rPr>
      <w:rFonts w:ascii="Calibri" w:hAnsi="Calibri"/>
      <w:b/>
      <w:bCs/>
      <w:caps/>
      <w:sz w:val="20"/>
      <w:szCs w:val="20"/>
    </w:rPr>
  </w:style>
  <w:style w:type="paragraph" w:styleId="26">
    <w:name w:val="toc 4"/>
    <w:basedOn w:val="1"/>
    <w:next w:val="1"/>
    <w:unhideWhenUsed/>
    <w:qFormat/>
    <w:uiPriority w:val="0"/>
    <w:pPr>
      <w:ind w:left="630"/>
      <w:jc w:val="left"/>
    </w:pPr>
    <w:rPr>
      <w:rFonts w:ascii="Calibri" w:hAnsi="Calibri"/>
      <w:sz w:val="18"/>
      <w:szCs w:val="18"/>
    </w:rPr>
  </w:style>
  <w:style w:type="paragraph" w:styleId="27">
    <w:name w:val="Subtitle"/>
    <w:basedOn w:val="1"/>
    <w:next w:val="1"/>
    <w:link w:val="58"/>
    <w:qFormat/>
    <w:uiPriority w:val="99"/>
    <w:pPr>
      <w:ind w:firstLine="200" w:firstLineChars="200"/>
      <w:outlineLvl w:val="1"/>
    </w:pPr>
    <w:rPr>
      <w:rFonts w:ascii="Cambria" w:hAnsi="Cambria" w:eastAsia="黑体"/>
      <w:bCs/>
      <w:kern w:val="28"/>
      <w:sz w:val="22"/>
      <w:szCs w:val="32"/>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link w:val="112"/>
    <w:qFormat/>
    <w:uiPriority w:val="0"/>
    <w:pPr>
      <w:spacing w:line="320" w:lineRule="exact"/>
      <w:ind w:firstLine="480" w:firstLineChars="200"/>
    </w:pPr>
    <w:rPr>
      <w:rFonts w:ascii="宋体" w:hAnsi="宋体"/>
      <w:color w:val="000000"/>
      <w:sz w:val="24"/>
    </w:rPr>
  </w:style>
  <w:style w:type="paragraph" w:styleId="30">
    <w:name w:val="toc 2"/>
    <w:basedOn w:val="1"/>
    <w:next w:val="1"/>
    <w:unhideWhenUsed/>
    <w:qFormat/>
    <w:uiPriority w:val="39"/>
    <w:pPr>
      <w:ind w:left="210"/>
      <w:jc w:val="left"/>
    </w:pPr>
    <w:rPr>
      <w:rFonts w:ascii="Calibri" w:hAnsi="Calibri"/>
      <w:smallCaps/>
      <w:sz w:val="20"/>
      <w:szCs w:val="20"/>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Body Text 2"/>
    <w:basedOn w:val="1"/>
    <w:qFormat/>
    <w:uiPriority w:val="0"/>
    <w:pPr>
      <w:spacing w:line="312" w:lineRule="auto"/>
    </w:pPr>
    <w:rPr>
      <w:rFonts w:ascii="宋体"/>
      <w:sz w:val="28"/>
      <w:szCs w:val="20"/>
    </w:rPr>
  </w:style>
  <w:style w:type="paragraph" w:styleId="3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35">
    <w:name w:val="page number"/>
    <w:basedOn w:val="34"/>
    <w:qFormat/>
    <w:uiPriority w:val="0"/>
  </w:style>
  <w:style w:type="character" w:styleId="36">
    <w:name w:val="Emphasis"/>
    <w:qFormat/>
    <w:uiPriority w:val="0"/>
    <w:rPr>
      <w:rFonts w:ascii="Times New Roman" w:hAnsi="Times New Roman" w:eastAsia="楷体_GB2312"/>
      <w:b/>
      <w:iCs/>
      <w:sz w:val="24"/>
    </w:rPr>
  </w:style>
  <w:style w:type="character" w:styleId="37">
    <w:name w:val="Hyperlink"/>
    <w:qFormat/>
    <w:uiPriority w:val="99"/>
    <w:rPr>
      <w:color w:val="0000CC"/>
      <w:u w:val="single"/>
    </w:rPr>
  </w:style>
  <w:style w:type="character" w:styleId="38">
    <w:name w:val="annotation reference"/>
    <w:semiHidden/>
    <w:qFormat/>
    <w:uiPriority w:val="0"/>
    <w:rPr>
      <w:sz w:val="21"/>
      <w:szCs w:val="21"/>
    </w:rPr>
  </w:style>
  <w:style w:type="table" w:styleId="40">
    <w:name w:val="Table Grid"/>
    <w:basedOn w:val="3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1">
    <w:name w:val="正文首行缩进 Char"/>
    <w:link w:val="10"/>
    <w:qFormat/>
    <w:uiPriority w:val="0"/>
    <w:rPr>
      <w:kern w:val="2"/>
      <w:sz w:val="21"/>
      <w:szCs w:val="24"/>
    </w:rPr>
  </w:style>
  <w:style w:type="character" w:customStyle="1" w:styleId="42">
    <w:name w:val="页脚 Char"/>
    <w:link w:val="23"/>
    <w:qFormat/>
    <w:uiPriority w:val="99"/>
    <w:rPr>
      <w:rFonts w:eastAsia="宋体"/>
      <w:kern w:val="2"/>
      <w:sz w:val="18"/>
      <w:szCs w:val="18"/>
      <w:lang w:val="en-US" w:eastAsia="zh-CN" w:bidi="ar-SA"/>
    </w:rPr>
  </w:style>
  <w:style w:type="character" w:customStyle="1" w:styleId="43">
    <w:name w:val="副标题 Char1"/>
    <w:qFormat/>
    <w:uiPriority w:val="0"/>
    <w:rPr>
      <w:rFonts w:ascii="Cambria" w:hAnsi="Cambria" w:cs="Times New Roman"/>
      <w:b/>
      <w:bCs/>
      <w:kern w:val="28"/>
      <w:sz w:val="32"/>
      <w:szCs w:val="32"/>
    </w:rPr>
  </w:style>
  <w:style w:type="character" w:customStyle="1" w:styleId="44">
    <w:name w:val="q1"/>
    <w:basedOn w:val="34"/>
    <w:qFormat/>
    <w:uiPriority w:val="0"/>
  </w:style>
  <w:style w:type="character" w:customStyle="1" w:styleId="45">
    <w:name w:val="grame"/>
    <w:basedOn w:val="34"/>
    <w:qFormat/>
    <w:uiPriority w:val="0"/>
  </w:style>
  <w:style w:type="character" w:customStyle="1" w:styleId="46">
    <w:name w:val="正文文本 Char"/>
    <w:link w:val="11"/>
    <w:qFormat/>
    <w:uiPriority w:val="0"/>
    <w:rPr>
      <w:kern w:val="2"/>
      <w:sz w:val="21"/>
      <w:szCs w:val="24"/>
    </w:rPr>
  </w:style>
  <w:style w:type="character" w:customStyle="1" w:styleId="47">
    <w:name w:val="纯文本 Char"/>
    <w:link w:val="18"/>
    <w:qFormat/>
    <w:uiPriority w:val="0"/>
    <w:rPr>
      <w:rFonts w:ascii="宋体" w:hAnsi="Courier New" w:eastAsia="宋体"/>
      <w:kern w:val="2"/>
      <w:sz w:val="28"/>
      <w:lang w:val="en-US" w:eastAsia="zh-CN" w:bidi="ar-SA"/>
    </w:rPr>
  </w:style>
  <w:style w:type="character" w:customStyle="1" w:styleId="48">
    <w:name w:val="正文缩进 Char"/>
    <w:link w:val="4"/>
    <w:qFormat/>
    <w:uiPriority w:val="0"/>
    <w:rPr>
      <w:kern w:val="2"/>
      <w:sz w:val="28"/>
    </w:rPr>
  </w:style>
  <w:style w:type="character" w:customStyle="1" w:styleId="49">
    <w:name w:val="oblog_text"/>
    <w:basedOn w:val="34"/>
    <w:qFormat/>
    <w:uiPriority w:val="0"/>
  </w:style>
  <w:style w:type="character" w:customStyle="1" w:styleId="50">
    <w:name w:val="标题 1 Char"/>
    <w:link w:val="2"/>
    <w:qFormat/>
    <w:uiPriority w:val="9"/>
    <w:rPr>
      <w:rFonts w:ascii="宋体"/>
      <w:b/>
      <w:bCs/>
      <w:kern w:val="44"/>
      <w:sz w:val="28"/>
      <w:szCs w:val="44"/>
    </w:rPr>
  </w:style>
  <w:style w:type="character" w:customStyle="1" w:styleId="51">
    <w:name w:val="zhengwen"/>
    <w:basedOn w:val="34"/>
    <w:qFormat/>
    <w:uiPriority w:val="0"/>
  </w:style>
  <w:style w:type="character" w:customStyle="1" w:styleId="52">
    <w:name w:val="批注框文本 Char"/>
    <w:link w:val="22"/>
    <w:qFormat/>
    <w:uiPriority w:val="99"/>
    <w:rPr>
      <w:kern w:val="2"/>
      <w:sz w:val="18"/>
      <w:szCs w:val="18"/>
    </w:rPr>
  </w:style>
  <w:style w:type="character" w:customStyle="1" w:styleId="53">
    <w:name w:val="文档结构图 Char"/>
    <w:link w:val="12"/>
    <w:qFormat/>
    <w:uiPriority w:val="0"/>
    <w:rPr>
      <w:rFonts w:ascii="宋体" w:hAnsi="Times New Roman" w:cs="Times New Roman"/>
      <w:kern w:val="2"/>
      <w:sz w:val="18"/>
      <w:szCs w:val="18"/>
    </w:rPr>
  </w:style>
  <w:style w:type="character" w:customStyle="1" w:styleId="54">
    <w:name w:val="正文文本缩进 Char"/>
    <w:link w:val="55"/>
    <w:qFormat/>
    <w:uiPriority w:val="0"/>
    <w:rPr>
      <w:sz w:val="28"/>
      <w:szCs w:val="24"/>
    </w:rPr>
  </w:style>
  <w:style w:type="paragraph" w:customStyle="1" w:styleId="55">
    <w:name w:val="正文文本缩进1"/>
    <w:basedOn w:val="1"/>
    <w:link w:val="54"/>
    <w:qFormat/>
    <w:uiPriority w:val="0"/>
    <w:pPr>
      <w:ind w:firstLine="560" w:firstLineChars="200"/>
    </w:pPr>
    <w:rPr>
      <w:kern w:val="0"/>
      <w:sz w:val="28"/>
    </w:rPr>
  </w:style>
  <w:style w:type="character" w:customStyle="1" w:styleId="56">
    <w:name w:val="页码1"/>
    <w:qFormat/>
    <w:uiPriority w:val="0"/>
    <w:rPr>
      <w:rFonts w:cs="Times New Roman"/>
    </w:rPr>
  </w:style>
  <w:style w:type="character" w:customStyle="1" w:styleId="57">
    <w:name w:val="正文缩进 Char1"/>
    <w:qFormat/>
    <w:uiPriority w:val="0"/>
    <w:rPr>
      <w:kern w:val="2"/>
      <w:sz w:val="21"/>
    </w:rPr>
  </w:style>
  <w:style w:type="character" w:customStyle="1" w:styleId="58">
    <w:name w:val="副标题 Char"/>
    <w:link w:val="27"/>
    <w:qFormat/>
    <w:uiPriority w:val="99"/>
    <w:rPr>
      <w:rFonts w:ascii="Cambria" w:hAnsi="Cambria" w:eastAsia="黑体"/>
      <w:bCs/>
      <w:kern w:val="28"/>
      <w:sz w:val="22"/>
      <w:szCs w:val="32"/>
    </w:rPr>
  </w:style>
  <w:style w:type="character" w:customStyle="1" w:styleId="59">
    <w:name w:val="日期 Char"/>
    <w:link w:val="20"/>
    <w:qFormat/>
    <w:uiPriority w:val="0"/>
    <w:rPr>
      <w:rFonts w:eastAsia="宋体"/>
      <w:kern w:val="2"/>
      <w:sz w:val="24"/>
      <w:lang w:val="en-US" w:eastAsia="zh-CN" w:bidi="ar-SA"/>
    </w:rPr>
  </w:style>
  <w:style w:type="character" w:customStyle="1" w:styleId="60">
    <w:name w:val="页眉 Char"/>
    <w:link w:val="24"/>
    <w:qFormat/>
    <w:uiPriority w:val="99"/>
    <w:rPr>
      <w:kern w:val="2"/>
      <w:sz w:val="18"/>
      <w:szCs w:val="18"/>
    </w:rPr>
  </w:style>
  <w:style w:type="paragraph" w:customStyle="1" w:styleId="6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63">
    <w:name w:val="Char Char Char Char Char Char"/>
    <w:basedOn w:val="1"/>
    <w:qFormat/>
    <w:uiPriority w:val="0"/>
    <w:rPr>
      <w:szCs w:val="20"/>
    </w:rPr>
  </w:style>
  <w:style w:type="paragraph" w:customStyle="1" w:styleId="64">
    <w:name w:val="1正文段落"/>
    <w:basedOn w:val="1"/>
    <w:qFormat/>
    <w:uiPriority w:val="0"/>
    <w:pPr>
      <w:spacing w:line="360" w:lineRule="auto"/>
      <w:ind w:firstLine="480" w:firstLineChars="200"/>
      <w:jc w:val="left"/>
    </w:pPr>
    <w:rPr>
      <w:snapToGrid w:val="0"/>
      <w:kern w:val="0"/>
      <w:sz w:val="24"/>
    </w:rPr>
  </w:style>
  <w:style w:type="paragraph" w:customStyle="1" w:styleId="65">
    <w:name w:val="中文报告书"/>
    <w:basedOn w:val="1"/>
    <w:qFormat/>
    <w:uiPriority w:val="0"/>
    <w:pPr>
      <w:adjustRightInd w:val="0"/>
      <w:spacing w:after="80" w:line="420" w:lineRule="atLeast"/>
      <w:jc w:val="left"/>
      <w:textAlignment w:val="baseline"/>
    </w:pPr>
    <w:rPr>
      <w:kern w:val="0"/>
      <w:sz w:val="24"/>
      <w:szCs w:val="20"/>
    </w:rPr>
  </w:style>
  <w:style w:type="paragraph" w:customStyle="1" w:styleId="66">
    <w:name w:val="Char"/>
    <w:basedOn w:val="1"/>
    <w:qFormat/>
    <w:uiPriority w:val="0"/>
    <w:rPr>
      <w:sz w:val="24"/>
    </w:rPr>
  </w:style>
  <w:style w:type="paragraph" w:customStyle="1" w:styleId="67">
    <w:name w:val="1.1.1"/>
    <w:basedOn w:val="1"/>
    <w:qFormat/>
    <w:uiPriority w:val="0"/>
    <w:rPr>
      <w:rFonts w:ascii="黑体"/>
      <w:sz w:val="24"/>
    </w:rPr>
  </w:style>
  <w:style w:type="paragraph" w:customStyle="1" w:styleId="68">
    <w:name w:val="法规"/>
    <w:basedOn w:val="1"/>
    <w:qFormat/>
    <w:uiPriority w:val="0"/>
    <w:pPr>
      <w:tabs>
        <w:tab w:val="left" w:pos="400"/>
      </w:tabs>
      <w:spacing w:line="440" w:lineRule="exact"/>
      <w:ind w:firstLine="400"/>
    </w:pPr>
    <w:rPr>
      <w:sz w:val="25"/>
      <w:szCs w:val="20"/>
    </w:rPr>
  </w:style>
  <w:style w:type="paragraph" w:customStyle="1" w:styleId="69">
    <w:name w:val="报告书"/>
    <w:basedOn w:val="1"/>
    <w:qFormat/>
    <w:uiPriority w:val="0"/>
    <w:pPr>
      <w:adjustRightInd w:val="0"/>
      <w:snapToGrid w:val="0"/>
      <w:spacing w:line="440" w:lineRule="atLeast"/>
      <w:ind w:firstLine="482"/>
      <w:textAlignment w:val="baseline"/>
    </w:pPr>
    <w:rPr>
      <w:rFonts w:ascii="宋体"/>
      <w:kern w:val="24"/>
      <w:sz w:val="24"/>
      <w:szCs w:val="20"/>
    </w:rPr>
  </w:style>
  <w:style w:type="paragraph" w:customStyle="1" w:styleId="70">
    <w:name w:val="p0"/>
    <w:basedOn w:val="1"/>
    <w:qFormat/>
    <w:uiPriority w:val="0"/>
    <w:pPr>
      <w:widowControl/>
      <w:jc w:val="left"/>
    </w:pPr>
    <w:rPr>
      <w:kern w:val="0"/>
      <w:sz w:val="20"/>
      <w:szCs w:val="20"/>
    </w:rPr>
  </w:style>
  <w:style w:type="paragraph" w:customStyle="1" w:styleId="71">
    <w:name w:val="p16"/>
    <w:basedOn w:val="1"/>
    <w:qFormat/>
    <w:uiPriority w:val="0"/>
    <w:pPr>
      <w:widowControl/>
      <w:spacing w:line="360" w:lineRule="auto"/>
      <w:jc w:val="center"/>
    </w:pPr>
    <w:rPr>
      <w:kern w:val="0"/>
      <w:sz w:val="22"/>
      <w:szCs w:val="22"/>
    </w:rPr>
  </w:style>
  <w:style w:type="paragraph" w:customStyle="1" w:styleId="72">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73">
    <w:name w:val="正文五"/>
    <w:basedOn w:val="1"/>
    <w:qFormat/>
    <w:uiPriority w:val="0"/>
    <w:pPr>
      <w:snapToGrid w:val="0"/>
      <w:jc w:val="center"/>
    </w:pPr>
    <w:rPr>
      <w:sz w:val="24"/>
      <w:szCs w:val="28"/>
    </w:rPr>
  </w:style>
  <w:style w:type="paragraph" w:customStyle="1" w:styleId="74">
    <w:name w:val="Char1"/>
    <w:basedOn w:val="1"/>
    <w:qFormat/>
    <w:uiPriority w:val="0"/>
    <w:pPr>
      <w:adjustRightInd w:val="0"/>
      <w:spacing w:line="360" w:lineRule="atLeast"/>
    </w:pPr>
    <w:rPr>
      <w:szCs w:val="20"/>
    </w:rPr>
  </w:style>
  <w:style w:type="paragraph" w:customStyle="1" w:styleId="75">
    <w:name w:val="报告正文"/>
    <w:basedOn w:val="1"/>
    <w:qFormat/>
    <w:uiPriority w:val="0"/>
    <w:pPr>
      <w:adjustRightInd w:val="0"/>
      <w:snapToGrid w:val="0"/>
      <w:spacing w:line="480" w:lineRule="exact"/>
      <w:ind w:firstLine="560" w:firstLineChars="200"/>
    </w:pPr>
    <w:rPr>
      <w:sz w:val="28"/>
    </w:rPr>
  </w:style>
  <w:style w:type="paragraph" w:customStyle="1" w:styleId="76">
    <w:name w:val="q"/>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列出段落1"/>
    <w:basedOn w:val="1"/>
    <w:qFormat/>
    <w:uiPriority w:val="34"/>
    <w:pPr>
      <w:spacing w:line="360" w:lineRule="exact"/>
      <w:jc w:val="center"/>
    </w:pPr>
  </w:style>
  <w:style w:type="paragraph" w:customStyle="1" w:styleId="78">
    <w:name w:val="表头（富士康）"/>
    <w:qFormat/>
    <w:uiPriority w:val="0"/>
    <w:pPr>
      <w:spacing w:line="360" w:lineRule="auto"/>
      <w:jc w:val="center"/>
    </w:pPr>
    <w:rPr>
      <w:rFonts w:ascii="Times New Roman" w:hAnsi="Times New Roman" w:eastAsia="黑体" w:cs="Times New Roman"/>
      <w:bCs/>
      <w:kern w:val="2"/>
      <w:sz w:val="22"/>
      <w:szCs w:val="32"/>
      <w:lang w:val="en-US" w:eastAsia="zh-CN" w:bidi="ar-SA"/>
    </w:rPr>
  </w:style>
  <w:style w:type="paragraph" w:customStyle="1" w:styleId="79">
    <w:name w:val="陈样式3"/>
    <w:basedOn w:val="5"/>
    <w:qFormat/>
    <w:uiPriority w:val="0"/>
    <w:pPr>
      <w:ind w:left="-3"/>
      <w:jc w:val="left"/>
      <w:outlineLvl w:val="0"/>
    </w:pPr>
    <w:rPr>
      <w:rFonts w:ascii="宋体" w:hAnsi="Courier New"/>
      <w:b w:val="0"/>
      <w:bCs w:val="0"/>
      <w:color w:val="000000"/>
      <w:szCs w:val="24"/>
    </w:rPr>
  </w:style>
  <w:style w:type="paragraph" w:customStyle="1" w:styleId="80">
    <w:name w:val="p17"/>
    <w:basedOn w:val="1"/>
    <w:qFormat/>
    <w:uiPriority w:val="0"/>
    <w:pPr>
      <w:widowControl/>
      <w:spacing w:line="360" w:lineRule="atLeast"/>
      <w:jc w:val="center"/>
    </w:pPr>
    <w:rPr>
      <w:kern w:val="0"/>
      <w:szCs w:val="21"/>
    </w:rPr>
  </w:style>
  <w:style w:type="paragraph" w:customStyle="1" w:styleId="81">
    <w:name w:val="p15"/>
    <w:basedOn w:val="1"/>
    <w:qFormat/>
    <w:uiPriority w:val="0"/>
    <w:pPr>
      <w:widowControl/>
      <w:snapToGrid w:val="0"/>
      <w:jc w:val="center"/>
    </w:pPr>
    <w:rPr>
      <w:kern w:val="0"/>
      <w:sz w:val="24"/>
    </w:rPr>
  </w:style>
  <w:style w:type="paragraph" w:customStyle="1" w:styleId="82">
    <w:name w:val="p18"/>
    <w:basedOn w:val="1"/>
    <w:qFormat/>
    <w:uiPriority w:val="0"/>
    <w:pPr>
      <w:widowControl/>
    </w:pPr>
    <w:rPr>
      <w:kern w:val="0"/>
      <w:sz w:val="28"/>
      <w:szCs w:val="28"/>
    </w:rPr>
  </w:style>
  <w:style w:type="paragraph" w:customStyle="1" w:styleId="83">
    <w:name w:val="正文内容"/>
    <w:basedOn w:val="1"/>
    <w:qFormat/>
    <w:uiPriority w:val="0"/>
    <w:pPr>
      <w:spacing w:line="360" w:lineRule="auto"/>
      <w:ind w:firstLine="624"/>
    </w:pPr>
    <w:rPr>
      <w:rFonts w:ascii="宋体"/>
      <w:sz w:val="24"/>
    </w:rPr>
  </w:style>
  <w:style w:type="paragraph" w:customStyle="1" w:styleId="84">
    <w:name w:val="默认段落字体 Para Char"/>
    <w:basedOn w:val="1"/>
    <w:next w:val="1"/>
    <w:qFormat/>
    <w:uiPriority w:val="0"/>
    <w:pPr>
      <w:spacing w:line="360" w:lineRule="auto"/>
      <w:ind w:firstLine="200" w:firstLineChars="200"/>
    </w:pPr>
    <w:rPr>
      <w:szCs w:val="20"/>
    </w:rPr>
  </w:style>
  <w:style w:type="paragraph" w:customStyle="1" w:styleId="85">
    <w:name w:val="00"/>
    <w:basedOn w:val="1"/>
    <w:qFormat/>
    <w:uiPriority w:val="0"/>
    <w:pPr>
      <w:spacing w:line="520" w:lineRule="exact"/>
      <w:ind w:firstLine="200" w:firstLineChars="200"/>
    </w:pPr>
    <w:rPr>
      <w:rFonts w:ascii="Calibri" w:hAnsi="Calibri"/>
      <w:sz w:val="24"/>
    </w:rPr>
  </w:style>
  <w:style w:type="paragraph" w:customStyle="1" w:styleId="86">
    <w:name w:val="居中正文"/>
    <w:basedOn w:val="1"/>
    <w:next w:val="1"/>
    <w:qFormat/>
    <w:uiPriority w:val="0"/>
    <w:pPr>
      <w:adjustRightInd w:val="0"/>
      <w:spacing w:before="120" w:line="360" w:lineRule="auto"/>
      <w:jc w:val="center"/>
      <w:textAlignment w:val="baseline"/>
    </w:pPr>
    <w:rPr>
      <w:rFonts w:ascii="宋体"/>
      <w:kern w:val="28"/>
      <w:sz w:val="24"/>
      <w:szCs w:val="20"/>
    </w:rPr>
  </w:style>
  <w:style w:type="paragraph" w:customStyle="1" w:styleId="87">
    <w:name w:val="正文缩进 New New New New New"/>
    <w:basedOn w:val="88"/>
    <w:qFormat/>
    <w:uiPriority w:val="0"/>
    <w:pPr>
      <w:spacing w:beforeLines="50" w:afterLines="50" w:line="460" w:lineRule="exact"/>
      <w:ind w:firstLine="420" w:firstLineChars="200"/>
      <w:jc w:val="left"/>
    </w:pPr>
    <w:rPr>
      <w:b/>
      <w:sz w:val="24"/>
    </w:rPr>
  </w:style>
  <w:style w:type="paragraph" w:customStyle="1" w:styleId="88">
    <w:name w:val="正文 New New New New New New New New New New New New New New New New New New New New New New New New New New New New New New New New New New New New New New New New New New New New New New New New New New New New New New New New New New New New New New 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表格 Char"/>
    <w:link w:val="91"/>
    <w:qFormat/>
    <w:uiPriority w:val="0"/>
    <w:rPr>
      <w:kern w:val="2"/>
      <w:sz w:val="21"/>
      <w:szCs w:val="21"/>
    </w:rPr>
  </w:style>
  <w:style w:type="paragraph" w:customStyle="1" w:styleId="91">
    <w:name w:val="表格"/>
    <w:basedOn w:val="1"/>
    <w:link w:val="90"/>
    <w:qFormat/>
    <w:uiPriority w:val="0"/>
    <w:pPr>
      <w:spacing w:line="380" w:lineRule="exact"/>
      <w:jc w:val="center"/>
    </w:pPr>
    <w:rPr>
      <w:szCs w:val="21"/>
    </w:rPr>
  </w:style>
  <w:style w:type="paragraph" w:customStyle="1" w:styleId="92">
    <w:name w:val="三级条标题"/>
    <w:basedOn w:val="1"/>
    <w:next w:val="1"/>
    <w:qFormat/>
    <w:uiPriority w:val="0"/>
    <w:pPr>
      <w:widowControl/>
      <w:tabs>
        <w:tab w:val="left" w:pos="360"/>
      </w:tabs>
      <w:outlineLvl w:val="4"/>
    </w:pPr>
    <w:rPr>
      <w:rFonts w:ascii="黑体" w:eastAsia="黑体"/>
      <w:kern w:val="0"/>
      <w:szCs w:val="20"/>
    </w:rPr>
  </w:style>
  <w:style w:type="paragraph" w:customStyle="1" w:styleId="93">
    <w:name w:val="列出段落2"/>
    <w:basedOn w:val="1"/>
    <w:qFormat/>
    <w:uiPriority w:val="99"/>
    <w:pPr>
      <w:ind w:firstLine="420" w:firstLineChars="200"/>
    </w:pPr>
    <w:rPr>
      <w:sz w:val="28"/>
      <w:szCs w:val="20"/>
    </w:rPr>
  </w:style>
  <w:style w:type="character" w:customStyle="1" w:styleId="94">
    <w:name w:val="正文首行缩进-修改 Char"/>
    <w:link w:val="95"/>
    <w:qFormat/>
    <w:uiPriority w:val="0"/>
    <w:rPr>
      <w:kern w:val="2"/>
      <w:sz w:val="24"/>
      <w:szCs w:val="24"/>
    </w:rPr>
  </w:style>
  <w:style w:type="paragraph" w:customStyle="1" w:styleId="95">
    <w:name w:val="正文首行缩进-修改"/>
    <w:basedOn w:val="1"/>
    <w:link w:val="94"/>
    <w:qFormat/>
    <w:uiPriority w:val="0"/>
    <w:pPr>
      <w:spacing w:line="360" w:lineRule="auto"/>
      <w:ind w:firstLine="480" w:firstLineChars="200"/>
    </w:pPr>
    <w:rPr>
      <w:sz w:val="24"/>
    </w:rPr>
  </w:style>
  <w:style w:type="paragraph" w:customStyle="1" w:styleId="96">
    <w:name w:val="Char Char Char Char Char Char Char Char Char Char Char Char Char Char Char Char"/>
    <w:basedOn w:val="1"/>
    <w:qFormat/>
    <w:uiPriority w:val="0"/>
    <w:pPr>
      <w:adjustRightInd w:val="0"/>
      <w:snapToGrid w:val="0"/>
      <w:spacing w:line="360" w:lineRule="auto"/>
      <w:ind w:firstLine="200" w:firstLineChars="200"/>
    </w:pPr>
  </w:style>
  <w:style w:type="paragraph" w:customStyle="1" w:styleId="97">
    <w:name w:val="Char Char Char Char Char Char Char Char Char Char Char Char Char Char Char Char1"/>
    <w:basedOn w:val="1"/>
    <w:qFormat/>
    <w:uiPriority w:val="0"/>
    <w:pPr>
      <w:adjustRightInd w:val="0"/>
      <w:snapToGrid w:val="0"/>
      <w:spacing w:line="360" w:lineRule="auto"/>
      <w:ind w:firstLine="200" w:firstLineChars="200"/>
    </w:pPr>
  </w:style>
  <w:style w:type="paragraph" w:customStyle="1" w:styleId="98">
    <w:name w:val="Char Char Char Char Char Char Char Char Char Char Char Char Char Char Char Char2"/>
    <w:basedOn w:val="1"/>
    <w:qFormat/>
    <w:uiPriority w:val="0"/>
    <w:pPr>
      <w:adjustRightInd w:val="0"/>
      <w:snapToGrid w:val="0"/>
      <w:spacing w:line="360" w:lineRule="auto"/>
      <w:ind w:firstLine="200" w:firstLineChars="200"/>
    </w:pPr>
  </w:style>
  <w:style w:type="character" w:customStyle="1" w:styleId="99">
    <w:name w:val="占位符文本1"/>
    <w:semiHidden/>
    <w:qFormat/>
    <w:uiPriority w:val="99"/>
    <w:rPr>
      <w:color w:val="808080"/>
    </w:rPr>
  </w:style>
  <w:style w:type="paragraph" w:customStyle="1" w:styleId="100">
    <w:name w:val="TOC 标题1"/>
    <w:basedOn w:val="2"/>
    <w:next w:val="1"/>
    <w:unhideWhenUsed/>
    <w:qFormat/>
    <w:uiPriority w:val="39"/>
    <w:pPr>
      <w:widowControl/>
      <w:spacing w:before="240" w:line="259" w:lineRule="auto"/>
      <w:outlineLvl w:val="9"/>
    </w:pPr>
    <w:rPr>
      <w:rFonts w:ascii="Cambria" w:hAnsi="Cambria"/>
      <w:b w:val="0"/>
      <w:bCs w:val="0"/>
      <w:color w:val="6E9400"/>
      <w:kern w:val="0"/>
      <w:sz w:val="32"/>
      <w:szCs w:val="32"/>
    </w:rPr>
  </w:style>
  <w:style w:type="character" w:customStyle="1" w:styleId="101">
    <w:name w:val="占位符文本2"/>
    <w:semiHidden/>
    <w:qFormat/>
    <w:uiPriority w:val="99"/>
    <w:rPr>
      <w:color w:val="808080"/>
    </w:rPr>
  </w:style>
  <w:style w:type="paragraph" w:customStyle="1" w:styleId="102">
    <w:name w:val="列出段落3"/>
    <w:basedOn w:val="1"/>
    <w:qFormat/>
    <w:uiPriority w:val="99"/>
    <w:pPr>
      <w:ind w:firstLine="420" w:firstLineChars="200"/>
    </w:pPr>
  </w:style>
  <w:style w:type="character" w:customStyle="1" w:styleId="103">
    <w:name w:val="标题 4 Char"/>
    <w:link w:val="6"/>
    <w:qFormat/>
    <w:uiPriority w:val="9"/>
    <w:rPr>
      <w:rFonts w:ascii="Cambria" w:hAnsi="Cambria"/>
      <w:b/>
      <w:bCs/>
      <w:sz w:val="28"/>
      <w:szCs w:val="28"/>
    </w:rPr>
  </w:style>
  <w:style w:type="character" w:customStyle="1" w:styleId="104">
    <w:name w:val="标题 3 Char"/>
    <w:link w:val="5"/>
    <w:qFormat/>
    <w:uiPriority w:val="9"/>
    <w:rPr>
      <w:rFonts w:eastAsia="楷体_GB2312"/>
      <w:b/>
      <w:bCs/>
      <w:kern w:val="2"/>
      <w:sz w:val="24"/>
      <w:szCs w:val="32"/>
    </w:rPr>
  </w:style>
  <w:style w:type="character" w:customStyle="1" w:styleId="105">
    <w:name w:val="标题 2 Char"/>
    <w:link w:val="3"/>
    <w:qFormat/>
    <w:uiPriority w:val="9"/>
    <w:rPr>
      <w:rFonts w:ascii="仿宋_GB2312" w:hAnsi="宋体" w:eastAsia="仿宋_GB2312"/>
      <w:b/>
      <w:kern w:val="2"/>
      <w:sz w:val="24"/>
    </w:rPr>
  </w:style>
  <w:style w:type="character" w:customStyle="1" w:styleId="106">
    <w:name w:val="正文文本缩进 2 Char"/>
    <w:link w:val="21"/>
    <w:qFormat/>
    <w:uiPriority w:val="0"/>
    <w:rPr>
      <w:kern w:val="2"/>
      <w:sz w:val="21"/>
      <w:szCs w:val="24"/>
    </w:rPr>
  </w:style>
  <w:style w:type="paragraph" w:customStyle="1" w:styleId="107">
    <w:name w:val="Char Char Char Char Char2 Char Char Char Char"/>
    <w:basedOn w:val="1"/>
    <w:semiHidden/>
    <w:qFormat/>
    <w:uiPriority w:val="0"/>
    <w:pPr>
      <w:adjustRightInd w:val="0"/>
      <w:snapToGrid w:val="0"/>
      <w:spacing w:line="360" w:lineRule="auto"/>
      <w:ind w:firstLine="200" w:firstLineChars="200"/>
    </w:pPr>
    <w:rPr>
      <w:rFonts w:ascii="宋体" w:hAnsi="宋体" w:cs="宋体"/>
      <w:sz w:val="24"/>
      <w:szCs w:val="26"/>
    </w:rPr>
  </w:style>
  <w:style w:type="paragraph" w:customStyle="1" w:styleId="108">
    <w:name w:val="Char Char Char Char Char Char Char Char Char Char Char Char Char"/>
    <w:basedOn w:val="1"/>
    <w:qFormat/>
    <w:uiPriority w:val="0"/>
    <w:rPr>
      <w:szCs w:val="20"/>
    </w:rPr>
  </w:style>
  <w:style w:type="paragraph" w:customStyle="1" w:styleId="109">
    <w:name w:val="样式 小四 行距: 1.5 倍行距"/>
    <w:basedOn w:val="1"/>
    <w:qFormat/>
    <w:uiPriority w:val="0"/>
    <w:pPr>
      <w:spacing w:line="360" w:lineRule="auto"/>
      <w:ind w:firstLine="480" w:firstLineChars="200"/>
    </w:pPr>
    <w:rPr>
      <w:rFonts w:ascii="宋体" w:cs="宋体"/>
      <w:sz w:val="24"/>
      <w:szCs w:val="20"/>
    </w:rPr>
  </w:style>
  <w:style w:type="table" w:customStyle="1" w:styleId="110">
    <w:name w:val="网格型1"/>
    <w:basedOn w:val="3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11">
    <w:name w:val="样式3"/>
    <w:basedOn w:val="21"/>
    <w:qFormat/>
    <w:uiPriority w:val="0"/>
    <w:pPr>
      <w:tabs>
        <w:tab w:val="left" w:pos="7470"/>
      </w:tabs>
      <w:spacing w:after="0" w:line="500" w:lineRule="exact"/>
      <w:ind w:left="0" w:leftChars="0" w:firstLine="200" w:firstLineChars="200"/>
    </w:pPr>
    <w:rPr>
      <w:color w:val="000000"/>
      <w:sz w:val="24"/>
    </w:rPr>
  </w:style>
  <w:style w:type="character" w:customStyle="1" w:styleId="112">
    <w:name w:val="正文文本缩进 3 Char"/>
    <w:link w:val="29"/>
    <w:qFormat/>
    <w:uiPriority w:val="0"/>
    <w:rPr>
      <w:rFonts w:ascii="宋体" w:hAnsi="宋体"/>
      <w:color w:val="000000"/>
      <w:kern w:val="2"/>
      <w:sz w:val="24"/>
      <w:szCs w:val="24"/>
    </w:rPr>
  </w:style>
  <w:style w:type="paragraph" w:customStyle="1" w:styleId="113">
    <w:name w:val="TOC Heading"/>
    <w:basedOn w:val="2"/>
    <w:next w:val="1"/>
    <w:unhideWhenUsed/>
    <w:qFormat/>
    <w:uiPriority w:val="39"/>
    <w:pPr>
      <w:widowControl/>
      <w:spacing w:before="240" w:line="259" w:lineRule="auto"/>
      <w:outlineLvl w:val="9"/>
    </w:pPr>
    <w:rPr>
      <w:rFonts w:ascii="Calibri Light" w:hAnsi="Calibri Light"/>
      <w:b w:val="0"/>
      <w:bCs w:val="0"/>
      <w:color w:val="2E74B5"/>
      <w:kern w:val="0"/>
      <w:sz w:val="32"/>
      <w:szCs w:val="32"/>
    </w:rPr>
  </w:style>
  <w:style w:type="paragraph" w:customStyle="1" w:styleId="114">
    <w:name w:val="WPS Plain"/>
    <w:qFormat/>
    <w:uiPriority w:val="0"/>
    <w:rPr>
      <w:rFonts w:ascii="Times New Roman" w:hAnsi="Times New Roman" w:eastAsia="宋体" w:cs="Times New Roman"/>
      <w:lang w:val="en-US" w:eastAsia="zh-CN" w:bidi="ar-SA"/>
    </w:rPr>
  </w:style>
  <w:style w:type="paragraph" w:customStyle="1" w:styleId="115">
    <w:name w:val="表格文字"/>
    <w:basedOn w:val="1"/>
    <w:next w:val="1"/>
    <w:qFormat/>
    <w:uiPriority w:val="99"/>
    <w:pPr>
      <w:snapToGrid w:val="0"/>
      <w:spacing w:line="360" w:lineRule="exact"/>
      <w:jc w:val="center"/>
    </w:pPr>
    <w:rPr>
      <w:kern w:val="0"/>
      <w:sz w:val="24"/>
      <w:szCs w:val="20"/>
    </w:rPr>
  </w:style>
  <w:style w:type="character" w:customStyle="1" w:styleId="116">
    <w:name w:val="赵 Char"/>
    <w:link w:val="117"/>
    <w:qFormat/>
    <w:uiPriority w:val="0"/>
    <w:rPr>
      <w:kern w:val="2"/>
      <w:sz w:val="24"/>
      <w:szCs w:val="24"/>
    </w:rPr>
  </w:style>
  <w:style w:type="paragraph" w:customStyle="1" w:styleId="117">
    <w:name w:val="赵"/>
    <w:basedOn w:val="1"/>
    <w:link w:val="116"/>
    <w:qFormat/>
    <w:uiPriority w:val="0"/>
    <w:pPr>
      <w:spacing w:line="360" w:lineRule="auto"/>
      <w:ind w:firstLine="200" w:firstLineChars="200"/>
    </w:pPr>
    <w:rPr>
      <w:sz w:val="24"/>
    </w:rPr>
  </w:style>
  <w:style w:type="character" w:customStyle="1" w:styleId="118">
    <w:name w:val="表格 Char Char"/>
    <w:qFormat/>
    <w:uiPriority w:val="0"/>
    <w:rPr>
      <w:sz w:val="21"/>
      <w:lang w:val="en-US" w:eastAsia="zh-CN" w:bidi="ar-SA"/>
    </w:rPr>
  </w:style>
  <w:style w:type="character" w:styleId="119">
    <w:name w:val="Placeholder Text"/>
    <w:basedOn w:val="34"/>
    <w:semiHidden/>
    <w:qFormat/>
    <w:uiPriority w:val="99"/>
    <w:rPr>
      <w:color w:val="808080"/>
    </w:rPr>
  </w:style>
  <w:style w:type="paragraph" w:customStyle="1" w:styleId="120">
    <w:name w:val="Char Char Char Char Char Char Char Char Char Char Char Char Char1"/>
    <w:basedOn w:val="1"/>
    <w:qFormat/>
    <w:uiPriority w:val="0"/>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7"/>
    <customShpInfo spid="_x0000_s1027"/>
    <customShpInfo spid="_x0000_s1028"/>
    <customShpInfo spid="_x0000_s1036"/>
    <customShpInfo spid="_x0000_s1035"/>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6CB08-E37B-43BD-970E-7D1EAAA8786A}">
  <ds:schemaRefs/>
</ds:datastoreItem>
</file>

<file path=docProps/app.xml><?xml version="1.0" encoding="utf-8"?>
<Properties xmlns="http://schemas.openxmlformats.org/officeDocument/2006/extended-properties" xmlns:vt="http://schemas.openxmlformats.org/officeDocument/2006/docPropsVTypes">
  <Template>Normal</Template>
  <Company>河南蓝森环保科技有限公司</Company>
  <Pages>51</Pages>
  <Words>5619</Words>
  <Characters>32033</Characters>
  <Lines>266</Lines>
  <Paragraphs>75</Paragraphs>
  <TotalTime>5291</TotalTime>
  <ScaleCrop>false</ScaleCrop>
  <LinksUpToDate>false</LinksUpToDate>
  <CharactersWithSpaces>37577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2018-04-19T09:47:00Z</dcterms:created>
  <dc:creator>gaowenyan</dc:creator>
  <cp:lastModifiedBy>cygszs</cp:lastModifiedBy>
  <cp:lastPrinted>2016-09-08T02:42:00Z</cp:lastPrinted>
  <dcterms:modified xsi:type="dcterms:W3CDTF">2019-03-01T09:12:56Z</dcterms:modified>
  <dc:title>建设项目环境影响报告表</dc:title>
  <cp:revision>784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