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jc w:val="center"/>
        <w:rPr>
          <w:rFonts w:eastAsia="仿宋" w:cs="仿宋"/>
          <w:sz w:val="44"/>
          <w:szCs w:val="44"/>
        </w:rPr>
      </w:pPr>
    </w:p>
    <w:p>
      <w:pPr>
        <w:spacing w:after="120" w:afterLines="50"/>
        <w:jc w:val="center"/>
        <w:rPr>
          <w:rFonts w:eastAsia="仿宋" w:cs="仿宋"/>
          <w:sz w:val="44"/>
          <w:szCs w:val="44"/>
        </w:rPr>
      </w:pPr>
      <w:r>
        <w:rPr>
          <w:rFonts w:hint="eastAsia" w:eastAsia="仿宋" w:cs="仿宋"/>
          <w:sz w:val="44"/>
          <w:szCs w:val="44"/>
        </w:rPr>
        <w:t>西咸新区天河塑料制品有限公司</w:t>
      </w:r>
    </w:p>
    <w:p>
      <w:pPr>
        <w:spacing w:after="120" w:afterLines="50"/>
        <w:jc w:val="center"/>
        <w:rPr>
          <w:b/>
          <w:color w:val="000000"/>
          <w:sz w:val="72"/>
          <w:szCs w:val="72"/>
        </w:rPr>
      </w:pPr>
      <w:r>
        <w:rPr>
          <w:rFonts w:hint="eastAsia" w:eastAsia="仿宋" w:cs="仿宋"/>
          <w:sz w:val="44"/>
          <w:szCs w:val="44"/>
        </w:rPr>
        <w:t>吸塑制品加工生产线建设项目竣工环境保护</w:t>
      </w:r>
    </w:p>
    <w:p>
      <w:pPr>
        <w:jc w:val="center"/>
        <w:rPr>
          <w:b/>
          <w:color w:val="000000"/>
          <w:sz w:val="72"/>
          <w:szCs w:val="72"/>
        </w:rPr>
      </w:pPr>
      <w:r>
        <w:rPr>
          <w:b/>
          <w:color w:val="000000"/>
          <w:sz w:val="72"/>
          <w:szCs w:val="72"/>
        </w:rPr>
        <w:t>验 收 监 测 报 告</w:t>
      </w:r>
    </w:p>
    <w:p>
      <w:pPr>
        <w:jc w:val="center"/>
        <w:rPr>
          <w:b/>
          <w:color w:val="000000"/>
          <w:sz w:val="48"/>
          <w:szCs w:val="48"/>
        </w:rPr>
      </w:pPr>
      <w:r>
        <w:rPr>
          <w:rFonts w:hint="eastAsia"/>
          <w:b/>
          <w:color w:val="000000"/>
          <w:sz w:val="48"/>
          <w:szCs w:val="48"/>
        </w:rPr>
        <w:t>（固废篇）</w:t>
      </w:r>
    </w:p>
    <w:p>
      <w:pPr>
        <w:jc w:val="center"/>
        <w:rPr>
          <w:rFonts w:eastAsia="仿宋_GB2312"/>
          <w:color w:val="000000"/>
          <w:sz w:val="28"/>
        </w:rPr>
      </w:pPr>
    </w:p>
    <w:p>
      <w:pPr>
        <w:jc w:val="center"/>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rPr>
          <w:rFonts w:eastAsia="仿宋_GB2312"/>
          <w:color w:val="000000"/>
          <w:sz w:val="28"/>
        </w:rPr>
      </w:pPr>
    </w:p>
    <w:tbl>
      <w:tblPr>
        <w:tblStyle w:val="9"/>
        <w:tblW w:w="6941" w:type="dxa"/>
        <w:jc w:val="center"/>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122"/>
        <w:gridCol w:w="481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483" w:hRule="atLeast"/>
          <w:jc w:val="center"/>
        </w:trPr>
        <w:tc>
          <w:tcPr>
            <w:tcW w:w="2122" w:type="dxa"/>
            <w:tcBorders>
              <w:top w:val="nil"/>
              <w:bottom w:val="nil"/>
            </w:tcBorders>
            <w:vAlign w:val="center"/>
          </w:tcPr>
          <w:p>
            <w:pPr>
              <w:spacing w:line="240" w:lineRule="auto"/>
              <w:jc w:val="center"/>
              <w:rPr>
                <w:rFonts w:eastAsia="黑体"/>
                <w:b/>
                <w:color w:val="000000"/>
                <w:sz w:val="28"/>
                <w:szCs w:val="21"/>
              </w:rPr>
            </w:pPr>
            <w:r>
              <w:rPr>
                <w:rFonts w:eastAsia="黑体"/>
                <w:b/>
                <w:color w:val="000000"/>
                <w:sz w:val="28"/>
                <w:szCs w:val="21"/>
              </w:rPr>
              <w:t>建设单位:</w:t>
            </w:r>
          </w:p>
        </w:tc>
        <w:tc>
          <w:tcPr>
            <w:tcW w:w="4819" w:type="dxa"/>
            <w:vAlign w:val="center"/>
          </w:tcPr>
          <w:p>
            <w:pPr>
              <w:spacing w:line="240" w:lineRule="auto"/>
              <w:jc w:val="center"/>
              <w:rPr>
                <w:rFonts w:ascii="宋体" w:hAnsi="宋体"/>
                <w:color w:val="000000"/>
                <w:sz w:val="28"/>
                <w:szCs w:val="28"/>
              </w:rPr>
            </w:pPr>
            <w:r>
              <w:rPr>
                <w:rFonts w:hint="eastAsia"/>
                <w:sz w:val="28"/>
                <w:szCs w:val="28"/>
              </w:rPr>
              <w:t>西咸新区天河塑料制品有限公司</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478" w:hRule="atLeast"/>
          <w:jc w:val="center"/>
        </w:trPr>
        <w:tc>
          <w:tcPr>
            <w:tcW w:w="2122" w:type="dxa"/>
            <w:tcBorders>
              <w:top w:val="nil"/>
              <w:bottom w:val="nil"/>
            </w:tcBorders>
            <w:vAlign w:val="center"/>
          </w:tcPr>
          <w:p>
            <w:pPr>
              <w:spacing w:line="240" w:lineRule="auto"/>
              <w:jc w:val="center"/>
              <w:rPr>
                <w:rFonts w:eastAsia="黑体"/>
                <w:b/>
                <w:color w:val="000000"/>
                <w:sz w:val="28"/>
                <w:szCs w:val="21"/>
              </w:rPr>
            </w:pPr>
            <w:r>
              <w:rPr>
                <w:rFonts w:eastAsia="黑体"/>
                <w:b/>
                <w:color w:val="000000"/>
                <w:sz w:val="28"/>
                <w:szCs w:val="21"/>
              </w:rPr>
              <w:t>编制单位:</w:t>
            </w:r>
          </w:p>
        </w:tc>
        <w:tc>
          <w:tcPr>
            <w:tcW w:w="4819" w:type="dxa"/>
            <w:vAlign w:val="center"/>
          </w:tcPr>
          <w:p>
            <w:pPr>
              <w:spacing w:line="240" w:lineRule="auto"/>
              <w:jc w:val="center"/>
              <w:rPr>
                <w:color w:val="000000"/>
                <w:sz w:val="28"/>
                <w:szCs w:val="28"/>
              </w:rPr>
            </w:pPr>
            <w:r>
              <w:rPr>
                <w:rFonts w:hint="eastAsia"/>
                <w:color w:val="000000"/>
                <w:sz w:val="28"/>
                <w:szCs w:val="28"/>
              </w:rPr>
              <w:t>陕西景美环保科技有限公司</w:t>
            </w:r>
          </w:p>
        </w:tc>
      </w:tr>
    </w:tbl>
    <w:p>
      <w:pPr>
        <w:ind w:left="480"/>
        <w:rPr>
          <w:rFonts w:eastAsia="华文新魏"/>
          <w:color w:val="000000"/>
          <w:sz w:val="28"/>
        </w:rPr>
      </w:pPr>
    </w:p>
    <w:p>
      <w:pPr>
        <w:ind w:left="480"/>
        <w:jc w:val="center"/>
        <w:rPr>
          <w:b/>
          <w:color w:val="000000"/>
          <w:sz w:val="32"/>
          <w:szCs w:val="32"/>
        </w:rPr>
      </w:pPr>
    </w:p>
    <w:p>
      <w:pPr>
        <w:ind w:left="480"/>
        <w:jc w:val="center"/>
        <w:rPr>
          <w:b/>
          <w:color w:val="000000"/>
          <w:sz w:val="32"/>
          <w:szCs w:val="32"/>
        </w:rPr>
      </w:pPr>
    </w:p>
    <w:p>
      <w:pPr>
        <w:ind w:left="480"/>
        <w:jc w:val="center"/>
        <w:rPr>
          <w:b/>
          <w:color w:val="000000"/>
          <w:sz w:val="32"/>
          <w:szCs w:val="32"/>
        </w:rPr>
      </w:pPr>
      <w:r>
        <w:rPr>
          <w:b/>
          <w:color w:val="000000"/>
          <w:sz w:val="32"/>
          <w:szCs w:val="32"/>
        </w:rPr>
        <w:t>201</w:t>
      </w:r>
      <w:r>
        <w:rPr>
          <w:rFonts w:hint="eastAsia"/>
          <w:b/>
          <w:color w:val="000000"/>
          <w:sz w:val="32"/>
          <w:szCs w:val="32"/>
        </w:rPr>
        <w:t>9</w:t>
      </w:r>
      <w:r>
        <w:rPr>
          <w:b/>
          <w:color w:val="000000"/>
          <w:sz w:val="32"/>
          <w:szCs w:val="32"/>
        </w:rPr>
        <w:t>年</w:t>
      </w:r>
      <w:r>
        <w:rPr>
          <w:rFonts w:hint="eastAsia"/>
          <w:b/>
          <w:color w:val="000000"/>
          <w:sz w:val="32"/>
          <w:szCs w:val="32"/>
        </w:rPr>
        <w:t>06</w:t>
      </w:r>
      <w:r>
        <w:rPr>
          <w:b/>
          <w:color w:val="000000"/>
          <w:sz w:val="32"/>
          <w:szCs w:val="32"/>
        </w:rPr>
        <w:t>月</w:t>
      </w:r>
    </w:p>
    <w:p>
      <w:pPr>
        <w:adjustRightInd/>
        <w:snapToGrid/>
        <w:rPr>
          <w:b/>
          <w:color w:val="000000"/>
          <w:sz w:val="32"/>
          <w:szCs w:val="32"/>
        </w:rPr>
        <w:sectPr>
          <w:footerReference r:id="rId3" w:type="default"/>
          <w:footerReference r:id="rId4" w:type="even"/>
          <w:pgSz w:w="11907" w:h="16840"/>
          <w:pgMar w:top="1304" w:right="1531" w:bottom="1304" w:left="1531" w:header="284" w:footer="851" w:gutter="0"/>
          <w:pgNumType w:start="2"/>
          <w:cols w:space="720" w:num="1"/>
          <w:docGrid w:linePitch="299" w:charSpace="0"/>
        </w:sectPr>
      </w:pPr>
      <w:r>
        <w:rPr>
          <w:b/>
          <w:color w:val="000000"/>
          <w:sz w:val="32"/>
          <w:szCs w:val="32"/>
        </w:rPr>
        <w:br w:type="page"/>
      </w:r>
    </w:p>
    <w:p>
      <w:pPr>
        <w:ind w:left="482"/>
        <w:rPr>
          <w:b/>
          <w:color w:val="000000"/>
          <w:spacing w:val="10"/>
          <w:w w:val="79"/>
          <w:sz w:val="28"/>
          <w:szCs w:val="28"/>
        </w:rPr>
      </w:pPr>
      <w:r>
        <w:rPr>
          <w:b/>
          <w:color w:val="000000"/>
          <w:spacing w:val="10"/>
          <w:w w:val="79"/>
          <w:sz w:val="28"/>
          <w:szCs w:val="28"/>
        </w:rPr>
        <w:t>建设单位法人代表：</w:t>
      </w:r>
      <w:r>
        <w:rPr>
          <w:b/>
          <w:color w:val="000000"/>
          <w:spacing w:val="10"/>
          <w:w w:val="79"/>
          <w:sz w:val="28"/>
          <w:szCs w:val="28"/>
        </w:rPr>
        <w:tab/>
      </w:r>
      <w:r>
        <w:rPr>
          <w:b/>
          <w:color w:val="000000"/>
          <w:spacing w:val="10"/>
          <w:w w:val="79"/>
          <w:sz w:val="28"/>
          <w:szCs w:val="28"/>
        </w:rPr>
        <w:t xml:space="preserve">                 </w:t>
      </w:r>
    </w:p>
    <w:p>
      <w:pPr>
        <w:ind w:left="482"/>
        <w:rPr>
          <w:b/>
          <w:color w:val="000000"/>
          <w:sz w:val="28"/>
          <w:szCs w:val="28"/>
        </w:rPr>
      </w:pPr>
      <w:r>
        <w:rPr>
          <w:b/>
          <w:color w:val="000000"/>
          <w:spacing w:val="10"/>
          <w:w w:val="79"/>
          <w:sz w:val="28"/>
          <w:szCs w:val="28"/>
        </w:rPr>
        <w:t>编制单位法人代表：</w:t>
      </w:r>
      <w:r>
        <w:rPr>
          <w:b/>
          <w:color w:val="000000"/>
          <w:sz w:val="28"/>
          <w:szCs w:val="28"/>
        </w:rPr>
        <w:tab/>
      </w:r>
      <w:r>
        <w:rPr>
          <w:b/>
          <w:color w:val="000000"/>
          <w:sz w:val="28"/>
          <w:szCs w:val="28"/>
        </w:rPr>
        <w:t xml:space="preserve">                 </w:t>
      </w:r>
    </w:p>
    <w:p>
      <w:pPr>
        <w:ind w:left="482"/>
        <w:rPr>
          <w:sz w:val="28"/>
          <w:szCs w:val="28"/>
        </w:rPr>
      </w:pPr>
      <w:r>
        <w:rPr>
          <w:b/>
          <w:color w:val="000000"/>
          <w:spacing w:val="10"/>
          <w:w w:val="79"/>
          <w:sz w:val="28"/>
          <w:szCs w:val="28"/>
        </w:rPr>
        <w:t>项  目  负  责  人</w:t>
      </w:r>
      <w:r>
        <w:rPr>
          <w:b/>
          <w:color w:val="000000"/>
          <w:spacing w:val="7"/>
          <w:w w:val="79"/>
          <w:sz w:val="28"/>
          <w:szCs w:val="28"/>
        </w:rPr>
        <w:t>：</w:t>
      </w:r>
    </w:p>
    <w:p>
      <w:pPr>
        <w:ind w:left="482"/>
        <w:rPr>
          <w:bCs/>
          <w:sz w:val="28"/>
          <w:szCs w:val="28"/>
        </w:rPr>
      </w:pPr>
      <w:r>
        <w:rPr>
          <w:rFonts w:hint="eastAsia"/>
          <w:b/>
          <w:color w:val="000000"/>
          <w:spacing w:val="2"/>
          <w:w w:val="79"/>
          <w:sz w:val="28"/>
          <w:szCs w:val="28"/>
        </w:rPr>
        <w:t xml:space="preserve">填 </w:t>
      </w:r>
      <w:r>
        <w:rPr>
          <w:b/>
          <w:color w:val="000000"/>
          <w:spacing w:val="2"/>
          <w:w w:val="79"/>
          <w:sz w:val="28"/>
          <w:szCs w:val="28"/>
        </w:rPr>
        <w:t xml:space="preserve">     </w:t>
      </w:r>
      <w:r>
        <w:rPr>
          <w:rFonts w:hint="eastAsia"/>
          <w:b/>
          <w:color w:val="000000"/>
          <w:spacing w:val="2"/>
          <w:w w:val="79"/>
          <w:sz w:val="28"/>
          <w:szCs w:val="28"/>
        </w:rPr>
        <w:t xml:space="preserve">表 </w:t>
      </w:r>
      <w:r>
        <w:rPr>
          <w:b/>
          <w:color w:val="000000"/>
          <w:spacing w:val="2"/>
          <w:w w:val="79"/>
          <w:sz w:val="28"/>
          <w:szCs w:val="28"/>
        </w:rPr>
        <w:t xml:space="preserve">      人：</w:t>
      </w:r>
    </w:p>
    <w:p>
      <w:pPr>
        <w:ind w:left="204" w:leftChars="85" w:firstLine="281" w:firstLineChars="100"/>
        <w:rPr>
          <w:bCs/>
          <w:sz w:val="28"/>
          <w:szCs w:val="28"/>
        </w:rPr>
      </w:pPr>
      <w:r>
        <w:rPr>
          <w:b/>
          <w:sz w:val="28"/>
          <w:szCs w:val="28"/>
        </w:rPr>
        <w:t xml:space="preserve"> </w:t>
      </w:r>
    </w:p>
    <w:p>
      <w:pPr>
        <w:ind w:left="480"/>
        <w:rPr>
          <w:rFonts w:eastAsia="仿宋_GB2312"/>
          <w:b/>
          <w:color w:val="000000"/>
          <w:sz w:val="28"/>
        </w:rPr>
      </w:pPr>
    </w:p>
    <w:p>
      <w:pPr>
        <w:ind w:left="480"/>
        <w:rPr>
          <w:rFonts w:eastAsia="仿宋_GB2312"/>
          <w:b/>
          <w:color w:val="000000"/>
          <w:sz w:val="28"/>
        </w:rPr>
      </w:pPr>
    </w:p>
    <w:p>
      <w:pPr>
        <w:ind w:left="480"/>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spacing w:line="480" w:lineRule="auto"/>
        <w:rPr>
          <w:sz w:val="28"/>
          <w:szCs w:val="28"/>
        </w:rPr>
      </w:pPr>
    </w:p>
    <w:p>
      <w:pPr>
        <w:spacing w:line="500" w:lineRule="exact"/>
        <w:outlineLvl w:val="0"/>
        <w:rPr>
          <w:b/>
          <w:color w:val="000000"/>
          <w:sz w:val="28"/>
          <w:szCs w:val="28"/>
        </w:rPr>
        <w:sectPr>
          <w:headerReference r:id="rId5" w:type="default"/>
          <w:footerReference r:id="rId6" w:type="default"/>
          <w:pgSz w:w="11906" w:h="16838"/>
          <w:pgMar w:top="1440" w:right="1800" w:bottom="1440" w:left="1800" w:header="851" w:footer="992" w:gutter="0"/>
          <w:cols w:space="720" w:num="1"/>
          <w:docGrid w:type="lines" w:linePitch="312" w:charSpace="0"/>
        </w:sectPr>
      </w:pPr>
    </w:p>
    <w:p>
      <w:pPr>
        <w:spacing w:line="500" w:lineRule="exact"/>
        <w:outlineLvl w:val="0"/>
        <w:rPr>
          <w:b/>
          <w:color w:val="000000"/>
          <w:sz w:val="28"/>
          <w:szCs w:val="28"/>
        </w:rPr>
        <w:sectPr>
          <w:headerReference r:id="rId7" w:type="default"/>
          <w:footerReference r:id="rId8" w:type="default"/>
          <w:type w:val="continuous"/>
          <w:pgSz w:w="11906" w:h="16838"/>
          <w:pgMar w:top="1440" w:right="1800" w:bottom="1440" w:left="1800" w:header="851" w:footer="992" w:gutter="0"/>
          <w:cols w:space="720" w:num="1"/>
          <w:docGrid w:type="lines" w:linePitch="312" w:charSpace="0"/>
        </w:sectPr>
      </w:pPr>
    </w:p>
    <w:tbl>
      <w:tblPr>
        <w:tblStyle w:val="9"/>
        <w:tblpPr w:leftFromText="180" w:rightFromText="180" w:vertAnchor="page" w:horzAnchor="margin" w:tblpY="10486"/>
        <w:tblOverlap w:val="never"/>
        <w:tblW w:w="89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0"/>
        <w:gridCol w:w="3074"/>
        <w:gridCol w:w="1246"/>
        <w:gridCol w:w="3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建设单位</w:t>
            </w:r>
          </w:p>
        </w:tc>
        <w:tc>
          <w:tcPr>
            <w:tcW w:w="3074" w:type="dxa"/>
          </w:tcPr>
          <w:p>
            <w:pPr>
              <w:spacing w:line="240" w:lineRule="auto"/>
              <w:jc w:val="both"/>
              <w:rPr>
                <w:rFonts w:ascii="宋体" w:hAnsi="宋体"/>
                <w:color w:val="000000"/>
                <w:szCs w:val="24"/>
              </w:rPr>
            </w:pPr>
            <w:r>
              <w:rPr>
                <w:rFonts w:hint="eastAsia"/>
                <w:szCs w:val="24"/>
              </w:rPr>
              <w:t>西咸新区天河塑料制品有限公司</w:t>
            </w:r>
          </w:p>
        </w:tc>
        <w:tc>
          <w:tcPr>
            <w:tcW w:w="1246" w:type="dxa"/>
          </w:tcPr>
          <w:p>
            <w:pPr>
              <w:spacing w:line="240" w:lineRule="auto"/>
              <w:jc w:val="both"/>
              <w:rPr>
                <w:b/>
                <w:bCs/>
                <w:color w:val="000000"/>
                <w:szCs w:val="24"/>
              </w:rPr>
            </w:pPr>
            <w:r>
              <w:rPr>
                <w:b/>
                <w:bCs/>
                <w:color w:val="000000"/>
                <w:szCs w:val="24"/>
              </w:rPr>
              <w:t>编制单位</w:t>
            </w:r>
          </w:p>
        </w:tc>
        <w:tc>
          <w:tcPr>
            <w:tcW w:w="3240" w:type="dxa"/>
          </w:tcPr>
          <w:p>
            <w:pPr>
              <w:spacing w:line="240" w:lineRule="auto"/>
              <w:jc w:val="both"/>
              <w:rPr>
                <w:color w:val="000000"/>
                <w:szCs w:val="24"/>
              </w:rPr>
            </w:pPr>
            <w:r>
              <w:rPr>
                <w:rFonts w:hint="eastAsia"/>
                <w:color w:val="000000"/>
                <w:szCs w:val="24"/>
              </w:rPr>
              <w:t>陕西景美环保科技有限公司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电   话:</w:t>
            </w:r>
          </w:p>
        </w:tc>
        <w:tc>
          <w:tcPr>
            <w:tcW w:w="3074" w:type="dxa"/>
          </w:tcPr>
          <w:p>
            <w:pPr>
              <w:spacing w:line="240" w:lineRule="auto"/>
              <w:jc w:val="both"/>
              <w:rPr>
                <w:color w:val="000000"/>
                <w:szCs w:val="24"/>
              </w:rPr>
            </w:pPr>
            <w:r>
              <w:rPr>
                <w:rFonts w:hint="eastAsia"/>
              </w:rPr>
              <w:t>13201926762</w:t>
            </w:r>
          </w:p>
        </w:tc>
        <w:tc>
          <w:tcPr>
            <w:tcW w:w="1246" w:type="dxa"/>
          </w:tcPr>
          <w:p>
            <w:pPr>
              <w:spacing w:line="240" w:lineRule="auto"/>
              <w:jc w:val="both"/>
              <w:rPr>
                <w:b/>
                <w:bCs/>
                <w:color w:val="000000"/>
                <w:szCs w:val="24"/>
              </w:rPr>
            </w:pPr>
            <w:r>
              <w:rPr>
                <w:b/>
                <w:bCs/>
                <w:color w:val="000000"/>
                <w:szCs w:val="24"/>
              </w:rPr>
              <w:t>电   话:</w:t>
            </w:r>
          </w:p>
        </w:tc>
        <w:tc>
          <w:tcPr>
            <w:tcW w:w="3240" w:type="dxa"/>
          </w:tcPr>
          <w:p>
            <w:pPr>
              <w:spacing w:line="240" w:lineRule="auto"/>
              <w:jc w:val="both"/>
              <w:rPr>
                <w:color w:val="000000"/>
                <w:szCs w:val="24"/>
              </w:rPr>
            </w:pPr>
            <w:r>
              <w:rPr>
                <w:rFonts w:hint="eastAsia"/>
                <w:color w:val="000000"/>
                <w:szCs w:val="24"/>
              </w:rPr>
              <w:t>13669225207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传   真:</w:t>
            </w:r>
          </w:p>
        </w:tc>
        <w:tc>
          <w:tcPr>
            <w:tcW w:w="3074" w:type="dxa"/>
          </w:tcPr>
          <w:p>
            <w:pPr>
              <w:spacing w:line="240" w:lineRule="auto"/>
              <w:jc w:val="both"/>
              <w:rPr>
                <w:color w:val="000000"/>
                <w:szCs w:val="24"/>
              </w:rPr>
            </w:pPr>
            <w:r>
              <w:rPr>
                <w:rFonts w:hint="eastAsia"/>
                <w:color w:val="000000"/>
                <w:szCs w:val="24"/>
              </w:rPr>
              <w:t>/</w:t>
            </w:r>
          </w:p>
        </w:tc>
        <w:tc>
          <w:tcPr>
            <w:tcW w:w="1246" w:type="dxa"/>
          </w:tcPr>
          <w:p>
            <w:pPr>
              <w:spacing w:line="240" w:lineRule="auto"/>
              <w:jc w:val="both"/>
              <w:rPr>
                <w:b/>
                <w:bCs/>
                <w:color w:val="000000"/>
                <w:szCs w:val="24"/>
              </w:rPr>
            </w:pPr>
            <w:r>
              <w:rPr>
                <w:b/>
                <w:bCs/>
                <w:color w:val="000000"/>
                <w:szCs w:val="24"/>
              </w:rPr>
              <w:t>传   真:</w:t>
            </w:r>
          </w:p>
        </w:tc>
        <w:tc>
          <w:tcPr>
            <w:tcW w:w="3240" w:type="dxa"/>
          </w:tcPr>
          <w:p>
            <w:pPr>
              <w:spacing w:line="240" w:lineRule="auto"/>
              <w:jc w:val="both"/>
              <w:rPr>
                <w:color w:val="000000"/>
                <w:szCs w:val="24"/>
              </w:rPr>
            </w:pPr>
            <w:r>
              <w:rPr>
                <w:rFonts w:hint="eastAsia"/>
                <w:color w:val="000000"/>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邮   编:</w:t>
            </w:r>
          </w:p>
        </w:tc>
        <w:tc>
          <w:tcPr>
            <w:tcW w:w="3074" w:type="dxa"/>
          </w:tcPr>
          <w:p>
            <w:pPr>
              <w:spacing w:line="240" w:lineRule="auto"/>
              <w:jc w:val="both"/>
              <w:rPr>
                <w:color w:val="000000"/>
                <w:szCs w:val="24"/>
              </w:rPr>
            </w:pPr>
            <w:r>
              <w:rPr>
                <w:rFonts w:hint="eastAsia"/>
              </w:rPr>
              <w:t>712000</w:t>
            </w:r>
          </w:p>
        </w:tc>
        <w:tc>
          <w:tcPr>
            <w:tcW w:w="1246" w:type="dxa"/>
          </w:tcPr>
          <w:p>
            <w:pPr>
              <w:spacing w:line="240" w:lineRule="auto"/>
              <w:jc w:val="both"/>
              <w:rPr>
                <w:b/>
                <w:bCs/>
                <w:color w:val="000000"/>
                <w:szCs w:val="24"/>
              </w:rPr>
            </w:pPr>
            <w:r>
              <w:rPr>
                <w:b/>
                <w:bCs/>
                <w:color w:val="000000"/>
                <w:szCs w:val="24"/>
              </w:rPr>
              <w:t>邮   编:</w:t>
            </w:r>
          </w:p>
        </w:tc>
        <w:tc>
          <w:tcPr>
            <w:tcW w:w="3240" w:type="dxa"/>
          </w:tcPr>
          <w:p>
            <w:pPr>
              <w:spacing w:line="240" w:lineRule="auto"/>
              <w:jc w:val="both"/>
              <w:rPr>
                <w:color w:val="000000"/>
                <w:szCs w:val="24"/>
              </w:rPr>
            </w:pPr>
            <w:r>
              <w:rPr>
                <w:rFonts w:hint="eastAsia"/>
                <w:color w:val="000000"/>
                <w:szCs w:val="24"/>
              </w:rPr>
              <w:t>71000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地   址:</w:t>
            </w:r>
          </w:p>
        </w:tc>
        <w:tc>
          <w:tcPr>
            <w:tcW w:w="3074" w:type="dxa"/>
          </w:tcPr>
          <w:p>
            <w:pPr>
              <w:spacing w:line="240" w:lineRule="auto"/>
              <w:jc w:val="both"/>
              <w:rPr>
                <w:color w:val="000000"/>
                <w:szCs w:val="24"/>
              </w:rPr>
            </w:pPr>
            <w:r>
              <w:rPr>
                <w:rFonts w:hint="eastAsia" w:hAnsi="宋体"/>
              </w:rPr>
              <w:t>陕西省西咸新区秦汉新城天工一路农作物良种场院内</w:t>
            </w:r>
          </w:p>
        </w:tc>
        <w:tc>
          <w:tcPr>
            <w:tcW w:w="1246" w:type="dxa"/>
          </w:tcPr>
          <w:p>
            <w:pPr>
              <w:spacing w:line="240" w:lineRule="auto"/>
              <w:jc w:val="both"/>
              <w:rPr>
                <w:b/>
                <w:bCs/>
                <w:color w:val="000000"/>
                <w:szCs w:val="24"/>
              </w:rPr>
            </w:pPr>
            <w:r>
              <w:rPr>
                <w:b/>
                <w:bCs/>
                <w:color w:val="000000"/>
                <w:szCs w:val="24"/>
              </w:rPr>
              <w:t>地   址:</w:t>
            </w:r>
          </w:p>
        </w:tc>
        <w:tc>
          <w:tcPr>
            <w:tcW w:w="3240" w:type="dxa"/>
          </w:tcPr>
          <w:p>
            <w:pPr>
              <w:spacing w:line="240" w:lineRule="auto"/>
              <w:rPr>
                <w:color w:val="000000"/>
                <w:szCs w:val="24"/>
              </w:rPr>
            </w:pPr>
            <w:r>
              <w:rPr>
                <w:rFonts w:hint="eastAsia"/>
                <w:color w:val="000000"/>
                <w:szCs w:val="24"/>
              </w:rPr>
              <w:t>西安市沣东新城三桥新街139号智冠环球商务中心1B1幢</w:t>
            </w:r>
          </w:p>
        </w:tc>
      </w:tr>
    </w:tbl>
    <w:p>
      <w:pPr>
        <w:spacing w:line="500" w:lineRule="exact"/>
        <w:outlineLvl w:val="0"/>
        <w:rPr>
          <w:b/>
          <w:color w:val="000000"/>
          <w:sz w:val="28"/>
          <w:szCs w:val="28"/>
        </w:rPr>
        <w:sectPr>
          <w:type w:val="continuous"/>
          <w:pgSz w:w="11906" w:h="16838"/>
          <w:pgMar w:top="1440" w:right="1800" w:bottom="1440" w:left="1800" w:header="851" w:footer="992" w:gutter="0"/>
          <w:cols w:space="720" w:num="1"/>
          <w:docGrid w:type="lines" w:linePitch="312" w:charSpace="0"/>
        </w:sectPr>
      </w:pPr>
    </w:p>
    <w:p>
      <w:pPr>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西咸新区天河塑料制品有限公司</w:t>
      </w:r>
    </w:p>
    <w:p>
      <w:pPr>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吸塑制品加工生产线建设项目</w:t>
      </w:r>
      <w:r>
        <w:rPr>
          <w:b/>
          <w:bCs/>
          <w:color w:val="000000" w:themeColor="text1"/>
          <w:sz w:val="30"/>
          <w:szCs w:val="30"/>
          <w14:textFill>
            <w14:solidFill>
              <w14:schemeClr w14:val="tx1"/>
            </w14:solidFill>
          </w14:textFill>
        </w:rPr>
        <w:t>竣工环境保护验收</w:t>
      </w:r>
      <w:r>
        <w:rPr>
          <w:rFonts w:hint="eastAsia"/>
          <w:b/>
          <w:bCs/>
          <w:color w:val="000000" w:themeColor="text1"/>
          <w:sz w:val="30"/>
          <w:szCs w:val="30"/>
          <w14:textFill>
            <w14:solidFill>
              <w14:schemeClr w14:val="tx1"/>
            </w14:solidFill>
          </w14:textFill>
        </w:rPr>
        <w:t>会</w:t>
      </w:r>
    </w:p>
    <w:p>
      <w:pPr>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验收</w:t>
      </w:r>
      <w:r>
        <w:rPr>
          <w:b/>
          <w:bCs/>
          <w:color w:val="000000" w:themeColor="text1"/>
          <w:sz w:val="30"/>
          <w:szCs w:val="30"/>
          <w14:textFill>
            <w14:solidFill>
              <w14:schemeClr w14:val="tx1"/>
            </w14:solidFill>
          </w14:textFill>
        </w:rPr>
        <w:t>组意见（</w:t>
      </w:r>
      <w:r>
        <w:rPr>
          <w:rFonts w:hint="eastAsia"/>
          <w:b/>
          <w:bCs/>
          <w:color w:val="000000" w:themeColor="text1"/>
          <w:sz w:val="30"/>
          <w:szCs w:val="30"/>
          <w14:textFill>
            <w14:solidFill>
              <w14:schemeClr w14:val="tx1"/>
            </w14:solidFill>
          </w14:textFill>
        </w:rPr>
        <w:t>固废部分</w:t>
      </w:r>
      <w:r>
        <w:rPr>
          <w:b/>
          <w:bCs/>
          <w:color w:val="000000" w:themeColor="text1"/>
          <w:sz w:val="30"/>
          <w:szCs w:val="30"/>
          <w14:textFill>
            <w14:solidFill>
              <w14:schemeClr w14:val="tx1"/>
            </w14:solidFill>
          </w14:textFill>
        </w:rPr>
        <w:t>）</w:t>
      </w:r>
    </w:p>
    <w:p>
      <w:pPr>
        <w:spacing w:line="420" w:lineRule="auto"/>
        <w:ind w:firstLine="480" w:firstLineChars="200"/>
        <w:rPr>
          <w:color w:val="000000" w:themeColor="text1"/>
          <w:szCs w:val="20"/>
          <w14:textFill>
            <w14:solidFill>
              <w14:schemeClr w14:val="tx1"/>
            </w14:solidFill>
          </w14:textFill>
        </w:rPr>
      </w:pPr>
      <w:r>
        <w:rPr>
          <w:color w:val="000000" w:themeColor="text1"/>
          <w14:textFill>
            <w14:solidFill>
              <w14:schemeClr w14:val="tx1"/>
            </w14:solidFill>
          </w14:textFill>
        </w:rPr>
        <w:t>20</w:t>
      </w:r>
      <w:r>
        <w:t>1</w:t>
      </w:r>
      <w:r>
        <w:rPr>
          <w:szCs w:val="20"/>
        </w:rPr>
        <w:t>9年</w:t>
      </w:r>
      <w:r>
        <w:rPr>
          <w:rFonts w:hint="eastAsia"/>
          <w:szCs w:val="20"/>
        </w:rPr>
        <w:t>6</w:t>
      </w:r>
      <w:r>
        <w:rPr>
          <w:szCs w:val="20"/>
        </w:rPr>
        <w:t>月</w:t>
      </w:r>
      <w:r>
        <w:rPr>
          <w:rFonts w:hint="eastAsia"/>
          <w:szCs w:val="20"/>
        </w:rPr>
        <w:t>21</w:t>
      </w:r>
      <w:r>
        <w:rPr>
          <w:szCs w:val="20"/>
        </w:rPr>
        <w:t>日</w:t>
      </w:r>
      <w:r>
        <w:rPr>
          <w:color w:val="000000" w:themeColor="text1"/>
          <w:szCs w:val="20"/>
          <w14:textFill>
            <w14:solidFill>
              <w14:schemeClr w14:val="tx1"/>
            </w14:solidFill>
          </w14:textFill>
        </w:rPr>
        <w:t>，</w:t>
      </w:r>
      <w:r>
        <w:rPr>
          <w:rFonts w:hint="eastAsia"/>
          <w:bCs/>
        </w:rPr>
        <w:t>西咸新区秦汉新城环境保护局主持，在西咸新区天河塑料制品有限公司</w:t>
      </w:r>
      <w:r>
        <w:rPr>
          <w:bCs/>
        </w:rPr>
        <w:t>组织召开了</w:t>
      </w:r>
      <w:r>
        <w:rPr>
          <w:rFonts w:hint="eastAsia"/>
          <w:color w:val="000000" w:themeColor="text1"/>
          <w:szCs w:val="20"/>
          <w14:textFill>
            <w14:solidFill>
              <w14:schemeClr w14:val="tx1"/>
            </w14:solidFill>
          </w14:textFill>
        </w:rPr>
        <w:t>西咸新区天河塑料制品有限公司吸塑制品加工生产线建设项目</w:t>
      </w:r>
      <w:r>
        <w:rPr>
          <w:color w:val="000000" w:themeColor="text1"/>
          <w:szCs w:val="20"/>
          <w14:textFill>
            <w14:solidFill>
              <w14:schemeClr w14:val="tx1"/>
            </w14:solidFill>
          </w14:textFill>
        </w:rPr>
        <w:t>（</w:t>
      </w:r>
      <w:r>
        <w:rPr>
          <w:rFonts w:hint="eastAsia"/>
          <w:color w:val="000000" w:themeColor="text1"/>
          <w:szCs w:val="20"/>
          <w14:textFill>
            <w14:solidFill>
              <w14:schemeClr w14:val="tx1"/>
            </w14:solidFill>
          </w14:textFill>
        </w:rPr>
        <w:t>固废部分</w:t>
      </w:r>
      <w:r>
        <w:rPr>
          <w:color w:val="000000" w:themeColor="text1"/>
          <w:szCs w:val="20"/>
          <w14:textFill>
            <w14:solidFill>
              <w14:schemeClr w14:val="tx1"/>
            </w14:solidFill>
          </w14:textFill>
        </w:rPr>
        <w:t>）竣工</w:t>
      </w:r>
      <w:r>
        <w:rPr>
          <w:color w:val="000000" w:themeColor="text1"/>
          <w14:textFill>
            <w14:solidFill>
              <w14:schemeClr w14:val="tx1"/>
            </w14:solidFill>
          </w14:textFill>
        </w:rPr>
        <w:t>环境保</w:t>
      </w:r>
      <w:r>
        <w:rPr>
          <w:color w:val="000000" w:themeColor="text1"/>
          <w:szCs w:val="20"/>
          <w14:textFill>
            <w14:solidFill>
              <w14:schemeClr w14:val="tx1"/>
            </w14:solidFill>
          </w14:textFill>
        </w:rPr>
        <w:t>护验收会。参加会议的有建设单位（</w:t>
      </w:r>
      <w:r>
        <w:rPr>
          <w:rFonts w:hint="eastAsia"/>
          <w:color w:val="000000" w:themeColor="text1"/>
          <w:szCs w:val="20"/>
          <w14:textFill>
            <w14:solidFill>
              <w14:schemeClr w14:val="tx1"/>
            </w14:solidFill>
          </w14:textFill>
        </w:rPr>
        <w:t>西咸新区天河塑料制品有限公司</w:t>
      </w:r>
      <w:r>
        <w:rPr>
          <w:color w:val="000000" w:themeColor="text1"/>
          <w:szCs w:val="20"/>
          <w14:textFill>
            <w14:solidFill>
              <w14:schemeClr w14:val="tx1"/>
            </w14:solidFill>
          </w14:textFill>
        </w:rPr>
        <w:t>）、验收监测报告编制单位（陕西景美环保科技有限公司）等单位的代表及有关专家共</w:t>
      </w: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人，会议成立了验收工作组（名单附后）。</w:t>
      </w:r>
    </w:p>
    <w:p>
      <w:pPr>
        <w:spacing w:line="420" w:lineRule="auto"/>
        <w:ind w:firstLine="480" w:firstLineChars="200"/>
        <w:rPr>
          <w:color w:val="000000" w:themeColor="text1"/>
          <w:szCs w:val="20"/>
          <w14:textFill>
            <w14:solidFill>
              <w14:schemeClr w14:val="tx1"/>
            </w14:solidFill>
          </w14:textFill>
        </w:rPr>
      </w:pPr>
      <w:bookmarkStart w:id="0" w:name="_Hlk5133243"/>
      <w:r>
        <w:rPr>
          <w:color w:val="000000" w:themeColor="text1"/>
          <w:szCs w:val="20"/>
          <w14:textFill>
            <w14:solidFill>
              <w14:schemeClr w14:val="tx1"/>
            </w14:solidFill>
          </w14:textFill>
        </w:rPr>
        <w:t>与会人员现场</w:t>
      </w:r>
      <w:r>
        <w:rPr>
          <w:rFonts w:hint="eastAsia"/>
          <w:color w:val="000000" w:themeColor="text1"/>
          <w:szCs w:val="20"/>
          <w14:textFill>
            <w14:solidFill>
              <w14:schemeClr w14:val="tx1"/>
            </w14:solidFill>
          </w14:textFill>
        </w:rPr>
        <w:t>检查</w:t>
      </w:r>
      <w:r>
        <w:rPr>
          <w:color w:val="000000" w:themeColor="text1"/>
          <w:szCs w:val="20"/>
          <w14:textFill>
            <w14:solidFill>
              <w14:schemeClr w14:val="tx1"/>
            </w14:solidFill>
          </w14:textFill>
        </w:rPr>
        <w:t>了项目环保设施建设、运行及管理台账等情况，</w:t>
      </w:r>
      <w:r>
        <w:rPr>
          <w:rFonts w:hint="eastAsia"/>
          <w:color w:val="000000" w:themeColor="text1"/>
          <w14:textFill>
            <w14:solidFill>
              <w14:schemeClr w14:val="tx1"/>
            </w14:solidFill>
          </w14:textFill>
        </w:rPr>
        <w:t>会议听取了</w:t>
      </w:r>
      <w:r>
        <w:rPr>
          <w:color w:val="000000" w:themeColor="text1"/>
          <w14:textFill>
            <w14:solidFill>
              <w14:schemeClr w14:val="tx1"/>
            </w14:solidFill>
          </w14:textFill>
        </w:rPr>
        <w:t>建设单位对项目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情况</w:t>
      </w:r>
      <w:r>
        <w:rPr>
          <w:rFonts w:hint="eastAsia"/>
          <w:color w:val="000000" w:themeColor="text1"/>
          <w14:textFill>
            <w14:solidFill>
              <w14:schemeClr w14:val="tx1"/>
            </w14:solidFill>
          </w14:textFill>
        </w:rPr>
        <w:t>的介绍和验收报告</w:t>
      </w:r>
      <w:r>
        <w:rPr>
          <w:color w:val="000000" w:themeColor="text1"/>
          <w14:textFill>
            <w14:solidFill>
              <w14:schemeClr w14:val="tx1"/>
            </w14:solidFill>
          </w14:textFill>
        </w:rPr>
        <w:t>编制单位对竣工环保验收监测</w:t>
      </w:r>
      <w:r>
        <w:rPr>
          <w:rFonts w:hint="eastAsia"/>
          <w:color w:val="000000" w:themeColor="text1"/>
          <w14:textFill>
            <w14:solidFill>
              <w14:schemeClr w14:val="tx1"/>
            </w14:solidFill>
          </w14:textFill>
        </w:rPr>
        <w:t>情况的</w:t>
      </w:r>
      <w:r>
        <w:rPr>
          <w:color w:val="000000" w:themeColor="text1"/>
          <w14:textFill>
            <w14:solidFill>
              <w14:schemeClr w14:val="tx1"/>
            </w14:solidFill>
          </w14:textFill>
        </w:rPr>
        <w:t>汇报</w:t>
      </w:r>
      <w:r>
        <w:rPr>
          <w:rFonts w:hint="eastAsia"/>
          <w:color w:val="000000" w:themeColor="text1"/>
          <w14:textFill>
            <w14:solidFill>
              <w14:schemeClr w14:val="tx1"/>
            </w14:solidFill>
          </w14:textFill>
        </w:rPr>
        <w:t>。验收组</w:t>
      </w:r>
      <w:r>
        <w:rPr>
          <w:color w:val="000000" w:themeColor="text1"/>
          <w:szCs w:val="20"/>
          <w14:textFill>
            <w14:solidFill>
              <w14:schemeClr w14:val="tx1"/>
            </w14:solidFill>
          </w14:textFill>
        </w:rPr>
        <w:t>对照《建设项目竣工环境保护验收暂行办法》及相关法律法规、技术规范、指南、项目环评文件及批复等要求，</w:t>
      </w:r>
      <w:r>
        <w:rPr>
          <w:color w:val="000000" w:themeColor="text1"/>
          <w14:textFill>
            <w14:solidFill>
              <w14:schemeClr w14:val="tx1"/>
            </w14:solidFill>
          </w14:textFill>
        </w:rPr>
        <w:t>经过认真讨论</w:t>
      </w:r>
      <w:r>
        <w:rPr>
          <w:color w:val="000000" w:themeColor="text1"/>
          <w:szCs w:val="20"/>
          <w14:textFill>
            <w14:solidFill>
              <w14:schemeClr w14:val="tx1"/>
            </w14:solidFill>
          </w14:textFill>
        </w:rPr>
        <w:t>形成验收组意见如下：</w:t>
      </w:r>
    </w:p>
    <w:p>
      <w:pPr>
        <w:widowControl w:val="0"/>
        <w:numPr>
          <w:ilvl w:val="0"/>
          <w:numId w:val="1"/>
        </w:numPr>
        <w:spacing w:line="420" w:lineRule="auto"/>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工程建设基本情况</w:t>
      </w:r>
    </w:p>
    <w:p>
      <w:pPr>
        <w:spacing w:line="42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建设地点、规模、主要建设内容</w:t>
      </w:r>
    </w:p>
    <w:p>
      <w:pPr>
        <w:ind w:firstLine="480" w:firstLineChars="200"/>
        <w:rPr>
          <w:color w:val="000000" w:themeColor="text1"/>
          <w:szCs w:val="20"/>
          <w14:textFill>
            <w14:solidFill>
              <w14:schemeClr w14:val="tx1"/>
            </w14:solidFill>
          </w14:textFill>
        </w:rPr>
      </w:pPr>
      <w:r>
        <w:rPr>
          <w:color w:val="000000" w:themeColor="text1"/>
          <w:szCs w:val="20"/>
          <w14:textFill>
            <w14:solidFill>
              <w14:schemeClr w14:val="tx1"/>
            </w14:solidFill>
          </w14:textFill>
        </w:rPr>
        <w:t>建设规模：</w:t>
      </w:r>
      <w:r>
        <w:rPr>
          <w:rFonts w:hint="eastAsia"/>
          <w:color w:val="000000" w:themeColor="text1"/>
          <w:szCs w:val="20"/>
          <w14:textFill>
            <w14:solidFill>
              <w14:schemeClr w14:val="tx1"/>
            </w14:solidFill>
          </w14:textFill>
        </w:rPr>
        <w:t>项目总占地1800 m</w:t>
      </w:r>
      <w:r>
        <w:rPr>
          <w:rFonts w:hint="eastAsia"/>
          <w:color w:val="000000" w:themeColor="text1"/>
          <w:szCs w:val="20"/>
          <w:vertAlign w:val="superscript"/>
          <w14:textFill>
            <w14:solidFill>
              <w14:schemeClr w14:val="tx1"/>
            </w14:solidFill>
          </w14:textFill>
        </w:rPr>
        <w:t>2</w:t>
      </w:r>
      <w:r>
        <w:rPr>
          <w:rFonts w:hint="eastAsia"/>
          <w:color w:val="000000" w:themeColor="text1"/>
          <w:szCs w:val="20"/>
          <w14:textFill>
            <w14:solidFill>
              <w14:schemeClr w14:val="tx1"/>
            </w14:solidFill>
          </w14:textFill>
        </w:rPr>
        <w:t>，总建筑面积1680 m</w:t>
      </w:r>
      <w:r>
        <w:rPr>
          <w:rFonts w:hint="eastAsia"/>
          <w:color w:val="000000" w:themeColor="text1"/>
          <w:szCs w:val="20"/>
          <w:vertAlign w:val="superscript"/>
          <w14:textFill>
            <w14:solidFill>
              <w14:schemeClr w14:val="tx1"/>
            </w14:solidFill>
          </w14:textFill>
        </w:rPr>
        <w:t>2</w:t>
      </w:r>
      <w:r>
        <w:rPr>
          <w:rFonts w:hint="eastAsia"/>
          <w:color w:val="000000" w:themeColor="text1"/>
          <w:szCs w:val="20"/>
          <w14:textFill>
            <w14:solidFill>
              <w14:schemeClr w14:val="tx1"/>
            </w14:solidFill>
          </w14:textFill>
        </w:rPr>
        <w:t>，其中原料库房面积320 m</w:t>
      </w:r>
      <w:r>
        <w:rPr>
          <w:rFonts w:hint="eastAsia"/>
          <w:color w:val="000000" w:themeColor="text1"/>
          <w:szCs w:val="20"/>
          <w:vertAlign w:val="superscript"/>
          <w14:textFill>
            <w14:solidFill>
              <w14:schemeClr w14:val="tx1"/>
            </w14:solidFill>
          </w14:textFill>
        </w:rPr>
        <w:t>2</w:t>
      </w:r>
      <w:r>
        <w:rPr>
          <w:rFonts w:hint="eastAsia"/>
          <w:color w:val="000000" w:themeColor="text1"/>
          <w:szCs w:val="20"/>
          <w14:textFill>
            <w14:solidFill>
              <w14:schemeClr w14:val="tx1"/>
            </w14:solidFill>
          </w14:textFill>
        </w:rPr>
        <w:t>、生产车间面积300m</w:t>
      </w:r>
      <w:r>
        <w:rPr>
          <w:rFonts w:hint="eastAsia"/>
          <w:color w:val="000000" w:themeColor="text1"/>
          <w:szCs w:val="20"/>
          <w:vertAlign w:val="superscript"/>
          <w14:textFill>
            <w14:solidFill>
              <w14:schemeClr w14:val="tx1"/>
            </w14:solidFill>
          </w14:textFill>
        </w:rPr>
        <w:t>2</w:t>
      </w:r>
      <w:r>
        <w:rPr>
          <w:rFonts w:hint="eastAsia"/>
          <w:color w:val="000000" w:themeColor="text1"/>
          <w:szCs w:val="20"/>
          <w14:textFill>
            <w14:solidFill>
              <w14:schemeClr w14:val="tx1"/>
            </w14:solidFill>
          </w14:textFill>
        </w:rPr>
        <w:t>、废料库房面积900m</w:t>
      </w:r>
      <w:r>
        <w:rPr>
          <w:rFonts w:hint="eastAsia"/>
          <w:color w:val="000000" w:themeColor="text1"/>
          <w:szCs w:val="20"/>
          <w:vertAlign w:val="superscript"/>
          <w14:textFill>
            <w14:solidFill>
              <w14:schemeClr w14:val="tx1"/>
            </w14:solidFill>
          </w14:textFill>
        </w:rPr>
        <w:t>2</w:t>
      </w:r>
      <w:r>
        <w:rPr>
          <w:rFonts w:hint="eastAsia"/>
          <w:color w:val="000000" w:themeColor="text1"/>
          <w:szCs w:val="20"/>
          <w14:textFill>
            <w14:solidFill>
              <w14:schemeClr w14:val="tx1"/>
            </w14:solidFill>
          </w14:textFill>
        </w:rPr>
        <w:t>及办公区面积160 m</w:t>
      </w:r>
      <w:r>
        <w:rPr>
          <w:rFonts w:hint="eastAsia"/>
          <w:color w:val="000000" w:themeColor="text1"/>
          <w:szCs w:val="20"/>
          <w:vertAlign w:val="superscript"/>
          <w14:textFill>
            <w14:solidFill>
              <w14:schemeClr w14:val="tx1"/>
            </w14:solidFill>
          </w14:textFill>
        </w:rPr>
        <w:t>2</w:t>
      </w:r>
      <w:r>
        <w:rPr>
          <w:rFonts w:hint="eastAsia"/>
          <w:color w:val="000000" w:themeColor="text1"/>
          <w:szCs w:val="20"/>
          <w14:textFill>
            <w14:solidFill>
              <w14:schemeClr w14:val="tx1"/>
            </w14:solidFill>
          </w14:textFill>
        </w:rPr>
        <w:t>。</w:t>
      </w:r>
      <w:r>
        <w:rPr>
          <w:color w:val="000000" w:themeColor="text1"/>
          <w:szCs w:val="20"/>
          <w14:textFill>
            <w14:solidFill>
              <w14:schemeClr w14:val="tx1"/>
            </w14:solidFill>
          </w14:textFill>
        </w:rPr>
        <w:t>工程</w:t>
      </w:r>
      <w:r>
        <w:rPr>
          <w:rFonts w:hint="eastAsia"/>
          <w:color w:val="000000" w:themeColor="text1"/>
          <w:szCs w:val="20"/>
          <w14:textFill>
            <w14:solidFill>
              <w14:schemeClr w14:val="tx1"/>
            </w14:solidFill>
          </w14:textFill>
        </w:rPr>
        <w:t>组成变化情况</w:t>
      </w:r>
      <w:r>
        <w:rPr>
          <w:color w:val="000000" w:themeColor="text1"/>
          <w:szCs w:val="20"/>
          <w14:textFill>
            <w14:solidFill>
              <w14:schemeClr w14:val="tx1"/>
            </w14:solidFill>
          </w14:textFill>
        </w:rPr>
        <w:t>见下表。</w:t>
      </w:r>
    </w:p>
    <w:p>
      <w:pPr>
        <w:ind w:firstLine="480" w:firstLineChars="200"/>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工程组成变化情况一览表</w:t>
      </w:r>
    </w:p>
    <w:tbl>
      <w:tblPr>
        <w:tblStyle w:val="9"/>
        <w:tblW w:w="854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709"/>
        <w:gridCol w:w="851"/>
        <w:gridCol w:w="1984"/>
        <w:gridCol w:w="3260"/>
        <w:gridCol w:w="10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Align w:val="center"/>
          </w:tcPr>
          <w:p>
            <w:pPr>
              <w:spacing w:line="240" w:lineRule="auto"/>
              <w:jc w:val="center"/>
              <w:rPr>
                <w:b/>
                <w:bCs/>
                <w:color w:val="000000"/>
                <w:sz w:val="21"/>
                <w:szCs w:val="21"/>
              </w:rPr>
            </w:pPr>
            <w:r>
              <w:rPr>
                <w:rFonts w:hint="eastAsia"/>
                <w:b/>
                <w:bCs/>
                <w:color w:val="000000"/>
                <w:sz w:val="21"/>
                <w:szCs w:val="21"/>
              </w:rPr>
              <w:t>工程分类</w:t>
            </w:r>
          </w:p>
        </w:tc>
        <w:tc>
          <w:tcPr>
            <w:tcW w:w="709" w:type="dxa"/>
            <w:vAlign w:val="center"/>
          </w:tcPr>
          <w:p>
            <w:pPr>
              <w:spacing w:line="240" w:lineRule="auto"/>
              <w:jc w:val="center"/>
              <w:rPr>
                <w:b/>
                <w:bCs/>
                <w:color w:val="000000"/>
                <w:sz w:val="21"/>
                <w:szCs w:val="21"/>
              </w:rPr>
            </w:pPr>
            <w:r>
              <w:rPr>
                <w:rFonts w:hint="eastAsia"/>
                <w:b/>
                <w:bCs/>
                <w:color w:val="000000"/>
                <w:sz w:val="21"/>
                <w:szCs w:val="21"/>
              </w:rPr>
              <w:t>项目组成</w:t>
            </w:r>
          </w:p>
        </w:tc>
        <w:tc>
          <w:tcPr>
            <w:tcW w:w="2835" w:type="dxa"/>
            <w:gridSpan w:val="2"/>
            <w:vAlign w:val="center"/>
          </w:tcPr>
          <w:p>
            <w:pPr>
              <w:spacing w:line="240" w:lineRule="auto"/>
              <w:jc w:val="center"/>
              <w:rPr>
                <w:b/>
                <w:bCs/>
                <w:color w:val="000000"/>
                <w:sz w:val="21"/>
                <w:szCs w:val="21"/>
              </w:rPr>
            </w:pPr>
            <w:r>
              <w:rPr>
                <w:rFonts w:hint="eastAsia"/>
                <w:b/>
                <w:bCs/>
                <w:color w:val="000000"/>
                <w:sz w:val="21"/>
                <w:szCs w:val="21"/>
              </w:rPr>
              <w:t>环评建设内容</w:t>
            </w:r>
          </w:p>
        </w:tc>
        <w:tc>
          <w:tcPr>
            <w:tcW w:w="3260" w:type="dxa"/>
            <w:vAlign w:val="center"/>
          </w:tcPr>
          <w:p>
            <w:pPr>
              <w:spacing w:line="240" w:lineRule="auto"/>
              <w:jc w:val="center"/>
              <w:rPr>
                <w:b/>
                <w:bCs/>
                <w:color w:val="000000"/>
                <w:sz w:val="21"/>
                <w:szCs w:val="21"/>
              </w:rPr>
            </w:pPr>
            <w:r>
              <w:rPr>
                <w:rFonts w:hint="eastAsia"/>
                <w:b/>
                <w:bCs/>
                <w:color w:val="000000"/>
                <w:sz w:val="21"/>
                <w:szCs w:val="21"/>
              </w:rPr>
              <w:t>实际建设内容</w:t>
            </w:r>
          </w:p>
        </w:tc>
        <w:tc>
          <w:tcPr>
            <w:tcW w:w="1053" w:type="dxa"/>
            <w:vAlign w:val="center"/>
          </w:tcPr>
          <w:p>
            <w:pPr>
              <w:spacing w:line="240" w:lineRule="auto"/>
              <w:jc w:val="center"/>
              <w:rPr>
                <w:b/>
                <w:bCs/>
                <w:color w:val="000000"/>
                <w:sz w:val="21"/>
                <w:szCs w:val="21"/>
              </w:rPr>
            </w:pPr>
            <w:r>
              <w:rPr>
                <w:rFonts w:hint="eastAsia"/>
                <w:b/>
                <w:bCs/>
                <w:color w:val="000000"/>
                <w:sz w:val="21"/>
                <w:szCs w:val="21"/>
              </w:rPr>
              <w:t>与环评一致性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Align w:val="center"/>
          </w:tcPr>
          <w:p>
            <w:pPr>
              <w:spacing w:line="240" w:lineRule="auto"/>
              <w:jc w:val="center"/>
              <w:rPr>
                <w:bCs/>
                <w:color w:val="000000"/>
                <w:sz w:val="21"/>
                <w:szCs w:val="21"/>
              </w:rPr>
            </w:pPr>
            <w:r>
              <w:rPr>
                <w:rFonts w:hint="eastAsia"/>
                <w:bCs/>
                <w:color w:val="000000"/>
                <w:sz w:val="21"/>
                <w:szCs w:val="21"/>
              </w:rPr>
              <w:t>主体工程</w:t>
            </w:r>
          </w:p>
        </w:tc>
        <w:tc>
          <w:tcPr>
            <w:tcW w:w="709" w:type="dxa"/>
            <w:vAlign w:val="center"/>
          </w:tcPr>
          <w:p>
            <w:pPr>
              <w:spacing w:line="240" w:lineRule="auto"/>
              <w:contextualSpacing/>
              <w:jc w:val="center"/>
              <w:rPr>
                <w:sz w:val="21"/>
                <w:szCs w:val="21"/>
              </w:rPr>
            </w:pPr>
            <w:r>
              <w:rPr>
                <w:rFonts w:hint="eastAsia"/>
                <w:sz w:val="21"/>
                <w:szCs w:val="21"/>
              </w:rPr>
              <w:t>生产车间</w:t>
            </w:r>
          </w:p>
        </w:tc>
        <w:tc>
          <w:tcPr>
            <w:tcW w:w="2835" w:type="dxa"/>
            <w:gridSpan w:val="2"/>
            <w:vAlign w:val="center"/>
          </w:tcPr>
          <w:p>
            <w:pPr>
              <w:spacing w:line="240" w:lineRule="auto"/>
              <w:contextualSpacing/>
              <w:rPr>
                <w:sz w:val="21"/>
                <w:szCs w:val="21"/>
              </w:rPr>
            </w:pPr>
            <w:r>
              <w:rPr>
                <w:rFonts w:hint="eastAsia" w:hAnsi="宋体"/>
                <w:sz w:val="21"/>
                <w:szCs w:val="21"/>
              </w:rPr>
              <w:t>建筑面积420m</w:t>
            </w:r>
            <w:r>
              <w:rPr>
                <w:rFonts w:hint="eastAsia" w:hAnsi="宋体"/>
                <w:sz w:val="21"/>
                <w:szCs w:val="21"/>
                <w:vertAlign w:val="superscript"/>
              </w:rPr>
              <w:t>2</w:t>
            </w:r>
            <w:r>
              <w:rPr>
                <w:rFonts w:hint="eastAsia"/>
                <w:bCs/>
                <w:sz w:val="21"/>
                <w:szCs w:val="21"/>
              </w:rPr>
              <w:t>，单层钢架结构，主要生产设备包括吸塑机、裁断机等（租用已建成厂房）</w:t>
            </w:r>
          </w:p>
        </w:tc>
        <w:tc>
          <w:tcPr>
            <w:tcW w:w="3260" w:type="dxa"/>
            <w:vAlign w:val="center"/>
          </w:tcPr>
          <w:p>
            <w:pPr>
              <w:spacing w:line="240" w:lineRule="auto"/>
              <w:contextualSpacing/>
              <w:rPr>
                <w:sz w:val="21"/>
                <w:szCs w:val="21"/>
              </w:rPr>
            </w:pPr>
            <w:r>
              <w:rPr>
                <w:rFonts w:hint="eastAsia" w:hAnsi="宋体"/>
                <w:sz w:val="21"/>
                <w:szCs w:val="21"/>
              </w:rPr>
              <w:t>建筑面积420m</w:t>
            </w:r>
            <w:r>
              <w:rPr>
                <w:rFonts w:hint="eastAsia" w:hAnsi="宋体"/>
                <w:sz w:val="21"/>
                <w:szCs w:val="21"/>
                <w:vertAlign w:val="superscript"/>
              </w:rPr>
              <w:t>2</w:t>
            </w:r>
            <w:r>
              <w:rPr>
                <w:rFonts w:hint="eastAsia"/>
                <w:bCs/>
                <w:sz w:val="21"/>
                <w:szCs w:val="21"/>
              </w:rPr>
              <w:t>，单层钢架结构，主要生产设备包括吸塑机、裁断机等</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Align w:val="center"/>
          </w:tcPr>
          <w:p>
            <w:pPr>
              <w:spacing w:line="240" w:lineRule="auto"/>
              <w:jc w:val="center"/>
              <w:rPr>
                <w:bCs/>
                <w:color w:val="000000"/>
                <w:sz w:val="21"/>
                <w:szCs w:val="21"/>
              </w:rPr>
            </w:pPr>
            <w:r>
              <w:rPr>
                <w:rFonts w:hint="eastAsia"/>
                <w:bCs/>
                <w:color w:val="000000"/>
                <w:sz w:val="21"/>
                <w:szCs w:val="21"/>
              </w:rPr>
              <w:t>辅助工程</w:t>
            </w:r>
          </w:p>
        </w:tc>
        <w:tc>
          <w:tcPr>
            <w:tcW w:w="709" w:type="dxa"/>
            <w:vAlign w:val="center"/>
          </w:tcPr>
          <w:p>
            <w:pPr>
              <w:spacing w:line="240" w:lineRule="auto"/>
              <w:contextualSpacing/>
              <w:jc w:val="center"/>
              <w:rPr>
                <w:rFonts w:hAnsi="宋体"/>
                <w:iCs/>
                <w:sz w:val="21"/>
                <w:szCs w:val="21"/>
              </w:rPr>
            </w:pPr>
            <w:r>
              <w:rPr>
                <w:rFonts w:hAnsi="宋体"/>
                <w:iCs/>
                <w:sz w:val="21"/>
                <w:szCs w:val="21"/>
              </w:rPr>
              <w:t>办公</w:t>
            </w:r>
            <w:r>
              <w:rPr>
                <w:rFonts w:hint="eastAsia" w:hAnsi="宋体"/>
                <w:iCs/>
                <w:sz w:val="21"/>
                <w:szCs w:val="21"/>
              </w:rPr>
              <w:t>区</w:t>
            </w:r>
          </w:p>
        </w:tc>
        <w:tc>
          <w:tcPr>
            <w:tcW w:w="2835" w:type="dxa"/>
            <w:gridSpan w:val="2"/>
            <w:vAlign w:val="center"/>
          </w:tcPr>
          <w:p>
            <w:pPr>
              <w:spacing w:line="240" w:lineRule="auto"/>
              <w:contextualSpacing/>
              <w:rPr>
                <w:sz w:val="21"/>
                <w:szCs w:val="21"/>
              </w:rPr>
            </w:pPr>
            <w:r>
              <w:rPr>
                <w:rFonts w:hAnsi="宋体"/>
                <w:sz w:val="21"/>
                <w:szCs w:val="21"/>
              </w:rPr>
              <w:t>建筑面积</w:t>
            </w:r>
            <w:r>
              <w:rPr>
                <w:rFonts w:hint="eastAsia"/>
                <w:sz w:val="21"/>
                <w:szCs w:val="21"/>
              </w:rPr>
              <w:t>160</w:t>
            </w:r>
            <w:r>
              <w:rPr>
                <w:sz w:val="21"/>
                <w:szCs w:val="21"/>
              </w:rPr>
              <w:t>m</w:t>
            </w:r>
            <w:r>
              <w:rPr>
                <w:sz w:val="21"/>
                <w:szCs w:val="21"/>
                <w:vertAlign w:val="superscript"/>
              </w:rPr>
              <w:t>2</w:t>
            </w:r>
            <w:r>
              <w:rPr>
                <w:rFonts w:hAnsi="宋体"/>
                <w:sz w:val="21"/>
                <w:szCs w:val="21"/>
              </w:rPr>
              <w:t>，</w:t>
            </w:r>
            <w:r>
              <w:rPr>
                <w:rFonts w:hint="eastAsia"/>
                <w:bCs/>
                <w:sz w:val="21"/>
                <w:szCs w:val="21"/>
              </w:rPr>
              <w:t>单层钢架结构</w:t>
            </w:r>
            <w:r>
              <w:rPr>
                <w:rFonts w:hint="eastAsia" w:hAnsi="宋体"/>
                <w:sz w:val="21"/>
                <w:szCs w:val="21"/>
              </w:rPr>
              <w:t>，用于厂区人员办公</w:t>
            </w:r>
            <w:r>
              <w:rPr>
                <w:rFonts w:hint="eastAsia"/>
                <w:bCs/>
                <w:sz w:val="21"/>
                <w:szCs w:val="21"/>
              </w:rPr>
              <w:t>（租用已建成厂房）</w:t>
            </w:r>
          </w:p>
        </w:tc>
        <w:tc>
          <w:tcPr>
            <w:tcW w:w="3260" w:type="dxa"/>
            <w:vAlign w:val="center"/>
          </w:tcPr>
          <w:p>
            <w:pPr>
              <w:spacing w:line="240" w:lineRule="auto"/>
              <w:contextualSpacing/>
              <w:rPr>
                <w:sz w:val="21"/>
                <w:szCs w:val="21"/>
              </w:rPr>
            </w:pPr>
            <w:r>
              <w:rPr>
                <w:rFonts w:hAnsi="宋体"/>
                <w:sz w:val="21"/>
                <w:szCs w:val="21"/>
              </w:rPr>
              <w:t>建筑面积</w:t>
            </w:r>
            <w:r>
              <w:rPr>
                <w:rFonts w:hint="eastAsia"/>
                <w:sz w:val="21"/>
                <w:szCs w:val="21"/>
              </w:rPr>
              <w:t>160</w:t>
            </w:r>
            <w:r>
              <w:rPr>
                <w:sz w:val="21"/>
                <w:szCs w:val="21"/>
              </w:rPr>
              <w:t>m</w:t>
            </w:r>
            <w:r>
              <w:rPr>
                <w:sz w:val="21"/>
                <w:szCs w:val="21"/>
                <w:vertAlign w:val="superscript"/>
              </w:rPr>
              <w:t>2</w:t>
            </w:r>
            <w:r>
              <w:rPr>
                <w:rFonts w:hAnsi="宋体"/>
                <w:sz w:val="21"/>
                <w:szCs w:val="21"/>
              </w:rPr>
              <w:t>，</w:t>
            </w:r>
            <w:r>
              <w:rPr>
                <w:rFonts w:hint="eastAsia"/>
                <w:bCs/>
                <w:sz w:val="21"/>
                <w:szCs w:val="21"/>
              </w:rPr>
              <w:t>单层钢架结构</w:t>
            </w:r>
            <w:r>
              <w:rPr>
                <w:rFonts w:hint="eastAsia" w:hAnsi="宋体"/>
                <w:sz w:val="21"/>
                <w:szCs w:val="21"/>
              </w:rPr>
              <w:t>，用于厂区人员办公</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restart"/>
            <w:vAlign w:val="center"/>
          </w:tcPr>
          <w:p>
            <w:pPr>
              <w:spacing w:line="240" w:lineRule="auto"/>
              <w:jc w:val="center"/>
              <w:rPr>
                <w:bCs/>
                <w:color w:val="000000"/>
                <w:sz w:val="21"/>
                <w:szCs w:val="21"/>
              </w:rPr>
            </w:pPr>
            <w:r>
              <w:rPr>
                <w:rFonts w:hint="eastAsia"/>
                <w:bCs/>
                <w:color w:val="000000"/>
                <w:sz w:val="21"/>
                <w:szCs w:val="21"/>
              </w:rPr>
              <w:t>储运工程</w:t>
            </w:r>
          </w:p>
        </w:tc>
        <w:tc>
          <w:tcPr>
            <w:tcW w:w="709" w:type="dxa"/>
            <w:vAlign w:val="center"/>
          </w:tcPr>
          <w:p>
            <w:pPr>
              <w:spacing w:line="240" w:lineRule="auto"/>
              <w:contextualSpacing/>
              <w:jc w:val="center"/>
              <w:rPr>
                <w:rFonts w:hAnsi="宋体"/>
                <w:bCs/>
                <w:sz w:val="21"/>
                <w:szCs w:val="21"/>
              </w:rPr>
            </w:pPr>
            <w:r>
              <w:rPr>
                <w:rFonts w:hint="eastAsia" w:hAnsi="宋体"/>
                <w:bCs/>
                <w:sz w:val="21"/>
                <w:szCs w:val="21"/>
              </w:rPr>
              <w:t>原料库房</w:t>
            </w:r>
          </w:p>
        </w:tc>
        <w:tc>
          <w:tcPr>
            <w:tcW w:w="2835" w:type="dxa"/>
            <w:gridSpan w:val="2"/>
            <w:vAlign w:val="center"/>
          </w:tcPr>
          <w:p>
            <w:pPr>
              <w:spacing w:line="240" w:lineRule="auto"/>
              <w:contextualSpacing/>
              <w:rPr>
                <w:bCs/>
                <w:sz w:val="21"/>
                <w:szCs w:val="21"/>
              </w:rPr>
            </w:pPr>
            <w:r>
              <w:rPr>
                <w:rFonts w:hint="eastAsia"/>
                <w:bCs/>
                <w:sz w:val="21"/>
                <w:szCs w:val="21"/>
              </w:rPr>
              <w:t>建筑面积200m</w:t>
            </w:r>
            <w:r>
              <w:rPr>
                <w:rFonts w:hint="eastAsia"/>
                <w:bCs/>
                <w:sz w:val="21"/>
                <w:szCs w:val="21"/>
                <w:vertAlign w:val="superscript"/>
              </w:rPr>
              <w:t>2</w:t>
            </w:r>
            <w:r>
              <w:rPr>
                <w:rFonts w:hint="eastAsia"/>
                <w:bCs/>
                <w:sz w:val="21"/>
                <w:szCs w:val="21"/>
              </w:rPr>
              <w:t>，单层钢架结构，进行生产原料储存（租用已建成厂房）</w:t>
            </w:r>
          </w:p>
        </w:tc>
        <w:tc>
          <w:tcPr>
            <w:tcW w:w="3260" w:type="dxa"/>
            <w:vAlign w:val="center"/>
          </w:tcPr>
          <w:p>
            <w:pPr>
              <w:spacing w:line="240" w:lineRule="auto"/>
              <w:contextualSpacing/>
              <w:rPr>
                <w:bCs/>
                <w:sz w:val="21"/>
                <w:szCs w:val="21"/>
              </w:rPr>
            </w:pPr>
            <w:r>
              <w:rPr>
                <w:rFonts w:hint="eastAsia"/>
                <w:bCs/>
                <w:sz w:val="21"/>
                <w:szCs w:val="21"/>
              </w:rPr>
              <w:t>建筑面积200m</w:t>
            </w:r>
            <w:r>
              <w:rPr>
                <w:rFonts w:hint="eastAsia"/>
                <w:bCs/>
                <w:sz w:val="21"/>
                <w:szCs w:val="21"/>
                <w:vertAlign w:val="superscript"/>
              </w:rPr>
              <w:t>2</w:t>
            </w:r>
            <w:r>
              <w:rPr>
                <w:rFonts w:hint="eastAsia"/>
                <w:bCs/>
                <w:sz w:val="21"/>
                <w:szCs w:val="21"/>
              </w:rPr>
              <w:t>，单层钢架结构，进行生产原料储存</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contextualSpacing/>
              <w:jc w:val="center"/>
              <w:rPr>
                <w:rFonts w:hAnsi="宋体"/>
                <w:bCs/>
                <w:sz w:val="21"/>
                <w:szCs w:val="21"/>
              </w:rPr>
            </w:pPr>
            <w:r>
              <w:rPr>
                <w:rFonts w:hint="eastAsia" w:hAnsi="宋体"/>
                <w:bCs/>
                <w:sz w:val="21"/>
                <w:szCs w:val="21"/>
              </w:rPr>
              <w:t>废料库房</w:t>
            </w:r>
          </w:p>
        </w:tc>
        <w:tc>
          <w:tcPr>
            <w:tcW w:w="2835" w:type="dxa"/>
            <w:gridSpan w:val="2"/>
            <w:vAlign w:val="center"/>
          </w:tcPr>
          <w:p>
            <w:pPr>
              <w:spacing w:line="240" w:lineRule="auto"/>
              <w:contextualSpacing/>
              <w:rPr>
                <w:bCs/>
                <w:sz w:val="21"/>
                <w:szCs w:val="21"/>
              </w:rPr>
            </w:pPr>
            <w:r>
              <w:rPr>
                <w:rFonts w:hint="eastAsia"/>
                <w:bCs/>
                <w:sz w:val="21"/>
                <w:szCs w:val="21"/>
              </w:rPr>
              <w:t>共设2个废料库房，单层钢架结构，建筑面积分别为400m</w:t>
            </w:r>
            <w:r>
              <w:rPr>
                <w:rFonts w:hint="eastAsia"/>
                <w:bCs/>
                <w:sz w:val="21"/>
                <w:szCs w:val="21"/>
                <w:vertAlign w:val="superscript"/>
              </w:rPr>
              <w:t>2</w:t>
            </w:r>
            <w:r>
              <w:rPr>
                <w:rFonts w:hint="eastAsia"/>
                <w:bCs/>
                <w:sz w:val="21"/>
                <w:szCs w:val="21"/>
              </w:rPr>
              <w:t>和500m</w:t>
            </w:r>
            <w:r>
              <w:rPr>
                <w:rFonts w:hint="eastAsia"/>
                <w:bCs/>
                <w:sz w:val="21"/>
                <w:szCs w:val="21"/>
                <w:vertAlign w:val="superscript"/>
              </w:rPr>
              <w:t>2</w:t>
            </w:r>
            <w:r>
              <w:rPr>
                <w:rFonts w:hint="eastAsia"/>
                <w:bCs/>
                <w:sz w:val="21"/>
                <w:szCs w:val="21"/>
              </w:rPr>
              <w:t>，用于废料暂存（租用已建成厂房）</w:t>
            </w:r>
          </w:p>
        </w:tc>
        <w:tc>
          <w:tcPr>
            <w:tcW w:w="3260" w:type="dxa"/>
            <w:vAlign w:val="center"/>
          </w:tcPr>
          <w:p>
            <w:pPr>
              <w:spacing w:line="240" w:lineRule="auto"/>
              <w:contextualSpacing/>
              <w:rPr>
                <w:bCs/>
                <w:sz w:val="21"/>
                <w:szCs w:val="21"/>
              </w:rPr>
            </w:pPr>
            <w:r>
              <w:rPr>
                <w:rFonts w:hint="eastAsia"/>
                <w:bCs/>
                <w:sz w:val="21"/>
                <w:szCs w:val="21"/>
              </w:rPr>
              <w:t>共设2个废料库房，单层钢架结构，建筑面积分别为400m</w:t>
            </w:r>
            <w:r>
              <w:rPr>
                <w:rFonts w:hint="eastAsia"/>
                <w:bCs/>
                <w:sz w:val="21"/>
                <w:szCs w:val="21"/>
                <w:vertAlign w:val="superscript"/>
              </w:rPr>
              <w:t>2</w:t>
            </w:r>
            <w:r>
              <w:rPr>
                <w:rFonts w:hint="eastAsia"/>
                <w:bCs/>
                <w:sz w:val="21"/>
                <w:szCs w:val="21"/>
              </w:rPr>
              <w:t>和500m</w:t>
            </w:r>
            <w:r>
              <w:rPr>
                <w:rFonts w:hint="eastAsia"/>
                <w:bCs/>
                <w:sz w:val="21"/>
                <w:szCs w:val="21"/>
                <w:vertAlign w:val="superscript"/>
              </w:rPr>
              <w:t>2</w:t>
            </w:r>
            <w:r>
              <w:rPr>
                <w:rFonts w:hint="eastAsia"/>
                <w:bCs/>
                <w:sz w:val="21"/>
                <w:szCs w:val="21"/>
              </w:rPr>
              <w:t>，用于废料暂存</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restart"/>
            <w:vAlign w:val="center"/>
          </w:tcPr>
          <w:p>
            <w:pPr>
              <w:spacing w:line="240" w:lineRule="auto"/>
              <w:jc w:val="center"/>
              <w:rPr>
                <w:bCs/>
                <w:color w:val="000000"/>
                <w:sz w:val="21"/>
                <w:szCs w:val="21"/>
              </w:rPr>
            </w:pPr>
            <w:r>
              <w:rPr>
                <w:rFonts w:hint="eastAsia"/>
                <w:bCs/>
                <w:color w:val="000000"/>
                <w:sz w:val="21"/>
                <w:szCs w:val="21"/>
              </w:rPr>
              <w:t>公用工程</w:t>
            </w:r>
          </w:p>
        </w:tc>
        <w:tc>
          <w:tcPr>
            <w:tcW w:w="709" w:type="dxa"/>
            <w:vAlign w:val="center"/>
          </w:tcPr>
          <w:p>
            <w:pPr>
              <w:spacing w:line="240" w:lineRule="auto"/>
              <w:contextualSpacing/>
              <w:jc w:val="center"/>
              <w:rPr>
                <w:iCs/>
                <w:sz w:val="21"/>
                <w:szCs w:val="21"/>
              </w:rPr>
            </w:pPr>
            <w:r>
              <w:rPr>
                <w:rFonts w:hint="eastAsia" w:hAnsi="宋体"/>
                <w:iCs/>
                <w:sz w:val="21"/>
                <w:szCs w:val="21"/>
              </w:rPr>
              <w:t>供电</w:t>
            </w:r>
          </w:p>
        </w:tc>
        <w:tc>
          <w:tcPr>
            <w:tcW w:w="2835" w:type="dxa"/>
            <w:gridSpan w:val="2"/>
            <w:vAlign w:val="center"/>
          </w:tcPr>
          <w:p>
            <w:pPr>
              <w:spacing w:line="240" w:lineRule="auto"/>
              <w:contextualSpacing/>
              <w:rPr>
                <w:sz w:val="21"/>
                <w:szCs w:val="21"/>
              </w:rPr>
            </w:pPr>
            <w:r>
              <w:rPr>
                <w:rFonts w:hint="eastAsia" w:hAnsi="宋体"/>
                <w:sz w:val="21"/>
                <w:szCs w:val="21"/>
              </w:rPr>
              <w:t>由秦汉新城市政电网供给</w:t>
            </w:r>
          </w:p>
        </w:tc>
        <w:tc>
          <w:tcPr>
            <w:tcW w:w="3260" w:type="dxa"/>
            <w:vAlign w:val="center"/>
          </w:tcPr>
          <w:p>
            <w:pPr>
              <w:spacing w:line="240" w:lineRule="auto"/>
              <w:contextualSpacing/>
              <w:rPr>
                <w:sz w:val="21"/>
                <w:szCs w:val="21"/>
              </w:rPr>
            </w:pPr>
            <w:r>
              <w:rPr>
                <w:rFonts w:hint="eastAsia" w:hAnsi="宋体"/>
                <w:sz w:val="21"/>
                <w:szCs w:val="21"/>
              </w:rPr>
              <w:t>由秦汉新城市政电网供给</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contextualSpacing/>
              <w:jc w:val="center"/>
              <w:rPr>
                <w:iCs/>
                <w:sz w:val="21"/>
                <w:szCs w:val="21"/>
              </w:rPr>
            </w:pPr>
            <w:r>
              <w:rPr>
                <w:rFonts w:hAnsi="宋体"/>
                <w:iCs/>
                <w:sz w:val="21"/>
                <w:szCs w:val="21"/>
              </w:rPr>
              <w:t>供水</w:t>
            </w:r>
          </w:p>
        </w:tc>
        <w:tc>
          <w:tcPr>
            <w:tcW w:w="2835" w:type="dxa"/>
            <w:gridSpan w:val="2"/>
            <w:vAlign w:val="center"/>
          </w:tcPr>
          <w:p>
            <w:pPr>
              <w:spacing w:line="240" w:lineRule="auto"/>
              <w:contextualSpacing/>
              <w:rPr>
                <w:sz w:val="21"/>
                <w:szCs w:val="21"/>
              </w:rPr>
            </w:pPr>
            <w:r>
              <w:rPr>
                <w:rFonts w:hint="eastAsia" w:hAnsi="宋体"/>
                <w:sz w:val="21"/>
                <w:szCs w:val="21"/>
              </w:rPr>
              <w:t>由自备井供给</w:t>
            </w:r>
          </w:p>
        </w:tc>
        <w:tc>
          <w:tcPr>
            <w:tcW w:w="3260" w:type="dxa"/>
            <w:vAlign w:val="center"/>
          </w:tcPr>
          <w:p>
            <w:pPr>
              <w:spacing w:line="240" w:lineRule="auto"/>
              <w:contextualSpacing/>
              <w:rPr>
                <w:sz w:val="21"/>
                <w:szCs w:val="21"/>
              </w:rPr>
            </w:pPr>
            <w:r>
              <w:rPr>
                <w:rFonts w:hint="eastAsia" w:hAnsi="宋体"/>
                <w:sz w:val="21"/>
                <w:szCs w:val="21"/>
              </w:rPr>
              <w:t>由自备井供给</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contextualSpacing/>
              <w:jc w:val="center"/>
              <w:rPr>
                <w:iCs/>
                <w:sz w:val="21"/>
                <w:szCs w:val="21"/>
              </w:rPr>
            </w:pPr>
            <w:r>
              <w:rPr>
                <w:rFonts w:hAnsi="宋体"/>
                <w:iCs/>
                <w:sz w:val="21"/>
                <w:szCs w:val="21"/>
              </w:rPr>
              <w:t>排水</w:t>
            </w:r>
          </w:p>
        </w:tc>
        <w:tc>
          <w:tcPr>
            <w:tcW w:w="2835" w:type="dxa"/>
            <w:gridSpan w:val="2"/>
            <w:vAlign w:val="center"/>
          </w:tcPr>
          <w:p>
            <w:pPr>
              <w:spacing w:line="240" w:lineRule="auto"/>
              <w:contextualSpacing/>
              <w:rPr>
                <w:rFonts w:hAnsi="宋体"/>
                <w:sz w:val="21"/>
                <w:szCs w:val="21"/>
              </w:rPr>
            </w:pPr>
            <w:r>
              <w:rPr>
                <w:rFonts w:hint="eastAsia" w:hAnsi="宋体"/>
                <w:sz w:val="21"/>
                <w:szCs w:val="21"/>
              </w:rPr>
              <w:t>本项目排水雨污分流，雨水经厂区雨水管网排入市政雨水管道；生活污水经粪污收集池处理后定期清掏用作农肥</w:t>
            </w:r>
          </w:p>
        </w:tc>
        <w:tc>
          <w:tcPr>
            <w:tcW w:w="3260" w:type="dxa"/>
            <w:vAlign w:val="center"/>
          </w:tcPr>
          <w:p>
            <w:pPr>
              <w:spacing w:line="240" w:lineRule="auto"/>
              <w:contextualSpacing/>
              <w:rPr>
                <w:rFonts w:hAnsi="宋体"/>
                <w:sz w:val="21"/>
                <w:szCs w:val="21"/>
              </w:rPr>
            </w:pPr>
            <w:r>
              <w:rPr>
                <w:rFonts w:hint="eastAsia" w:hAnsi="宋体"/>
                <w:sz w:val="21"/>
                <w:szCs w:val="21"/>
              </w:rPr>
              <w:t>本项目排水雨污分流，雨水经厂区雨水管网排入市政雨水管道；生活污水经粪污收集池处理后定期清掏用作农肥</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contextualSpacing/>
              <w:jc w:val="center"/>
              <w:rPr>
                <w:rFonts w:hAnsi="宋体"/>
                <w:iCs/>
                <w:sz w:val="21"/>
                <w:szCs w:val="21"/>
              </w:rPr>
            </w:pPr>
            <w:r>
              <w:rPr>
                <w:rFonts w:hint="eastAsia" w:hAnsi="宋体"/>
                <w:iCs/>
                <w:sz w:val="21"/>
                <w:szCs w:val="21"/>
              </w:rPr>
              <w:t>供暖</w:t>
            </w:r>
          </w:p>
        </w:tc>
        <w:tc>
          <w:tcPr>
            <w:tcW w:w="2835" w:type="dxa"/>
            <w:gridSpan w:val="2"/>
            <w:vAlign w:val="center"/>
          </w:tcPr>
          <w:p>
            <w:pPr>
              <w:spacing w:line="240" w:lineRule="auto"/>
              <w:contextualSpacing/>
              <w:rPr>
                <w:rFonts w:hAnsi="宋体"/>
                <w:sz w:val="21"/>
                <w:szCs w:val="21"/>
              </w:rPr>
            </w:pPr>
            <w:r>
              <w:rPr>
                <w:rFonts w:hint="eastAsia" w:hAnsi="宋体"/>
                <w:sz w:val="21"/>
                <w:szCs w:val="21"/>
              </w:rPr>
              <w:t>项目生产区不需供暖，生活区采用分体空调供暖</w:t>
            </w:r>
          </w:p>
        </w:tc>
        <w:tc>
          <w:tcPr>
            <w:tcW w:w="3260" w:type="dxa"/>
            <w:vAlign w:val="center"/>
          </w:tcPr>
          <w:p>
            <w:pPr>
              <w:spacing w:line="240" w:lineRule="auto"/>
              <w:contextualSpacing/>
              <w:rPr>
                <w:rFonts w:hAnsi="宋体"/>
                <w:sz w:val="21"/>
                <w:szCs w:val="21"/>
              </w:rPr>
            </w:pPr>
            <w:r>
              <w:rPr>
                <w:rFonts w:hint="eastAsia" w:hAnsi="宋体"/>
                <w:sz w:val="21"/>
                <w:szCs w:val="21"/>
              </w:rPr>
              <w:t>项目生产区不需供暖，生活区采用分体空调供暖</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contextualSpacing/>
              <w:jc w:val="center"/>
              <w:rPr>
                <w:rFonts w:hAnsi="宋体"/>
                <w:iCs/>
                <w:sz w:val="21"/>
                <w:szCs w:val="21"/>
              </w:rPr>
            </w:pPr>
            <w:r>
              <w:rPr>
                <w:rFonts w:hint="eastAsia" w:hAnsi="宋体"/>
                <w:iCs/>
                <w:sz w:val="21"/>
                <w:szCs w:val="21"/>
              </w:rPr>
              <w:t>制冷</w:t>
            </w:r>
          </w:p>
        </w:tc>
        <w:tc>
          <w:tcPr>
            <w:tcW w:w="2835" w:type="dxa"/>
            <w:gridSpan w:val="2"/>
            <w:vAlign w:val="center"/>
          </w:tcPr>
          <w:p>
            <w:pPr>
              <w:spacing w:line="240" w:lineRule="auto"/>
              <w:contextualSpacing/>
              <w:rPr>
                <w:rFonts w:hAnsi="宋体"/>
                <w:sz w:val="21"/>
                <w:szCs w:val="21"/>
              </w:rPr>
            </w:pPr>
            <w:r>
              <w:rPr>
                <w:rFonts w:hint="eastAsia" w:hAnsi="宋体"/>
                <w:sz w:val="21"/>
                <w:szCs w:val="21"/>
              </w:rPr>
              <w:t>项目生产区采用水雾冷却进行冷却脱模；生活区采用分体空调制冷</w:t>
            </w:r>
          </w:p>
        </w:tc>
        <w:tc>
          <w:tcPr>
            <w:tcW w:w="3260" w:type="dxa"/>
            <w:vAlign w:val="center"/>
          </w:tcPr>
          <w:p>
            <w:pPr>
              <w:spacing w:line="240" w:lineRule="auto"/>
              <w:contextualSpacing/>
              <w:rPr>
                <w:rFonts w:hAnsi="宋体"/>
                <w:sz w:val="21"/>
                <w:szCs w:val="21"/>
              </w:rPr>
            </w:pPr>
            <w:r>
              <w:rPr>
                <w:rFonts w:hint="eastAsia" w:hAnsi="宋体"/>
                <w:sz w:val="21"/>
                <w:szCs w:val="21"/>
              </w:rPr>
              <w:t>项目生产区采用水雾冷却进行冷却脱模；生活区采用分体空调制冷</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restart"/>
            <w:vAlign w:val="center"/>
          </w:tcPr>
          <w:p>
            <w:pPr>
              <w:spacing w:line="240" w:lineRule="auto"/>
              <w:jc w:val="center"/>
              <w:rPr>
                <w:bCs/>
                <w:color w:val="000000"/>
                <w:sz w:val="21"/>
                <w:szCs w:val="21"/>
              </w:rPr>
            </w:pPr>
            <w:r>
              <w:rPr>
                <w:rFonts w:hint="eastAsia"/>
                <w:bCs/>
                <w:color w:val="000000"/>
                <w:sz w:val="21"/>
                <w:szCs w:val="21"/>
              </w:rPr>
              <w:t>环保工程</w:t>
            </w:r>
          </w:p>
        </w:tc>
        <w:tc>
          <w:tcPr>
            <w:tcW w:w="709" w:type="dxa"/>
            <w:vAlign w:val="center"/>
          </w:tcPr>
          <w:p>
            <w:pPr>
              <w:spacing w:line="240" w:lineRule="auto"/>
              <w:jc w:val="center"/>
              <w:rPr>
                <w:bCs/>
                <w:color w:val="000000"/>
                <w:sz w:val="21"/>
                <w:szCs w:val="21"/>
              </w:rPr>
            </w:pPr>
            <w:r>
              <w:rPr>
                <w:rFonts w:hint="eastAsia"/>
                <w:bCs/>
                <w:color w:val="000000"/>
                <w:sz w:val="21"/>
                <w:szCs w:val="21"/>
              </w:rPr>
              <w:t>废气</w:t>
            </w:r>
          </w:p>
        </w:tc>
        <w:tc>
          <w:tcPr>
            <w:tcW w:w="851" w:type="dxa"/>
            <w:vAlign w:val="center"/>
          </w:tcPr>
          <w:p>
            <w:pPr>
              <w:spacing w:line="240" w:lineRule="auto"/>
              <w:contextualSpacing/>
              <w:rPr>
                <w:sz w:val="21"/>
                <w:szCs w:val="21"/>
              </w:rPr>
            </w:pPr>
            <w:r>
              <w:rPr>
                <w:rFonts w:hint="eastAsia" w:hAnsi="宋体"/>
                <w:sz w:val="21"/>
                <w:szCs w:val="21"/>
              </w:rPr>
              <w:t>吸塑有机废气</w:t>
            </w:r>
          </w:p>
        </w:tc>
        <w:tc>
          <w:tcPr>
            <w:tcW w:w="1984" w:type="dxa"/>
            <w:vAlign w:val="center"/>
          </w:tcPr>
          <w:p>
            <w:pPr>
              <w:spacing w:line="240" w:lineRule="auto"/>
              <w:contextualSpacing/>
              <w:rPr>
                <w:sz w:val="21"/>
                <w:szCs w:val="21"/>
              </w:rPr>
            </w:pPr>
            <w:r>
              <w:rPr>
                <w:rFonts w:hint="eastAsia" w:hAnsi="宋体"/>
                <w:sz w:val="21"/>
                <w:szCs w:val="21"/>
              </w:rPr>
              <w:t>集气罩+UV光解+活性炭吸附+15m排气筒</w:t>
            </w:r>
          </w:p>
        </w:tc>
        <w:tc>
          <w:tcPr>
            <w:tcW w:w="3260" w:type="dxa"/>
            <w:vAlign w:val="center"/>
          </w:tcPr>
          <w:p>
            <w:pPr>
              <w:spacing w:line="240" w:lineRule="auto"/>
              <w:contextualSpacing/>
              <w:rPr>
                <w:sz w:val="21"/>
                <w:szCs w:val="21"/>
              </w:rPr>
            </w:pPr>
            <w:r>
              <w:rPr>
                <w:rFonts w:hint="eastAsia" w:hAnsi="宋体"/>
                <w:sz w:val="21"/>
                <w:szCs w:val="21"/>
              </w:rPr>
              <w:t>集气罩+UV光解+活性炭吸附+15m排气筒</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jc w:val="center"/>
              <w:rPr>
                <w:bCs/>
                <w:color w:val="000000"/>
                <w:sz w:val="21"/>
                <w:szCs w:val="21"/>
              </w:rPr>
            </w:pPr>
            <w:r>
              <w:rPr>
                <w:rFonts w:hint="eastAsia"/>
                <w:bCs/>
                <w:color w:val="000000"/>
                <w:sz w:val="21"/>
                <w:szCs w:val="21"/>
              </w:rPr>
              <w:t>废水</w:t>
            </w:r>
          </w:p>
        </w:tc>
        <w:tc>
          <w:tcPr>
            <w:tcW w:w="851" w:type="dxa"/>
            <w:vAlign w:val="center"/>
          </w:tcPr>
          <w:p>
            <w:pPr>
              <w:spacing w:line="240" w:lineRule="auto"/>
              <w:contextualSpacing/>
              <w:rPr>
                <w:sz w:val="21"/>
                <w:szCs w:val="21"/>
              </w:rPr>
            </w:pPr>
            <w:r>
              <w:rPr>
                <w:rFonts w:hint="eastAsia" w:hAnsi="宋体"/>
                <w:sz w:val="21"/>
                <w:szCs w:val="21"/>
              </w:rPr>
              <w:t>生活污水</w:t>
            </w:r>
          </w:p>
        </w:tc>
        <w:tc>
          <w:tcPr>
            <w:tcW w:w="1984" w:type="dxa"/>
            <w:vAlign w:val="center"/>
          </w:tcPr>
          <w:p>
            <w:pPr>
              <w:spacing w:line="240" w:lineRule="auto"/>
              <w:contextualSpacing/>
              <w:rPr>
                <w:sz w:val="21"/>
                <w:szCs w:val="21"/>
              </w:rPr>
            </w:pPr>
            <w:r>
              <w:rPr>
                <w:rFonts w:hint="eastAsia" w:hAnsi="宋体"/>
                <w:sz w:val="21"/>
                <w:szCs w:val="21"/>
              </w:rPr>
              <w:t>粪污收集池处理后定期清掏用作农肥</w:t>
            </w:r>
          </w:p>
        </w:tc>
        <w:tc>
          <w:tcPr>
            <w:tcW w:w="3260" w:type="dxa"/>
            <w:vAlign w:val="center"/>
          </w:tcPr>
          <w:p>
            <w:pPr>
              <w:spacing w:line="240" w:lineRule="auto"/>
              <w:contextualSpacing/>
              <w:rPr>
                <w:sz w:val="21"/>
                <w:szCs w:val="21"/>
              </w:rPr>
            </w:pPr>
            <w:r>
              <w:rPr>
                <w:rFonts w:hint="eastAsia" w:hAnsi="宋体"/>
                <w:sz w:val="21"/>
                <w:szCs w:val="21"/>
              </w:rPr>
              <w:t>化粪池处理后定期清掏用作农肥</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jc w:val="center"/>
              <w:rPr>
                <w:bCs/>
                <w:color w:val="000000"/>
                <w:sz w:val="21"/>
                <w:szCs w:val="21"/>
              </w:rPr>
            </w:pPr>
            <w:r>
              <w:rPr>
                <w:rFonts w:hint="eastAsia"/>
                <w:bCs/>
                <w:color w:val="000000"/>
                <w:sz w:val="21"/>
                <w:szCs w:val="21"/>
              </w:rPr>
              <w:t>噪声</w:t>
            </w:r>
          </w:p>
        </w:tc>
        <w:tc>
          <w:tcPr>
            <w:tcW w:w="851" w:type="dxa"/>
            <w:vAlign w:val="center"/>
          </w:tcPr>
          <w:p>
            <w:pPr>
              <w:spacing w:line="240" w:lineRule="auto"/>
              <w:contextualSpacing/>
              <w:rPr>
                <w:sz w:val="21"/>
                <w:szCs w:val="21"/>
              </w:rPr>
            </w:pPr>
            <w:r>
              <w:rPr>
                <w:rFonts w:hAnsi="宋体"/>
                <w:sz w:val="21"/>
                <w:szCs w:val="21"/>
              </w:rPr>
              <w:t>设备噪声</w:t>
            </w:r>
          </w:p>
        </w:tc>
        <w:tc>
          <w:tcPr>
            <w:tcW w:w="1984" w:type="dxa"/>
            <w:vAlign w:val="center"/>
          </w:tcPr>
          <w:p>
            <w:pPr>
              <w:spacing w:line="240" w:lineRule="auto"/>
              <w:contextualSpacing/>
              <w:rPr>
                <w:sz w:val="21"/>
                <w:szCs w:val="21"/>
              </w:rPr>
            </w:pPr>
            <w:r>
              <w:rPr>
                <w:rFonts w:hAnsi="宋体"/>
                <w:sz w:val="21"/>
                <w:szCs w:val="21"/>
              </w:rPr>
              <w:t>采用低噪声设备、采取基础减震、隔声等措施</w:t>
            </w:r>
          </w:p>
        </w:tc>
        <w:tc>
          <w:tcPr>
            <w:tcW w:w="3260" w:type="dxa"/>
            <w:vAlign w:val="center"/>
          </w:tcPr>
          <w:p>
            <w:pPr>
              <w:spacing w:line="240" w:lineRule="auto"/>
              <w:contextualSpacing/>
              <w:rPr>
                <w:sz w:val="21"/>
                <w:szCs w:val="21"/>
              </w:rPr>
            </w:pPr>
            <w:r>
              <w:rPr>
                <w:rFonts w:hAnsi="宋体"/>
                <w:sz w:val="21"/>
                <w:szCs w:val="21"/>
              </w:rPr>
              <w:t>采用低噪声设备、采取基础减震、隔声等措施</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Merge w:val="restart"/>
            <w:vAlign w:val="center"/>
          </w:tcPr>
          <w:p>
            <w:pPr>
              <w:spacing w:line="240" w:lineRule="auto"/>
              <w:jc w:val="center"/>
              <w:rPr>
                <w:bCs/>
                <w:color w:val="000000"/>
                <w:sz w:val="21"/>
                <w:szCs w:val="21"/>
              </w:rPr>
            </w:pPr>
            <w:r>
              <w:rPr>
                <w:rFonts w:hint="eastAsia"/>
                <w:bCs/>
                <w:color w:val="000000"/>
                <w:sz w:val="21"/>
                <w:szCs w:val="21"/>
              </w:rPr>
              <w:t>固废</w:t>
            </w:r>
          </w:p>
        </w:tc>
        <w:tc>
          <w:tcPr>
            <w:tcW w:w="851" w:type="dxa"/>
            <w:vAlign w:val="center"/>
          </w:tcPr>
          <w:p>
            <w:pPr>
              <w:spacing w:line="240" w:lineRule="auto"/>
              <w:contextualSpacing/>
              <w:rPr>
                <w:sz w:val="21"/>
                <w:szCs w:val="21"/>
              </w:rPr>
            </w:pPr>
            <w:r>
              <w:rPr>
                <w:rFonts w:hint="eastAsia" w:hAnsi="宋体"/>
                <w:sz w:val="21"/>
                <w:szCs w:val="21"/>
              </w:rPr>
              <w:t>生活垃圾</w:t>
            </w:r>
          </w:p>
        </w:tc>
        <w:tc>
          <w:tcPr>
            <w:tcW w:w="1984" w:type="dxa"/>
            <w:vAlign w:val="center"/>
          </w:tcPr>
          <w:p>
            <w:pPr>
              <w:spacing w:line="240" w:lineRule="auto"/>
              <w:contextualSpacing/>
              <w:rPr>
                <w:sz w:val="21"/>
                <w:szCs w:val="21"/>
              </w:rPr>
            </w:pPr>
            <w:r>
              <w:rPr>
                <w:rFonts w:hint="eastAsia"/>
                <w:sz w:val="21"/>
                <w:szCs w:val="21"/>
              </w:rPr>
              <w:t>垃圾收集桶收集后交环卫部门统一处理处置</w:t>
            </w:r>
          </w:p>
        </w:tc>
        <w:tc>
          <w:tcPr>
            <w:tcW w:w="3260" w:type="dxa"/>
            <w:vAlign w:val="center"/>
          </w:tcPr>
          <w:p>
            <w:pPr>
              <w:spacing w:line="240" w:lineRule="auto"/>
              <w:contextualSpacing/>
              <w:rPr>
                <w:sz w:val="21"/>
                <w:szCs w:val="21"/>
              </w:rPr>
            </w:pPr>
            <w:r>
              <w:rPr>
                <w:rFonts w:hint="eastAsia"/>
                <w:sz w:val="21"/>
                <w:szCs w:val="21"/>
              </w:rPr>
              <w:t>垃圾收集桶收集后交环卫部门统一处理处置</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Merge w:val="continue"/>
            <w:vAlign w:val="center"/>
          </w:tcPr>
          <w:p>
            <w:pPr>
              <w:spacing w:line="240" w:lineRule="auto"/>
              <w:jc w:val="center"/>
              <w:rPr>
                <w:bCs/>
                <w:color w:val="000000"/>
                <w:sz w:val="21"/>
                <w:szCs w:val="21"/>
              </w:rPr>
            </w:pPr>
          </w:p>
        </w:tc>
        <w:tc>
          <w:tcPr>
            <w:tcW w:w="851" w:type="dxa"/>
            <w:vAlign w:val="center"/>
          </w:tcPr>
          <w:p>
            <w:pPr>
              <w:spacing w:line="240" w:lineRule="auto"/>
              <w:contextualSpacing/>
              <w:rPr>
                <w:rFonts w:hAnsi="宋体"/>
                <w:sz w:val="21"/>
                <w:szCs w:val="21"/>
              </w:rPr>
            </w:pPr>
            <w:r>
              <w:rPr>
                <w:rFonts w:hint="eastAsia" w:hAnsi="宋体"/>
                <w:sz w:val="21"/>
                <w:szCs w:val="21"/>
              </w:rPr>
              <w:t>不合格产品</w:t>
            </w:r>
          </w:p>
        </w:tc>
        <w:tc>
          <w:tcPr>
            <w:tcW w:w="1984" w:type="dxa"/>
            <w:vAlign w:val="center"/>
          </w:tcPr>
          <w:p>
            <w:pPr>
              <w:spacing w:line="240" w:lineRule="auto"/>
              <w:contextualSpacing/>
              <w:rPr>
                <w:sz w:val="21"/>
                <w:szCs w:val="21"/>
              </w:rPr>
            </w:pPr>
            <w:r>
              <w:rPr>
                <w:rFonts w:hint="eastAsia"/>
                <w:sz w:val="21"/>
                <w:szCs w:val="21"/>
              </w:rPr>
              <w:t>废料库暂存后由厂家回收</w:t>
            </w:r>
          </w:p>
        </w:tc>
        <w:tc>
          <w:tcPr>
            <w:tcW w:w="3260" w:type="dxa"/>
            <w:vAlign w:val="center"/>
          </w:tcPr>
          <w:p>
            <w:pPr>
              <w:spacing w:line="240" w:lineRule="auto"/>
              <w:contextualSpacing/>
              <w:rPr>
                <w:sz w:val="21"/>
                <w:szCs w:val="21"/>
              </w:rPr>
            </w:pPr>
            <w:r>
              <w:rPr>
                <w:rFonts w:hint="eastAsia"/>
                <w:sz w:val="21"/>
                <w:szCs w:val="21"/>
              </w:rPr>
              <w:t>废料库暂存后由厂家回收</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Merge w:val="continue"/>
            <w:vAlign w:val="center"/>
          </w:tcPr>
          <w:p>
            <w:pPr>
              <w:spacing w:line="240" w:lineRule="auto"/>
              <w:jc w:val="center"/>
              <w:rPr>
                <w:bCs/>
                <w:color w:val="000000"/>
                <w:sz w:val="21"/>
                <w:szCs w:val="21"/>
              </w:rPr>
            </w:pPr>
          </w:p>
        </w:tc>
        <w:tc>
          <w:tcPr>
            <w:tcW w:w="851" w:type="dxa"/>
            <w:vAlign w:val="center"/>
          </w:tcPr>
          <w:p>
            <w:pPr>
              <w:spacing w:line="240" w:lineRule="auto"/>
              <w:jc w:val="center"/>
              <w:rPr>
                <w:bCs/>
                <w:color w:val="000000"/>
                <w:sz w:val="21"/>
                <w:szCs w:val="21"/>
              </w:rPr>
            </w:pPr>
            <w:r>
              <w:rPr>
                <w:rFonts w:hint="eastAsia"/>
                <w:bCs/>
                <w:color w:val="000000"/>
                <w:sz w:val="21"/>
                <w:szCs w:val="21"/>
              </w:rPr>
              <w:t>废活性炭</w:t>
            </w:r>
          </w:p>
        </w:tc>
        <w:tc>
          <w:tcPr>
            <w:tcW w:w="1984" w:type="dxa"/>
            <w:vMerge w:val="restart"/>
            <w:vAlign w:val="center"/>
          </w:tcPr>
          <w:p>
            <w:pPr>
              <w:spacing w:line="240" w:lineRule="auto"/>
              <w:jc w:val="center"/>
              <w:rPr>
                <w:bCs/>
                <w:color w:val="000000"/>
                <w:sz w:val="21"/>
                <w:szCs w:val="21"/>
              </w:rPr>
            </w:pPr>
            <w:r>
              <w:rPr>
                <w:rFonts w:hint="eastAsia" w:hAnsi="宋体"/>
                <w:sz w:val="21"/>
                <w:szCs w:val="21"/>
              </w:rPr>
              <w:t>危废收集桶、危废暂存间（防渗防漏）暂存后交由有资质单位处理处置</w:t>
            </w:r>
          </w:p>
        </w:tc>
        <w:tc>
          <w:tcPr>
            <w:tcW w:w="3260" w:type="dxa"/>
            <w:vMerge w:val="restart"/>
            <w:vAlign w:val="center"/>
          </w:tcPr>
          <w:p>
            <w:pPr>
              <w:spacing w:line="240" w:lineRule="auto"/>
              <w:jc w:val="center"/>
              <w:rPr>
                <w:bCs/>
                <w:color w:val="000000"/>
                <w:sz w:val="21"/>
                <w:szCs w:val="21"/>
              </w:rPr>
            </w:pPr>
            <w:r>
              <w:rPr>
                <w:rFonts w:hint="eastAsia" w:hAnsi="宋体"/>
                <w:sz w:val="21"/>
                <w:szCs w:val="21"/>
              </w:rPr>
              <w:t>废活性炭经危废收集桶收集，在危废暂存间（防渗防漏）暂存后交由陕西明瑞资源再生有限公司处理，废紫外灯管由厂商更换后直接回收，不在厂区存放</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Merge w:val="continue"/>
            <w:vAlign w:val="center"/>
          </w:tcPr>
          <w:p>
            <w:pPr>
              <w:spacing w:line="240" w:lineRule="auto"/>
              <w:jc w:val="center"/>
              <w:rPr>
                <w:bCs/>
                <w:color w:val="000000"/>
                <w:sz w:val="21"/>
                <w:szCs w:val="21"/>
              </w:rPr>
            </w:pPr>
          </w:p>
        </w:tc>
        <w:tc>
          <w:tcPr>
            <w:tcW w:w="851" w:type="dxa"/>
            <w:vAlign w:val="center"/>
          </w:tcPr>
          <w:p>
            <w:pPr>
              <w:spacing w:line="240" w:lineRule="auto"/>
              <w:jc w:val="center"/>
              <w:rPr>
                <w:bCs/>
                <w:color w:val="000000"/>
                <w:sz w:val="21"/>
                <w:szCs w:val="21"/>
              </w:rPr>
            </w:pPr>
            <w:r>
              <w:rPr>
                <w:rFonts w:hint="eastAsia"/>
                <w:bCs/>
                <w:color w:val="000000"/>
                <w:sz w:val="21"/>
                <w:szCs w:val="21"/>
              </w:rPr>
              <w:t>废紫外灯管</w:t>
            </w:r>
          </w:p>
        </w:tc>
        <w:tc>
          <w:tcPr>
            <w:tcW w:w="1984" w:type="dxa"/>
            <w:vMerge w:val="continue"/>
            <w:vAlign w:val="center"/>
          </w:tcPr>
          <w:p>
            <w:pPr>
              <w:spacing w:line="240" w:lineRule="auto"/>
              <w:jc w:val="center"/>
              <w:rPr>
                <w:bCs/>
                <w:color w:val="000000"/>
                <w:sz w:val="21"/>
                <w:szCs w:val="21"/>
              </w:rPr>
            </w:pPr>
          </w:p>
        </w:tc>
        <w:tc>
          <w:tcPr>
            <w:tcW w:w="3260" w:type="dxa"/>
            <w:vMerge w:val="continue"/>
            <w:vAlign w:val="center"/>
          </w:tcPr>
          <w:p>
            <w:pPr>
              <w:spacing w:line="240" w:lineRule="auto"/>
              <w:jc w:val="center"/>
              <w:rPr>
                <w:bCs/>
                <w:color w:val="000000"/>
                <w:sz w:val="21"/>
                <w:szCs w:val="21"/>
              </w:rPr>
            </w:pP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bl>
    <w:p>
      <w:pPr>
        <w:ind w:firstLine="480" w:firstLineChars="200"/>
      </w:pPr>
      <w:r>
        <w:rPr>
          <w:rFonts w:hint="eastAsia"/>
        </w:rPr>
        <w:t>2、</w:t>
      </w:r>
      <w:r>
        <w:t>建设过程及环保审批情况</w:t>
      </w:r>
    </w:p>
    <w:p>
      <w:pPr>
        <w:ind w:firstLine="480" w:firstLineChars="200"/>
      </w:pPr>
      <w:r>
        <w:rPr>
          <w:rFonts w:hint="eastAsia"/>
        </w:rPr>
        <w:t>本项目于2019年3月由重庆大润环境科学研究院有限公司完成环境影响报告表的编制工作，2019年4月30日由陕西省西咸新区秦汉新城行政审批与政务服务局对该项目的环境影响报告表进行了审批；该项目2018年11月开工建设，2019年03月建成投产。</w:t>
      </w:r>
    </w:p>
    <w:p>
      <w:pPr>
        <w:ind w:firstLine="480" w:firstLineChars="200"/>
      </w:pPr>
      <w:r>
        <w:rPr>
          <w:rFonts w:hint="eastAsia"/>
        </w:rPr>
        <w:t>3、</w:t>
      </w:r>
      <w:r>
        <w:t>投资情况</w:t>
      </w:r>
    </w:p>
    <w:p>
      <w:pPr>
        <w:ind w:firstLine="480" w:firstLineChars="200"/>
      </w:pPr>
      <w:r>
        <w:t>该项目</w:t>
      </w:r>
      <w:r>
        <w:rPr>
          <w:rFonts w:hint="eastAsia"/>
        </w:rPr>
        <w:t>总投资</w:t>
      </w:r>
      <w:r>
        <w:t>200万元，其中环保投资23万，占总投资的</w:t>
      </w:r>
      <w:r>
        <w:rPr>
          <w:rFonts w:hint="eastAsia"/>
        </w:rPr>
        <w:t>11.</w:t>
      </w:r>
      <w:r>
        <w:t>5%</w:t>
      </w:r>
      <w:r>
        <w:rPr>
          <w:rFonts w:hint="eastAsia"/>
        </w:rPr>
        <w:t>。</w:t>
      </w:r>
    </w:p>
    <w:p>
      <w:pPr>
        <w:ind w:firstLine="480" w:firstLineChars="200"/>
      </w:pPr>
      <w:r>
        <w:rPr>
          <w:rFonts w:hint="eastAsia"/>
        </w:rPr>
        <w:t>4、</w:t>
      </w:r>
      <w:r>
        <w:t>验收范围</w:t>
      </w:r>
    </w:p>
    <w:p>
      <w:pPr>
        <w:ind w:firstLine="480" w:firstLineChars="200"/>
      </w:pPr>
      <w:r>
        <w:t>本次验收范围为</w:t>
      </w:r>
      <w:r>
        <w:rPr>
          <w:rFonts w:hint="eastAsia"/>
        </w:rPr>
        <w:t>西咸新区天河塑料制品有限公司吸塑制品加工生产线建设项目</w:t>
      </w:r>
      <w:r>
        <w:t>配套</w:t>
      </w:r>
      <w:r>
        <w:rPr>
          <w:rFonts w:hint="eastAsia"/>
        </w:rPr>
        <w:t>建设的废水、废气、噪声</w:t>
      </w:r>
      <w:r>
        <w:t>污染防治措施。</w:t>
      </w:r>
    </w:p>
    <w:p>
      <w:pPr>
        <w:autoSpaceDE w:val="0"/>
        <w:autoSpaceDN w:val="0"/>
        <w:ind w:firstLine="562" w:firstLineChars="200"/>
        <w:rPr>
          <w:bCs/>
        </w:rPr>
      </w:pPr>
      <w:r>
        <w:rPr>
          <w:b/>
          <w:sz w:val="28"/>
          <w:szCs w:val="28"/>
        </w:rPr>
        <w:t>二、工程变动情况</w:t>
      </w:r>
    </w:p>
    <w:p>
      <w:pPr>
        <w:ind w:firstLine="480" w:firstLineChars="200"/>
      </w:pPr>
      <w:r>
        <w:t>经现场勘查对比环评、环评批复，根据原环境保护部办公厅《关于印发环评管理中部分行业建设项目重大变动清单的通知》环办[2015]52号文本项目不存在重大变更情况。</w:t>
      </w:r>
    </w:p>
    <w:p>
      <w:pPr>
        <w:widowControl w:val="0"/>
        <w:numPr>
          <w:ilvl w:val="0"/>
          <w:numId w:val="2"/>
        </w:numPr>
        <w:autoSpaceDE w:val="0"/>
        <w:autoSpaceDN w:val="0"/>
        <w:adjustRightInd/>
        <w:snapToGrid/>
        <w:ind w:firstLine="482" w:firstLineChars="200"/>
        <w:jc w:val="both"/>
      </w:pPr>
      <w:r>
        <w:rPr>
          <w:b/>
        </w:rPr>
        <w:t>固体废物污染防治措施</w:t>
      </w:r>
    </w:p>
    <w:p>
      <w:pPr>
        <w:ind w:firstLine="480" w:firstLineChars="200"/>
      </w:pPr>
      <w:r>
        <w:t>运营期固废主要为生活垃圾、</w:t>
      </w:r>
      <w:r>
        <w:rPr>
          <w:rFonts w:hint="eastAsia"/>
        </w:rPr>
        <w:t>不合格产品</w:t>
      </w:r>
      <w:r>
        <w:t>、危险废物（废机油；废含油手套、抹布</w:t>
      </w:r>
      <w:r>
        <w:rPr>
          <w:rFonts w:hint="eastAsia"/>
        </w:rPr>
        <w:t>、废活性炭</w:t>
      </w:r>
      <w:r>
        <w:t>）。</w:t>
      </w:r>
    </w:p>
    <w:p>
      <w:pPr>
        <w:ind w:firstLine="480" w:firstLineChars="200"/>
        <w:rPr>
          <w:rFonts w:eastAsiaTheme="minorEastAsia"/>
        </w:rPr>
      </w:pPr>
      <w:r>
        <w:rPr>
          <w:rFonts w:eastAsiaTheme="minorEastAsia"/>
        </w:rPr>
        <w:t>（1）生活垃圾</w:t>
      </w:r>
    </w:p>
    <w:p>
      <w:pPr>
        <w:ind w:firstLine="480" w:firstLineChars="200"/>
        <w:rPr>
          <w:rFonts w:eastAsiaTheme="minorEastAsia"/>
        </w:rPr>
      </w:pPr>
      <w:r>
        <w:rPr>
          <w:rFonts w:eastAsiaTheme="minorEastAsia"/>
        </w:rPr>
        <w:t>本项目生活垃圾采用垃圾桶收集后交由环卫部门统一清运。</w:t>
      </w:r>
    </w:p>
    <w:p>
      <w:pPr>
        <w:ind w:firstLine="480" w:firstLineChars="200"/>
        <w:rPr>
          <w:rFonts w:eastAsiaTheme="minorEastAsia"/>
        </w:rPr>
      </w:pPr>
      <w:r>
        <w:rPr>
          <w:rFonts w:eastAsiaTheme="minorEastAsia"/>
        </w:rPr>
        <w:t>（2）一般固废</w:t>
      </w:r>
    </w:p>
    <w:p>
      <w:pPr>
        <w:ind w:firstLine="480" w:firstLineChars="200"/>
        <w:rPr>
          <w:rFonts w:eastAsiaTheme="minorEastAsia"/>
        </w:rPr>
      </w:pPr>
      <w:r>
        <w:rPr>
          <w:rFonts w:eastAsiaTheme="minorEastAsia"/>
        </w:rPr>
        <w:t>项目在检验工序会产生的少量不合格产品经废料库暂存后全部由厂家回收。</w:t>
      </w:r>
    </w:p>
    <w:p>
      <w:pPr>
        <w:ind w:firstLine="480" w:firstLineChars="200"/>
        <w:rPr>
          <w:rFonts w:eastAsiaTheme="minorEastAsia"/>
        </w:rPr>
      </w:pPr>
      <w:r>
        <w:rPr>
          <w:rFonts w:eastAsiaTheme="minorEastAsia"/>
        </w:rPr>
        <w:t>（3）危险废物</w:t>
      </w:r>
    </w:p>
    <w:p>
      <w:pPr>
        <w:ind w:firstLine="480" w:firstLineChars="200"/>
        <w:rPr>
          <w:rFonts w:eastAsiaTheme="minorEastAsia"/>
        </w:rPr>
      </w:pPr>
      <w:r>
        <w:rPr>
          <w:rFonts w:eastAsiaTheme="minorEastAsia"/>
        </w:rPr>
        <w:t>本项目设备维修产生的废机油、油抹布等在危废暂存间收集后定期交由陕西明瑞资源再生有限公司处理；有机废气处理过程会产生废活性炭和废紫外灯管，废活性炭在危废暂存间收集后交由陕西明瑞资源再生有限公司处理。紫外灯管由供货商更换，废旧的紫外灯管直接由供货商回收，不在厂区存放。</w:t>
      </w:r>
    </w:p>
    <w:p>
      <w:pPr>
        <w:pStyle w:val="3"/>
        <w:widowControl w:val="0"/>
        <w:numPr>
          <w:ilvl w:val="0"/>
          <w:numId w:val="2"/>
        </w:numPr>
        <w:adjustRightInd/>
        <w:snapToGrid/>
        <w:spacing w:before="0" w:after="0" w:line="360" w:lineRule="auto"/>
        <w:ind w:firstLine="562" w:firstLineChars="200"/>
        <w:jc w:val="both"/>
        <w:rPr>
          <w:rFonts w:ascii="宋体" w:hAnsi="宋体"/>
          <w:sz w:val="28"/>
          <w:szCs w:val="28"/>
        </w:rPr>
      </w:pPr>
      <w:r>
        <w:rPr>
          <w:rFonts w:ascii="宋体" w:hAnsi="宋体"/>
          <w:sz w:val="28"/>
          <w:szCs w:val="28"/>
        </w:rPr>
        <w:t>环境保护设施调试效果</w:t>
      </w:r>
    </w:p>
    <w:p>
      <w:pPr>
        <w:pStyle w:val="21"/>
        <w:spacing w:line="360" w:lineRule="auto"/>
        <w:ind w:firstLine="482"/>
        <w:rPr>
          <w:rFonts w:ascii="Times New Roman" w:hAnsi="Times New Roman" w:eastAsia="宋体o湧.瑤." w:cs="Times New Roman"/>
        </w:rPr>
      </w:pPr>
      <w:r>
        <w:rPr>
          <w:rFonts w:hint="eastAsia" w:ascii="Times New Roman" w:hAnsi="Times New Roman" w:eastAsia="宋体o湧.瑤." w:cs="Times New Roman"/>
        </w:rPr>
        <w:t>项目厂区设置垃圾收集桶，生活垃圾集中收集后交由环卫部门统一处理处置；项目不合格产品经废料库暂存后全部由厂家回收；设备维修产生的废机油、油抹布等在危废暂存间收集后定期交由陕西明瑞资源再生有限公司处理；废活性炭经专用容器盛装，在危废暂存间收集后定期交由陕西明瑞资源再生有限公司处理；废紫外灯管由厂商更换后直接回收，不在厂区存放。各项固体废弃物均得到有效处置。</w:t>
      </w:r>
    </w:p>
    <w:p>
      <w:pPr>
        <w:ind w:firstLine="562" w:firstLineChars="200"/>
      </w:pPr>
      <w:r>
        <w:rPr>
          <w:rFonts w:hint="eastAsia"/>
          <w:b/>
          <w:sz w:val="28"/>
          <w:szCs w:val="28"/>
        </w:rPr>
        <w:t>五、项目建设对环境的影响</w:t>
      </w:r>
    </w:p>
    <w:p>
      <w:pPr>
        <w:ind w:firstLine="480"/>
      </w:pPr>
      <w:r>
        <w:rPr>
          <w:rFonts w:hint="eastAsia"/>
        </w:rPr>
        <w:t>根据《西咸新区天河塑料制品有限公司吸塑制品加工生产线建设项目</w:t>
      </w:r>
      <w:r>
        <w:t>竣工环境保护验收监测报告表</w:t>
      </w:r>
      <w:r>
        <w:rPr>
          <w:rFonts w:hint="eastAsia"/>
        </w:rPr>
        <w:t>》，固体废弃物基本按照相关环保要求进行暂存和处置。</w:t>
      </w:r>
    </w:p>
    <w:p>
      <w:pPr>
        <w:pStyle w:val="2"/>
        <w:spacing w:before="0" w:after="0" w:line="360" w:lineRule="auto"/>
        <w:rPr>
          <w:rFonts w:ascii="宋体" w:hAnsi="宋体"/>
          <w:sz w:val="28"/>
          <w:szCs w:val="28"/>
        </w:rPr>
      </w:pPr>
      <w:r>
        <w:rPr>
          <w:rFonts w:hint="eastAsia" w:ascii="宋体" w:hAnsi="宋体"/>
          <w:sz w:val="28"/>
          <w:szCs w:val="28"/>
        </w:rPr>
        <w:t>六</w:t>
      </w:r>
      <w:r>
        <w:rPr>
          <w:rFonts w:ascii="宋体" w:hAnsi="宋体"/>
          <w:sz w:val="28"/>
          <w:szCs w:val="28"/>
        </w:rPr>
        <w:t>、验收结论</w:t>
      </w:r>
    </w:p>
    <w:p>
      <w:pPr>
        <w:ind w:firstLine="480"/>
      </w:pPr>
      <w:r>
        <w:rPr>
          <w:rFonts w:hint="eastAsia"/>
        </w:rPr>
        <w:t>项目履行了环境影响评价审批手续，在建设中基本落实了项目环境影响报告表和审批意见提出的环境污染防治措施</w:t>
      </w:r>
      <w:r>
        <w:t>，总体上达到建设</w:t>
      </w:r>
      <w:r>
        <w:rPr>
          <w:rFonts w:hint="eastAsia"/>
        </w:rPr>
        <w:t>项目</w:t>
      </w:r>
      <w:r>
        <w:t>竣工环境保护验收的条件</w:t>
      </w:r>
      <w:r>
        <w:rPr>
          <w:rFonts w:hint="eastAsia"/>
        </w:rPr>
        <w:t>，验收组认为项目固废污染防治设施竣工环境保护验收合格。</w:t>
      </w:r>
    </w:p>
    <w:p>
      <w:pPr>
        <w:pStyle w:val="3"/>
        <w:widowControl w:val="0"/>
        <w:numPr>
          <w:ilvl w:val="0"/>
          <w:numId w:val="3"/>
        </w:numPr>
        <w:adjustRightInd/>
        <w:snapToGrid/>
        <w:spacing w:before="0" w:after="0" w:line="360" w:lineRule="auto"/>
        <w:jc w:val="both"/>
        <w:rPr>
          <w:sz w:val="28"/>
          <w:szCs w:val="28"/>
        </w:rPr>
      </w:pPr>
      <w:r>
        <w:rPr>
          <w:rFonts w:hint="eastAsia"/>
          <w:sz w:val="28"/>
          <w:szCs w:val="28"/>
        </w:rPr>
        <w:t>后续要求</w:t>
      </w:r>
    </w:p>
    <w:p>
      <w:r>
        <w:rPr>
          <w:rFonts w:hint="eastAsia"/>
        </w:rPr>
        <w:t xml:space="preserve">    规范危废暂存间，按照相关环保要求进行暂存和处置，并落实危废转移联单制度。</w:t>
      </w:r>
    </w:p>
    <w:p>
      <w:pPr>
        <w:pStyle w:val="3"/>
        <w:widowControl w:val="0"/>
        <w:numPr>
          <w:ilvl w:val="0"/>
          <w:numId w:val="3"/>
        </w:numPr>
        <w:adjustRightInd/>
        <w:snapToGrid/>
        <w:spacing w:before="0" w:after="0" w:line="360" w:lineRule="auto"/>
        <w:jc w:val="both"/>
        <w:rPr>
          <w:sz w:val="28"/>
          <w:szCs w:val="28"/>
        </w:rPr>
      </w:pPr>
      <w:r>
        <w:rPr>
          <w:rFonts w:hint="eastAsia"/>
          <w:sz w:val="28"/>
          <w:szCs w:val="28"/>
        </w:rPr>
        <w:t>验收人员信息</w:t>
      </w:r>
    </w:p>
    <w:p>
      <w:pPr>
        <w:ind w:firstLine="480" w:firstLineChars="200"/>
      </w:pPr>
      <w:r>
        <w:rPr>
          <w:bCs/>
          <w:kern w:val="44"/>
        </w:rPr>
        <w:t>验收组人员</w:t>
      </w:r>
      <w:r>
        <w:t>名单</w:t>
      </w:r>
      <w:r>
        <w:rPr>
          <w:rFonts w:hint="eastAsia"/>
        </w:rPr>
        <w:t>见附件</w:t>
      </w:r>
      <w:r>
        <w:t>。</w:t>
      </w:r>
    </w:p>
    <w:p>
      <w:pPr>
        <w:spacing w:line="460" w:lineRule="exact"/>
        <w:rPr>
          <w:b/>
          <w:color w:val="FF0000"/>
        </w:rPr>
      </w:pPr>
    </w:p>
    <w:p>
      <w:pPr>
        <w:spacing w:line="460" w:lineRule="exact"/>
        <w:ind w:right="1070" w:firstLine="3935" w:firstLineChars="1400"/>
        <w:rPr>
          <w:rFonts w:asciiTheme="majorEastAsia" w:hAnsiTheme="majorEastAsia" w:eastAsiaTheme="majorEastAsia" w:cstheme="majorEastAsia"/>
          <w:b/>
          <w:sz w:val="28"/>
          <w:szCs w:val="28"/>
        </w:rPr>
      </w:pPr>
    </w:p>
    <w:p>
      <w:pPr>
        <w:pStyle w:val="3"/>
      </w:pPr>
    </w:p>
    <w:p>
      <w:pPr>
        <w:spacing w:line="460" w:lineRule="exact"/>
        <w:ind w:right="1070" w:firstLine="3855" w:firstLineChars="1600"/>
        <w:jc w:val="center"/>
        <w:rPr>
          <w:b/>
        </w:rPr>
      </w:pPr>
      <w:r>
        <w:rPr>
          <w:rFonts w:hint="eastAsia"/>
          <w:b/>
        </w:rPr>
        <w:t xml:space="preserve">      </w:t>
      </w:r>
    </w:p>
    <w:p>
      <w:pPr>
        <w:spacing w:line="460" w:lineRule="exact"/>
        <w:ind w:right="1070" w:firstLine="3855" w:firstLineChars="1600"/>
        <w:jc w:val="center"/>
        <w:rPr>
          <w:b/>
        </w:rPr>
      </w:pPr>
      <w:r>
        <w:rPr>
          <w:rFonts w:hint="eastAsia"/>
          <w:b/>
        </w:rPr>
        <w:t xml:space="preserve">       验收组</w:t>
      </w:r>
    </w:p>
    <w:p>
      <w:pPr>
        <w:spacing w:line="460" w:lineRule="exact"/>
        <w:ind w:right="1070" w:firstLine="3855" w:firstLineChars="1600"/>
        <w:jc w:val="right"/>
        <w:rPr>
          <w:color w:val="FF0000"/>
        </w:rPr>
      </w:pPr>
      <w:r>
        <w:rPr>
          <w:b/>
        </w:rPr>
        <w:t xml:space="preserve"> 2019年06月21日</w:t>
      </w:r>
      <w:bookmarkEnd w:id="0"/>
    </w:p>
    <w:p>
      <w:pPr>
        <w:spacing w:line="240" w:lineRule="auto"/>
        <w:rPr>
          <w:b/>
          <w:color w:val="000000"/>
          <w:sz w:val="28"/>
          <w:szCs w:val="21"/>
        </w:rPr>
      </w:pPr>
    </w:p>
    <w:p>
      <w:pPr>
        <w:adjustRightInd/>
        <w:snapToGrid/>
        <w:spacing w:line="240" w:lineRule="auto"/>
        <w:rPr>
          <w:b/>
          <w:color w:val="000000"/>
          <w:sz w:val="28"/>
          <w:szCs w:val="21"/>
        </w:rPr>
      </w:pPr>
      <w:r>
        <w:rPr>
          <w:b/>
          <w:color w:val="000000"/>
          <w:sz w:val="28"/>
          <w:szCs w:val="21"/>
        </w:rPr>
        <w:br w:type="page"/>
      </w:r>
    </w:p>
    <w:p>
      <w:pPr>
        <w:spacing w:line="240" w:lineRule="auto"/>
        <w:rPr>
          <w:b/>
          <w:color w:val="000000"/>
          <w:sz w:val="28"/>
          <w:szCs w:val="21"/>
        </w:rPr>
      </w:pPr>
      <w:r>
        <w:drawing>
          <wp:inline distT="0" distB="0" distL="0" distR="0">
            <wp:extent cx="5274310" cy="74568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7456805"/>
                    </a:xfrm>
                    <a:prstGeom prst="rect">
                      <a:avLst/>
                    </a:prstGeom>
                    <a:noFill/>
                    <a:ln>
                      <a:noFill/>
                    </a:ln>
                  </pic:spPr>
                </pic:pic>
              </a:graphicData>
            </a:graphic>
          </wp:inline>
        </w:drawing>
      </w:r>
    </w:p>
    <w:p>
      <w:pPr>
        <w:adjustRightInd/>
        <w:snapToGrid/>
        <w:spacing w:line="240" w:lineRule="auto"/>
        <w:rPr>
          <w:b/>
          <w:color w:val="000000"/>
          <w:sz w:val="28"/>
          <w:szCs w:val="21"/>
        </w:rPr>
      </w:pPr>
      <w:r>
        <w:rPr>
          <w:b/>
          <w:color w:val="000000"/>
          <w:sz w:val="28"/>
          <w:szCs w:val="21"/>
        </w:rPr>
        <w:br w:type="page"/>
      </w:r>
    </w:p>
    <w:p>
      <w:pPr>
        <w:spacing w:line="240" w:lineRule="auto"/>
        <w:rPr>
          <w:b/>
          <w:color w:val="000000"/>
          <w:sz w:val="28"/>
          <w:szCs w:val="21"/>
        </w:rPr>
      </w:pPr>
      <w:r>
        <w:rPr>
          <w:b/>
          <w:color w:val="000000"/>
          <w:sz w:val="28"/>
          <w:szCs w:val="21"/>
        </w:rPr>
        <w:t>表一</w:t>
      </w:r>
    </w:p>
    <w:tbl>
      <w:tblPr>
        <w:tblStyle w:val="8"/>
        <w:tblW w:w="88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856"/>
        <w:gridCol w:w="1910"/>
        <w:gridCol w:w="1317"/>
        <w:gridCol w:w="755"/>
        <w:gridCol w:w="10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建设项目名称</w:t>
            </w:r>
          </w:p>
        </w:tc>
        <w:tc>
          <w:tcPr>
            <w:tcW w:w="6861" w:type="dxa"/>
            <w:gridSpan w:val="5"/>
            <w:vAlign w:val="center"/>
          </w:tcPr>
          <w:p>
            <w:pPr>
              <w:spacing w:line="240" w:lineRule="auto"/>
              <w:jc w:val="center"/>
              <w:rPr>
                <w:color w:val="000000"/>
                <w:szCs w:val="24"/>
              </w:rPr>
            </w:pPr>
            <w:r>
              <w:rPr>
                <w:rFonts w:hint="eastAsia" w:hAnsi="宋体"/>
              </w:rPr>
              <w:t>西咸新区天河塑料制品有限公司吸塑制品加工生产线建设项目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建设单位名称</w:t>
            </w:r>
          </w:p>
        </w:tc>
        <w:tc>
          <w:tcPr>
            <w:tcW w:w="6861" w:type="dxa"/>
            <w:gridSpan w:val="5"/>
            <w:vAlign w:val="center"/>
          </w:tcPr>
          <w:p>
            <w:pPr>
              <w:spacing w:line="240" w:lineRule="auto"/>
              <w:jc w:val="center"/>
              <w:rPr>
                <w:color w:val="000000"/>
                <w:szCs w:val="24"/>
              </w:rPr>
            </w:pPr>
            <w:r>
              <w:rPr>
                <w:rFonts w:hint="eastAsia"/>
                <w:szCs w:val="24"/>
              </w:rPr>
              <w:t>西咸新区天河塑料制品有限公司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建设项目性质</w:t>
            </w:r>
          </w:p>
        </w:tc>
        <w:tc>
          <w:tcPr>
            <w:tcW w:w="6861" w:type="dxa"/>
            <w:gridSpan w:val="5"/>
            <w:vAlign w:val="center"/>
          </w:tcPr>
          <w:p>
            <w:pPr>
              <w:spacing w:line="240" w:lineRule="auto"/>
              <w:jc w:val="center"/>
              <w:rPr>
                <w:color w:val="000000"/>
                <w:szCs w:val="24"/>
              </w:rPr>
            </w:pPr>
            <w:r>
              <w:rPr>
                <w:color w:val="000000"/>
                <w:szCs w:val="24"/>
              </w:rPr>
              <w:t>新建</w:t>
            </w:r>
            <w:r>
              <w:rPr>
                <w:rFonts w:hint="eastAsia" w:ascii="MS Gothic" w:hAnsi="MS Gothic" w:cs="MS Gothic"/>
                <w:color w:val="000000"/>
                <w:szCs w:val="24"/>
              </w:rPr>
              <w:t>□</w:t>
            </w:r>
            <w:r>
              <w:rPr>
                <w:color w:val="000000"/>
                <w:szCs w:val="24"/>
              </w:rPr>
              <w:t xml:space="preserve">     改扩建</w:t>
            </w:r>
            <w:r>
              <w:rPr>
                <w:rFonts w:hint="eastAsia"/>
                <w:color w:val="000000"/>
                <w:szCs w:val="24"/>
              </w:rPr>
              <w:t>☑</w:t>
            </w:r>
            <w:r>
              <w:rPr>
                <w:color w:val="000000"/>
                <w:szCs w:val="24"/>
              </w:rPr>
              <w:t xml:space="preserve">      技改</w:t>
            </w:r>
            <w:r>
              <w:rPr>
                <w:rFonts w:hint="eastAsia"/>
                <w:color w:val="000000"/>
                <w:szCs w:val="24"/>
              </w:rPr>
              <w:t>□</w:t>
            </w:r>
            <w:r>
              <w:rPr>
                <w:color w:val="000000"/>
                <w:szCs w:val="24"/>
              </w:rPr>
              <w:t xml:space="preserve">      迁建</w:t>
            </w:r>
            <w:r>
              <w:rPr>
                <w:rFonts w:hint="eastAsia"/>
                <w:color w:val="000000"/>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建设地点</w:t>
            </w:r>
          </w:p>
        </w:tc>
        <w:tc>
          <w:tcPr>
            <w:tcW w:w="6861" w:type="dxa"/>
            <w:gridSpan w:val="5"/>
            <w:vAlign w:val="center"/>
          </w:tcPr>
          <w:p>
            <w:pPr>
              <w:spacing w:line="240" w:lineRule="auto"/>
              <w:jc w:val="center"/>
              <w:rPr>
                <w:color w:val="000000"/>
                <w:szCs w:val="24"/>
              </w:rPr>
            </w:pPr>
            <w:r>
              <w:rPr>
                <w:rFonts w:hint="eastAsia" w:hAnsi="宋体"/>
              </w:rPr>
              <w:t>陕西省西咸新区秦汉新城天工一路农作物良种场院内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主要产品名称</w:t>
            </w:r>
          </w:p>
        </w:tc>
        <w:tc>
          <w:tcPr>
            <w:tcW w:w="6861" w:type="dxa"/>
            <w:gridSpan w:val="5"/>
            <w:vAlign w:val="center"/>
          </w:tcPr>
          <w:p>
            <w:pPr>
              <w:spacing w:line="240" w:lineRule="auto"/>
              <w:jc w:val="center"/>
              <w:rPr>
                <w:szCs w:val="24"/>
              </w:rPr>
            </w:pPr>
            <w:r>
              <w:rPr>
                <w:rFonts w:hint="eastAsia"/>
                <w:szCs w:val="24"/>
              </w:rPr>
              <w:t>电子工业塑料托盒、药品及保健品外包装盒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设计生产能力</w:t>
            </w:r>
          </w:p>
        </w:tc>
        <w:tc>
          <w:tcPr>
            <w:tcW w:w="6861" w:type="dxa"/>
            <w:gridSpan w:val="5"/>
            <w:vAlign w:val="center"/>
          </w:tcPr>
          <w:p>
            <w:pPr>
              <w:spacing w:line="240" w:lineRule="auto"/>
              <w:jc w:val="center"/>
              <w:rPr>
                <w:szCs w:val="24"/>
              </w:rPr>
            </w:pPr>
            <w:r>
              <w:rPr>
                <w:rFonts w:hint="eastAsia"/>
                <w:szCs w:val="24"/>
              </w:rPr>
              <w:t>年产69.955吨电子工业塑料托盒及159.955吨药品及保健品外包装盒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实际生产能力</w:t>
            </w:r>
          </w:p>
        </w:tc>
        <w:tc>
          <w:tcPr>
            <w:tcW w:w="6861" w:type="dxa"/>
            <w:gridSpan w:val="5"/>
            <w:vAlign w:val="center"/>
          </w:tcPr>
          <w:p>
            <w:pPr>
              <w:spacing w:line="240" w:lineRule="auto"/>
              <w:jc w:val="center"/>
              <w:rPr>
                <w:color w:val="FF0000"/>
                <w:szCs w:val="24"/>
              </w:rPr>
            </w:pPr>
            <w:r>
              <w:rPr>
                <w:rFonts w:hint="eastAsia"/>
                <w:szCs w:val="24"/>
              </w:rPr>
              <w:t>年产69.955吨电子工业塑料托盒及159.955吨药品及保健品外包装盒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tcMar>
              <w:left w:w="28" w:type="dxa"/>
              <w:right w:w="28" w:type="dxa"/>
            </w:tcMar>
            <w:vAlign w:val="center"/>
          </w:tcPr>
          <w:p>
            <w:pPr>
              <w:spacing w:line="240" w:lineRule="auto"/>
              <w:jc w:val="center"/>
              <w:rPr>
                <w:color w:val="000000"/>
                <w:szCs w:val="24"/>
              </w:rPr>
            </w:pPr>
            <w:r>
              <w:rPr>
                <w:color w:val="000000"/>
                <w:szCs w:val="24"/>
              </w:rPr>
              <w:t>建设项目</w:t>
            </w:r>
          </w:p>
          <w:p>
            <w:pPr>
              <w:spacing w:line="240" w:lineRule="auto"/>
              <w:jc w:val="center"/>
              <w:rPr>
                <w:color w:val="000000"/>
                <w:szCs w:val="24"/>
              </w:rPr>
            </w:pPr>
            <w:r>
              <w:rPr>
                <w:color w:val="000000"/>
                <w:szCs w:val="24"/>
              </w:rPr>
              <w:t>环评时间</w:t>
            </w:r>
          </w:p>
        </w:tc>
        <w:tc>
          <w:tcPr>
            <w:tcW w:w="1856" w:type="dxa"/>
            <w:vAlign w:val="center"/>
          </w:tcPr>
          <w:p>
            <w:pPr>
              <w:spacing w:line="240" w:lineRule="auto"/>
              <w:jc w:val="center"/>
              <w:rPr>
                <w:color w:val="000000"/>
                <w:szCs w:val="24"/>
              </w:rPr>
            </w:pPr>
            <w:r>
              <w:rPr>
                <w:szCs w:val="24"/>
              </w:rPr>
              <w:t>201</w:t>
            </w:r>
            <w:r>
              <w:rPr>
                <w:rFonts w:hint="eastAsia"/>
                <w:szCs w:val="24"/>
              </w:rPr>
              <w:t>9</w:t>
            </w:r>
            <w:r>
              <w:rPr>
                <w:szCs w:val="24"/>
              </w:rPr>
              <w:t>年</w:t>
            </w:r>
            <w:r>
              <w:rPr>
                <w:rFonts w:hint="eastAsia"/>
                <w:szCs w:val="24"/>
              </w:rPr>
              <w:t>3</w:t>
            </w:r>
            <w:r>
              <w:rPr>
                <w:szCs w:val="24"/>
              </w:rPr>
              <w:t>月</w:t>
            </w:r>
          </w:p>
        </w:tc>
        <w:tc>
          <w:tcPr>
            <w:tcW w:w="1910" w:type="dxa"/>
            <w:vAlign w:val="center"/>
          </w:tcPr>
          <w:p>
            <w:pPr>
              <w:spacing w:line="240" w:lineRule="auto"/>
              <w:jc w:val="center"/>
              <w:rPr>
                <w:color w:val="000000"/>
                <w:szCs w:val="24"/>
              </w:rPr>
            </w:pPr>
            <w:r>
              <w:rPr>
                <w:color w:val="000000"/>
                <w:szCs w:val="24"/>
              </w:rPr>
              <w:t>开工建设时间</w:t>
            </w:r>
          </w:p>
        </w:tc>
        <w:tc>
          <w:tcPr>
            <w:tcW w:w="3095" w:type="dxa"/>
            <w:gridSpan w:val="3"/>
            <w:vAlign w:val="center"/>
          </w:tcPr>
          <w:p>
            <w:pPr>
              <w:spacing w:line="240" w:lineRule="auto"/>
              <w:jc w:val="center"/>
              <w:rPr>
                <w:szCs w:val="24"/>
              </w:rPr>
            </w:pPr>
            <w:r>
              <w:rPr>
                <w:rFonts w:hint="eastAsia"/>
                <w:szCs w:val="24"/>
              </w:rPr>
              <w:t>2018年11月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调试时间</w:t>
            </w:r>
          </w:p>
        </w:tc>
        <w:tc>
          <w:tcPr>
            <w:tcW w:w="1856" w:type="dxa"/>
            <w:vAlign w:val="center"/>
          </w:tcPr>
          <w:p>
            <w:pPr>
              <w:spacing w:line="240" w:lineRule="auto"/>
              <w:jc w:val="center"/>
              <w:rPr>
                <w:color w:val="000000"/>
                <w:szCs w:val="24"/>
              </w:rPr>
            </w:pPr>
            <w:r>
              <w:rPr>
                <w:rFonts w:hint="eastAsia"/>
                <w:szCs w:val="24"/>
              </w:rPr>
              <w:t>2019年3月</w:t>
            </w:r>
          </w:p>
        </w:tc>
        <w:tc>
          <w:tcPr>
            <w:tcW w:w="1910" w:type="dxa"/>
            <w:vAlign w:val="center"/>
          </w:tcPr>
          <w:p>
            <w:pPr>
              <w:spacing w:line="240" w:lineRule="auto"/>
              <w:jc w:val="center"/>
              <w:rPr>
                <w:color w:val="000000"/>
                <w:szCs w:val="24"/>
              </w:rPr>
            </w:pPr>
            <w:r>
              <w:rPr>
                <w:color w:val="000000"/>
                <w:szCs w:val="24"/>
              </w:rPr>
              <w:t>验收现场监测时间</w:t>
            </w:r>
          </w:p>
        </w:tc>
        <w:tc>
          <w:tcPr>
            <w:tcW w:w="3095" w:type="dxa"/>
            <w:gridSpan w:val="3"/>
            <w:vAlign w:val="center"/>
          </w:tcPr>
          <w:p>
            <w:pPr>
              <w:spacing w:line="240" w:lineRule="auto"/>
              <w:jc w:val="center"/>
              <w:rPr>
                <w:szCs w:val="24"/>
              </w:rPr>
            </w:pPr>
            <w:r>
              <w:rPr>
                <w:rFonts w:hint="eastAsia"/>
                <w:szCs w:val="24"/>
              </w:rPr>
              <w:t>2019年5月16日~17日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31" w:hRule="atLeast"/>
          <w:jc w:val="center"/>
        </w:trPr>
        <w:tc>
          <w:tcPr>
            <w:tcW w:w="1950" w:type="dxa"/>
            <w:vAlign w:val="center"/>
          </w:tcPr>
          <w:p>
            <w:pPr>
              <w:spacing w:line="240" w:lineRule="auto"/>
              <w:jc w:val="center"/>
              <w:rPr>
                <w:color w:val="000000"/>
                <w:szCs w:val="24"/>
              </w:rPr>
            </w:pPr>
            <w:r>
              <w:rPr>
                <w:color w:val="000000"/>
                <w:szCs w:val="24"/>
              </w:rPr>
              <w:t>环评报告表</w:t>
            </w:r>
          </w:p>
          <w:p>
            <w:pPr>
              <w:spacing w:line="240" w:lineRule="auto"/>
              <w:jc w:val="center"/>
              <w:rPr>
                <w:color w:val="000000"/>
                <w:szCs w:val="24"/>
              </w:rPr>
            </w:pPr>
            <w:r>
              <w:rPr>
                <w:color w:val="000000"/>
                <w:szCs w:val="24"/>
              </w:rPr>
              <w:t>审批部门</w:t>
            </w:r>
          </w:p>
        </w:tc>
        <w:tc>
          <w:tcPr>
            <w:tcW w:w="1856" w:type="dxa"/>
            <w:vAlign w:val="center"/>
          </w:tcPr>
          <w:p>
            <w:pPr>
              <w:spacing w:line="240" w:lineRule="auto"/>
              <w:jc w:val="center"/>
              <w:rPr>
                <w:color w:val="000000"/>
                <w:szCs w:val="24"/>
              </w:rPr>
            </w:pPr>
            <w:r>
              <w:rPr>
                <w:rFonts w:hint="eastAsia"/>
                <w:color w:val="000000"/>
                <w:szCs w:val="24"/>
              </w:rPr>
              <w:t>陕西省西咸新区秦汉新城行政审批与政务服务局</w:t>
            </w:r>
          </w:p>
        </w:tc>
        <w:tc>
          <w:tcPr>
            <w:tcW w:w="1910" w:type="dxa"/>
            <w:vAlign w:val="center"/>
          </w:tcPr>
          <w:p>
            <w:pPr>
              <w:spacing w:line="240" w:lineRule="auto"/>
              <w:jc w:val="center"/>
              <w:rPr>
                <w:color w:val="000000"/>
                <w:szCs w:val="24"/>
              </w:rPr>
            </w:pPr>
            <w:r>
              <w:rPr>
                <w:color w:val="000000"/>
                <w:szCs w:val="24"/>
              </w:rPr>
              <w:t>环评报告表</w:t>
            </w:r>
          </w:p>
          <w:p>
            <w:pPr>
              <w:spacing w:line="240" w:lineRule="auto"/>
              <w:jc w:val="center"/>
              <w:rPr>
                <w:color w:val="000000"/>
                <w:szCs w:val="24"/>
              </w:rPr>
            </w:pPr>
            <w:r>
              <w:rPr>
                <w:color w:val="000000"/>
                <w:szCs w:val="24"/>
              </w:rPr>
              <w:t>编制单位</w:t>
            </w:r>
          </w:p>
        </w:tc>
        <w:tc>
          <w:tcPr>
            <w:tcW w:w="3095" w:type="dxa"/>
            <w:gridSpan w:val="3"/>
            <w:vAlign w:val="center"/>
          </w:tcPr>
          <w:p>
            <w:pPr>
              <w:spacing w:line="240" w:lineRule="auto"/>
              <w:jc w:val="center"/>
              <w:rPr>
                <w:color w:val="000000"/>
                <w:szCs w:val="24"/>
              </w:rPr>
            </w:pPr>
            <w:r>
              <w:rPr>
                <w:rFonts w:hint="eastAsia"/>
                <w:color w:val="000000"/>
                <w:szCs w:val="24"/>
              </w:rPr>
              <w:t>重庆大润环境科学研究院有限公司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环保设施</w:t>
            </w:r>
          </w:p>
          <w:p>
            <w:pPr>
              <w:spacing w:line="240" w:lineRule="auto"/>
              <w:jc w:val="center"/>
              <w:rPr>
                <w:color w:val="000000"/>
                <w:szCs w:val="24"/>
              </w:rPr>
            </w:pPr>
            <w:r>
              <w:rPr>
                <w:color w:val="000000"/>
                <w:szCs w:val="24"/>
              </w:rPr>
              <w:t>设计单位</w:t>
            </w:r>
          </w:p>
        </w:tc>
        <w:tc>
          <w:tcPr>
            <w:tcW w:w="1856" w:type="dxa"/>
            <w:vAlign w:val="center"/>
          </w:tcPr>
          <w:p>
            <w:pPr>
              <w:spacing w:line="240" w:lineRule="auto"/>
              <w:jc w:val="center"/>
              <w:rPr>
                <w:color w:val="000000"/>
                <w:szCs w:val="24"/>
              </w:rPr>
            </w:pPr>
            <w:r>
              <w:rPr>
                <w:color w:val="000000"/>
                <w:szCs w:val="24"/>
              </w:rPr>
              <w:t>/</w:t>
            </w:r>
          </w:p>
        </w:tc>
        <w:tc>
          <w:tcPr>
            <w:tcW w:w="1910" w:type="dxa"/>
            <w:vAlign w:val="center"/>
          </w:tcPr>
          <w:p>
            <w:pPr>
              <w:spacing w:line="240" w:lineRule="auto"/>
              <w:jc w:val="center"/>
              <w:rPr>
                <w:color w:val="000000"/>
                <w:szCs w:val="24"/>
              </w:rPr>
            </w:pPr>
            <w:r>
              <w:rPr>
                <w:color w:val="000000"/>
                <w:szCs w:val="24"/>
              </w:rPr>
              <w:t>环保设施</w:t>
            </w:r>
          </w:p>
          <w:p>
            <w:pPr>
              <w:spacing w:line="240" w:lineRule="auto"/>
              <w:jc w:val="center"/>
              <w:rPr>
                <w:color w:val="000000"/>
                <w:szCs w:val="24"/>
              </w:rPr>
            </w:pPr>
            <w:r>
              <w:rPr>
                <w:color w:val="000000"/>
                <w:szCs w:val="24"/>
              </w:rPr>
              <w:t>施工单位</w:t>
            </w:r>
          </w:p>
        </w:tc>
        <w:tc>
          <w:tcPr>
            <w:tcW w:w="3095" w:type="dxa"/>
            <w:gridSpan w:val="3"/>
            <w:vAlign w:val="center"/>
          </w:tcPr>
          <w:p>
            <w:pPr>
              <w:spacing w:line="240" w:lineRule="auto"/>
              <w:jc w:val="center"/>
              <w:rPr>
                <w:color w:val="000000"/>
                <w:szCs w:val="24"/>
              </w:rPr>
            </w:pPr>
            <w:r>
              <w:rPr>
                <w:color w:val="000000"/>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投资总概算</w:t>
            </w:r>
          </w:p>
        </w:tc>
        <w:tc>
          <w:tcPr>
            <w:tcW w:w="1856" w:type="dxa"/>
            <w:vAlign w:val="center"/>
          </w:tcPr>
          <w:p>
            <w:pPr>
              <w:spacing w:line="240" w:lineRule="auto"/>
              <w:jc w:val="center"/>
              <w:rPr>
                <w:szCs w:val="24"/>
              </w:rPr>
            </w:pPr>
            <w:r>
              <w:rPr>
                <w:szCs w:val="24"/>
              </w:rPr>
              <w:t>200万元</w:t>
            </w:r>
          </w:p>
        </w:tc>
        <w:tc>
          <w:tcPr>
            <w:tcW w:w="1910" w:type="dxa"/>
            <w:vAlign w:val="center"/>
          </w:tcPr>
          <w:p>
            <w:pPr>
              <w:spacing w:line="240" w:lineRule="auto"/>
              <w:jc w:val="center"/>
              <w:rPr>
                <w:szCs w:val="24"/>
              </w:rPr>
            </w:pPr>
            <w:r>
              <w:rPr>
                <w:szCs w:val="24"/>
              </w:rPr>
              <w:t>环保投资总概算</w:t>
            </w:r>
          </w:p>
        </w:tc>
        <w:tc>
          <w:tcPr>
            <w:tcW w:w="1317" w:type="dxa"/>
            <w:vAlign w:val="center"/>
          </w:tcPr>
          <w:p>
            <w:pPr>
              <w:spacing w:line="240" w:lineRule="auto"/>
              <w:jc w:val="center"/>
              <w:rPr>
                <w:szCs w:val="24"/>
              </w:rPr>
            </w:pPr>
            <w:r>
              <w:rPr>
                <w:rFonts w:hint="eastAsia"/>
                <w:bCs/>
              </w:rPr>
              <w:t>24.05</w:t>
            </w:r>
            <w:r>
              <w:rPr>
                <w:szCs w:val="24"/>
              </w:rPr>
              <w:t>万元</w:t>
            </w:r>
          </w:p>
        </w:tc>
        <w:tc>
          <w:tcPr>
            <w:tcW w:w="755" w:type="dxa"/>
            <w:vAlign w:val="center"/>
          </w:tcPr>
          <w:p>
            <w:pPr>
              <w:spacing w:line="240" w:lineRule="auto"/>
              <w:jc w:val="center"/>
              <w:rPr>
                <w:szCs w:val="24"/>
              </w:rPr>
            </w:pPr>
            <w:r>
              <w:rPr>
                <w:szCs w:val="24"/>
              </w:rPr>
              <w:t>比例</w:t>
            </w:r>
          </w:p>
        </w:tc>
        <w:tc>
          <w:tcPr>
            <w:tcW w:w="1023" w:type="dxa"/>
            <w:vAlign w:val="center"/>
          </w:tcPr>
          <w:p>
            <w:pPr>
              <w:spacing w:line="240" w:lineRule="auto"/>
              <w:jc w:val="center"/>
              <w:rPr>
                <w:szCs w:val="24"/>
              </w:rPr>
            </w:pPr>
            <w:r>
              <w:rPr>
                <w:rFonts w:hint="eastAsia"/>
                <w:bCs/>
              </w:rPr>
              <w:t>12.02%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实际总概算</w:t>
            </w:r>
          </w:p>
        </w:tc>
        <w:tc>
          <w:tcPr>
            <w:tcW w:w="1856" w:type="dxa"/>
            <w:vAlign w:val="center"/>
          </w:tcPr>
          <w:p>
            <w:pPr>
              <w:spacing w:line="240" w:lineRule="auto"/>
              <w:jc w:val="center"/>
              <w:rPr>
                <w:szCs w:val="24"/>
              </w:rPr>
            </w:pPr>
            <w:r>
              <w:rPr>
                <w:rFonts w:hint="eastAsia"/>
                <w:szCs w:val="24"/>
              </w:rPr>
              <w:t>2</w:t>
            </w:r>
            <w:r>
              <w:rPr>
                <w:szCs w:val="24"/>
              </w:rPr>
              <w:t>00</w:t>
            </w:r>
            <w:r>
              <w:rPr>
                <w:rFonts w:hint="eastAsia"/>
                <w:szCs w:val="24"/>
              </w:rPr>
              <w:t>万元</w:t>
            </w:r>
          </w:p>
        </w:tc>
        <w:tc>
          <w:tcPr>
            <w:tcW w:w="1910" w:type="dxa"/>
            <w:vAlign w:val="center"/>
          </w:tcPr>
          <w:p>
            <w:pPr>
              <w:spacing w:line="240" w:lineRule="auto"/>
              <w:jc w:val="center"/>
              <w:rPr>
                <w:szCs w:val="24"/>
              </w:rPr>
            </w:pPr>
            <w:r>
              <w:rPr>
                <w:szCs w:val="24"/>
              </w:rPr>
              <w:t>环保投资</w:t>
            </w:r>
          </w:p>
        </w:tc>
        <w:tc>
          <w:tcPr>
            <w:tcW w:w="1317" w:type="dxa"/>
            <w:vAlign w:val="center"/>
          </w:tcPr>
          <w:p>
            <w:pPr>
              <w:spacing w:line="240" w:lineRule="auto"/>
              <w:jc w:val="center"/>
              <w:rPr>
                <w:szCs w:val="24"/>
              </w:rPr>
            </w:pPr>
            <w:r>
              <w:rPr>
                <w:rFonts w:hint="eastAsia"/>
                <w:szCs w:val="24"/>
              </w:rPr>
              <w:t>2</w:t>
            </w:r>
            <w:r>
              <w:rPr>
                <w:szCs w:val="24"/>
              </w:rPr>
              <w:t>3</w:t>
            </w:r>
            <w:r>
              <w:rPr>
                <w:rFonts w:hint="eastAsia"/>
                <w:szCs w:val="24"/>
              </w:rPr>
              <w:t>万元</w:t>
            </w:r>
          </w:p>
        </w:tc>
        <w:tc>
          <w:tcPr>
            <w:tcW w:w="755" w:type="dxa"/>
            <w:vAlign w:val="center"/>
          </w:tcPr>
          <w:p>
            <w:pPr>
              <w:spacing w:line="240" w:lineRule="auto"/>
              <w:jc w:val="center"/>
              <w:rPr>
                <w:szCs w:val="24"/>
              </w:rPr>
            </w:pPr>
            <w:r>
              <w:rPr>
                <w:szCs w:val="24"/>
              </w:rPr>
              <w:t>比例</w:t>
            </w:r>
          </w:p>
        </w:tc>
        <w:tc>
          <w:tcPr>
            <w:tcW w:w="1023" w:type="dxa"/>
            <w:vAlign w:val="center"/>
          </w:tcPr>
          <w:p>
            <w:pPr>
              <w:spacing w:line="240" w:lineRule="auto"/>
              <w:jc w:val="center"/>
              <w:rPr>
                <w:szCs w:val="24"/>
              </w:rPr>
            </w:pPr>
            <w:r>
              <w:rPr>
                <w:szCs w:val="24"/>
              </w:rPr>
              <w:t>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2" w:hRule="atLeast"/>
          <w:jc w:val="center"/>
        </w:trPr>
        <w:tc>
          <w:tcPr>
            <w:tcW w:w="1950" w:type="dxa"/>
            <w:vAlign w:val="center"/>
          </w:tcPr>
          <w:p>
            <w:pPr>
              <w:spacing w:line="240" w:lineRule="auto"/>
              <w:jc w:val="center"/>
              <w:rPr>
                <w:color w:val="000000"/>
                <w:szCs w:val="24"/>
              </w:rPr>
            </w:pPr>
            <w:r>
              <w:rPr>
                <w:color w:val="000000"/>
                <w:szCs w:val="24"/>
              </w:rPr>
              <w:t>验收监测依据</w:t>
            </w:r>
          </w:p>
        </w:tc>
        <w:tc>
          <w:tcPr>
            <w:tcW w:w="6861" w:type="dxa"/>
            <w:gridSpan w:val="5"/>
          </w:tcPr>
          <w:p>
            <w:pPr>
              <w:jc w:val="both"/>
              <w:rPr>
                <w:color w:val="000000" w:themeColor="text1"/>
                <w14:textFill>
                  <w14:solidFill>
                    <w14:schemeClr w14:val="tx1"/>
                  </w14:solidFill>
                </w14:textFill>
              </w:rPr>
            </w:pPr>
            <w:r>
              <w:rPr>
                <w:color w:val="000000" w:themeColor="text1"/>
                <w14:textFill>
                  <w14:solidFill>
                    <w14:schemeClr w14:val="tx1"/>
                  </w14:solidFill>
                </w14:textFill>
              </w:rPr>
              <w:t>1、《中华人民共和国环境保护法》（2015年1月1日）</w:t>
            </w:r>
          </w:p>
          <w:p>
            <w:pPr>
              <w:jc w:val="both"/>
              <w:rPr>
                <w:color w:val="000000" w:themeColor="text1"/>
                <w14:textFill>
                  <w14:solidFill>
                    <w14:schemeClr w14:val="tx1"/>
                  </w14:solidFill>
                </w14:textFill>
              </w:rPr>
            </w:pPr>
            <w:r>
              <w:rPr>
                <w:color w:val="000000" w:themeColor="text1"/>
                <w14:textFill>
                  <w14:solidFill>
                    <w14:schemeClr w14:val="tx1"/>
                  </w14:solidFill>
                </w14:textFill>
              </w:rPr>
              <w:t>2、《中华人民共和国水污染防治法》（2018年1月1日）；</w:t>
            </w:r>
          </w:p>
          <w:p>
            <w:pPr>
              <w:jc w:val="both"/>
              <w:rPr>
                <w:color w:val="000000" w:themeColor="text1"/>
                <w14:textFill>
                  <w14:solidFill>
                    <w14:schemeClr w14:val="tx1"/>
                  </w14:solidFill>
                </w14:textFill>
              </w:rPr>
            </w:pPr>
            <w:r>
              <w:rPr>
                <w:color w:val="000000" w:themeColor="text1"/>
                <w14:textFill>
                  <w14:solidFill>
                    <w14:schemeClr w14:val="tx1"/>
                  </w14:solidFill>
                </w14:textFill>
              </w:rPr>
              <w:t>3、《中华人民共和国大气污染防治法》（2016年1月1日）；</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4、《中华人民共和国环境噪声污染防治法》（2</w:t>
            </w:r>
            <w:r>
              <w:rPr>
                <w:color w:val="000000" w:themeColor="text1"/>
                <w14:textFill>
                  <w14:solidFill>
                    <w14:schemeClr w14:val="tx1"/>
                  </w14:solidFill>
                </w14:textFill>
              </w:rPr>
              <w:t>018</w:t>
            </w:r>
            <w:r>
              <w:rPr>
                <w:rFonts w:hint="eastAsia"/>
                <w:color w:val="000000" w:themeColor="text1"/>
                <w14:textFill>
                  <w14:solidFill>
                    <w14:schemeClr w14:val="tx1"/>
                  </w14:solidFill>
                </w14:textFill>
              </w:rPr>
              <w:t>年1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月2</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日）</w:t>
            </w:r>
          </w:p>
          <w:p>
            <w:pPr>
              <w:jc w:val="both"/>
              <w:rPr>
                <w:color w:val="000000" w:themeColor="text1"/>
                <w14:textFill>
                  <w14:solidFill>
                    <w14:schemeClr w14:val="tx1"/>
                  </w14:solidFill>
                </w14:textFill>
              </w:rPr>
            </w:pPr>
            <w:r>
              <w:rPr>
                <w:color w:val="000000" w:themeColor="text1"/>
                <w14:textFill>
                  <w14:solidFill>
                    <w14:schemeClr w14:val="tx1"/>
                  </w14:solidFill>
                </w14:textFill>
              </w:rPr>
              <w:t>5、《建设项目环境保护管理条例》（国务院令第682号）；</w:t>
            </w:r>
          </w:p>
          <w:p>
            <w:pPr>
              <w:rPr>
                <w:color w:val="000000" w:themeColor="text1"/>
                <w14:textFill>
                  <w14:solidFill>
                    <w14:schemeClr w14:val="tx1"/>
                  </w14:solidFill>
                </w14:textFill>
              </w:rPr>
            </w:pPr>
            <w:r>
              <w:rPr>
                <w:color w:val="000000" w:themeColor="text1"/>
                <w14:textFill>
                  <w14:solidFill>
                    <w14:schemeClr w14:val="tx1"/>
                  </w14:solidFill>
                </w14:textFill>
              </w:rPr>
              <w:t>6、《建设项目竣工环境保护验收技术指南污染影响类》（生态环境部公告2018年 第9号，2018年5月15日）；</w:t>
            </w:r>
          </w:p>
          <w:p>
            <w:pPr>
              <w:rPr>
                <w:color w:val="000000" w:themeColor="text1"/>
                <w14:textFill>
                  <w14:solidFill>
                    <w14:schemeClr w14:val="tx1"/>
                  </w14:solidFill>
                </w14:textFill>
              </w:rPr>
            </w:pPr>
            <w:r>
              <w:rPr>
                <w:color w:val="000000" w:themeColor="text1"/>
                <w14:textFill>
                  <w14:solidFill>
                    <w14:schemeClr w14:val="tx1"/>
                  </w14:solidFill>
                </w14:textFill>
              </w:rPr>
              <w:t>7、《建设项目竣工环境保护验收暂行办法》（环境保护部，2017年11月22日）；</w:t>
            </w:r>
          </w:p>
          <w:p>
            <w:pPr>
              <w:jc w:val="both"/>
            </w:pPr>
          </w:p>
        </w:tc>
      </w:tr>
    </w:tbl>
    <w:p>
      <w:pPr>
        <w:spacing w:line="240" w:lineRule="auto"/>
        <w:rPr>
          <w:b/>
          <w:color w:val="000000"/>
          <w:sz w:val="28"/>
          <w:szCs w:val="28"/>
        </w:rPr>
      </w:pPr>
      <w:r>
        <w:rPr>
          <w:rFonts w:eastAsia="仿宋_GB2312"/>
          <w:color w:val="000000"/>
          <w:sz w:val="21"/>
          <w:szCs w:val="21"/>
        </w:rPr>
        <w:br w:type="page"/>
      </w:r>
      <w:r>
        <w:rPr>
          <w:rFonts w:hint="eastAsia"/>
          <w:b/>
          <w:color w:val="000000"/>
          <w:sz w:val="28"/>
          <w:szCs w:val="28"/>
        </w:rPr>
        <w:t>续表一</w:t>
      </w:r>
    </w:p>
    <w:tbl>
      <w:tblPr>
        <w:tblStyle w:val="8"/>
        <w:tblW w:w="883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68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8" w:hRule="atLeast"/>
          <w:jc w:val="center"/>
        </w:trPr>
        <w:tc>
          <w:tcPr>
            <w:tcW w:w="1955" w:type="dxa"/>
            <w:vAlign w:val="center"/>
          </w:tcPr>
          <w:p>
            <w:pPr>
              <w:jc w:val="center"/>
              <w:rPr>
                <w:color w:val="000000"/>
                <w:sz w:val="21"/>
                <w:szCs w:val="21"/>
              </w:rPr>
            </w:pPr>
            <w:r>
              <w:rPr>
                <w:rFonts w:hint="eastAsia"/>
                <w:color w:val="000000"/>
                <w:sz w:val="21"/>
                <w:szCs w:val="21"/>
              </w:rPr>
              <w:t>验收监测依据</w:t>
            </w:r>
          </w:p>
        </w:tc>
        <w:tc>
          <w:tcPr>
            <w:tcW w:w="6878" w:type="dxa"/>
          </w:tcPr>
          <w:p>
            <w:pPr>
              <w:spacing w:before="120" w:beforeLines="50" w:line="440" w:lineRule="exact"/>
              <w:jc w:val="both"/>
            </w:pPr>
            <w:r>
              <w:rPr>
                <w:color w:val="000000" w:themeColor="text1"/>
                <w14:textFill>
                  <w14:solidFill>
                    <w14:schemeClr w14:val="tx1"/>
                  </w14:solidFill>
                </w14:textFill>
              </w:rPr>
              <w:t>8、</w:t>
            </w:r>
            <w:r>
              <w:t>《关于加强建设项目竣工环境保护验收监测工作中污染事故防范环境检查工作的通知》（验字〔2005〕188号，中国环境监测总站）；</w:t>
            </w:r>
          </w:p>
          <w:p>
            <w:pPr>
              <w:spacing w:before="120" w:beforeLines="50" w:line="440" w:lineRule="exact"/>
              <w:jc w:val="both"/>
            </w:pPr>
            <w:r>
              <w:t>9、《中国环境监测总站建设项目竣工环境保护验收监测管理规定》（验字〔2005〕172号，中国环境监测总站）；</w:t>
            </w:r>
          </w:p>
          <w:p>
            <w:pPr>
              <w:spacing w:line="440" w:lineRule="exact"/>
              <w:jc w:val="both"/>
            </w:pPr>
            <w:r>
              <w:t>10</w:t>
            </w:r>
            <w:r>
              <w:rPr>
                <w:rFonts w:hint="eastAsia"/>
              </w:rPr>
              <w:t>、《</w:t>
            </w:r>
            <w:r>
              <w:rPr>
                <w:rFonts w:hint="eastAsia"/>
                <w:color w:val="000000"/>
              </w:rPr>
              <w:t>西咸新区天河塑料制品有限公司吸塑制品加工生产线建设项目</w:t>
            </w:r>
            <w:r>
              <w:rPr>
                <w:color w:val="000000"/>
              </w:rPr>
              <w:t>环境影响报告表</w:t>
            </w:r>
            <w:r>
              <w:rPr>
                <w:rFonts w:hint="eastAsia"/>
              </w:rPr>
              <w:t>》（</w:t>
            </w:r>
            <w:r>
              <w:rPr>
                <w:rFonts w:hint="eastAsia"/>
                <w:color w:val="000000"/>
                <w:szCs w:val="24"/>
              </w:rPr>
              <w:t>重庆大润环境科学研究院有限公司</w:t>
            </w:r>
            <w:r>
              <w:rPr>
                <w:rFonts w:hint="eastAsia"/>
                <w:color w:val="000000"/>
              </w:rPr>
              <w:t>，2018</w:t>
            </w:r>
            <w:r>
              <w:rPr>
                <w:color w:val="000000"/>
              </w:rPr>
              <w:t>年</w:t>
            </w:r>
            <w:r>
              <w:rPr>
                <w:rFonts w:hint="eastAsia"/>
                <w:color w:val="000000"/>
              </w:rPr>
              <w:t>3</w:t>
            </w:r>
            <w:r>
              <w:rPr>
                <w:color w:val="000000"/>
              </w:rPr>
              <w:t>月</w:t>
            </w:r>
            <w:r>
              <w:rPr>
                <w:rFonts w:hint="eastAsia"/>
              </w:rPr>
              <w:t>）；</w:t>
            </w:r>
          </w:p>
          <w:p>
            <w:pPr>
              <w:spacing w:line="440" w:lineRule="exact"/>
              <w:jc w:val="both"/>
              <w:rPr>
                <w:color w:val="000000"/>
              </w:rPr>
            </w:pPr>
            <w:r>
              <w:rPr>
                <w:rFonts w:hint="eastAsia"/>
              </w:rPr>
              <w:t>1</w:t>
            </w:r>
            <w:r>
              <w:t>1</w:t>
            </w:r>
            <w:r>
              <w:rPr>
                <w:rFonts w:hint="eastAsia"/>
              </w:rPr>
              <w:t>、</w:t>
            </w:r>
            <w:r>
              <w:rPr>
                <w:color w:val="000000"/>
              </w:rPr>
              <w:t>《</w:t>
            </w:r>
            <w:r>
              <w:rPr>
                <w:rFonts w:hint="eastAsia"/>
                <w:color w:val="000000"/>
              </w:rPr>
              <w:t>陕西省西咸新区秦汉新城行政审批与政务服务局关于吸塑制品加工生产线建设项目环境影响报告表的批复</w:t>
            </w:r>
            <w:r>
              <w:rPr>
                <w:color w:val="000000"/>
              </w:rPr>
              <w:t>》</w:t>
            </w:r>
            <w:r>
              <w:rPr>
                <w:rFonts w:hint="eastAsia"/>
                <w:color w:val="000000"/>
              </w:rPr>
              <w:t>（陕西省西咸新区秦汉新城行政审批与政务服务局</w:t>
            </w:r>
            <w:r>
              <w:rPr>
                <w:color w:val="000000"/>
              </w:rPr>
              <w:t>，</w:t>
            </w:r>
            <w:r>
              <w:rPr>
                <w:rFonts w:hint="eastAsia"/>
                <w:color w:val="000000"/>
              </w:rPr>
              <w:t>秦汉审服准</w:t>
            </w:r>
            <w:r>
              <w:rPr>
                <w:color w:val="000000"/>
              </w:rPr>
              <w:t>[201</w:t>
            </w:r>
            <w:r>
              <w:rPr>
                <w:rFonts w:hint="eastAsia"/>
                <w:color w:val="000000"/>
              </w:rPr>
              <w:t>9</w:t>
            </w:r>
            <w:r>
              <w:rPr>
                <w:color w:val="000000"/>
              </w:rPr>
              <w:t>]</w:t>
            </w:r>
            <w:r>
              <w:rPr>
                <w:rFonts w:hint="eastAsia"/>
                <w:color w:val="000000"/>
              </w:rPr>
              <w:t>88</w:t>
            </w:r>
            <w:r>
              <w:rPr>
                <w:color w:val="000000"/>
              </w:rPr>
              <w:t>号）</w:t>
            </w:r>
            <w:r>
              <w:rPr>
                <w:rFonts w:hint="eastAsia"/>
                <w:color w:val="000000"/>
              </w:rPr>
              <w:t>；</w:t>
            </w:r>
          </w:p>
          <w:p>
            <w:pPr>
              <w:spacing w:line="440" w:lineRule="exact"/>
              <w:jc w:val="both"/>
            </w:pPr>
            <w:r>
              <w:rPr>
                <w:rFonts w:hint="eastAsia"/>
              </w:rPr>
              <w:t>1</w:t>
            </w:r>
            <w:r>
              <w:t>2</w:t>
            </w:r>
            <w:r>
              <w:rPr>
                <w:rFonts w:hint="eastAsia"/>
              </w:rPr>
              <w:t>、</w:t>
            </w:r>
            <w:r>
              <w:rPr>
                <w:rFonts w:hint="eastAsia"/>
                <w:color w:val="000000"/>
              </w:rPr>
              <w:t>西咸新区天河塑料制品有限公司吸塑制品加工生产线建设项目</w:t>
            </w:r>
            <w:r>
              <w:rPr>
                <w:color w:val="000000"/>
              </w:rPr>
              <w:t>竣工环境保护验收监测方案</w:t>
            </w:r>
            <w:r>
              <w:rPr>
                <w:rFonts w:hint="eastAsia"/>
                <w:color w:val="000000"/>
              </w:rPr>
              <w:t>；</w:t>
            </w:r>
          </w:p>
          <w:p>
            <w:pPr>
              <w:spacing w:line="440" w:lineRule="exact"/>
              <w:jc w:val="both"/>
              <w:rPr>
                <w:color w:val="000000"/>
                <w:szCs w:val="21"/>
              </w:rPr>
            </w:pPr>
            <w:r>
              <w:t>13</w:t>
            </w:r>
            <w:r>
              <w:rPr>
                <w:rFonts w:hint="eastAsia"/>
              </w:rPr>
              <w:t>、西咸新区天河塑料制品有限公司提供的其他资料。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8" w:hRule="atLeast"/>
          <w:jc w:val="center"/>
        </w:trPr>
        <w:tc>
          <w:tcPr>
            <w:tcW w:w="1955" w:type="dxa"/>
            <w:vAlign w:val="center"/>
          </w:tcPr>
          <w:p>
            <w:pPr>
              <w:jc w:val="both"/>
              <w:rPr>
                <w:color w:val="000000"/>
                <w:sz w:val="21"/>
                <w:szCs w:val="21"/>
              </w:rPr>
            </w:pPr>
            <w:r>
              <w:rPr>
                <w:color w:val="000000"/>
                <w:szCs w:val="21"/>
              </w:rPr>
              <w:t>验收监测评价标准、标号、级别、限值</w:t>
            </w:r>
          </w:p>
        </w:tc>
        <w:tc>
          <w:tcPr>
            <w:tcW w:w="6878" w:type="dxa"/>
          </w:tcPr>
          <w:p>
            <w:pPr>
              <w:spacing w:line="440" w:lineRule="exact"/>
              <w:ind w:firstLine="480" w:firstLineChars="200"/>
              <w:jc w:val="both"/>
              <w:rPr>
                <w:color w:val="000000"/>
              </w:rPr>
            </w:pPr>
            <w:r>
              <w:rPr>
                <w:rFonts w:hint="eastAsia"/>
                <w:color w:val="000000"/>
              </w:rPr>
              <w:t>根据《报告表》及陕西省西咸新区秦汉新城行政审批与政务服务局关于该项目环境影响报告表的批复，该工程验收执行如下标准：</w:t>
            </w:r>
          </w:p>
          <w:p>
            <w:pPr>
              <w:spacing w:before="120" w:beforeLines="50"/>
              <w:ind w:firstLine="480" w:firstLineChars="200"/>
              <w:jc w:val="both"/>
              <w:rPr>
                <w:rFonts w:cs="宋体"/>
              </w:rPr>
            </w:pPr>
            <w:r>
              <w:rPr>
                <w:rFonts w:hint="eastAsia"/>
                <w:color w:val="000000"/>
              </w:rPr>
              <w:t>一般固废执行《</w:t>
            </w:r>
            <w:r>
              <w:rPr>
                <w:rFonts w:hint="eastAsia"/>
                <w:color w:val="000000"/>
                <w:szCs w:val="24"/>
              </w:rPr>
              <w:t>一般工业固体废物贮存、处置场污染控制标准》（GB18599-2001）及其修改单；危险废物执行《危险废物贮存污染控制标准》（GB18597-2001）及其2013年修改单。</w:t>
            </w:r>
          </w:p>
        </w:tc>
      </w:tr>
    </w:tbl>
    <w:p>
      <w:pPr>
        <w:rPr>
          <w:b/>
          <w:color w:val="000000"/>
          <w:sz w:val="28"/>
          <w:szCs w:val="28"/>
        </w:rPr>
        <w:sectPr>
          <w:headerReference r:id="rId9" w:type="default"/>
          <w:footerReference r:id="rId10" w:type="default"/>
          <w:pgSz w:w="11906" w:h="16838"/>
          <w:pgMar w:top="1440" w:right="1800" w:bottom="1440" w:left="1800" w:header="708" w:footer="708" w:gutter="0"/>
          <w:pgNumType w:start="1"/>
          <w:cols w:space="720" w:num="1"/>
          <w:docGrid w:linePitch="360" w:charSpace="0"/>
        </w:sectPr>
      </w:pPr>
    </w:p>
    <w:p>
      <w:pPr>
        <w:spacing w:line="240" w:lineRule="auto"/>
        <w:rPr>
          <w:b/>
          <w:color w:val="000000"/>
          <w:sz w:val="28"/>
          <w:szCs w:val="28"/>
        </w:rPr>
      </w:pPr>
      <w:r>
        <w:rPr>
          <w:b/>
          <w:color w:val="000000"/>
          <w:sz w:val="28"/>
          <w:szCs w:val="28"/>
        </w:rPr>
        <w:t>表二</w:t>
      </w:r>
    </w:p>
    <w:tbl>
      <w:tblPr>
        <w:tblStyle w:val="8"/>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05" w:hRule="atLeast"/>
          <w:jc w:val="center"/>
        </w:trPr>
        <w:tc>
          <w:tcPr>
            <w:tcW w:w="9028" w:type="dxa"/>
          </w:tcPr>
          <w:p>
            <w:pPr>
              <w:spacing w:before="120" w:beforeLines="50"/>
              <w:rPr>
                <w:b/>
                <w:color w:val="000000"/>
                <w:szCs w:val="21"/>
              </w:rPr>
            </w:pPr>
            <w:r>
              <w:rPr>
                <w:rFonts w:hint="eastAsia"/>
                <w:b/>
                <w:color w:val="000000"/>
                <w:szCs w:val="21"/>
              </w:rPr>
              <w:t>工程建设内容：</w:t>
            </w:r>
          </w:p>
          <w:p>
            <w:pPr>
              <w:ind w:firstLine="482" w:firstLineChars="200"/>
              <w:rPr>
                <w:b/>
                <w:color w:val="000000"/>
                <w:szCs w:val="24"/>
              </w:rPr>
            </w:pPr>
            <w:r>
              <w:rPr>
                <w:rFonts w:hint="eastAsia"/>
                <w:b/>
                <w:color w:val="000000"/>
                <w:szCs w:val="24"/>
              </w:rPr>
              <w:t>一、项目基本情况</w:t>
            </w:r>
          </w:p>
          <w:p>
            <w:pPr>
              <w:widowControl w:val="0"/>
              <w:autoSpaceDE w:val="0"/>
              <w:autoSpaceDN w:val="0"/>
              <w:adjustRightInd/>
              <w:ind w:firstLine="480" w:firstLineChars="200"/>
              <w:rPr>
                <w:lang w:val="en-GB"/>
              </w:rPr>
            </w:pPr>
            <w:r>
              <w:t>项目名称：</w:t>
            </w:r>
            <w:r>
              <w:rPr>
                <w:rFonts w:hint="eastAsia"/>
              </w:rPr>
              <w:t>西咸新区天河塑料制品有限公司吸塑制品加工生产线建设项目</w:t>
            </w:r>
          </w:p>
          <w:p>
            <w:pPr>
              <w:widowControl w:val="0"/>
              <w:autoSpaceDE w:val="0"/>
              <w:autoSpaceDN w:val="0"/>
              <w:adjustRightInd/>
              <w:ind w:firstLine="480" w:firstLineChars="200"/>
            </w:pPr>
            <w:r>
              <w:t>项目性质：</w:t>
            </w:r>
            <w:r>
              <w:rPr>
                <w:rFonts w:hint="eastAsia"/>
              </w:rPr>
              <w:t>改扩建</w:t>
            </w:r>
          </w:p>
          <w:p>
            <w:pPr>
              <w:widowControl w:val="0"/>
              <w:autoSpaceDE w:val="0"/>
              <w:autoSpaceDN w:val="0"/>
              <w:adjustRightInd/>
              <w:ind w:firstLine="480" w:firstLineChars="200"/>
            </w:pPr>
            <w:r>
              <w:t>投资总额：</w:t>
            </w:r>
            <w:r>
              <w:rPr>
                <w:rFonts w:hint="eastAsia"/>
              </w:rPr>
              <w:t>总投资</w:t>
            </w:r>
            <w:r>
              <w:t>200万元，其中环保投资23万，占总投资的</w:t>
            </w:r>
            <w:r>
              <w:rPr>
                <w:rFonts w:hint="eastAsia"/>
              </w:rPr>
              <w:t>11.</w:t>
            </w:r>
            <w:r>
              <w:t>5%</w:t>
            </w:r>
            <w:r>
              <w:rPr>
                <w:rFonts w:hint="eastAsia"/>
              </w:rPr>
              <w:t>。</w:t>
            </w:r>
          </w:p>
          <w:p>
            <w:pPr>
              <w:widowControl w:val="0"/>
              <w:adjustRightInd/>
              <w:ind w:firstLine="480" w:firstLineChars="200"/>
            </w:pPr>
            <w:r>
              <w:rPr>
                <w:szCs w:val="20"/>
              </w:rPr>
              <w:t>工程内容：</w:t>
            </w:r>
            <w:r>
              <w:rPr>
                <w:rFonts w:hint="eastAsia" w:hAnsi="宋体"/>
                <w:iCs/>
              </w:rPr>
              <w:t>塑料制品加工</w:t>
            </w:r>
          </w:p>
          <w:p>
            <w:pPr>
              <w:pStyle w:val="14"/>
              <w:ind w:left="420" w:firstLine="0" w:firstLineChars="0"/>
              <w:rPr>
                <w:b/>
                <w:color w:val="000000"/>
                <w:sz w:val="24"/>
                <w:szCs w:val="24"/>
              </w:rPr>
            </w:pPr>
            <w:r>
              <w:rPr>
                <w:rFonts w:hint="eastAsia"/>
                <w:b/>
                <w:color w:val="000000"/>
                <w:sz w:val="24"/>
                <w:szCs w:val="24"/>
              </w:rPr>
              <w:t>二、地理位置、四邻关系及平面布置</w:t>
            </w:r>
          </w:p>
          <w:p>
            <w:pPr>
              <w:pStyle w:val="14"/>
              <w:ind w:firstLine="480"/>
              <w:rPr>
                <w:color w:val="000000"/>
                <w:sz w:val="24"/>
                <w:szCs w:val="24"/>
              </w:rPr>
            </w:pPr>
            <w:r>
              <w:rPr>
                <w:sz w:val="24"/>
              </w:rPr>
              <mc:AlternateContent>
                <mc:Choice Requires="wps">
                  <w:drawing>
                    <wp:anchor distT="0" distB="0" distL="114300" distR="114300" simplePos="0" relativeHeight="251719680" behindDoc="0" locked="0" layoutInCell="1" allowOverlap="1">
                      <wp:simplePos x="0" y="0"/>
                      <wp:positionH relativeFrom="column">
                        <wp:posOffset>77470</wp:posOffset>
                      </wp:positionH>
                      <wp:positionV relativeFrom="paragraph">
                        <wp:posOffset>1462405</wp:posOffset>
                      </wp:positionV>
                      <wp:extent cx="5410200" cy="3481070"/>
                      <wp:effectExtent l="0" t="0" r="19050" b="24765"/>
                      <wp:wrapNone/>
                      <wp:docPr id="6" name="矩形 6"/>
                      <wp:cNvGraphicFramePr/>
                      <a:graphic xmlns:a="http://schemas.openxmlformats.org/drawingml/2006/main">
                        <a:graphicData uri="http://schemas.microsoft.com/office/word/2010/wordprocessingShape">
                          <wps:wsp>
                            <wps:cNvSpPr/>
                            <wps:spPr>
                              <a:xfrm>
                                <a:off x="0" y="0"/>
                                <a:ext cx="5410200" cy="348086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pt;margin-top:115.15pt;height:274.1pt;width:426pt;z-index:251719680;v-text-anchor:middle;mso-width-relative:page;mso-height-relative:page;" filled="f" stroked="t" coordsize="21600,21600" o:gfxdata="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n+by/2gAAAAoBAAAPAAAA&#10;AAAAAAEAIAAAACIAAABkcnMvZG93bnJldi54bWxQSwECFAAUAAAACACHTuJAzfq1aUwCAAB+BAAA&#10;DgAAAAAAAAABACAAAAApAQAAZHJzL2Uyb0RvYy54bWxQSwUGAAAAAAYABgBZAQAA5wUAAAAA&#10;">
                      <v:fill on="f" focussize="0,0"/>
                      <v:stroke weight="1.5pt" color="#000000 [3213]" miterlimit="8" joinstyle="miter"/>
                      <v:imagedata o:title=""/>
                      <o:lock v:ext="edit" aspectratio="f"/>
                    </v:rect>
                  </w:pict>
                </mc:Fallback>
              </mc:AlternateContent>
            </w:r>
            <w:r>
              <w:rPr>
                <w:color w:val="000000"/>
                <w:spacing w:val="-1"/>
                <w:sz w:val="24"/>
              </w:rPr>
              <w:t>该建设项目为</w:t>
            </w:r>
            <w:r>
              <w:rPr>
                <w:rFonts w:hint="eastAsia"/>
                <w:color w:val="000000"/>
                <w:spacing w:val="-1"/>
                <w:sz w:val="24"/>
              </w:rPr>
              <w:t>西咸新区天河塑料制品有限公司吸塑制品加工生产线建设项目</w:t>
            </w:r>
            <w:r>
              <w:rPr>
                <w:color w:val="000000"/>
                <w:spacing w:val="-1"/>
                <w:sz w:val="24"/>
              </w:rPr>
              <w:t>，位于</w:t>
            </w:r>
            <w:r>
              <w:rPr>
                <w:rFonts w:hint="eastAsia"/>
                <w:color w:val="000000"/>
                <w:spacing w:val="-1"/>
                <w:sz w:val="24"/>
              </w:rPr>
              <w:t>陕西省西咸新区秦汉新城天工一路农作物良种场院内</w:t>
            </w:r>
            <w:r>
              <w:rPr>
                <w:color w:val="000000"/>
                <w:spacing w:val="-1"/>
                <w:sz w:val="24"/>
              </w:rPr>
              <w:t>，项目</w:t>
            </w:r>
            <w:r>
              <w:rPr>
                <w:rFonts w:hint="eastAsia"/>
                <w:color w:val="000000"/>
                <w:spacing w:val="-1"/>
                <w:sz w:val="24"/>
              </w:rPr>
              <w:t>北侧紧邻为西咸新区佳纳环保有限公司，南侧紧邻陕西屹立劳务有限公司，东侧紧临为咸阳市渭城区治祥机械厂、西侧紧邻均为良种场库房。</w:t>
            </w:r>
            <w:r>
              <w:rPr>
                <w:color w:val="000000"/>
                <w:sz w:val="24"/>
              </w:rPr>
              <w:t>建设项目具体位置见图</w:t>
            </w:r>
            <w:r>
              <w:rPr>
                <w:rFonts w:hint="eastAsia"/>
                <w:color w:val="000000"/>
                <w:sz w:val="24"/>
              </w:rPr>
              <w:t>2</w:t>
            </w:r>
            <w:r>
              <w:rPr>
                <w:color w:val="000000"/>
                <w:sz w:val="24"/>
              </w:rPr>
              <w:t>-1，</w:t>
            </w:r>
            <w:r>
              <w:rPr>
                <w:bCs/>
                <w:color w:val="000000"/>
                <w:sz w:val="24"/>
              </w:rPr>
              <w:t>四邻关系详见图</w:t>
            </w:r>
            <w:r>
              <w:rPr>
                <w:rFonts w:hint="eastAsia"/>
                <w:bCs/>
                <w:color w:val="000000"/>
                <w:sz w:val="24"/>
              </w:rPr>
              <w:t>2</w:t>
            </w:r>
            <w:r>
              <w:rPr>
                <w:bCs/>
                <w:color w:val="000000"/>
                <w:sz w:val="24"/>
              </w:rPr>
              <w:t>-2，厂区平面布置图见图</w:t>
            </w:r>
            <w:r>
              <w:rPr>
                <w:rFonts w:hint="eastAsia"/>
                <w:bCs/>
                <w:color w:val="000000"/>
                <w:sz w:val="24"/>
              </w:rPr>
              <w:t>2</w:t>
            </w:r>
            <w:r>
              <w:rPr>
                <w:bCs/>
                <w:color w:val="000000"/>
                <w:sz w:val="24"/>
              </w:rPr>
              <w:t>-3</w:t>
            </w:r>
            <w:r>
              <w:rPr>
                <w:color w:val="000000"/>
                <w:sz w:val="24"/>
              </w:rPr>
              <w:t>。</w:t>
            </w:r>
          </w:p>
          <w:p>
            <w:pPr>
              <w:pStyle w:val="14"/>
              <w:ind w:firstLine="0" w:firstLineChars="0"/>
              <w:jc w:val="center"/>
              <w:rPr>
                <w:color w:val="000000"/>
                <w:sz w:val="24"/>
                <w:szCs w:val="24"/>
              </w:rPr>
            </w:pPr>
            <w:r>
              <w:rPr>
                <w:rFonts w:hint="eastAsia"/>
                <w:b/>
                <w:color w:val="000000"/>
                <w:sz w:val="28"/>
                <w:szCs w:val="28"/>
              </w:rPr>
              <mc:AlternateContent>
                <mc:Choice Requires="wps">
                  <w:drawing>
                    <wp:anchor distT="0" distB="0" distL="114300" distR="114300" simplePos="0" relativeHeight="251717632" behindDoc="0" locked="0" layoutInCell="1" allowOverlap="1">
                      <wp:simplePos x="0" y="0"/>
                      <wp:positionH relativeFrom="column">
                        <wp:posOffset>2807970</wp:posOffset>
                      </wp:positionH>
                      <wp:positionV relativeFrom="paragraph">
                        <wp:posOffset>758190</wp:posOffset>
                      </wp:positionV>
                      <wp:extent cx="1000125" cy="314325"/>
                      <wp:effectExtent l="118110" t="5080" r="5715" b="537845"/>
                      <wp:wrapNone/>
                      <wp:docPr id="12" name="圆角矩形标注 10"/>
                      <wp:cNvGraphicFramePr/>
                      <a:graphic xmlns:a="http://schemas.openxmlformats.org/drawingml/2006/main">
                        <a:graphicData uri="http://schemas.microsoft.com/office/word/2010/wordprocessingShape">
                          <wps:wsp>
                            <wps:cNvSpPr/>
                            <wps:spPr>
                              <a:xfrm>
                                <a:off x="0" y="0"/>
                                <a:ext cx="1000125" cy="314325"/>
                              </a:xfrm>
                              <a:prstGeom prst="wedgeRoundRectCallout">
                                <a:avLst>
                                  <a:gd name="adj1" fmla="val -59968"/>
                                  <a:gd name="adj2" fmla="val 209393"/>
                                  <a:gd name="adj3" fmla="val 16667"/>
                                </a:avLst>
                              </a:prstGeom>
                              <a:solidFill>
                                <a:srgbClr val="FF0000"/>
                              </a:solidFill>
                              <a:ln w="9525" cap="flat" cmpd="sng">
                                <a:solidFill>
                                  <a:srgbClr val="FF0000"/>
                                </a:solidFill>
                                <a:prstDash val="solid"/>
                                <a:miter/>
                                <a:headEnd type="none" w="med" len="med"/>
                                <a:tailEnd type="none" w="med" len="med"/>
                              </a:ln>
                            </wps:spPr>
                            <wps:txbx>
                              <w:txbxContent>
                                <w:p>
                                  <w:pPr>
                                    <w:rPr>
                                      <w:b/>
                                      <w:color w:val="FFFF00"/>
                                    </w:rPr>
                                  </w:pPr>
                                  <w:r>
                                    <w:rPr>
                                      <w:rFonts w:hint="eastAsia"/>
                                      <w:b/>
                                      <w:color w:val="FFFF00"/>
                                    </w:rPr>
                                    <w:t>项目所在地</w:t>
                                  </w:r>
                                </w:p>
                              </w:txbxContent>
                            </wps:txbx>
                            <wps:bodyPr upright="1"/>
                          </wps:wsp>
                        </a:graphicData>
                      </a:graphic>
                    </wp:anchor>
                  </w:drawing>
                </mc:Choice>
                <mc:Fallback>
                  <w:pict>
                    <v:shape id="圆角矩形标注 10" o:spid="_x0000_s1026" o:spt="62" type="#_x0000_t62" style="position:absolute;left:0pt;margin-left:221.1pt;margin-top:59.7pt;height:24.75pt;width:78.75pt;z-index:251717632;mso-width-relative:page;mso-height-relative:page;" fillcolor="#FF0000" filled="t" stroked="t" coordsize="21600,21600" o:gfxdata="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qSyEdoAAAALAQAADwAAAAAAAAABACAAAAAiAAAAZHJzL2Rvd25y&#10;ZXYueG1sUEsBAhQAFAAAAAgAh07iQF/5DzA1AgAAcQQAAA4AAAAAAAAAAQAgAAAAKQEAAGRycy9l&#10;Mm9Eb2MueG1sUEsFBgAAAAAGAAYAWQEAANAFAAAAAA==&#10;" adj="-2153,56029,14400">
                      <v:fill on="t" focussize="0,0"/>
                      <v:stroke color="#FF0000" joinstyle="miter"/>
                      <v:imagedata o:title=""/>
                      <o:lock v:ext="edit" aspectratio="f"/>
                      <v:textbox>
                        <w:txbxContent>
                          <w:p>
                            <w:pPr>
                              <w:rPr>
                                <w:b/>
                                <w:color w:val="FFFF00"/>
                              </w:rPr>
                            </w:pPr>
                            <w:r>
                              <w:rPr>
                                <w:rFonts w:hint="eastAsia"/>
                                <w:b/>
                                <w:color w:val="FFFF00"/>
                              </w:rPr>
                              <w:t>项目所在地</w:t>
                            </w:r>
                          </w:p>
                        </w:txbxContent>
                      </v:textbox>
                    </v:shape>
                  </w:pict>
                </mc:Fallback>
              </mc:AlternateContent>
            </w:r>
            <w:r>
              <w:rPr>
                <w:sz w:val="28"/>
              </w:rPr>
              <mc:AlternateContent>
                <mc:Choice Requires="wps">
                  <w:drawing>
                    <wp:anchor distT="0" distB="0" distL="114300" distR="114300" simplePos="0" relativeHeight="251718656" behindDoc="0" locked="0" layoutInCell="1" allowOverlap="1">
                      <wp:simplePos x="0" y="0"/>
                      <wp:positionH relativeFrom="column">
                        <wp:posOffset>2649220</wp:posOffset>
                      </wp:positionH>
                      <wp:positionV relativeFrom="paragraph">
                        <wp:posOffset>1501140</wp:posOffset>
                      </wp:positionV>
                      <wp:extent cx="114300" cy="115570"/>
                      <wp:effectExtent l="19050" t="38100" r="38100" b="36830"/>
                      <wp:wrapNone/>
                      <wp:docPr id="14" name="五角星 28"/>
                      <wp:cNvGraphicFramePr/>
                      <a:graphic xmlns:a="http://schemas.openxmlformats.org/drawingml/2006/main">
                        <a:graphicData uri="http://schemas.microsoft.com/office/word/2010/wordprocessingShape">
                          <wps:wsp>
                            <wps:cNvSpPr/>
                            <wps:spPr>
                              <a:xfrm>
                                <a:off x="0" y="0"/>
                                <a:ext cx="114300" cy="115570"/>
                              </a:xfrm>
                              <a:prstGeom prst="star5">
                                <a:avLst>
                                  <a:gd name="adj" fmla="val 19098"/>
                                  <a:gd name="hf" fmla="val 105146"/>
                                  <a:gd name="vf" fmla="val 1105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28" o:spid="_x0000_s1026" style="position:absolute;left:0pt;margin-left:208.6pt;margin-top:118.2pt;height:9.1pt;width:9pt;z-index:251718656;v-text-anchor:middle;mso-width-relative:page;mso-height-relative:page;" fillcolor="#FF0000" filled="t" stroked="t" coordsize="114300,115570" o:gfxdata="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9+Rhv2wAAAAsBAAAP&#10;AAAAAAAAAAEAIAAAACIAAABkcnMvZG93bnJldi54bWxQSwECFAAUAAAACACHTuJA0NXErYcCAAAd&#10;BQAADgAAAAAAAAABACAAAAAqAQAAZHJzL2Uyb0RvYy54bWxQSwUGAAAAAAYABgBZAQAAIwYAAAAA&#10;" path="m0,44143l43658,44144,57150,0,70641,44144,114299,44143,78978,71425,92470,115569,57150,88287,21829,115569,35321,71425xe">
                      <v:path o:connectlocs="57150,0;0,44143;21829,115569;92470,115569;114299,44143" o:connectangles="247,164,82,82,0"/>
                      <v:fill on="t" focussize="0,0"/>
                      <v:stroke weight="1pt" color="#FF0000 [3204]" miterlimit="8" joinstyle="miter"/>
                      <v:imagedata o:title=""/>
                      <o:lock v:ext="edit" aspectratio="f"/>
                    </v:shape>
                  </w:pict>
                </mc:Fallback>
              </mc:AlternateContent>
            </w:r>
            <w:r>
              <w:drawing>
                <wp:inline distT="0" distB="0" distL="0" distR="0">
                  <wp:extent cx="5398135" cy="34499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rcRect l="4531" r="11832"/>
                          <a:stretch>
                            <a:fillRect/>
                          </a:stretch>
                        </pic:blipFill>
                        <pic:spPr>
                          <a:xfrm>
                            <a:off x="0" y="0"/>
                            <a:ext cx="5415075" cy="3460652"/>
                          </a:xfrm>
                          <a:prstGeom prst="rect">
                            <a:avLst/>
                          </a:prstGeom>
                          <a:ln>
                            <a:noFill/>
                          </a:ln>
                        </pic:spPr>
                      </pic:pic>
                    </a:graphicData>
                  </a:graphic>
                </wp:inline>
              </w:drawing>
            </w:r>
            <w:r>
              <w:rPr>
                <w:szCs w:val="21"/>
              </w:rPr>
              <w:drawing>
                <wp:anchor distT="0" distB="0" distL="114300" distR="114300" simplePos="0" relativeHeight="251720704" behindDoc="0" locked="0" layoutInCell="1" allowOverlap="1">
                  <wp:simplePos x="0" y="0"/>
                  <wp:positionH relativeFrom="column">
                    <wp:posOffset>5116195</wp:posOffset>
                  </wp:positionH>
                  <wp:positionV relativeFrom="paragraph">
                    <wp:posOffset>6350</wp:posOffset>
                  </wp:positionV>
                  <wp:extent cx="346075" cy="590550"/>
                  <wp:effectExtent l="0" t="0" r="1587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075" cy="590550"/>
                          </a:xfrm>
                          <a:prstGeom prst="rect">
                            <a:avLst/>
                          </a:prstGeom>
                        </pic:spPr>
                      </pic:pic>
                    </a:graphicData>
                  </a:graphic>
                </wp:anchor>
              </w:drawing>
            </w:r>
          </w:p>
          <w:p>
            <w:pPr>
              <w:jc w:val="center"/>
              <w:rPr>
                <w:rFonts w:cs="宋体"/>
                <w:b/>
                <w:bCs/>
                <w:sz w:val="21"/>
                <w:szCs w:val="21"/>
              </w:rPr>
            </w:pPr>
            <w:r>
              <w:rPr>
                <w:rFonts w:hint="eastAsia" w:cs="宋体"/>
                <w:b/>
                <w:bCs/>
                <w:sz w:val="21"/>
                <w:szCs w:val="21"/>
              </w:rPr>
              <w:t>图</w:t>
            </w:r>
            <w:r>
              <w:rPr>
                <w:b/>
                <w:bCs/>
                <w:sz w:val="21"/>
                <w:szCs w:val="21"/>
              </w:rPr>
              <w:t>2-1</w:t>
            </w:r>
            <w:r>
              <w:rPr>
                <w:rFonts w:hint="eastAsia" w:cs="宋体"/>
                <w:b/>
                <w:bCs/>
                <w:sz w:val="21"/>
                <w:szCs w:val="21"/>
              </w:rPr>
              <w:t xml:space="preserve"> 项目地理位置图</w:t>
            </w:r>
          </w:p>
          <w:p>
            <w:pPr>
              <w:pStyle w:val="14"/>
              <w:ind w:firstLine="480"/>
              <w:rPr>
                <w:color w:val="000000"/>
                <w:sz w:val="24"/>
                <w:szCs w:val="24"/>
              </w:rPr>
            </w:pPr>
          </w:p>
          <w:p>
            <w:pPr>
              <w:pStyle w:val="14"/>
              <w:ind w:firstLine="480"/>
              <w:rPr>
                <w:color w:val="000000"/>
                <w:sz w:val="24"/>
                <w:szCs w:val="24"/>
              </w:rPr>
            </w:pPr>
          </w:p>
          <w:p>
            <w:pPr>
              <w:rPr>
                <w:color w:val="000000"/>
                <w:szCs w:val="24"/>
              </w:rPr>
            </w:pPr>
          </w:p>
          <w:p>
            <w:pPr>
              <w:pStyle w:val="14"/>
              <w:ind w:firstLine="480"/>
              <w:rPr>
                <w:color w:val="000000"/>
                <w:sz w:val="24"/>
                <w:szCs w:val="24"/>
              </w:rPr>
            </w:pPr>
          </w:p>
        </w:tc>
      </w:tr>
    </w:tbl>
    <w:p>
      <w:pPr>
        <w:rPr>
          <w:rFonts w:eastAsia="仿宋_GB2312"/>
          <w:color w:val="000000"/>
          <w:sz w:val="21"/>
          <w:szCs w:val="21"/>
        </w:rPr>
        <w:sectPr>
          <w:pgSz w:w="11906" w:h="16838"/>
          <w:pgMar w:top="1440" w:right="1800" w:bottom="1440" w:left="1800" w:header="708" w:footer="708" w:gutter="0"/>
          <w:cols w:space="720" w:num="1"/>
          <w:docGrid w:linePitch="360" w:charSpace="0"/>
        </w:sectPr>
      </w:pPr>
    </w:p>
    <w:p>
      <w:pPr>
        <w:spacing w:line="240" w:lineRule="auto"/>
        <w:rPr>
          <w:b/>
          <w:color w:val="000000"/>
          <w:sz w:val="28"/>
          <w:szCs w:val="28"/>
        </w:rPr>
      </w:pPr>
      <w:r>
        <w:rPr>
          <w:rFonts w:hint="eastAsia"/>
          <w:b/>
          <w:color w:val="000000"/>
          <w:sz w:val="28"/>
          <w:szCs w:val="28"/>
        </w:rPr>
        <w:t>续表二</w:t>
      </w:r>
    </w:p>
    <w:tbl>
      <w:tblPr>
        <w:tblStyle w:val="9"/>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26" w:hRule="atLeast"/>
        </w:trPr>
        <w:tc>
          <w:tcPr>
            <w:tcW w:w="8420" w:type="dxa"/>
          </w:tcPr>
          <w:p>
            <w:pPr>
              <w:spacing w:before="120" w:beforeLines="50"/>
              <w:jc w:val="center"/>
            </w:pPr>
            <w:r>
              <mc:AlternateContent>
                <mc:Choice Requires="wps">
                  <w:drawing>
                    <wp:anchor distT="0" distB="0" distL="114300" distR="114300" simplePos="0" relativeHeight="251721728" behindDoc="0" locked="0" layoutInCell="1" allowOverlap="1">
                      <wp:simplePos x="0" y="0"/>
                      <wp:positionH relativeFrom="column">
                        <wp:posOffset>10795</wp:posOffset>
                      </wp:positionH>
                      <wp:positionV relativeFrom="paragraph">
                        <wp:posOffset>79375</wp:posOffset>
                      </wp:positionV>
                      <wp:extent cx="5201920" cy="3011170"/>
                      <wp:effectExtent l="6350" t="6350" r="11430" b="11430"/>
                      <wp:wrapNone/>
                      <wp:docPr id="15" name="矩形 15"/>
                      <wp:cNvGraphicFramePr/>
                      <a:graphic xmlns:a="http://schemas.openxmlformats.org/drawingml/2006/main">
                        <a:graphicData uri="http://schemas.microsoft.com/office/word/2010/wordprocessingShape">
                          <wps:wsp>
                            <wps:cNvSpPr/>
                            <wps:spPr>
                              <a:xfrm>
                                <a:off x="1153795" y="1230630"/>
                                <a:ext cx="5201920" cy="30111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5pt;margin-top:6.25pt;height:237.1pt;width:409.6pt;z-index:251721728;v-text-anchor:middle;mso-width-relative:page;mso-height-relative:page;" filled="f" stroked="t" coordsize="21600,21600" o:gfxdata="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vgo2AAA&#10;AAgBAAAPAAAAAAAAAAEAIAAAACIAAABkcnMvZG93bnJldi54bWxQSwECFAAUAAAACACHTuJAYO2R&#10;4FcCAACMBAAADgAAAAAAAAABACAAAAAnAQAAZHJzL2Uyb0RvYy54bWxQSwUGAAAAAAYABgBZAQAA&#10;8AUAAAAA&#10;">
                      <v:fill on="f" focussize="0,0"/>
                      <v:stroke weight="1.5pt" color="#000000 [3213]" miterlimit="8" joinstyle="miter"/>
                      <v:imagedata o:title=""/>
                      <o:lock v:ext="edit" aspectratio="f"/>
                    </v:rect>
                  </w:pict>
                </mc:Fallback>
              </mc:AlternateContent>
            </w:r>
            <w:r>
              <w:drawing>
                <wp:inline distT="0" distB="0" distL="0" distR="0">
                  <wp:extent cx="5209540" cy="30295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09540" cy="3029585"/>
                          </a:xfrm>
                          <a:prstGeom prst="rect">
                            <a:avLst/>
                          </a:prstGeom>
                        </pic:spPr>
                      </pic:pic>
                    </a:graphicData>
                  </a:graphic>
                </wp:inline>
              </w:drawing>
            </w:r>
          </w:p>
          <w:p>
            <w:pPr>
              <w:jc w:val="center"/>
              <w:rPr>
                <w:rFonts w:cs="宋体"/>
                <w:b/>
                <w:bCs/>
                <w:sz w:val="21"/>
                <w:szCs w:val="21"/>
              </w:rPr>
            </w:pPr>
            <w:r>
              <w:rPr>
                <w:sz w:val="21"/>
              </w:rPr>
              <mc:AlternateContent>
                <mc:Choice Requires="wps">
                  <w:drawing>
                    <wp:anchor distT="0" distB="0" distL="114300" distR="114300" simplePos="0" relativeHeight="251722752" behindDoc="0" locked="0" layoutInCell="1" allowOverlap="1">
                      <wp:simplePos x="0" y="0"/>
                      <wp:positionH relativeFrom="column">
                        <wp:posOffset>-4445</wp:posOffset>
                      </wp:positionH>
                      <wp:positionV relativeFrom="paragraph">
                        <wp:posOffset>246380</wp:posOffset>
                      </wp:positionV>
                      <wp:extent cx="5217160" cy="3023870"/>
                      <wp:effectExtent l="6350" t="6350" r="15240" b="17780"/>
                      <wp:wrapNone/>
                      <wp:docPr id="16" name="矩形 16"/>
                      <wp:cNvGraphicFramePr/>
                      <a:graphic xmlns:a="http://schemas.openxmlformats.org/drawingml/2006/main">
                        <a:graphicData uri="http://schemas.microsoft.com/office/word/2010/wordprocessingShape">
                          <wps:wsp>
                            <wps:cNvSpPr/>
                            <wps:spPr>
                              <a:xfrm>
                                <a:off x="1131570" y="4590415"/>
                                <a:ext cx="5217160" cy="30238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19.4pt;height:238.1pt;width:410.8pt;z-index:251722752;v-text-anchor:middle;mso-width-relative:page;mso-height-relative:page;" filled="f" stroked="t" coordsize="21600,21600" o:gfxdata="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8GuVdcA&#10;AAAIAQAADwAAAAAAAAABACAAAAAiAAAAZHJzL2Rvd25yZXYueG1sUEsBAhQAFAAAAAgAh07iQHLZ&#10;+AdZAgAAjAQAAA4AAAAAAAAAAQAgAAAAJgEAAGRycy9lMm9Eb2MueG1sUEsFBgAAAAAGAAYAWQEA&#10;APEFAAAAAA==&#10;">
                      <v:fill on="f" focussize="0,0"/>
                      <v:stroke weight="1pt" color="#000000 [3213]" miterlimit="8" joinstyle="miter"/>
                      <v:imagedata o:title=""/>
                      <o:lock v:ext="edit" aspectratio="f"/>
                    </v:rect>
                  </w:pict>
                </mc:Fallback>
              </mc:AlternateContent>
            </w:r>
            <w:r>
              <w:rPr>
                <w:rFonts w:hint="eastAsia" w:cs="宋体"/>
                <w:b/>
                <w:bCs/>
                <w:sz w:val="21"/>
                <w:szCs w:val="21"/>
              </w:rPr>
              <w:t>图</w:t>
            </w:r>
            <w:r>
              <w:rPr>
                <w:b/>
                <w:bCs/>
                <w:sz w:val="21"/>
                <w:szCs w:val="21"/>
              </w:rPr>
              <w:t>2-2</w:t>
            </w:r>
            <w:r>
              <w:rPr>
                <w:rFonts w:hint="eastAsia" w:cs="宋体"/>
                <w:b/>
                <w:bCs/>
                <w:sz w:val="21"/>
                <w:szCs w:val="21"/>
              </w:rPr>
              <w:t xml:space="preserve">  项目四邻关系图</w:t>
            </w:r>
          </w:p>
          <w:p>
            <w:r>
              <w:drawing>
                <wp:inline distT="0" distB="0" distL="0" distR="0">
                  <wp:extent cx="5209540" cy="3009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09540" cy="3009900"/>
                          </a:xfrm>
                          <a:prstGeom prst="rect">
                            <a:avLst/>
                          </a:prstGeom>
                        </pic:spPr>
                      </pic:pic>
                    </a:graphicData>
                  </a:graphic>
                </wp:inline>
              </w:drawing>
            </w:r>
          </w:p>
          <w:p>
            <w:pPr>
              <w:jc w:val="center"/>
              <w:rPr>
                <w:b/>
                <w:color w:val="000000"/>
                <w:sz w:val="21"/>
                <w:szCs w:val="21"/>
              </w:rPr>
            </w:pPr>
            <w:r>
              <w:rPr>
                <w:rFonts w:hint="eastAsia"/>
                <w:b/>
                <w:color w:val="000000"/>
                <w:sz w:val="21"/>
                <w:szCs w:val="21"/>
              </w:rPr>
              <w:t>图2-3  项目厂区平面布置图</w:t>
            </w:r>
          </w:p>
          <w:p>
            <w:pPr>
              <w:ind w:firstLine="482" w:firstLineChars="200"/>
              <w:jc w:val="both"/>
              <w:rPr>
                <w:b/>
                <w:color w:val="000000"/>
                <w:szCs w:val="21"/>
              </w:rPr>
            </w:pPr>
            <w:r>
              <w:rPr>
                <w:rFonts w:hint="eastAsia"/>
                <w:b/>
                <w:color w:val="000000"/>
                <w:szCs w:val="21"/>
              </w:rPr>
              <w:t>三、项目建设规模及投资</w:t>
            </w:r>
          </w:p>
          <w:p>
            <w:pPr>
              <w:ind w:firstLine="480" w:firstLineChars="200"/>
              <w:rPr>
                <w:szCs w:val="21"/>
              </w:rPr>
            </w:pPr>
            <w:r>
              <w:rPr>
                <w:color w:val="000000"/>
                <w:szCs w:val="21"/>
              </w:rPr>
              <w:t>建设规模：</w:t>
            </w:r>
            <w:r>
              <w:rPr>
                <w:rFonts w:hint="eastAsia" w:hAnsi="宋体"/>
                <w:iCs/>
              </w:rPr>
              <w:t>项目总占地1800m</w:t>
            </w:r>
            <w:r>
              <w:rPr>
                <w:rFonts w:hint="eastAsia" w:hAnsi="宋体"/>
                <w:iCs/>
                <w:vertAlign w:val="superscript"/>
              </w:rPr>
              <w:t>2</w:t>
            </w:r>
            <w:r>
              <w:rPr>
                <w:rFonts w:hint="eastAsia" w:hAnsi="宋体"/>
                <w:iCs/>
              </w:rPr>
              <w:t>，总建筑面积1680m</w:t>
            </w:r>
            <w:r>
              <w:rPr>
                <w:rFonts w:hint="eastAsia" w:hAnsi="宋体"/>
                <w:iCs/>
                <w:vertAlign w:val="superscript"/>
              </w:rPr>
              <w:t>2</w:t>
            </w:r>
            <w:r>
              <w:rPr>
                <w:rFonts w:hint="eastAsia" w:hAnsi="宋体"/>
                <w:iCs/>
              </w:rPr>
              <w:t>，其中原料库房面积320m</w:t>
            </w:r>
            <w:r>
              <w:rPr>
                <w:rFonts w:hint="eastAsia" w:hAnsi="宋体"/>
                <w:iCs/>
                <w:vertAlign w:val="superscript"/>
              </w:rPr>
              <w:t>2</w:t>
            </w:r>
            <w:r>
              <w:rPr>
                <w:rFonts w:hint="eastAsia" w:hAnsi="宋体"/>
                <w:iCs/>
              </w:rPr>
              <w:t>、生产车间面积300m</w:t>
            </w:r>
            <w:r>
              <w:rPr>
                <w:rFonts w:hint="eastAsia" w:hAnsi="宋体"/>
                <w:iCs/>
                <w:vertAlign w:val="superscript"/>
              </w:rPr>
              <w:t>2</w:t>
            </w:r>
            <w:r>
              <w:rPr>
                <w:rFonts w:hint="eastAsia" w:hAnsi="宋体"/>
                <w:iCs/>
              </w:rPr>
              <w:t>、废料库房面积900m</w:t>
            </w:r>
            <w:r>
              <w:rPr>
                <w:rFonts w:hint="eastAsia" w:hAnsi="宋体"/>
                <w:iCs/>
                <w:vertAlign w:val="superscript"/>
              </w:rPr>
              <w:t>2</w:t>
            </w:r>
            <w:r>
              <w:rPr>
                <w:rFonts w:hint="eastAsia" w:hAnsi="宋体"/>
                <w:iCs/>
              </w:rPr>
              <w:t>及办公区面积160m</w:t>
            </w:r>
            <w:r>
              <w:rPr>
                <w:rFonts w:hint="eastAsia" w:hAnsi="宋体"/>
                <w:iCs/>
                <w:vertAlign w:val="superscript"/>
              </w:rPr>
              <w:t>2</w:t>
            </w:r>
            <w:r>
              <w:rPr>
                <w:rFonts w:hint="eastAsia" w:hAnsi="宋体"/>
                <w:iCs/>
              </w:rPr>
              <w:t>。</w:t>
            </w:r>
          </w:p>
          <w:p>
            <w:pPr>
              <w:numPr>
                <w:ilvl w:val="0"/>
                <w:numId w:val="4"/>
              </w:numPr>
              <w:ind w:firstLine="482" w:firstLineChars="200"/>
              <w:jc w:val="both"/>
              <w:rPr>
                <w:b/>
                <w:color w:val="000000"/>
                <w:szCs w:val="21"/>
              </w:rPr>
            </w:pPr>
            <w:r>
              <w:rPr>
                <w:rFonts w:hint="eastAsia"/>
                <w:b/>
                <w:color w:val="000000"/>
                <w:szCs w:val="21"/>
              </w:rPr>
              <w:t>项目组成及主要建设内容</w:t>
            </w:r>
          </w:p>
          <w:p>
            <w:pPr>
              <w:ind w:firstLine="480" w:firstLineChars="200"/>
              <w:jc w:val="both"/>
              <w:rPr>
                <w:b/>
                <w:color w:val="000000"/>
                <w:szCs w:val="21"/>
              </w:rPr>
            </w:pPr>
            <w:r>
              <w:rPr>
                <w:rFonts w:hint="eastAsia"/>
                <w:bCs/>
                <w:color w:val="000000"/>
                <w:szCs w:val="28"/>
              </w:rPr>
              <w:t>项目主要建设内容见下表2-1。</w:t>
            </w:r>
          </w:p>
        </w:tc>
      </w:tr>
    </w:tbl>
    <w:p>
      <w:pPr>
        <w:sectPr>
          <w:pgSz w:w="11906" w:h="16838"/>
          <w:pgMar w:top="1440" w:right="1800" w:bottom="1440" w:left="1800" w:header="708" w:footer="708" w:gutter="0"/>
          <w:cols w:space="720" w:num="1"/>
          <w:docGrid w:linePitch="360" w:charSpace="0"/>
        </w:sectPr>
      </w:pPr>
    </w:p>
    <w:p>
      <w:pPr>
        <w:spacing w:line="240" w:lineRule="auto"/>
        <w:rPr>
          <w:b/>
          <w:bCs/>
          <w:color w:val="000000"/>
          <w:sz w:val="28"/>
          <w:szCs w:val="28"/>
        </w:rPr>
      </w:pPr>
      <w:r>
        <w:rPr>
          <w:rFonts w:hint="eastAsia"/>
          <w:b/>
          <w:bCs/>
          <w:color w:val="000000"/>
          <w:sz w:val="28"/>
          <w:szCs w:val="28"/>
        </w:rPr>
        <w:t>续表二</w:t>
      </w:r>
    </w:p>
    <w:tbl>
      <w:tblPr>
        <w:tblStyle w:val="9"/>
        <w:tblW w:w="87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24" w:hRule="atLeast"/>
          <w:jc w:val="center"/>
        </w:trPr>
        <w:tc>
          <w:tcPr>
            <w:tcW w:w="8773" w:type="dxa"/>
          </w:tcPr>
          <w:p>
            <w:pPr>
              <w:spacing w:before="120" w:beforeLines="50"/>
              <w:jc w:val="center"/>
              <w:rPr>
                <w:b/>
                <w:bCs/>
                <w:color w:val="000000"/>
                <w:sz w:val="21"/>
                <w:szCs w:val="21"/>
              </w:rPr>
            </w:pPr>
            <w:r>
              <w:rPr>
                <w:rFonts w:hint="eastAsia"/>
                <w:b/>
                <w:bCs/>
                <w:color w:val="000000"/>
                <w:sz w:val="21"/>
                <w:szCs w:val="21"/>
              </w:rPr>
              <w:t>表2-</w:t>
            </w:r>
            <w:r>
              <w:rPr>
                <w:b/>
                <w:bCs/>
                <w:color w:val="000000"/>
                <w:sz w:val="21"/>
                <w:szCs w:val="21"/>
              </w:rPr>
              <w:t>1</w:t>
            </w:r>
            <w:r>
              <w:rPr>
                <w:rFonts w:hint="eastAsia"/>
                <w:b/>
                <w:bCs/>
                <w:color w:val="000000"/>
                <w:sz w:val="21"/>
                <w:szCs w:val="21"/>
              </w:rPr>
              <w:t>项目工程组成一览表</w:t>
            </w:r>
          </w:p>
          <w:tbl>
            <w:tblPr>
              <w:tblStyle w:val="9"/>
              <w:tblW w:w="854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709"/>
              <w:gridCol w:w="851"/>
              <w:gridCol w:w="1984"/>
              <w:gridCol w:w="3260"/>
              <w:gridCol w:w="10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Align w:val="center"/>
                </w:tcPr>
                <w:p>
                  <w:pPr>
                    <w:spacing w:line="240" w:lineRule="auto"/>
                    <w:jc w:val="center"/>
                    <w:rPr>
                      <w:b/>
                      <w:bCs/>
                      <w:color w:val="000000"/>
                      <w:sz w:val="21"/>
                      <w:szCs w:val="28"/>
                    </w:rPr>
                  </w:pPr>
                  <w:r>
                    <w:rPr>
                      <w:rFonts w:hint="eastAsia"/>
                      <w:b/>
                      <w:bCs/>
                      <w:color w:val="000000"/>
                      <w:sz w:val="21"/>
                      <w:szCs w:val="28"/>
                    </w:rPr>
                    <w:t>工程分类</w:t>
                  </w:r>
                </w:p>
              </w:tc>
              <w:tc>
                <w:tcPr>
                  <w:tcW w:w="709" w:type="dxa"/>
                  <w:vAlign w:val="center"/>
                </w:tcPr>
                <w:p>
                  <w:pPr>
                    <w:spacing w:line="240" w:lineRule="auto"/>
                    <w:jc w:val="center"/>
                    <w:rPr>
                      <w:b/>
                      <w:bCs/>
                      <w:color w:val="000000"/>
                      <w:sz w:val="21"/>
                      <w:szCs w:val="28"/>
                    </w:rPr>
                  </w:pPr>
                  <w:r>
                    <w:rPr>
                      <w:rFonts w:hint="eastAsia"/>
                      <w:b/>
                      <w:bCs/>
                      <w:color w:val="000000"/>
                      <w:sz w:val="21"/>
                      <w:szCs w:val="28"/>
                    </w:rPr>
                    <w:t>项目组成</w:t>
                  </w:r>
                </w:p>
              </w:tc>
              <w:tc>
                <w:tcPr>
                  <w:tcW w:w="2835" w:type="dxa"/>
                  <w:gridSpan w:val="2"/>
                  <w:vAlign w:val="center"/>
                </w:tcPr>
                <w:p>
                  <w:pPr>
                    <w:spacing w:line="240" w:lineRule="auto"/>
                    <w:jc w:val="center"/>
                    <w:rPr>
                      <w:b/>
                      <w:bCs/>
                      <w:color w:val="000000"/>
                      <w:sz w:val="21"/>
                      <w:szCs w:val="28"/>
                    </w:rPr>
                  </w:pPr>
                  <w:r>
                    <w:rPr>
                      <w:rFonts w:hint="eastAsia"/>
                      <w:b/>
                      <w:bCs/>
                      <w:color w:val="000000"/>
                      <w:sz w:val="21"/>
                      <w:szCs w:val="28"/>
                    </w:rPr>
                    <w:t>环评建设内容</w:t>
                  </w:r>
                </w:p>
              </w:tc>
              <w:tc>
                <w:tcPr>
                  <w:tcW w:w="3260" w:type="dxa"/>
                  <w:vAlign w:val="center"/>
                </w:tcPr>
                <w:p>
                  <w:pPr>
                    <w:spacing w:line="240" w:lineRule="auto"/>
                    <w:jc w:val="center"/>
                    <w:rPr>
                      <w:b/>
                      <w:bCs/>
                      <w:color w:val="000000"/>
                      <w:sz w:val="21"/>
                      <w:szCs w:val="28"/>
                    </w:rPr>
                  </w:pPr>
                  <w:r>
                    <w:rPr>
                      <w:rFonts w:hint="eastAsia"/>
                      <w:b/>
                      <w:bCs/>
                      <w:color w:val="000000"/>
                      <w:sz w:val="21"/>
                      <w:szCs w:val="28"/>
                    </w:rPr>
                    <w:t>实际建设内容</w:t>
                  </w:r>
                </w:p>
              </w:tc>
              <w:tc>
                <w:tcPr>
                  <w:tcW w:w="1053" w:type="dxa"/>
                  <w:vAlign w:val="center"/>
                </w:tcPr>
                <w:p>
                  <w:pPr>
                    <w:spacing w:line="240" w:lineRule="auto"/>
                    <w:jc w:val="center"/>
                    <w:rPr>
                      <w:b/>
                      <w:bCs/>
                      <w:color w:val="000000"/>
                      <w:sz w:val="21"/>
                      <w:szCs w:val="28"/>
                    </w:rPr>
                  </w:pPr>
                  <w:r>
                    <w:rPr>
                      <w:rFonts w:hint="eastAsia"/>
                      <w:b/>
                      <w:bCs/>
                      <w:color w:val="000000"/>
                      <w:sz w:val="21"/>
                      <w:szCs w:val="28"/>
                    </w:rPr>
                    <w:t>与环评一致性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Align w:val="center"/>
                </w:tcPr>
                <w:p>
                  <w:pPr>
                    <w:spacing w:line="240" w:lineRule="auto"/>
                    <w:jc w:val="center"/>
                    <w:rPr>
                      <w:bCs/>
                      <w:color w:val="000000"/>
                      <w:sz w:val="21"/>
                      <w:szCs w:val="21"/>
                    </w:rPr>
                  </w:pPr>
                  <w:r>
                    <w:rPr>
                      <w:rFonts w:hint="eastAsia"/>
                      <w:bCs/>
                      <w:color w:val="000000"/>
                      <w:sz w:val="21"/>
                      <w:szCs w:val="21"/>
                    </w:rPr>
                    <w:t>主体工程</w:t>
                  </w:r>
                </w:p>
              </w:tc>
              <w:tc>
                <w:tcPr>
                  <w:tcW w:w="709" w:type="dxa"/>
                  <w:vAlign w:val="center"/>
                </w:tcPr>
                <w:p>
                  <w:pPr>
                    <w:spacing w:line="240" w:lineRule="auto"/>
                    <w:contextualSpacing/>
                    <w:jc w:val="center"/>
                    <w:rPr>
                      <w:sz w:val="21"/>
                      <w:szCs w:val="21"/>
                    </w:rPr>
                  </w:pPr>
                  <w:r>
                    <w:rPr>
                      <w:rFonts w:hint="eastAsia"/>
                      <w:sz w:val="21"/>
                      <w:szCs w:val="21"/>
                    </w:rPr>
                    <w:t>生产车间</w:t>
                  </w:r>
                </w:p>
              </w:tc>
              <w:tc>
                <w:tcPr>
                  <w:tcW w:w="2835" w:type="dxa"/>
                  <w:gridSpan w:val="2"/>
                  <w:vAlign w:val="center"/>
                </w:tcPr>
                <w:p>
                  <w:pPr>
                    <w:spacing w:line="240" w:lineRule="auto"/>
                    <w:contextualSpacing/>
                    <w:rPr>
                      <w:sz w:val="21"/>
                      <w:szCs w:val="21"/>
                    </w:rPr>
                  </w:pPr>
                  <w:r>
                    <w:rPr>
                      <w:rFonts w:hint="eastAsia" w:hAnsi="宋体"/>
                      <w:sz w:val="21"/>
                      <w:szCs w:val="21"/>
                    </w:rPr>
                    <w:t>建筑面积420m</w:t>
                  </w:r>
                  <w:r>
                    <w:rPr>
                      <w:rFonts w:hint="eastAsia" w:hAnsi="宋体"/>
                      <w:sz w:val="21"/>
                      <w:szCs w:val="21"/>
                      <w:vertAlign w:val="superscript"/>
                    </w:rPr>
                    <w:t>2</w:t>
                  </w:r>
                  <w:r>
                    <w:rPr>
                      <w:rFonts w:hint="eastAsia"/>
                      <w:bCs/>
                      <w:sz w:val="21"/>
                      <w:szCs w:val="21"/>
                    </w:rPr>
                    <w:t>，单层钢架结构，主要生产设备包括吸塑机、裁断机等（租用已建成厂房）</w:t>
                  </w:r>
                </w:p>
              </w:tc>
              <w:tc>
                <w:tcPr>
                  <w:tcW w:w="3260" w:type="dxa"/>
                  <w:vAlign w:val="center"/>
                </w:tcPr>
                <w:p>
                  <w:pPr>
                    <w:spacing w:line="240" w:lineRule="auto"/>
                    <w:contextualSpacing/>
                    <w:rPr>
                      <w:sz w:val="21"/>
                      <w:szCs w:val="21"/>
                    </w:rPr>
                  </w:pPr>
                  <w:r>
                    <w:rPr>
                      <w:rFonts w:hint="eastAsia" w:hAnsi="宋体"/>
                      <w:sz w:val="21"/>
                      <w:szCs w:val="21"/>
                    </w:rPr>
                    <w:t>建筑面积420m</w:t>
                  </w:r>
                  <w:r>
                    <w:rPr>
                      <w:rFonts w:hint="eastAsia" w:hAnsi="宋体"/>
                      <w:sz w:val="21"/>
                      <w:szCs w:val="21"/>
                      <w:vertAlign w:val="superscript"/>
                    </w:rPr>
                    <w:t>2</w:t>
                  </w:r>
                  <w:r>
                    <w:rPr>
                      <w:rFonts w:hint="eastAsia"/>
                      <w:bCs/>
                      <w:sz w:val="21"/>
                      <w:szCs w:val="21"/>
                    </w:rPr>
                    <w:t>，单层钢架结构，主要生产设备包括吸塑机、裁断机等</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Align w:val="center"/>
                </w:tcPr>
                <w:p>
                  <w:pPr>
                    <w:spacing w:line="240" w:lineRule="auto"/>
                    <w:jc w:val="center"/>
                    <w:rPr>
                      <w:bCs/>
                      <w:color w:val="000000"/>
                      <w:sz w:val="21"/>
                      <w:szCs w:val="21"/>
                    </w:rPr>
                  </w:pPr>
                  <w:r>
                    <w:rPr>
                      <w:rFonts w:hint="eastAsia"/>
                      <w:bCs/>
                      <w:color w:val="000000"/>
                      <w:sz w:val="21"/>
                      <w:szCs w:val="21"/>
                    </w:rPr>
                    <w:t>辅助工程</w:t>
                  </w:r>
                </w:p>
              </w:tc>
              <w:tc>
                <w:tcPr>
                  <w:tcW w:w="709" w:type="dxa"/>
                  <w:vAlign w:val="center"/>
                </w:tcPr>
                <w:p>
                  <w:pPr>
                    <w:spacing w:line="240" w:lineRule="auto"/>
                    <w:contextualSpacing/>
                    <w:jc w:val="center"/>
                    <w:rPr>
                      <w:rFonts w:hAnsi="宋体"/>
                      <w:iCs/>
                      <w:sz w:val="21"/>
                      <w:szCs w:val="21"/>
                    </w:rPr>
                  </w:pPr>
                  <w:r>
                    <w:rPr>
                      <w:rFonts w:hAnsi="宋体"/>
                      <w:iCs/>
                      <w:sz w:val="21"/>
                      <w:szCs w:val="21"/>
                    </w:rPr>
                    <w:t>办公</w:t>
                  </w:r>
                  <w:r>
                    <w:rPr>
                      <w:rFonts w:hint="eastAsia" w:hAnsi="宋体"/>
                      <w:iCs/>
                      <w:sz w:val="21"/>
                      <w:szCs w:val="21"/>
                    </w:rPr>
                    <w:t>区</w:t>
                  </w:r>
                </w:p>
              </w:tc>
              <w:tc>
                <w:tcPr>
                  <w:tcW w:w="2835" w:type="dxa"/>
                  <w:gridSpan w:val="2"/>
                  <w:vAlign w:val="center"/>
                </w:tcPr>
                <w:p>
                  <w:pPr>
                    <w:spacing w:line="240" w:lineRule="auto"/>
                    <w:contextualSpacing/>
                    <w:rPr>
                      <w:sz w:val="21"/>
                      <w:szCs w:val="21"/>
                    </w:rPr>
                  </w:pPr>
                  <w:r>
                    <w:rPr>
                      <w:rFonts w:hAnsi="宋体"/>
                      <w:sz w:val="21"/>
                      <w:szCs w:val="21"/>
                    </w:rPr>
                    <w:t>建筑面积</w:t>
                  </w:r>
                  <w:r>
                    <w:rPr>
                      <w:rFonts w:hint="eastAsia"/>
                      <w:sz w:val="21"/>
                      <w:szCs w:val="21"/>
                    </w:rPr>
                    <w:t>160</w:t>
                  </w:r>
                  <w:r>
                    <w:rPr>
                      <w:sz w:val="21"/>
                      <w:szCs w:val="21"/>
                    </w:rPr>
                    <w:t>m</w:t>
                  </w:r>
                  <w:r>
                    <w:rPr>
                      <w:sz w:val="21"/>
                      <w:szCs w:val="21"/>
                      <w:vertAlign w:val="superscript"/>
                    </w:rPr>
                    <w:t>2</w:t>
                  </w:r>
                  <w:r>
                    <w:rPr>
                      <w:rFonts w:hAnsi="宋体"/>
                      <w:sz w:val="21"/>
                      <w:szCs w:val="21"/>
                    </w:rPr>
                    <w:t>，</w:t>
                  </w:r>
                  <w:r>
                    <w:rPr>
                      <w:rFonts w:hint="eastAsia"/>
                      <w:bCs/>
                      <w:sz w:val="21"/>
                      <w:szCs w:val="21"/>
                    </w:rPr>
                    <w:t>单层钢架结构</w:t>
                  </w:r>
                  <w:r>
                    <w:rPr>
                      <w:rFonts w:hint="eastAsia" w:hAnsi="宋体"/>
                      <w:sz w:val="21"/>
                      <w:szCs w:val="21"/>
                    </w:rPr>
                    <w:t>，用于厂区人员办公</w:t>
                  </w:r>
                  <w:r>
                    <w:rPr>
                      <w:rFonts w:hint="eastAsia"/>
                      <w:bCs/>
                      <w:sz w:val="21"/>
                      <w:szCs w:val="21"/>
                    </w:rPr>
                    <w:t>（租用已建成厂房）</w:t>
                  </w:r>
                </w:p>
              </w:tc>
              <w:tc>
                <w:tcPr>
                  <w:tcW w:w="3260" w:type="dxa"/>
                  <w:vAlign w:val="center"/>
                </w:tcPr>
                <w:p>
                  <w:pPr>
                    <w:spacing w:line="240" w:lineRule="auto"/>
                    <w:contextualSpacing/>
                    <w:rPr>
                      <w:sz w:val="21"/>
                      <w:szCs w:val="21"/>
                    </w:rPr>
                  </w:pPr>
                  <w:r>
                    <w:rPr>
                      <w:rFonts w:hAnsi="宋体"/>
                      <w:sz w:val="21"/>
                      <w:szCs w:val="21"/>
                    </w:rPr>
                    <w:t>建筑面积</w:t>
                  </w:r>
                  <w:r>
                    <w:rPr>
                      <w:rFonts w:hint="eastAsia"/>
                      <w:sz w:val="21"/>
                      <w:szCs w:val="21"/>
                    </w:rPr>
                    <w:t>160</w:t>
                  </w:r>
                  <w:r>
                    <w:rPr>
                      <w:sz w:val="21"/>
                      <w:szCs w:val="21"/>
                    </w:rPr>
                    <w:t>m</w:t>
                  </w:r>
                  <w:r>
                    <w:rPr>
                      <w:sz w:val="21"/>
                      <w:szCs w:val="21"/>
                      <w:vertAlign w:val="superscript"/>
                    </w:rPr>
                    <w:t>2</w:t>
                  </w:r>
                  <w:r>
                    <w:rPr>
                      <w:rFonts w:hAnsi="宋体"/>
                      <w:sz w:val="21"/>
                      <w:szCs w:val="21"/>
                    </w:rPr>
                    <w:t>，</w:t>
                  </w:r>
                  <w:r>
                    <w:rPr>
                      <w:rFonts w:hint="eastAsia"/>
                      <w:bCs/>
                      <w:sz w:val="21"/>
                      <w:szCs w:val="21"/>
                    </w:rPr>
                    <w:t>单层钢架结构</w:t>
                  </w:r>
                  <w:r>
                    <w:rPr>
                      <w:rFonts w:hint="eastAsia" w:hAnsi="宋体"/>
                      <w:sz w:val="21"/>
                      <w:szCs w:val="21"/>
                    </w:rPr>
                    <w:t>，用于厂区人员办公</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restart"/>
                  <w:vAlign w:val="center"/>
                </w:tcPr>
                <w:p>
                  <w:pPr>
                    <w:spacing w:line="240" w:lineRule="auto"/>
                    <w:jc w:val="center"/>
                    <w:rPr>
                      <w:bCs/>
                      <w:color w:val="000000"/>
                      <w:sz w:val="21"/>
                      <w:szCs w:val="21"/>
                    </w:rPr>
                  </w:pPr>
                  <w:r>
                    <w:rPr>
                      <w:rFonts w:hint="eastAsia"/>
                      <w:bCs/>
                      <w:color w:val="000000"/>
                      <w:sz w:val="21"/>
                      <w:szCs w:val="21"/>
                    </w:rPr>
                    <w:t>储运工程</w:t>
                  </w:r>
                </w:p>
              </w:tc>
              <w:tc>
                <w:tcPr>
                  <w:tcW w:w="709" w:type="dxa"/>
                  <w:vAlign w:val="center"/>
                </w:tcPr>
                <w:p>
                  <w:pPr>
                    <w:spacing w:line="240" w:lineRule="auto"/>
                    <w:contextualSpacing/>
                    <w:jc w:val="center"/>
                    <w:rPr>
                      <w:rFonts w:hAnsi="宋体"/>
                      <w:bCs/>
                      <w:sz w:val="21"/>
                      <w:szCs w:val="21"/>
                    </w:rPr>
                  </w:pPr>
                  <w:r>
                    <w:rPr>
                      <w:rFonts w:hint="eastAsia" w:hAnsi="宋体"/>
                      <w:bCs/>
                      <w:sz w:val="21"/>
                      <w:szCs w:val="21"/>
                    </w:rPr>
                    <w:t>原料库房</w:t>
                  </w:r>
                </w:p>
              </w:tc>
              <w:tc>
                <w:tcPr>
                  <w:tcW w:w="2835" w:type="dxa"/>
                  <w:gridSpan w:val="2"/>
                  <w:vAlign w:val="center"/>
                </w:tcPr>
                <w:p>
                  <w:pPr>
                    <w:spacing w:line="240" w:lineRule="auto"/>
                    <w:contextualSpacing/>
                    <w:rPr>
                      <w:bCs/>
                      <w:sz w:val="21"/>
                      <w:szCs w:val="21"/>
                    </w:rPr>
                  </w:pPr>
                  <w:r>
                    <w:rPr>
                      <w:rFonts w:hint="eastAsia"/>
                      <w:bCs/>
                      <w:sz w:val="21"/>
                      <w:szCs w:val="21"/>
                    </w:rPr>
                    <w:t>建筑面积200m</w:t>
                  </w:r>
                  <w:r>
                    <w:rPr>
                      <w:rFonts w:hint="eastAsia"/>
                      <w:bCs/>
                      <w:sz w:val="21"/>
                      <w:szCs w:val="21"/>
                      <w:vertAlign w:val="superscript"/>
                    </w:rPr>
                    <w:t>2</w:t>
                  </w:r>
                  <w:r>
                    <w:rPr>
                      <w:rFonts w:hint="eastAsia"/>
                      <w:bCs/>
                      <w:sz w:val="21"/>
                      <w:szCs w:val="21"/>
                    </w:rPr>
                    <w:t>，单层钢架结构，进行生产原料储存（租用已建成厂房）</w:t>
                  </w:r>
                </w:p>
              </w:tc>
              <w:tc>
                <w:tcPr>
                  <w:tcW w:w="3260" w:type="dxa"/>
                  <w:vAlign w:val="center"/>
                </w:tcPr>
                <w:p>
                  <w:pPr>
                    <w:spacing w:line="240" w:lineRule="auto"/>
                    <w:contextualSpacing/>
                    <w:rPr>
                      <w:bCs/>
                      <w:sz w:val="21"/>
                      <w:szCs w:val="21"/>
                    </w:rPr>
                  </w:pPr>
                  <w:r>
                    <w:rPr>
                      <w:rFonts w:hint="eastAsia"/>
                      <w:bCs/>
                      <w:sz w:val="21"/>
                      <w:szCs w:val="21"/>
                    </w:rPr>
                    <w:t>建筑面积200m</w:t>
                  </w:r>
                  <w:r>
                    <w:rPr>
                      <w:rFonts w:hint="eastAsia"/>
                      <w:bCs/>
                      <w:sz w:val="21"/>
                      <w:szCs w:val="21"/>
                      <w:vertAlign w:val="superscript"/>
                    </w:rPr>
                    <w:t>2</w:t>
                  </w:r>
                  <w:r>
                    <w:rPr>
                      <w:rFonts w:hint="eastAsia"/>
                      <w:bCs/>
                      <w:sz w:val="21"/>
                      <w:szCs w:val="21"/>
                    </w:rPr>
                    <w:t>，单层钢架结构，进行生产原料储存</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contextualSpacing/>
                    <w:jc w:val="center"/>
                    <w:rPr>
                      <w:rFonts w:hAnsi="宋体"/>
                      <w:bCs/>
                      <w:sz w:val="21"/>
                      <w:szCs w:val="21"/>
                    </w:rPr>
                  </w:pPr>
                  <w:r>
                    <w:rPr>
                      <w:rFonts w:hint="eastAsia" w:hAnsi="宋体"/>
                      <w:bCs/>
                      <w:sz w:val="21"/>
                      <w:szCs w:val="21"/>
                    </w:rPr>
                    <w:t>废料库房</w:t>
                  </w:r>
                </w:p>
              </w:tc>
              <w:tc>
                <w:tcPr>
                  <w:tcW w:w="2835" w:type="dxa"/>
                  <w:gridSpan w:val="2"/>
                  <w:vAlign w:val="center"/>
                </w:tcPr>
                <w:p>
                  <w:pPr>
                    <w:spacing w:line="240" w:lineRule="auto"/>
                    <w:contextualSpacing/>
                    <w:rPr>
                      <w:bCs/>
                      <w:sz w:val="21"/>
                      <w:szCs w:val="21"/>
                    </w:rPr>
                  </w:pPr>
                  <w:r>
                    <w:rPr>
                      <w:rFonts w:hint="eastAsia"/>
                      <w:bCs/>
                      <w:sz w:val="21"/>
                      <w:szCs w:val="21"/>
                    </w:rPr>
                    <w:t>共设2个废料库房，单层钢架结构，建筑面积分别为400m</w:t>
                  </w:r>
                  <w:r>
                    <w:rPr>
                      <w:rFonts w:hint="eastAsia"/>
                      <w:bCs/>
                      <w:sz w:val="21"/>
                      <w:szCs w:val="21"/>
                      <w:vertAlign w:val="superscript"/>
                    </w:rPr>
                    <w:t>2</w:t>
                  </w:r>
                  <w:r>
                    <w:rPr>
                      <w:rFonts w:hint="eastAsia"/>
                      <w:bCs/>
                      <w:sz w:val="21"/>
                      <w:szCs w:val="21"/>
                    </w:rPr>
                    <w:t>和500m</w:t>
                  </w:r>
                  <w:r>
                    <w:rPr>
                      <w:rFonts w:hint="eastAsia"/>
                      <w:bCs/>
                      <w:sz w:val="21"/>
                      <w:szCs w:val="21"/>
                      <w:vertAlign w:val="superscript"/>
                    </w:rPr>
                    <w:t>2</w:t>
                  </w:r>
                  <w:r>
                    <w:rPr>
                      <w:rFonts w:hint="eastAsia"/>
                      <w:bCs/>
                      <w:sz w:val="21"/>
                      <w:szCs w:val="21"/>
                    </w:rPr>
                    <w:t>，用于废料暂存（租用已建成厂房）</w:t>
                  </w:r>
                </w:p>
              </w:tc>
              <w:tc>
                <w:tcPr>
                  <w:tcW w:w="3260" w:type="dxa"/>
                  <w:vAlign w:val="center"/>
                </w:tcPr>
                <w:p>
                  <w:pPr>
                    <w:spacing w:line="240" w:lineRule="auto"/>
                    <w:contextualSpacing/>
                    <w:rPr>
                      <w:bCs/>
                      <w:sz w:val="21"/>
                      <w:szCs w:val="21"/>
                    </w:rPr>
                  </w:pPr>
                  <w:r>
                    <w:rPr>
                      <w:rFonts w:hint="eastAsia"/>
                      <w:bCs/>
                      <w:sz w:val="21"/>
                      <w:szCs w:val="21"/>
                    </w:rPr>
                    <w:t>共设2个废料库房，单层钢架结构，建筑面积分别为400m</w:t>
                  </w:r>
                  <w:r>
                    <w:rPr>
                      <w:rFonts w:hint="eastAsia"/>
                      <w:bCs/>
                      <w:sz w:val="21"/>
                      <w:szCs w:val="21"/>
                      <w:vertAlign w:val="superscript"/>
                    </w:rPr>
                    <w:t>2</w:t>
                  </w:r>
                  <w:r>
                    <w:rPr>
                      <w:rFonts w:hint="eastAsia"/>
                      <w:bCs/>
                      <w:sz w:val="21"/>
                      <w:szCs w:val="21"/>
                    </w:rPr>
                    <w:t>和500m</w:t>
                  </w:r>
                  <w:r>
                    <w:rPr>
                      <w:rFonts w:hint="eastAsia"/>
                      <w:bCs/>
                      <w:sz w:val="21"/>
                      <w:szCs w:val="21"/>
                      <w:vertAlign w:val="superscript"/>
                    </w:rPr>
                    <w:t>2</w:t>
                  </w:r>
                  <w:r>
                    <w:rPr>
                      <w:rFonts w:hint="eastAsia"/>
                      <w:bCs/>
                      <w:sz w:val="21"/>
                      <w:szCs w:val="21"/>
                    </w:rPr>
                    <w:t>，用于废料暂存</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restart"/>
                  <w:vAlign w:val="center"/>
                </w:tcPr>
                <w:p>
                  <w:pPr>
                    <w:spacing w:line="240" w:lineRule="auto"/>
                    <w:jc w:val="center"/>
                    <w:rPr>
                      <w:bCs/>
                      <w:color w:val="000000"/>
                      <w:sz w:val="21"/>
                      <w:szCs w:val="21"/>
                    </w:rPr>
                  </w:pPr>
                  <w:r>
                    <w:rPr>
                      <w:rFonts w:hint="eastAsia"/>
                      <w:bCs/>
                      <w:color w:val="000000"/>
                      <w:sz w:val="21"/>
                      <w:szCs w:val="21"/>
                    </w:rPr>
                    <w:t>公用工程</w:t>
                  </w:r>
                </w:p>
              </w:tc>
              <w:tc>
                <w:tcPr>
                  <w:tcW w:w="709" w:type="dxa"/>
                  <w:vAlign w:val="center"/>
                </w:tcPr>
                <w:p>
                  <w:pPr>
                    <w:spacing w:line="240" w:lineRule="auto"/>
                    <w:contextualSpacing/>
                    <w:jc w:val="center"/>
                    <w:rPr>
                      <w:iCs/>
                      <w:sz w:val="21"/>
                      <w:szCs w:val="21"/>
                    </w:rPr>
                  </w:pPr>
                  <w:r>
                    <w:rPr>
                      <w:rFonts w:hint="eastAsia" w:hAnsi="宋体"/>
                      <w:iCs/>
                      <w:sz w:val="21"/>
                      <w:szCs w:val="21"/>
                    </w:rPr>
                    <w:t>供电</w:t>
                  </w:r>
                </w:p>
              </w:tc>
              <w:tc>
                <w:tcPr>
                  <w:tcW w:w="2835" w:type="dxa"/>
                  <w:gridSpan w:val="2"/>
                  <w:vAlign w:val="center"/>
                </w:tcPr>
                <w:p>
                  <w:pPr>
                    <w:spacing w:line="240" w:lineRule="auto"/>
                    <w:contextualSpacing/>
                    <w:rPr>
                      <w:sz w:val="21"/>
                      <w:szCs w:val="21"/>
                    </w:rPr>
                  </w:pPr>
                  <w:r>
                    <w:rPr>
                      <w:rFonts w:hint="eastAsia" w:hAnsi="宋体"/>
                      <w:sz w:val="21"/>
                      <w:szCs w:val="21"/>
                    </w:rPr>
                    <w:t>由秦汉新城市政电网供给</w:t>
                  </w:r>
                </w:p>
              </w:tc>
              <w:tc>
                <w:tcPr>
                  <w:tcW w:w="3260" w:type="dxa"/>
                  <w:vAlign w:val="center"/>
                </w:tcPr>
                <w:p>
                  <w:pPr>
                    <w:spacing w:line="240" w:lineRule="auto"/>
                    <w:contextualSpacing/>
                    <w:rPr>
                      <w:sz w:val="21"/>
                      <w:szCs w:val="21"/>
                    </w:rPr>
                  </w:pPr>
                  <w:r>
                    <w:rPr>
                      <w:rFonts w:hint="eastAsia" w:hAnsi="宋体"/>
                      <w:sz w:val="21"/>
                      <w:szCs w:val="21"/>
                    </w:rPr>
                    <w:t>由秦汉新城市政电网供给</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contextualSpacing/>
                    <w:jc w:val="center"/>
                    <w:rPr>
                      <w:iCs/>
                      <w:sz w:val="21"/>
                      <w:szCs w:val="21"/>
                    </w:rPr>
                  </w:pPr>
                  <w:r>
                    <w:rPr>
                      <w:rFonts w:hAnsi="宋体"/>
                      <w:iCs/>
                      <w:sz w:val="21"/>
                      <w:szCs w:val="21"/>
                    </w:rPr>
                    <w:t>供水</w:t>
                  </w:r>
                </w:p>
              </w:tc>
              <w:tc>
                <w:tcPr>
                  <w:tcW w:w="2835" w:type="dxa"/>
                  <w:gridSpan w:val="2"/>
                  <w:vAlign w:val="center"/>
                </w:tcPr>
                <w:p>
                  <w:pPr>
                    <w:spacing w:line="240" w:lineRule="auto"/>
                    <w:contextualSpacing/>
                    <w:rPr>
                      <w:sz w:val="21"/>
                      <w:szCs w:val="21"/>
                    </w:rPr>
                  </w:pPr>
                  <w:r>
                    <w:rPr>
                      <w:rFonts w:hint="eastAsia" w:hAnsi="宋体"/>
                      <w:sz w:val="21"/>
                      <w:szCs w:val="21"/>
                    </w:rPr>
                    <w:t>由自备井供给</w:t>
                  </w:r>
                </w:p>
              </w:tc>
              <w:tc>
                <w:tcPr>
                  <w:tcW w:w="3260" w:type="dxa"/>
                  <w:vAlign w:val="center"/>
                </w:tcPr>
                <w:p>
                  <w:pPr>
                    <w:spacing w:line="240" w:lineRule="auto"/>
                    <w:contextualSpacing/>
                    <w:rPr>
                      <w:sz w:val="21"/>
                      <w:szCs w:val="21"/>
                    </w:rPr>
                  </w:pPr>
                  <w:r>
                    <w:rPr>
                      <w:rFonts w:hint="eastAsia" w:hAnsi="宋体"/>
                      <w:sz w:val="21"/>
                      <w:szCs w:val="21"/>
                    </w:rPr>
                    <w:t>由自备井供给</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contextualSpacing/>
                    <w:jc w:val="center"/>
                    <w:rPr>
                      <w:iCs/>
                      <w:sz w:val="21"/>
                      <w:szCs w:val="21"/>
                    </w:rPr>
                  </w:pPr>
                  <w:r>
                    <w:rPr>
                      <w:rFonts w:hAnsi="宋体"/>
                      <w:iCs/>
                      <w:sz w:val="21"/>
                      <w:szCs w:val="21"/>
                    </w:rPr>
                    <w:t>排水</w:t>
                  </w:r>
                </w:p>
              </w:tc>
              <w:tc>
                <w:tcPr>
                  <w:tcW w:w="2835" w:type="dxa"/>
                  <w:gridSpan w:val="2"/>
                  <w:vAlign w:val="center"/>
                </w:tcPr>
                <w:p>
                  <w:pPr>
                    <w:spacing w:line="240" w:lineRule="auto"/>
                    <w:contextualSpacing/>
                    <w:rPr>
                      <w:rFonts w:hAnsi="宋体"/>
                      <w:sz w:val="21"/>
                      <w:szCs w:val="21"/>
                    </w:rPr>
                  </w:pPr>
                  <w:r>
                    <w:rPr>
                      <w:rFonts w:hint="eastAsia" w:hAnsi="宋体"/>
                      <w:sz w:val="21"/>
                      <w:szCs w:val="21"/>
                    </w:rPr>
                    <w:t>本项目排水雨污分流，雨水经厂区雨水管网排入市政雨水管道；生活污水经粪污收集池处理后定期清掏用作农肥</w:t>
                  </w:r>
                </w:p>
              </w:tc>
              <w:tc>
                <w:tcPr>
                  <w:tcW w:w="3260" w:type="dxa"/>
                  <w:vAlign w:val="center"/>
                </w:tcPr>
                <w:p>
                  <w:pPr>
                    <w:spacing w:line="240" w:lineRule="auto"/>
                    <w:contextualSpacing/>
                    <w:rPr>
                      <w:rFonts w:hAnsi="宋体"/>
                      <w:sz w:val="21"/>
                      <w:szCs w:val="21"/>
                    </w:rPr>
                  </w:pPr>
                  <w:r>
                    <w:rPr>
                      <w:rFonts w:hint="eastAsia" w:hAnsi="宋体"/>
                      <w:sz w:val="21"/>
                      <w:szCs w:val="21"/>
                    </w:rPr>
                    <w:t>本项目排水雨污分流，雨水经厂区雨水管网排入市政雨水管道；生活污水经粪污收集池处理后定期清掏用作农肥</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contextualSpacing/>
                    <w:jc w:val="center"/>
                    <w:rPr>
                      <w:rFonts w:hAnsi="宋体"/>
                      <w:iCs/>
                      <w:sz w:val="21"/>
                      <w:szCs w:val="21"/>
                    </w:rPr>
                  </w:pPr>
                  <w:r>
                    <w:rPr>
                      <w:rFonts w:hint="eastAsia" w:hAnsi="宋体"/>
                      <w:iCs/>
                      <w:sz w:val="21"/>
                      <w:szCs w:val="21"/>
                    </w:rPr>
                    <w:t>供暖</w:t>
                  </w:r>
                </w:p>
              </w:tc>
              <w:tc>
                <w:tcPr>
                  <w:tcW w:w="2835" w:type="dxa"/>
                  <w:gridSpan w:val="2"/>
                  <w:vAlign w:val="center"/>
                </w:tcPr>
                <w:p>
                  <w:pPr>
                    <w:spacing w:line="240" w:lineRule="auto"/>
                    <w:contextualSpacing/>
                    <w:rPr>
                      <w:rFonts w:hAnsi="宋体"/>
                      <w:sz w:val="21"/>
                      <w:szCs w:val="21"/>
                    </w:rPr>
                  </w:pPr>
                  <w:r>
                    <w:rPr>
                      <w:rFonts w:hint="eastAsia" w:hAnsi="宋体"/>
                      <w:sz w:val="21"/>
                      <w:szCs w:val="21"/>
                    </w:rPr>
                    <w:t>项目生产区不需供暖，生活区采用分体空调供暖</w:t>
                  </w:r>
                </w:p>
              </w:tc>
              <w:tc>
                <w:tcPr>
                  <w:tcW w:w="3260" w:type="dxa"/>
                  <w:vAlign w:val="center"/>
                </w:tcPr>
                <w:p>
                  <w:pPr>
                    <w:spacing w:line="240" w:lineRule="auto"/>
                    <w:contextualSpacing/>
                    <w:rPr>
                      <w:rFonts w:hAnsi="宋体"/>
                      <w:sz w:val="21"/>
                      <w:szCs w:val="21"/>
                    </w:rPr>
                  </w:pPr>
                  <w:r>
                    <w:rPr>
                      <w:rFonts w:hint="eastAsia" w:hAnsi="宋体"/>
                      <w:sz w:val="21"/>
                      <w:szCs w:val="21"/>
                    </w:rPr>
                    <w:t>项目生产区不需供暖，生活区采用分体空调供暖</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contextualSpacing/>
                    <w:jc w:val="center"/>
                    <w:rPr>
                      <w:rFonts w:hAnsi="宋体"/>
                      <w:iCs/>
                      <w:sz w:val="21"/>
                      <w:szCs w:val="21"/>
                    </w:rPr>
                  </w:pPr>
                  <w:r>
                    <w:rPr>
                      <w:rFonts w:hint="eastAsia" w:hAnsi="宋体"/>
                      <w:iCs/>
                      <w:sz w:val="21"/>
                      <w:szCs w:val="21"/>
                    </w:rPr>
                    <w:t>制冷</w:t>
                  </w:r>
                </w:p>
              </w:tc>
              <w:tc>
                <w:tcPr>
                  <w:tcW w:w="2835" w:type="dxa"/>
                  <w:gridSpan w:val="2"/>
                  <w:vAlign w:val="center"/>
                </w:tcPr>
                <w:p>
                  <w:pPr>
                    <w:spacing w:line="240" w:lineRule="auto"/>
                    <w:contextualSpacing/>
                    <w:rPr>
                      <w:rFonts w:hAnsi="宋体"/>
                      <w:sz w:val="21"/>
                      <w:szCs w:val="21"/>
                    </w:rPr>
                  </w:pPr>
                  <w:r>
                    <w:rPr>
                      <w:rFonts w:hint="eastAsia" w:hAnsi="宋体"/>
                      <w:sz w:val="21"/>
                      <w:szCs w:val="21"/>
                    </w:rPr>
                    <w:t>项目生产区采用水雾冷却进行冷却脱模；生活区采用分体空调制冷</w:t>
                  </w:r>
                </w:p>
              </w:tc>
              <w:tc>
                <w:tcPr>
                  <w:tcW w:w="3260" w:type="dxa"/>
                  <w:vAlign w:val="center"/>
                </w:tcPr>
                <w:p>
                  <w:pPr>
                    <w:spacing w:line="240" w:lineRule="auto"/>
                    <w:contextualSpacing/>
                    <w:rPr>
                      <w:rFonts w:hAnsi="宋体"/>
                      <w:sz w:val="21"/>
                      <w:szCs w:val="21"/>
                    </w:rPr>
                  </w:pPr>
                  <w:r>
                    <w:rPr>
                      <w:rFonts w:hint="eastAsia" w:hAnsi="宋体"/>
                      <w:sz w:val="21"/>
                      <w:szCs w:val="21"/>
                    </w:rPr>
                    <w:t>项目生产区采用水雾冷却进行冷却脱模；生活区采用分体空调制冷</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restart"/>
                  <w:vAlign w:val="center"/>
                </w:tcPr>
                <w:p>
                  <w:pPr>
                    <w:spacing w:line="240" w:lineRule="auto"/>
                    <w:jc w:val="center"/>
                    <w:rPr>
                      <w:bCs/>
                      <w:color w:val="000000"/>
                      <w:sz w:val="21"/>
                      <w:szCs w:val="21"/>
                    </w:rPr>
                  </w:pPr>
                  <w:r>
                    <w:rPr>
                      <w:rFonts w:hint="eastAsia"/>
                      <w:bCs/>
                      <w:color w:val="000000"/>
                      <w:sz w:val="21"/>
                      <w:szCs w:val="21"/>
                    </w:rPr>
                    <w:t>环保工程</w:t>
                  </w:r>
                </w:p>
              </w:tc>
              <w:tc>
                <w:tcPr>
                  <w:tcW w:w="709" w:type="dxa"/>
                  <w:vAlign w:val="center"/>
                </w:tcPr>
                <w:p>
                  <w:pPr>
                    <w:spacing w:line="240" w:lineRule="auto"/>
                    <w:jc w:val="center"/>
                    <w:rPr>
                      <w:bCs/>
                      <w:color w:val="000000"/>
                      <w:sz w:val="21"/>
                      <w:szCs w:val="21"/>
                    </w:rPr>
                  </w:pPr>
                  <w:r>
                    <w:rPr>
                      <w:rFonts w:hint="eastAsia"/>
                      <w:bCs/>
                      <w:color w:val="000000"/>
                      <w:sz w:val="21"/>
                      <w:szCs w:val="21"/>
                    </w:rPr>
                    <w:t>废气</w:t>
                  </w:r>
                </w:p>
              </w:tc>
              <w:tc>
                <w:tcPr>
                  <w:tcW w:w="851" w:type="dxa"/>
                  <w:vAlign w:val="center"/>
                </w:tcPr>
                <w:p>
                  <w:pPr>
                    <w:spacing w:line="240" w:lineRule="auto"/>
                    <w:contextualSpacing/>
                    <w:rPr>
                      <w:sz w:val="21"/>
                      <w:szCs w:val="21"/>
                    </w:rPr>
                  </w:pPr>
                  <w:r>
                    <w:rPr>
                      <w:rFonts w:hint="eastAsia" w:hAnsi="宋体"/>
                      <w:sz w:val="21"/>
                      <w:szCs w:val="21"/>
                    </w:rPr>
                    <w:t>吸塑有机废气</w:t>
                  </w:r>
                </w:p>
              </w:tc>
              <w:tc>
                <w:tcPr>
                  <w:tcW w:w="1984" w:type="dxa"/>
                  <w:vAlign w:val="center"/>
                </w:tcPr>
                <w:p>
                  <w:pPr>
                    <w:spacing w:line="240" w:lineRule="auto"/>
                    <w:contextualSpacing/>
                    <w:rPr>
                      <w:sz w:val="21"/>
                      <w:szCs w:val="21"/>
                    </w:rPr>
                  </w:pPr>
                  <w:r>
                    <w:rPr>
                      <w:rFonts w:hint="eastAsia" w:hAnsi="宋体"/>
                      <w:sz w:val="21"/>
                      <w:szCs w:val="21"/>
                    </w:rPr>
                    <w:t>集气罩+UV光解+活性炭吸附+15m排气筒</w:t>
                  </w:r>
                </w:p>
              </w:tc>
              <w:tc>
                <w:tcPr>
                  <w:tcW w:w="3260" w:type="dxa"/>
                  <w:vAlign w:val="center"/>
                </w:tcPr>
                <w:p>
                  <w:pPr>
                    <w:spacing w:line="240" w:lineRule="auto"/>
                    <w:contextualSpacing/>
                    <w:rPr>
                      <w:sz w:val="21"/>
                      <w:szCs w:val="21"/>
                    </w:rPr>
                  </w:pPr>
                  <w:r>
                    <w:rPr>
                      <w:rFonts w:hint="eastAsia" w:hAnsi="宋体"/>
                      <w:sz w:val="21"/>
                      <w:szCs w:val="21"/>
                    </w:rPr>
                    <w:t>集气罩+UV光解+活性炭吸附+15m排气筒</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jc w:val="center"/>
                    <w:rPr>
                      <w:bCs/>
                      <w:color w:val="000000"/>
                      <w:sz w:val="21"/>
                      <w:szCs w:val="21"/>
                    </w:rPr>
                  </w:pPr>
                  <w:r>
                    <w:rPr>
                      <w:rFonts w:hint="eastAsia"/>
                      <w:bCs/>
                      <w:color w:val="000000"/>
                      <w:sz w:val="21"/>
                      <w:szCs w:val="21"/>
                    </w:rPr>
                    <w:t>废水</w:t>
                  </w:r>
                </w:p>
              </w:tc>
              <w:tc>
                <w:tcPr>
                  <w:tcW w:w="851" w:type="dxa"/>
                  <w:vAlign w:val="center"/>
                </w:tcPr>
                <w:p>
                  <w:pPr>
                    <w:spacing w:line="240" w:lineRule="auto"/>
                    <w:contextualSpacing/>
                    <w:rPr>
                      <w:sz w:val="21"/>
                      <w:szCs w:val="21"/>
                    </w:rPr>
                  </w:pPr>
                  <w:r>
                    <w:rPr>
                      <w:rFonts w:hint="eastAsia" w:hAnsi="宋体"/>
                      <w:sz w:val="21"/>
                      <w:szCs w:val="21"/>
                    </w:rPr>
                    <w:t>生活污水</w:t>
                  </w:r>
                </w:p>
              </w:tc>
              <w:tc>
                <w:tcPr>
                  <w:tcW w:w="1984" w:type="dxa"/>
                  <w:vAlign w:val="center"/>
                </w:tcPr>
                <w:p>
                  <w:pPr>
                    <w:spacing w:line="240" w:lineRule="auto"/>
                    <w:contextualSpacing/>
                    <w:rPr>
                      <w:sz w:val="21"/>
                      <w:szCs w:val="21"/>
                    </w:rPr>
                  </w:pPr>
                  <w:r>
                    <w:rPr>
                      <w:rFonts w:hint="eastAsia" w:hAnsi="宋体"/>
                      <w:sz w:val="21"/>
                      <w:szCs w:val="21"/>
                    </w:rPr>
                    <w:t>粪污收集池处理后定期清掏用作农肥</w:t>
                  </w:r>
                </w:p>
              </w:tc>
              <w:tc>
                <w:tcPr>
                  <w:tcW w:w="3260" w:type="dxa"/>
                  <w:vAlign w:val="center"/>
                </w:tcPr>
                <w:p>
                  <w:pPr>
                    <w:spacing w:line="240" w:lineRule="auto"/>
                    <w:contextualSpacing/>
                    <w:rPr>
                      <w:sz w:val="21"/>
                      <w:szCs w:val="21"/>
                    </w:rPr>
                  </w:pPr>
                  <w:r>
                    <w:rPr>
                      <w:rFonts w:hint="eastAsia" w:hAnsi="宋体"/>
                      <w:sz w:val="21"/>
                      <w:szCs w:val="21"/>
                    </w:rPr>
                    <w:t>化粪池处理后定期清掏用作农肥</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Align w:val="center"/>
                </w:tcPr>
                <w:p>
                  <w:pPr>
                    <w:spacing w:line="240" w:lineRule="auto"/>
                    <w:jc w:val="center"/>
                    <w:rPr>
                      <w:bCs/>
                      <w:color w:val="000000"/>
                      <w:sz w:val="21"/>
                      <w:szCs w:val="21"/>
                    </w:rPr>
                  </w:pPr>
                  <w:r>
                    <w:rPr>
                      <w:rFonts w:hint="eastAsia"/>
                      <w:bCs/>
                      <w:color w:val="000000"/>
                      <w:sz w:val="21"/>
                      <w:szCs w:val="21"/>
                    </w:rPr>
                    <w:t>噪声</w:t>
                  </w:r>
                </w:p>
              </w:tc>
              <w:tc>
                <w:tcPr>
                  <w:tcW w:w="851" w:type="dxa"/>
                  <w:vAlign w:val="center"/>
                </w:tcPr>
                <w:p>
                  <w:pPr>
                    <w:spacing w:line="240" w:lineRule="auto"/>
                    <w:contextualSpacing/>
                    <w:rPr>
                      <w:sz w:val="21"/>
                      <w:szCs w:val="21"/>
                    </w:rPr>
                  </w:pPr>
                  <w:r>
                    <w:rPr>
                      <w:rFonts w:hAnsi="宋体"/>
                      <w:sz w:val="21"/>
                      <w:szCs w:val="21"/>
                    </w:rPr>
                    <w:t>设备噪声</w:t>
                  </w:r>
                </w:p>
              </w:tc>
              <w:tc>
                <w:tcPr>
                  <w:tcW w:w="1984" w:type="dxa"/>
                  <w:vAlign w:val="center"/>
                </w:tcPr>
                <w:p>
                  <w:pPr>
                    <w:spacing w:line="240" w:lineRule="auto"/>
                    <w:contextualSpacing/>
                    <w:rPr>
                      <w:sz w:val="21"/>
                      <w:szCs w:val="21"/>
                    </w:rPr>
                  </w:pPr>
                  <w:r>
                    <w:rPr>
                      <w:rFonts w:hAnsi="宋体"/>
                      <w:sz w:val="21"/>
                      <w:szCs w:val="21"/>
                    </w:rPr>
                    <w:t>采用低噪声设备、采取基础减震、隔声等措施</w:t>
                  </w:r>
                </w:p>
              </w:tc>
              <w:tc>
                <w:tcPr>
                  <w:tcW w:w="3260" w:type="dxa"/>
                  <w:vAlign w:val="center"/>
                </w:tcPr>
                <w:p>
                  <w:pPr>
                    <w:spacing w:line="240" w:lineRule="auto"/>
                    <w:contextualSpacing/>
                    <w:rPr>
                      <w:sz w:val="21"/>
                      <w:szCs w:val="21"/>
                    </w:rPr>
                  </w:pPr>
                  <w:r>
                    <w:rPr>
                      <w:rFonts w:hAnsi="宋体"/>
                      <w:sz w:val="21"/>
                      <w:szCs w:val="21"/>
                    </w:rPr>
                    <w:t>采用低噪声设备、采取基础减震、隔声等措施</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Merge w:val="restart"/>
                  <w:vAlign w:val="center"/>
                </w:tcPr>
                <w:p>
                  <w:pPr>
                    <w:spacing w:line="240" w:lineRule="auto"/>
                    <w:jc w:val="center"/>
                    <w:rPr>
                      <w:bCs/>
                      <w:color w:val="000000"/>
                      <w:sz w:val="21"/>
                      <w:szCs w:val="21"/>
                    </w:rPr>
                  </w:pPr>
                  <w:r>
                    <w:rPr>
                      <w:rFonts w:hint="eastAsia"/>
                      <w:bCs/>
                      <w:color w:val="000000"/>
                      <w:sz w:val="21"/>
                      <w:szCs w:val="21"/>
                    </w:rPr>
                    <w:t>固废</w:t>
                  </w:r>
                </w:p>
              </w:tc>
              <w:tc>
                <w:tcPr>
                  <w:tcW w:w="851" w:type="dxa"/>
                  <w:vAlign w:val="center"/>
                </w:tcPr>
                <w:p>
                  <w:pPr>
                    <w:spacing w:line="240" w:lineRule="auto"/>
                    <w:contextualSpacing/>
                    <w:rPr>
                      <w:sz w:val="21"/>
                      <w:szCs w:val="21"/>
                    </w:rPr>
                  </w:pPr>
                  <w:r>
                    <w:rPr>
                      <w:rFonts w:hint="eastAsia" w:hAnsi="宋体"/>
                      <w:sz w:val="21"/>
                      <w:szCs w:val="21"/>
                    </w:rPr>
                    <w:t>生活垃圾</w:t>
                  </w:r>
                </w:p>
              </w:tc>
              <w:tc>
                <w:tcPr>
                  <w:tcW w:w="1984" w:type="dxa"/>
                  <w:vAlign w:val="center"/>
                </w:tcPr>
                <w:p>
                  <w:pPr>
                    <w:spacing w:line="240" w:lineRule="auto"/>
                    <w:contextualSpacing/>
                    <w:rPr>
                      <w:sz w:val="21"/>
                      <w:szCs w:val="21"/>
                    </w:rPr>
                  </w:pPr>
                  <w:r>
                    <w:rPr>
                      <w:rFonts w:hint="eastAsia"/>
                      <w:sz w:val="21"/>
                      <w:szCs w:val="21"/>
                    </w:rPr>
                    <w:t>垃圾收集桶收集后交环卫部门统一处理处置</w:t>
                  </w:r>
                </w:p>
              </w:tc>
              <w:tc>
                <w:tcPr>
                  <w:tcW w:w="3260" w:type="dxa"/>
                  <w:vAlign w:val="center"/>
                </w:tcPr>
                <w:p>
                  <w:pPr>
                    <w:spacing w:line="240" w:lineRule="auto"/>
                    <w:contextualSpacing/>
                    <w:rPr>
                      <w:sz w:val="21"/>
                      <w:szCs w:val="21"/>
                    </w:rPr>
                  </w:pPr>
                  <w:r>
                    <w:rPr>
                      <w:rFonts w:hint="eastAsia"/>
                      <w:sz w:val="21"/>
                      <w:szCs w:val="21"/>
                    </w:rPr>
                    <w:t>垃圾收集桶收集后交环卫部门统一处理处置</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Merge w:val="continue"/>
                  <w:vAlign w:val="center"/>
                </w:tcPr>
                <w:p>
                  <w:pPr>
                    <w:spacing w:line="240" w:lineRule="auto"/>
                    <w:jc w:val="center"/>
                    <w:rPr>
                      <w:bCs/>
                      <w:color w:val="000000"/>
                      <w:sz w:val="21"/>
                      <w:szCs w:val="21"/>
                    </w:rPr>
                  </w:pPr>
                </w:p>
              </w:tc>
              <w:tc>
                <w:tcPr>
                  <w:tcW w:w="851" w:type="dxa"/>
                  <w:vAlign w:val="center"/>
                </w:tcPr>
                <w:p>
                  <w:pPr>
                    <w:spacing w:line="240" w:lineRule="auto"/>
                    <w:contextualSpacing/>
                    <w:rPr>
                      <w:rFonts w:hAnsi="宋体"/>
                      <w:sz w:val="21"/>
                      <w:szCs w:val="21"/>
                    </w:rPr>
                  </w:pPr>
                  <w:r>
                    <w:rPr>
                      <w:rFonts w:hint="eastAsia" w:hAnsi="宋体"/>
                      <w:sz w:val="21"/>
                      <w:szCs w:val="21"/>
                    </w:rPr>
                    <w:t>不合格产品</w:t>
                  </w:r>
                </w:p>
              </w:tc>
              <w:tc>
                <w:tcPr>
                  <w:tcW w:w="1984" w:type="dxa"/>
                  <w:vAlign w:val="center"/>
                </w:tcPr>
                <w:p>
                  <w:pPr>
                    <w:spacing w:line="240" w:lineRule="auto"/>
                    <w:contextualSpacing/>
                    <w:rPr>
                      <w:sz w:val="21"/>
                      <w:szCs w:val="21"/>
                    </w:rPr>
                  </w:pPr>
                  <w:r>
                    <w:rPr>
                      <w:rFonts w:hint="eastAsia"/>
                      <w:sz w:val="21"/>
                      <w:szCs w:val="21"/>
                    </w:rPr>
                    <w:t>废料库暂存后由厂家回收</w:t>
                  </w:r>
                </w:p>
              </w:tc>
              <w:tc>
                <w:tcPr>
                  <w:tcW w:w="3260" w:type="dxa"/>
                  <w:vAlign w:val="center"/>
                </w:tcPr>
                <w:p>
                  <w:pPr>
                    <w:spacing w:line="240" w:lineRule="auto"/>
                    <w:contextualSpacing/>
                    <w:rPr>
                      <w:sz w:val="21"/>
                      <w:szCs w:val="21"/>
                    </w:rPr>
                  </w:pPr>
                  <w:r>
                    <w:rPr>
                      <w:rFonts w:hint="eastAsia"/>
                      <w:sz w:val="21"/>
                      <w:szCs w:val="21"/>
                    </w:rPr>
                    <w:t>废料库暂存后由厂家回收</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Merge w:val="continue"/>
                  <w:vAlign w:val="center"/>
                </w:tcPr>
                <w:p>
                  <w:pPr>
                    <w:spacing w:line="240" w:lineRule="auto"/>
                    <w:jc w:val="center"/>
                    <w:rPr>
                      <w:bCs/>
                      <w:color w:val="000000"/>
                      <w:sz w:val="21"/>
                      <w:szCs w:val="21"/>
                    </w:rPr>
                  </w:pPr>
                </w:p>
              </w:tc>
              <w:tc>
                <w:tcPr>
                  <w:tcW w:w="851" w:type="dxa"/>
                  <w:vAlign w:val="center"/>
                </w:tcPr>
                <w:p>
                  <w:pPr>
                    <w:spacing w:line="240" w:lineRule="auto"/>
                    <w:jc w:val="center"/>
                    <w:rPr>
                      <w:bCs/>
                      <w:color w:val="000000"/>
                      <w:sz w:val="21"/>
                      <w:szCs w:val="21"/>
                    </w:rPr>
                  </w:pPr>
                  <w:r>
                    <w:rPr>
                      <w:rFonts w:hint="eastAsia"/>
                      <w:bCs/>
                      <w:color w:val="000000"/>
                      <w:sz w:val="21"/>
                      <w:szCs w:val="21"/>
                    </w:rPr>
                    <w:t>废活性炭</w:t>
                  </w:r>
                </w:p>
              </w:tc>
              <w:tc>
                <w:tcPr>
                  <w:tcW w:w="1984" w:type="dxa"/>
                  <w:vMerge w:val="restart"/>
                  <w:vAlign w:val="center"/>
                </w:tcPr>
                <w:p>
                  <w:pPr>
                    <w:spacing w:line="240" w:lineRule="auto"/>
                    <w:jc w:val="center"/>
                    <w:rPr>
                      <w:bCs/>
                      <w:color w:val="000000"/>
                      <w:sz w:val="21"/>
                      <w:szCs w:val="21"/>
                    </w:rPr>
                  </w:pPr>
                  <w:r>
                    <w:rPr>
                      <w:rFonts w:hint="eastAsia" w:hAnsi="宋体"/>
                      <w:sz w:val="21"/>
                      <w:szCs w:val="21"/>
                    </w:rPr>
                    <w:t>危废收集桶、危废暂存间（防渗防漏）暂存后交由有资质单位处理处置</w:t>
                  </w:r>
                </w:p>
              </w:tc>
              <w:tc>
                <w:tcPr>
                  <w:tcW w:w="3260" w:type="dxa"/>
                  <w:vMerge w:val="restart"/>
                  <w:vAlign w:val="center"/>
                </w:tcPr>
                <w:p>
                  <w:pPr>
                    <w:spacing w:line="240" w:lineRule="auto"/>
                    <w:jc w:val="center"/>
                    <w:rPr>
                      <w:bCs/>
                      <w:color w:val="000000"/>
                      <w:sz w:val="21"/>
                      <w:szCs w:val="21"/>
                    </w:rPr>
                  </w:pPr>
                  <w:r>
                    <w:rPr>
                      <w:rFonts w:hint="eastAsia" w:hAnsi="宋体"/>
                      <w:sz w:val="21"/>
                      <w:szCs w:val="21"/>
                    </w:rPr>
                    <w:t>废活性炭经危废收集桶收集，在危废暂存间（防渗防漏）暂存后交由陕西明瑞资源再生有限公司处理，废紫外灯管由厂商更换后直接回收，不在厂区存放</w:t>
                  </w: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spacing w:line="240" w:lineRule="auto"/>
                    <w:jc w:val="center"/>
                    <w:rPr>
                      <w:bCs/>
                      <w:color w:val="000000"/>
                      <w:sz w:val="21"/>
                      <w:szCs w:val="21"/>
                    </w:rPr>
                  </w:pPr>
                </w:p>
              </w:tc>
              <w:tc>
                <w:tcPr>
                  <w:tcW w:w="709" w:type="dxa"/>
                  <w:vMerge w:val="continue"/>
                  <w:vAlign w:val="center"/>
                </w:tcPr>
                <w:p>
                  <w:pPr>
                    <w:spacing w:line="240" w:lineRule="auto"/>
                    <w:jc w:val="center"/>
                    <w:rPr>
                      <w:bCs/>
                      <w:color w:val="000000"/>
                      <w:sz w:val="21"/>
                      <w:szCs w:val="21"/>
                    </w:rPr>
                  </w:pPr>
                </w:p>
              </w:tc>
              <w:tc>
                <w:tcPr>
                  <w:tcW w:w="851" w:type="dxa"/>
                  <w:vAlign w:val="center"/>
                </w:tcPr>
                <w:p>
                  <w:pPr>
                    <w:spacing w:line="240" w:lineRule="auto"/>
                    <w:jc w:val="center"/>
                    <w:rPr>
                      <w:bCs/>
                      <w:color w:val="000000"/>
                      <w:sz w:val="21"/>
                      <w:szCs w:val="21"/>
                    </w:rPr>
                  </w:pPr>
                  <w:r>
                    <w:rPr>
                      <w:rFonts w:hint="eastAsia"/>
                      <w:bCs/>
                      <w:color w:val="000000"/>
                      <w:sz w:val="21"/>
                      <w:szCs w:val="21"/>
                    </w:rPr>
                    <w:t>废紫外灯管</w:t>
                  </w:r>
                </w:p>
              </w:tc>
              <w:tc>
                <w:tcPr>
                  <w:tcW w:w="1984" w:type="dxa"/>
                  <w:vMerge w:val="continue"/>
                  <w:vAlign w:val="center"/>
                </w:tcPr>
                <w:p>
                  <w:pPr>
                    <w:spacing w:line="240" w:lineRule="auto"/>
                    <w:jc w:val="center"/>
                    <w:rPr>
                      <w:bCs/>
                      <w:color w:val="000000"/>
                      <w:sz w:val="21"/>
                      <w:szCs w:val="21"/>
                    </w:rPr>
                  </w:pPr>
                </w:p>
              </w:tc>
              <w:tc>
                <w:tcPr>
                  <w:tcW w:w="3260" w:type="dxa"/>
                  <w:vMerge w:val="continue"/>
                  <w:vAlign w:val="center"/>
                </w:tcPr>
                <w:p>
                  <w:pPr>
                    <w:spacing w:line="240" w:lineRule="auto"/>
                    <w:jc w:val="center"/>
                    <w:rPr>
                      <w:bCs/>
                      <w:color w:val="000000"/>
                      <w:sz w:val="21"/>
                      <w:szCs w:val="21"/>
                    </w:rPr>
                  </w:pPr>
                </w:p>
              </w:tc>
              <w:tc>
                <w:tcPr>
                  <w:tcW w:w="1053" w:type="dxa"/>
                  <w:vAlign w:val="center"/>
                </w:tcPr>
                <w:p>
                  <w:pPr>
                    <w:spacing w:line="240" w:lineRule="auto"/>
                    <w:jc w:val="center"/>
                    <w:rPr>
                      <w:bCs/>
                      <w:color w:val="000000"/>
                      <w:sz w:val="21"/>
                      <w:szCs w:val="21"/>
                    </w:rPr>
                  </w:pPr>
                  <w:r>
                    <w:rPr>
                      <w:rFonts w:hint="eastAsia"/>
                      <w:bCs/>
                      <w:color w:val="000000"/>
                      <w:sz w:val="21"/>
                      <w:szCs w:val="21"/>
                    </w:rPr>
                    <w:t>一致</w:t>
                  </w:r>
                </w:p>
              </w:tc>
            </w:tr>
          </w:tbl>
          <w:p>
            <w:pPr>
              <w:rPr>
                <w:b/>
                <w:bCs/>
                <w:color w:val="000000"/>
                <w:sz w:val="28"/>
                <w:szCs w:val="28"/>
              </w:rPr>
            </w:pPr>
          </w:p>
        </w:tc>
      </w:tr>
    </w:tbl>
    <w:p>
      <w:pPr>
        <w:rPr>
          <w:b/>
          <w:bCs/>
          <w:color w:val="000000"/>
          <w:sz w:val="28"/>
          <w:szCs w:val="28"/>
        </w:rPr>
        <w:sectPr>
          <w:pgSz w:w="11906" w:h="16838"/>
          <w:pgMar w:top="1440" w:right="1800" w:bottom="1440" w:left="1800" w:header="708" w:footer="708" w:gutter="0"/>
          <w:cols w:space="720" w:num="1"/>
          <w:docGrid w:linePitch="360" w:charSpace="0"/>
        </w:sectPr>
      </w:pPr>
    </w:p>
    <w:p>
      <w:pPr>
        <w:spacing w:line="240" w:lineRule="auto"/>
        <w:rPr>
          <w:b/>
          <w:bCs/>
          <w:color w:val="000000"/>
          <w:sz w:val="28"/>
          <w:szCs w:val="28"/>
        </w:rPr>
      </w:pPr>
      <w:r>
        <w:rPr>
          <w:rFonts w:hint="eastAsia"/>
          <w:b/>
          <w:bCs/>
          <w:color w:val="000000"/>
          <w:sz w:val="28"/>
          <w:szCs w:val="28"/>
        </w:rPr>
        <w:t>续表二</w:t>
      </w:r>
    </w:p>
    <w:tbl>
      <w:tblPr>
        <w:tblStyle w:val="9"/>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5" w:hRule="atLeast"/>
          <w:jc w:val="center"/>
        </w:trPr>
        <w:tc>
          <w:tcPr>
            <w:tcW w:w="8920" w:type="dxa"/>
          </w:tcPr>
          <w:p>
            <w:pPr>
              <w:spacing w:before="120" w:beforeLines="50"/>
              <w:rPr>
                <w:b/>
                <w:szCs w:val="24"/>
              </w:rPr>
            </w:pPr>
            <w:r>
              <w:rPr>
                <w:rFonts w:hint="eastAsia"/>
                <w:b/>
                <w:szCs w:val="24"/>
              </w:rPr>
              <w:t>五、项目主要生产设备</w:t>
            </w:r>
          </w:p>
          <w:p>
            <w:pPr>
              <w:ind w:firstLine="480" w:firstLineChars="200"/>
              <w:rPr>
                <w:szCs w:val="24"/>
              </w:rPr>
            </w:pPr>
            <w:r>
              <w:rPr>
                <w:rFonts w:hint="eastAsia"/>
                <w:szCs w:val="24"/>
              </w:rPr>
              <w:t>项目主要生产设备及数量见表2-</w:t>
            </w:r>
            <w:r>
              <w:rPr>
                <w:szCs w:val="24"/>
              </w:rPr>
              <w:t>2</w:t>
            </w:r>
            <w:r>
              <w:rPr>
                <w:rFonts w:hint="eastAsia"/>
                <w:szCs w:val="24"/>
              </w:rPr>
              <w:t>。</w:t>
            </w:r>
          </w:p>
          <w:p>
            <w:pPr>
              <w:jc w:val="center"/>
              <w:rPr>
                <w:b/>
                <w:sz w:val="21"/>
                <w:szCs w:val="21"/>
              </w:rPr>
            </w:pPr>
            <w:r>
              <w:rPr>
                <w:rFonts w:hint="eastAsia"/>
                <w:b/>
                <w:sz w:val="21"/>
                <w:szCs w:val="21"/>
              </w:rPr>
              <w:t>表2-</w:t>
            </w:r>
            <w:r>
              <w:rPr>
                <w:b/>
                <w:sz w:val="21"/>
                <w:szCs w:val="21"/>
              </w:rPr>
              <w:t>2</w:t>
            </w:r>
            <w:r>
              <w:rPr>
                <w:rFonts w:hint="eastAsia"/>
                <w:b/>
                <w:sz w:val="21"/>
                <w:szCs w:val="21"/>
              </w:rPr>
              <w:t>项目主要设备及数量</w:t>
            </w:r>
          </w:p>
          <w:tbl>
            <w:tblPr>
              <w:tblStyle w:val="9"/>
              <w:tblW w:w="843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079"/>
              <w:gridCol w:w="674"/>
              <w:gridCol w:w="1328"/>
              <w:gridCol w:w="1235"/>
              <w:gridCol w:w="808"/>
              <w:gridCol w:w="2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blHeader/>
                <w:jc w:val="center"/>
              </w:trPr>
              <w:tc>
                <w:tcPr>
                  <w:tcW w:w="2960" w:type="dxa"/>
                  <w:gridSpan w:val="3"/>
                  <w:tcBorders>
                    <w:tl2br w:val="nil"/>
                    <w:tr2bl w:val="nil"/>
                  </w:tcBorders>
                  <w:vAlign w:val="center"/>
                </w:tcPr>
                <w:p>
                  <w:pPr>
                    <w:spacing w:line="240" w:lineRule="auto"/>
                    <w:jc w:val="center"/>
                    <w:rPr>
                      <w:sz w:val="21"/>
                      <w:szCs w:val="21"/>
                    </w:rPr>
                  </w:pPr>
                  <w:r>
                    <w:rPr>
                      <w:rFonts w:hint="eastAsia"/>
                      <w:b/>
                      <w:bCs/>
                      <w:sz w:val="21"/>
                      <w:szCs w:val="21"/>
                    </w:rPr>
                    <w:t>环评计划设备</w:t>
                  </w:r>
                </w:p>
              </w:tc>
              <w:tc>
                <w:tcPr>
                  <w:tcW w:w="5470" w:type="dxa"/>
                  <w:gridSpan w:val="4"/>
                  <w:tcBorders>
                    <w:tl2br w:val="nil"/>
                    <w:tr2bl w:val="nil"/>
                  </w:tcBorders>
                  <w:vAlign w:val="center"/>
                </w:tcPr>
                <w:p>
                  <w:pPr>
                    <w:spacing w:line="240" w:lineRule="auto"/>
                    <w:jc w:val="center"/>
                    <w:rPr>
                      <w:sz w:val="21"/>
                      <w:szCs w:val="21"/>
                    </w:rPr>
                  </w:pPr>
                  <w:r>
                    <w:rPr>
                      <w:rFonts w:hint="eastAsia"/>
                      <w:b/>
                      <w:bCs/>
                      <w:sz w:val="21"/>
                      <w:szCs w:val="21"/>
                    </w:rPr>
                    <w:t>实际设备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blHeader/>
                <w:jc w:val="center"/>
              </w:trPr>
              <w:tc>
                <w:tcPr>
                  <w:tcW w:w="1207" w:type="dxa"/>
                  <w:tcBorders>
                    <w:tl2br w:val="nil"/>
                    <w:tr2bl w:val="nil"/>
                  </w:tcBorders>
                  <w:vAlign w:val="center"/>
                </w:tcPr>
                <w:p>
                  <w:pPr>
                    <w:spacing w:line="240" w:lineRule="auto"/>
                    <w:jc w:val="center"/>
                    <w:rPr>
                      <w:sz w:val="21"/>
                      <w:szCs w:val="21"/>
                    </w:rPr>
                  </w:pPr>
                  <w:r>
                    <w:rPr>
                      <w:b/>
                      <w:bCs/>
                      <w:sz w:val="21"/>
                      <w:szCs w:val="21"/>
                    </w:rPr>
                    <w:t>设备名称</w:t>
                  </w:r>
                </w:p>
              </w:tc>
              <w:tc>
                <w:tcPr>
                  <w:tcW w:w="1079" w:type="dxa"/>
                  <w:tcBorders>
                    <w:tl2br w:val="nil"/>
                    <w:tr2bl w:val="nil"/>
                  </w:tcBorders>
                  <w:vAlign w:val="center"/>
                </w:tcPr>
                <w:p>
                  <w:pPr>
                    <w:spacing w:line="240" w:lineRule="auto"/>
                    <w:jc w:val="center"/>
                    <w:rPr>
                      <w:sz w:val="21"/>
                      <w:szCs w:val="21"/>
                    </w:rPr>
                  </w:pPr>
                  <w:r>
                    <w:rPr>
                      <w:rFonts w:hint="eastAsia"/>
                      <w:b/>
                      <w:bCs/>
                      <w:sz w:val="21"/>
                      <w:szCs w:val="21"/>
                    </w:rPr>
                    <w:t>设备型号及规格</w:t>
                  </w:r>
                </w:p>
              </w:tc>
              <w:tc>
                <w:tcPr>
                  <w:tcW w:w="674" w:type="dxa"/>
                  <w:tcBorders>
                    <w:tl2br w:val="nil"/>
                    <w:tr2bl w:val="nil"/>
                  </w:tcBorders>
                  <w:vAlign w:val="center"/>
                </w:tcPr>
                <w:p>
                  <w:pPr>
                    <w:spacing w:line="240" w:lineRule="auto"/>
                    <w:jc w:val="center"/>
                    <w:rPr>
                      <w:sz w:val="21"/>
                      <w:szCs w:val="21"/>
                    </w:rPr>
                  </w:pPr>
                  <w:r>
                    <w:rPr>
                      <w:b/>
                      <w:bCs/>
                      <w:sz w:val="21"/>
                      <w:szCs w:val="21"/>
                    </w:rPr>
                    <w:t>数量</w:t>
                  </w:r>
                </w:p>
              </w:tc>
              <w:tc>
                <w:tcPr>
                  <w:tcW w:w="1328" w:type="dxa"/>
                  <w:tcBorders>
                    <w:tl2br w:val="nil"/>
                    <w:tr2bl w:val="nil"/>
                  </w:tcBorders>
                  <w:vAlign w:val="center"/>
                </w:tcPr>
                <w:p>
                  <w:pPr>
                    <w:spacing w:line="240" w:lineRule="auto"/>
                    <w:jc w:val="center"/>
                    <w:rPr>
                      <w:sz w:val="21"/>
                      <w:szCs w:val="21"/>
                    </w:rPr>
                  </w:pPr>
                  <w:r>
                    <w:rPr>
                      <w:b/>
                      <w:bCs/>
                      <w:sz w:val="21"/>
                      <w:szCs w:val="21"/>
                    </w:rPr>
                    <w:t>设备名称</w:t>
                  </w:r>
                </w:p>
              </w:tc>
              <w:tc>
                <w:tcPr>
                  <w:tcW w:w="1235" w:type="dxa"/>
                  <w:tcBorders>
                    <w:tl2br w:val="nil"/>
                    <w:tr2bl w:val="nil"/>
                  </w:tcBorders>
                  <w:vAlign w:val="center"/>
                </w:tcPr>
                <w:p>
                  <w:pPr>
                    <w:spacing w:line="240" w:lineRule="auto"/>
                    <w:jc w:val="center"/>
                    <w:rPr>
                      <w:sz w:val="21"/>
                      <w:szCs w:val="21"/>
                    </w:rPr>
                  </w:pPr>
                  <w:r>
                    <w:rPr>
                      <w:rFonts w:hint="eastAsia"/>
                      <w:b/>
                      <w:bCs/>
                      <w:sz w:val="21"/>
                      <w:szCs w:val="21"/>
                    </w:rPr>
                    <w:t>设备型号及规格</w:t>
                  </w:r>
                </w:p>
              </w:tc>
              <w:tc>
                <w:tcPr>
                  <w:tcW w:w="808" w:type="dxa"/>
                  <w:tcBorders>
                    <w:tl2br w:val="nil"/>
                    <w:tr2bl w:val="nil"/>
                  </w:tcBorders>
                  <w:vAlign w:val="center"/>
                </w:tcPr>
                <w:p>
                  <w:pPr>
                    <w:spacing w:line="240" w:lineRule="auto"/>
                    <w:jc w:val="center"/>
                    <w:rPr>
                      <w:sz w:val="21"/>
                      <w:szCs w:val="21"/>
                    </w:rPr>
                  </w:pPr>
                  <w:r>
                    <w:rPr>
                      <w:b/>
                      <w:bCs/>
                      <w:sz w:val="21"/>
                      <w:szCs w:val="21"/>
                    </w:rPr>
                    <w:t>数量</w:t>
                  </w:r>
                </w:p>
              </w:tc>
              <w:tc>
                <w:tcPr>
                  <w:tcW w:w="2099" w:type="dxa"/>
                  <w:tcBorders>
                    <w:tl2br w:val="nil"/>
                    <w:tr2bl w:val="nil"/>
                  </w:tcBorders>
                  <w:vAlign w:val="center"/>
                </w:tcPr>
                <w:p>
                  <w:pPr>
                    <w:spacing w:line="240" w:lineRule="auto"/>
                    <w:jc w:val="center"/>
                    <w:rPr>
                      <w:b/>
                      <w:sz w:val="21"/>
                      <w:szCs w:val="21"/>
                    </w:rPr>
                  </w:pPr>
                  <w:r>
                    <w:rPr>
                      <w:rFonts w:hint="eastAsia"/>
                      <w:b/>
                      <w:sz w:val="21"/>
                      <w:szCs w:val="21"/>
                    </w:rPr>
                    <w:t>生产厂家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blHeader/>
                <w:jc w:val="center"/>
              </w:trPr>
              <w:tc>
                <w:tcPr>
                  <w:tcW w:w="1207" w:type="dxa"/>
                  <w:tcBorders>
                    <w:tl2br w:val="nil"/>
                    <w:tr2bl w:val="nil"/>
                  </w:tcBorders>
                  <w:vAlign w:val="center"/>
                </w:tcPr>
                <w:p>
                  <w:pPr>
                    <w:spacing w:line="240" w:lineRule="auto"/>
                    <w:contextualSpacing/>
                    <w:jc w:val="center"/>
                    <w:rPr>
                      <w:sz w:val="21"/>
                      <w:szCs w:val="21"/>
                    </w:rPr>
                  </w:pPr>
                  <w:r>
                    <w:rPr>
                      <w:rFonts w:hint="eastAsia"/>
                      <w:sz w:val="21"/>
                      <w:szCs w:val="21"/>
                    </w:rPr>
                    <w:t>吸塑成型机</w:t>
                  </w:r>
                </w:p>
              </w:tc>
              <w:tc>
                <w:tcPr>
                  <w:tcW w:w="1079" w:type="dxa"/>
                  <w:tcBorders>
                    <w:tl2br w:val="nil"/>
                    <w:tr2bl w:val="nil"/>
                  </w:tcBorders>
                  <w:vAlign w:val="center"/>
                </w:tcPr>
                <w:p>
                  <w:pPr>
                    <w:spacing w:line="240" w:lineRule="auto"/>
                    <w:contextualSpacing/>
                    <w:jc w:val="center"/>
                    <w:rPr>
                      <w:sz w:val="21"/>
                      <w:szCs w:val="21"/>
                    </w:rPr>
                  </w:pPr>
                  <w:r>
                    <w:rPr>
                      <w:rFonts w:hint="eastAsia"/>
                      <w:sz w:val="21"/>
                      <w:szCs w:val="21"/>
                    </w:rPr>
                    <w:t>XG-2013</w:t>
                  </w:r>
                </w:p>
              </w:tc>
              <w:tc>
                <w:tcPr>
                  <w:tcW w:w="674" w:type="dxa"/>
                  <w:tcBorders>
                    <w:tl2br w:val="nil"/>
                    <w:tr2bl w:val="nil"/>
                  </w:tcBorders>
                  <w:vAlign w:val="center"/>
                </w:tcPr>
                <w:p>
                  <w:pPr>
                    <w:spacing w:line="240" w:lineRule="auto"/>
                    <w:contextualSpacing/>
                    <w:jc w:val="center"/>
                    <w:rPr>
                      <w:sz w:val="21"/>
                      <w:szCs w:val="21"/>
                    </w:rPr>
                  </w:pPr>
                  <w:r>
                    <w:rPr>
                      <w:rFonts w:hint="eastAsia"/>
                      <w:sz w:val="21"/>
                      <w:szCs w:val="21"/>
                    </w:rPr>
                    <w:t>2</w:t>
                  </w:r>
                </w:p>
              </w:tc>
              <w:tc>
                <w:tcPr>
                  <w:tcW w:w="1328" w:type="dxa"/>
                  <w:tcBorders>
                    <w:tl2br w:val="nil"/>
                    <w:tr2bl w:val="nil"/>
                  </w:tcBorders>
                  <w:vAlign w:val="center"/>
                </w:tcPr>
                <w:p>
                  <w:pPr>
                    <w:spacing w:line="240" w:lineRule="auto"/>
                    <w:contextualSpacing/>
                    <w:jc w:val="center"/>
                    <w:rPr>
                      <w:sz w:val="21"/>
                      <w:szCs w:val="21"/>
                    </w:rPr>
                  </w:pPr>
                  <w:r>
                    <w:rPr>
                      <w:rFonts w:hint="eastAsia"/>
                      <w:sz w:val="21"/>
                      <w:szCs w:val="21"/>
                    </w:rPr>
                    <w:t>吸塑成型机</w:t>
                  </w:r>
                </w:p>
              </w:tc>
              <w:tc>
                <w:tcPr>
                  <w:tcW w:w="1235" w:type="dxa"/>
                  <w:tcBorders>
                    <w:tl2br w:val="nil"/>
                    <w:tr2bl w:val="nil"/>
                  </w:tcBorders>
                  <w:vAlign w:val="center"/>
                </w:tcPr>
                <w:p>
                  <w:pPr>
                    <w:spacing w:line="240" w:lineRule="auto"/>
                    <w:contextualSpacing/>
                    <w:jc w:val="center"/>
                    <w:rPr>
                      <w:sz w:val="21"/>
                      <w:szCs w:val="21"/>
                    </w:rPr>
                  </w:pPr>
                  <w:r>
                    <w:rPr>
                      <w:rFonts w:hint="eastAsia"/>
                      <w:sz w:val="21"/>
                      <w:szCs w:val="21"/>
                    </w:rPr>
                    <w:t>XG-2013</w:t>
                  </w:r>
                </w:p>
              </w:tc>
              <w:tc>
                <w:tcPr>
                  <w:tcW w:w="808" w:type="dxa"/>
                  <w:tcBorders>
                    <w:tl2br w:val="nil"/>
                    <w:tr2bl w:val="nil"/>
                  </w:tcBorders>
                  <w:vAlign w:val="center"/>
                </w:tcPr>
                <w:p>
                  <w:pPr>
                    <w:spacing w:line="240" w:lineRule="auto"/>
                    <w:contextualSpacing/>
                    <w:jc w:val="center"/>
                    <w:rPr>
                      <w:sz w:val="21"/>
                      <w:szCs w:val="21"/>
                    </w:rPr>
                  </w:pPr>
                  <w:r>
                    <w:rPr>
                      <w:rFonts w:hint="eastAsia"/>
                      <w:sz w:val="21"/>
                      <w:szCs w:val="21"/>
                    </w:rPr>
                    <w:t>2</w:t>
                  </w:r>
                </w:p>
              </w:tc>
              <w:tc>
                <w:tcPr>
                  <w:tcW w:w="2099" w:type="dxa"/>
                  <w:tcBorders>
                    <w:tl2br w:val="nil"/>
                    <w:tr2bl w:val="nil"/>
                  </w:tcBorders>
                  <w:vAlign w:val="center"/>
                </w:tcPr>
                <w:p>
                  <w:pPr>
                    <w:spacing w:line="240" w:lineRule="auto"/>
                    <w:contextualSpacing/>
                    <w:jc w:val="center"/>
                    <w:rPr>
                      <w:rFonts w:hAnsi="宋体"/>
                      <w:sz w:val="21"/>
                      <w:szCs w:val="21"/>
                    </w:rPr>
                  </w:pPr>
                  <w:r>
                    <w:rPr>
                      <w:rFonts w:hint="eastAsia" w:hAnsi="宋体"/>
                      <w:sz w:val="21"/>
                      <w:szCs w:val="21"/>
                    </w:rPr>
                    <w:t>上海香广电气自动化科技有限公司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blHeader/>
                <w:jc w:val="center"/>
              </w:trPr>
              <w:tc>
                <w:tcPr>
                  <w:tcW w:w="1207" w:type="dxa"/>
                  <w:tcBorders>
                    <w:tl2br w:val="nil"/>
                    <w:tr2bl w:val="nil"/>
                  </w:tcBorders>
                  <w:vAlign w:val="center"/>
                </w:tcPr>
                <w:p>
                  <w:pPr>
                    <w:spacing w:line="240" w:lineRule="auto"/>
                    <w:contextualSpacing/>
                    <w:jc w:val="center"/>
                    <w:rPr>
                      <w:sz w:val="21"/>
                      <w:szCs w:val="21"/>
                    </w:rPr>
                  </w:pPr>
                  <w:r>
                    <w:rPr>
                      <w:rFonts w:hint="eastAsia"/>
                      <w:sz w:val="21"/>
                      <w:szCs w:val="21"/>
                    </w:rPr>
                    <w:t>裁断机</w:t>
                  </w:r>
                </w:p>
              </w:tc>
              <w:tc>
                <w:tcPr>
                  <w:tcW w:w="1079" w:type="dxa"/>
                  <w:tcBorders>
                    <w:tl2br w:val="nil"/>
                    <w:tr2bl w:val="nil"/>
                  </w:tcBorders>
                  <w:vAlign w:val="center"/>
                </w:tcPr>
                <w:p>
                  <w:pPr>
                    <w:spacing w:line="240" w:lineRule="auto"/>
                    <w:contextualSpacing/>
                    <w:jc w:val="center"/>
                    <w:rPr>
                      <w:sz w:val="21"/>
                      <w:szCs w:val="21"/>
                      <w:vertAlign w:val="subscript"/>
                    </w:rPr>
                  </w:pPr>
                  <w:r>
                    <w:rPr>
                      <w:rFonts w:hint="eastAsia"/>
                      <w:sz w:val="21"/>
                      <w:szCs w:val="21"/>
                    </w:rPr>
                    <w:t>XCCP</w:t>
                  </w:r>
                  <w:r>
                    <w:rPr>
                      <w:rFonts w:hint="eastAsia"/>
                      <w:sz w:val="21"/>
                      <w:szCs w:val="21"/>
                      <w:vertAlign w:val="subscript"/>
                    </w:rPr>
                    <w:t>2</w:t>
                  </w:r>
                </w:p>
              </w:tc>
              <w:tc>
                <w:tcPr>
                  <w:tcW w:w="674" w:type="dxa"/>
                  <w:tcBorders>
                    <w:tl2br w:val="nil"/>
                    <w:tr2bl w:val="nil"/>
                  </w:tcBorders>
                  <w:vAlign w:val="center"/>
                </w:tcPr>
                <w:p>
                  <w:pPr>
                    <w:spacing w:line="240" w:lineRule="auto"/>
                    <w:contextualSpacing/>
                    <w:jc w:val="center"/>
                    <w:rPr>
                      <w:sz w:val="21"/>
                      <w:szCs w:val="21"/>
                    </w:rPr>
                  </w:pPr>
                  <w:r>
                    <w:rPr>
                      <w:rFonts w:hint="eastAsia"/>
                      <w:sz w:val="21"/>
                      <w:szCs w:val="21"/>
                    </w:rPr>
                    <w:t>1</w:t>
                  </w:r>
                </w:p>
              </w:tc>
              <w:tc>
                <w:tcPr>
                  <w:tcW w:w="1328" w:type="dxa"/>
                  <w:tcBorders>
                    <w:tl2br w:val="nil"/>
                    <w:tr2bl w:val="nil"/>
                  </w:tcBorders>
                  <w:vAlign w:val="center"/>
                </w:tcPr>
                <w:p>
                  <w:pPr>
                    <w:spacing w:line="240" w:lineRule="auto"/>
                    <w:contextualSpacing/>
                    <w:jc w:val="center"/>
                    <w:rPr>
                      <w:sz w:val="21"/>
                      <w:szCs w:val="21"/>
                    </w:rPr>
                  </w:pPr>
                  <w:r>
                    <w:rPr>
                      <w:rFonts w:hint="eastAsia"/>
                      <w:sz w:val="21"/>
                      <w:szCs w:val="21"/>
                    </w:rPr>
                    <w:t>裁断机</w:t>
                  </w:r>
                </w:p>
              </w:tc>
              <w:tc>
                <w:tcPr>
                  <w:tcW w:w="1235" w:type="dxa"/>
                  <w:tcBorders>
                    <w:tl2br w:val="nil"/>
                    <w:tr2bl w:val="nil"/>
                  </w:tcBorders>
                  <w:vAlign w:val="center"/>
                </w:tcPr>
                <w:p>
                  <w:pPr>
                    <w:spacing w:line="240" w:lineRule="auto"/>
                    <w:contextualSpacing/>
                    <w:jc w:val="center"/>
                    <w:rPr>
                      <w:sz w:val="21"/>
                      <w:szCs w:val="21"/>
                      <w:vertAlign w:val="subscript"/>
                    </w:rPr>
                  </w:pPr>
                  <w:r>
                    <w:rPr>
                      <w:rFonts w:hint="eastAsia"/>
                      <w:sz w:val="21"/>
                      <w:szCs w:val="21"/>
                    </w:rPr>
                    <w:t>XCCP</w:t>
                  </w:r>
                  <w:r>
                    <w:rPr>
                      <w:rFonts w:hint="eastAsia"/>
                      <w:sz w:val="21"/>
                      <w:szCs w:val="21"/>
                      <w:vertAlign w:val="subscript"/>
                    </w:rPr>
                    <w:t>2</w:t>
                  </w:r>
                </w:p>
              </w:tc>
              <w:tc>
                <w:tcPr>
                  <w:tcW w:w="808" w:type="dxa"/>
                  <w:tcBorders>
                    <w:tl2br w:val="nil"/>
                    <w:tr2bl w:val="nil"/>
                  </w:tcBorders>
                  <w:vAlign w:val="center"/>
                </w:tcPr>
                <w:p>
                  <w:pPr>
                    <w:spacing w:line="240" w:lineRule="auto"/>
                    <w:contextualSpacing/>
                    <w:jc w:val="center"/>
                    <w:rPr>
                      <w:sz w:val="21"/>
                      <w:szCs w:val="21"/>
                    </w:rPr>
                  </w:pPr>
                  <w:r>
                    <w:rPr>
                      <w:rFonts w:hint="eastAsia"/>
                      <w:sz w:val="21"/>
                      <w:szCs w:val="21"/>
                    </w:rPr>
                    <w:t>1</w:t>
                  </w:r>
                </w:p>
              </w:tc>
              <w:tc>
                <w:tcPr>
                  <w:tcW w:w="2099" w:type="dxa"/>
                  <w:tcBorders>
                    <w:tl2br w:val="nil"/>
                    <w:tr2bl w:val="nil"/>
                  </w:tcBorders>
                  <w:vAlign w:val="center"/>
                </w:tcPr>
                <w:p>
                  <w:pPr>
                    <w:spacing w:line="240" w:lineRule="auto"/>
                    <w:contextualSpacing/>
                    <w:jc w:val="center"/>
                    <w:rPr>
                      <w:rFonts w:hAnsi="宋体"/>
                      <w:sz w:val="21"/>
                      <w:szCs w:val="21"/>
                    </w:rPr>
                  </w:pPr>
                  <w:r>
                    <w:rPr>
                      <w:rFonts w:hint="eastAsia" w:hAnsi="宋体"/>
                      <w:sz w:val="21"/>
                      <w:szCs w:val="21"/>
                    </w:rPr>
                    <w:t>上海椒顶机械有限公司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blHeader/>
                <w:jc w:val="center"/>
              </w:trPr>
              <w:tc>
                <w:tcPr>
                  <w:tcW w:w="1207" w:type="dxa"/>
                  <w:tcBorders>
                    <w:tl2br w:val="nil"/>
                    <w:tr2bl w:val="nil"/>
                  </w:tcBorders>
                  <w:vAlign w:val="center"/>
                </w:tcPr>
                <w:p>
                  <w:pPr>
                    <w:spacing w:line="240" w:lineRule="auto"/>
                    <w:contextualSpacing/>
                    <w:jc w:val="center"/>
                    <w:rPr>
                      <w:sz w:val="21"/>
                      <w:szCs w:val="21"/>
                    </w:rPr>
                  </w:pPr>
                  <w:r>
                    <w:rPr>
                      <w:rFonts w:hint="eastAsia"/>
                      <w:sz w:val="21"/>
                      <w:szCs w:val="21"/>
                    </w:rPr>
                    <w:t>裁断机</w:t>
                  </w:r>
                </w:p>
              </w:tc>
              <w:tc>
                <w:tcPr>
                  <w:tcW w:w="1079" w:type="dxa"/>
                  <w:tcBorders>
                    <w:tl2br w:val="nil"/>
                    <w:tr2bl w:val="nil"/>
                  </w:tcBorders>
                  <w:vAlign w:val="center"/>
                </w:tcPr>
                <w:p>
                  <w:pPr>
                    <w:spacing w:line="240" w:lineRule="auto"/>
                    <w:contextualSpacing/>
                    <w:jc w:val="center"/>
                    <w:rPr>
                      <w:sz w:val="21"/>
                      <w:szCs w:val="21"/>
                    </w:rPr>
                  </w:pPr>
                  <w:r>
                    <w:rPr>
                      <w:rFonts w:hint="eastAsia"/>
                      <w:sz w:val="21"/>
                      <w:szCs w:val="21"/>
                    </w:rPr>
                    <w:t>HC-B40T</w:t>
                  </w:r>
                </w:p>
              </w:tc>
              <w:tc>
                <w:tcPr>
                  <w:tcW w:w="674" w:type="dxa"/>
                  <w:tcBorders>
                    <w:tl2br w:val="nil"/>
                    <w:tr2bl w:val="nil"/>
                  </w:tcBorders>
                  <w:vAlign w:val="center"/>
                </w:tcPr>
                <w:p>
                  <w:pPr>
                    <w:spacing w:line="240" w:lineRule="auto"/>
                    <w:contextualSpacing/>
                    <w:jc w:val="center"/>
                    <w:rPr>
                      <w:sz w:val="21"/>
                      <w:szCs w:val="21"/>
                    </w:rPr>
                  </w:pPr>
                  <w:r>
                    <w:rPr>
                      <w:rFonts w:hint="eastAsia"/>
                      <w:sz w:val="21"/>
                      <w:szCs w:val="21"/>
                    </w:rPr>
                    <w:t>1</w:t>
                  </w:r>
                </w:p>
              </w:tc>
              <w:tc>
                <w:tcPr>
                  <w:tcW w:w="1328" w:type="dxa"/>
                  <w:tcBorders>
                    <w:tl2br w:val="nil"/>
                    <w:tr2bl w:val="nil"/>
                  </w:tcBorders>
                  <w:vAlign w:val="center"/>
                </w:tcPr>
                <w:p>
                  <w:pPr>
                    <w:spacing w:line="240" w:lineRule="auto"/>
                    <w:contextualSpacing/>
                    <w:jc w:val="center"/>
                    <w:rPr>
                      <w:sz w:val="21"/>
                      <w:szCs w:val="21"/>
                    </w:rPr>
                  </w:pPr>
                  <w:r>
                    <w:rPr>
                      <w:rFonts w:hint="eastAsia"/>
                      <w:sz w:val="21"/>
                      <w:szCs w:val="21"/>
                    </w:rPr>
                    <w:t>裁断机</w:t>
                  </w:r>
                </w:p>
              </w:tc>
              <w:tc>
                <w:tcPr>
                  <w:tcW w:w="1235" w:type="dxa"/>
                  <w:tcBorders>
                    <w:tl2br w:val="nil"/>
                    <w:tr2bl w:val="nil"/>
                  </w:tcBorders>
                  <w:vAlign w:val="center"/>
                </w:tcPr>
                <w:p>
                  <w:pPr>
                    <w:spacing w:line="240" w:lineRule="auto"/>
                    <w:contextualSpacing/>
                    <w:jc w:val="center"/>
                    <w:rPr>
                      <w:sz w:val="21"/>
                      <w:szCs w:val="21"/>
                    </w:rPr>
                  </w:pPr>
                  <w:r>
                    <w:rPr>
                      <w:rFonts w:hint="eastAsia"/>
                      <w:sz w:val="21"/>
                      <w:szCs w:val="21"/>
                    </w:rPr>
                    <w:t>HC-B40T</w:t>
                  </w:r>
                </w:p>
              </w:tc>
              <w:tc>
                <w:tcPr>
                  <w:tcW w:w="808" w:type="dxa"/>
                  <w:tcBorders>
                    <w:tl2br w:val="nil"/>
                    <w:tr2bl w:val="nil"/>
                  </w:tcBorders>
                  <w:vAlign w:val="center"/>
                </w:tcPr>
                <w:p>
                  <w:pPr>
                    <w:spacing w:line="240" w:lineRule="auto"/>
                    <w:contextualSpacing/>
                    <w:jc w:val="center"/>
                    <w:rPr>
                      <w:sz w:val="21"/>
                      <w:szCs w:val="21"/>
                    </w:rPr>
                  </w:pPr>
                  <w:r>
                    <w:rPr>
                      <w:rFonts w:hint="eastAsia"/>
                      <w:sz w:val="21"/>
                      <w:szCs w:val="21"/>
                    </w:rPr>
                    <w:t>1</w:t>
                  </w:r>
                </w:p>
              </w:tc>
              <w:tc>
                <w:tcPr>
                  <w:tcW w:w="2099" w:type="dxa"/>
                  <w:tcBorders>
                    <w:tl2br w:val="nil"/>
                    <w:tr2bl w:val="nil"/>
                  </w:tcBorders>
                  <w:vAlign w:val="center"/>
                </w:tcPr>
                <w:p>
                  <w:pPr>
                    <w:spacing w:line="240" w:lineRule="auto"/>
                    <w:contextualSpacing/>
                    <w:jc w:val="center"/>
                    <w:rPr>
                      <w:rFonts w:hAnsi="宋体"/>
                      <w:sz w:val="21"/>
                      <w:szCs w:val="21"/>
                    </w:rPr>
                  </w:pPr>
                  <w:r>
                    <w:rPr>
                      <w:rFonts w:hint="eastAsia" w:hAnsi="宋体"/>
                      <w:sz w:val="21"/>
                      <w:szCs w:val="21"/>
                    </w:rPr>
                    <w:t>广东佛山市南海鸿钢有限公司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blHeader/>
                <w:jc w:val="center"/>
              </w:trPr>
              <w:tc>
                <w:tcPr>
                  <w:tcW w:w="1207" w:type="dxa"/>
                  <w:tcBorders>
                    <w:tl2br w:val="nil"/>
                    <w:tr2bl w:val="nil"/>
                  </w:tcBorders>
                  <w:vAlign w:val="center"/>
                </w:tcPr>
                <w:p>
                  <w:pPr>
                    <w:spacing w:line="240" w:lineRule="auto"/>
                    <w:contextualSpacing/>
                    <w:jc w:val="center"/>
                    <w:rPr>
                      <w:sz w:val="21"/>
                      <w:szCs w:val="21"/>
                    </w:rPr>
                  </w:pPr>
                  <w:r>
                    <w:rPr>
                      <w:rFonts w:hint="eastAsia"/>
                      <w:sz w:val="21"/>
                      <w:szCs w:val="21"/>
                    </w:rPr>
                    <w:t>空压机</w:t>
                  </w:r>
                </w:p>
              </w:tc>
              <w:tc>
                <w:tcPr>
                  <w:tcW w:w="1079" w:type="dxa"/>
                  <w:tcBorders>
                    <w:tl2br w:val="nil"/>
                    <w:tr2bl w:val="nil"/>
                  </w:tcBorders>
                  <w:vAlign w:val="center"/>
                </w:tcPr>
                <w:p>
                  <w:pPr>
                    <w:spacing w:line="240" w:lineRule="auto"/>
                    <w:contextualSpacing/>
                    <w:jc w:val="center"/>
                    <w:rPr>
                      <w:sz w:val="21"/>
                      <w:szCs w:val="21"/>
                    </w:rPr>
                  </w:pPr>
                  <w:r>
                    <w:rPr>
                      <w:rFonts w:hint="eastAsia"/>
                      <w:sz w:val="21"/>
                      <w:szCs w:val="21"/>
                    </w:rPr>
                    <w:t>CT22A</w:t>
                  </w:r>
                </w:p>
              </w:tc>
              <w:tc>
                <w:tcPr>
                  <w:tcW w:w="674" w:type="dxa"/>
                  <w:tcBorders>
                    <w:tl2br w:val="nil"/>
                    <w:tr2bl w:val="nil"/>
                  </w:tcBorders>
                  <w:vAlign w:val="center"/>
                </w:tcPr>
                <w:p>
                  <w:pPr>
                    <w:spacing w:line="240" w:lineRule="auto"/>
                    <w:contextualSpacing/>
                    <w:jc w:val="center"/>
                    <w:rPr>
                      <w:sz w:val="21"/>
                      <w:szCs w:val="21"/>
                    </w:rPr>
                  </w:pPr>
                  <w:r>
                    <w:rPr>
                      <w:rFonts w:hint="eastAsia"/>
                      <w:sz w:val="21"/>
                      <w:szCs w:val="21"/>
                    </w:rPr>
                    <w:t>1</w:t>
                  </w:r>
                </w:p>
              </w:tc>
              <w:tc>
                <w:tcPr>
                  <w:tcW w:w="1328" w:type="dxa"/>
                  <w:tcBorders>
                    <w:tl2br w:val="nil"/>
                    <w:tr2bl w:val="nil"/>
                  </w:tcBorders>
                  <w:vAlign w:val="center"/>
                </w:tcPr>
                <w:p>
                  <w:pPr>
                    <w:spacing w:line="240" w:lineRule="auto"/>
                    <w:contextualSpacing/>
                    <w:jc w:val="center"/>
                    <w:rPr>
                      <w:sz w:val="21"/>
                      <w:szCs w:val="21"/>
                    </w:rPr>
                  </w:pPr>
                  <w:r>
                    <w:rPr>
                      <w:rFonts w:hint="eastAsia"/>
                      <w:sz w:val="21"/>
                      <w:szCs w:val="21"/>
                    </w:rPr>
                    <w:t>空压机</w:t>
                  </w:r>
                </w:p>
              </w:tc>
              <w:tc>
                <w:tcPr>
                  <w:tcW w:w="1235" w:type="dxa"/>
                  <w:tcBorders>
                    <w:tl2br w:val="nil"/>
                    <w:tr2bl w:val="nil"/>
                  </w:tcBorders>
                  <w:vAlign w:val="center"/>
                </w:tcPr>
                <w:p>
                  <w:pPr>
                    <w:spacing w:line="240" w:lineRule="auto"/>
                    <w:contextualSpacing/>
                    <w:jc w:val="center"/>
                    <w:rPr>
                      <w:sz w:val="21"/>
                      <w:szCs w:val="21"/>
                    </w:rPr>
                  </w:pPr>
                  <w:r>
                    <w:rPr>
                      <w:rFonts w:hint="eastAsia"/>
                      <w:sz w:val="21"/>
                      <w:szCs w:val="21"/>
                    </w:rPr>
                    <w:t>CT22A</w:t>
                  </w:r>
                </w:p>
              </w:tc>
              <w:tc>
                <w:tcPr>
                  <w:tcW w:w="808" w:type="dxa"/>
                  <w:tcBorders>
                    <w:tl2br w:val="nil"/>
                    <w:tr2bl w:val="nil"/>
                  </w:tcBorders>
                  <w:vAlign w:val="center"/>
                </w:tcPr>
                <w:p>
                  <w:pPr>
                    <w:spacing w:line="240" w:lineRule="auto"/>
                    <w:contextualSpacing/>
                    <w:jc w:val="center"/>
                    <w:rPr>
                      <w:sz w:val="21"/>
                      <w:szCs w:val="21"/>
                    </w:rPr>
                  </w:pPr>
                  <w:r>
                    <w:rPr>
                      <w:rFonts w:hint="eastAsia"/>
                      <w:sz w:val="21"/>
                      <w:szCs w:val="21"/>
                    </w:rPr>
                    <w:t>1</w:t>
                  </w:r>
                </w:p>
              </w:tc>
              <w:tc>
                <w:tcPr>
                  <w:tcW w:w="2099" w:type="dxa"/>
                  <w:tcBorders>
                    <w:tl2br w:val="nil"/>
                    <w:tr2bl w:val="nil"/>
                  </w:tcBorders>
                  <w:vAlign w:val="center"/>
                </w:tcPr>
                <w:p>
                  <w:pPr>
                    <w:spacing w:line="240" w:lineRule="auto"/>
                    <w:contextualSpacing/>
                    <w:jc w:val="center"/>
                    <w:rPr>
                      <w:rFonts w:hAnsi="宋体"/>
                      <w:sz w:val="21"/>
                      <w:szCs w:val="21"/>
                    </w:rPr>
                  </w:pPr>
                  <w:r>
                    <w:rPr>
                      <w:rFonts w:hint="eastAsia" w:hAnsi="宋体"/>
                      <w:sz w:val="21"/>
                      <w:szCs w:val="21"/>
                    </w:rPr>
                    <w:t>咸阳秦渭空压机有限公司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blHeader/>
                <w:jc w:val="center"/>
              </w:trPr>
              <w:tc>
                <w:tcPr>
                  <w:tcW w:w="1207" w:type="dxa"/>
                  <w:tcBorders>
                    <w:tl2br w:val="nil"/>
                    <w:tr2bl w:val="nil"/>
                  </w:tcBorders>
                  <w:vAlign w:val="center"/>
                </w:tcPr>
                <w:p>
                  <w:pPr>
                    <w:spacing w:line="240" w:lineRule="auto"/>
                    <w:contextualSpacing/>
                    <w:jc w:val="center"/>
                    <w:rPr>
                      <w:sz w:val="21"/>
                      <w:szCs w:val="21"/>
                    </w:rPr>
                  </w:pPr>
                  <w:r>
                    <w:rPr>
                      <w:rFonts w:hint="eastAsia"/>
                      <w:sz w:val="21"/>
                      <w:szCs w:val="21"/>
                    </w:rPr>
                    <w:t>冷水机</w:t>
                  </w:r>
                </w:p>
              </w:tc>
              <w:tc>
                <w:tcPr>
                  <w:tcW w:w="1079" w:type="dxa"/>
                  <w:tcBorders>
                    <w:tl2br w:val="nil"/>
                    <w:tr2bl w:val="nil"/>
                  </w:tcBorders>
                  <w:vAlign w:val="center"/>
                </w:tcPr>
                <w:p>
                  <w:pPr>
                    <w:spacing w:line="240" w:lineRule="auto"/>
                    <w:contextualSpacing/>
                    <w:jc w:val="center"/>
                    <w:rPr>
                      <w:sz w:val="21"/>
                      <w:szCs w:val="21"/>
                    </w:rPr>
                  </w:pPr>
                  <w:r>
                    <w:rPr>
                      <w:rFonts w:hint="eastAsia"/>
                      <w:sz w:val="21"/>
                      <w:szCs w:val="21"/>
                    </w:rPr>
                    <w:t>-</w:t>
                  </w:r>
                </w:p>
              </w:tc>
              <w:tc>
                <w:tcPr>
                  <w:tcW w:w="674" w:type="dxa"/>
                  <w:tcBorders>
                    <w:tl2br w:val="nil"/>
                    <w:tr2bl w:val="nil"/>
                  </w:tcBorders>
                  <w:vAlign w:val="center"/>
                </w:tcPr>
                <w:p>
                  <w:pPr>
                    <w:spacing w:line="240" w:lineRule="auto"/>
                    <w:contextualSpacing/>
                    <w:jc w:val="center"/>
                    <w:rPr>
                      <w:sz w:val="21"/>
                      <w:szCs w:val="21"/>
                    </w:rPr>
                  </w:pPr>
                  <w:r>
                    <w:rPr>
                      <w:rFonts w:hint="eastAsia"/>
                      <w:sz w:val="21"/>
                      <w:szCs w:val="21"/>
                    </w:rPr>
                    <w:t>1</w:t>
                  </w:r>
                </w:p>
              </w:tc>
              <w:tc>
                <w:tcPr>
                  <w:tcW w:w="1328" w:type="dxa"/>
                  <w:tcBorders>
                    <w:tl2br w:val="nil"/>
                    <w:tr2bl w:val="nil"/>
                  </w:tcBorders>
                  <w:vAlign w:val="center"/>
                </w:tcPr>
                <w:p>
                  <w:pPr>
                    <w:spacing w:line="240" w:lineRule="auto"/>
                    <w:contextualSpacing/>
                    <w:jc w:val="center"/>
                    <w:rPr>
                      <w:sz w:val="21"/>
                      <w:szCs w:val="21"/>
                    </w:rPr>
                  </w:pPr>
                  <w:r>
                    <w:rPr>
                      <w:rFonts w:hint="eastAsia"/>
                      <w:sz w:val="21"/>
                      <w:szCs w:val="21"/>
                    </w:rPr>
                    <w:t>冷水机</w:t>
                  </w:r>
                </w:p>
              </w:tc>
              <w:tc>
                <w:tcPr>
                  <w:tcW w:w="1235" w:type="dxa"/>
                  <w:tcBorders>
                    <w:tl2br w:val="nil"/>
                    <w:tr2bl w:val="nil"/>
                  </w:tcBorders>
                  <w:vAlign w:val="center"/>
                </w:tcPr>
                <w:p>
                  <w:pPr>
                    <w:spacing w:line="240" w:lineRule="auto"/>
                    <w:contextualSpacing/>
                    <w:jc w:val="center"/>
                    <w:rPr>
                      <w:sz w:val="21"/>
                      <w:szCs w:val="21"/>
                    </w:rPr>
                  </w:pPr>
                  <w:r>
                    <w:rPr>
                      <w:rFonts w:hint="eastAsia"/>
                      <w:sz w:val="21"/>
                      <w:szCs w:val="21"/>
                    </w:rPr>
                    <w:t>-</w:t>
                  </w:r>
                </w:p>
              </w:tc>
              <w:tc>
                <w:tcPr>
                  <w:tcW w:w="808" w:type="dxa"/>
                  <w:tcBorders>
                    <w:tl2br w:val="nil"/>
                    <w:tr2bl w:val="nil"/>
                  </w:tcBorders>
                  <w:vAlign w:val="center"/>
                </w:tcPr>
                <w:p>
                  <w:pPr>
                    <w:spacing w:line="240" w:lineRule="auto"/>
                    <w:contextualSpacing/>
                    <w:jc w:val="center"/>
                    <w:rPr>
                      <w:sz w:val="21"/>
                      <w:szCs w:val="21"/>
                    </w:rPr>
                  </w:pPr>
                  <w:r>
                    <w:rPr>
                      <w:rFonts w:hint="eastAsia"/>
                      <w:sz w:val="21"/>
                      <w:szCs w:val="21"/>
                    </w:rPr>
                    <w:t>1</w:t>
                  </w:r>
                </w:p>
              </w:tc>
              <w:tc>
                <w:tcPr>
                  <w:tcW w:w="2099" w:type="dxa"/>
                  <w:tcBorders>
                    <w:tl2br w:val="nil"/>
                    <w:tr2bl w:val="nil"/>
                  </w:tcBorders>
                  <w:vAlign w:val="center"/>
                </w:tcPr>
                <w:p>
                  <w:pPr>
                    <w:spacing w:line="240" w:lineRule="auto"/>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blHeader/>
                <w:jc w:val="center"/>
              </w:trPr>
              <w:tc>
                <w:tcPr>
                  <w:tcW w:w="1207" w:type="dxa"/>
                  <w:tcBorders>
                    <w:tl2br w:val="nil"/>
                    <w:tr2bl w:val="nil"/>
                  </w:tcBorders>
                  <w:vAlign w:val="center"/>
                </w:tcPr>
                <w:p>
                  <w:pPr>
                    <w:spacing w:line="240" w:lineRule="auto"/>
                    <w:contextualSpacing/>
                    <w:jc w:val="center"/>
                    <w:rPr>
                      <w:sz w:val="21"/>
                      <w:szCs w:val="21"/>
                    </w:rPr>
                  </w:pPr>
                  <w:r>
                    <w:rPr>
                      <w:rFonts w:hint="eastAsia"/>
                      <w:sz w:val="21"/>
                      <w:szCs w:val="21"/>
                    </w:rPr>
                    <w:t>有机废气处理设施</w:t>
                  </w:r>
                </w:p>
              </w:tc>
              <w:tc>
                <w:tcPr>
                  <w:tcW w:w="1079" w:type="dxa"/>
                  <w:tcBorders>
                    <w:tl2br w:val="nil"/>
                    <w:tr2bl w:val="nil"/>
                  </w:tcBorders>
                  <w:vAlign w:val="center"/>
                </w:tcPr>
                <w:p>
                  <w:pPr>
                    <w:spacing w:line="240" w:lineRule="auto"/>
                    <w:contextualSpacing/>
                    <w:jc w:val="center"/>
                    <w:rPr>
                      <w:sz w:val="21"/>
                      <w:szCs w:val="21"/>
                    </w:rPr>
                  </w:pPr>
                  <w:r>
                    <w:rPr>
                      <w:rFonts w:hint="eastAsia"/>
                      <w:sz w:val="21"/>
                      <w:szCs w:val="21"/>
                    </w:rPr>
                    <w:t>/</w:t>
                  </w:r>
                </w:p>
              </w:tc>
              <w:tc>
                <w:tcPr>
                  <w:tcW w:w="674" w:type="dxa"/>
                  <w:tcBorders>
                    <w:tl2br w:val="nil"/>
                    <w:tr2bl w:val="nil"/>
                  </w:tcBorders>
                  <w:vAlign w:val="center"/>
                </w:tcPr>
                <w:p>
                  <w:pPr>
                    <w:spacing w:line="240" w:lineRule="auto"/>
                    <w:contextualSpacing/>
                    <w:jc w:val="center"/>
                    <w:rPr>
                      <w:sz w:val="21"/>
                      <w:szCs w:val="21"/>
                    </w:rPr>
                  </w:pPr>
                  <w:r>
                    <w:rPr>
                      <w:rFonts w:hint="eastAsia"/>
                      <w:sz w:val="21"/>
                      <w:szCs w:val="21"/>
                    </w:rPr>
                    <w:t>1</w:t>
                  </w:r>
                </w:p>
              </w:tc>
              <w:tc>
                <w:tcPr>
                  <w:tcW w:w="1328" w:type="dxa"/>
                  <w:tcBorders>
                    <w:tl2br w:val="nil"/>
                    <w:tr2bl w:val="nil"/>
                  </w:tcBorders>
                  <w:vAlign w:val="center"/>
                </w:tcPr>
                <w:p>
                  <w:pPr>
                    <w:spacing w:line="240" w:lineRule="auto"/>
                    <w:contextualSpacing/>
                    <w:jc w:val="center"/>
                    <w:rPr>
                      <w:sz w:val="21"/>
                      <w:szCs w:val="21"/>
                    </w:rPr>
                  </w:pPr>
                  <w:r>
                    <w:rPr>
                      <w:rFonts w:hint="eastAsia"/>
                      <w:sz w:val="21"/>
                      <w:szCs w:val="21"/>
                    </w:rPr>
                    <w:t>U</w:t>
                  </w:r>
                  <w:r>
                    <w:rPr>
                      <w:sz w:val="21"/>
                      <w:szCs w:val="21"/>
                    </w:rPr>
                    <w:t>V</w:t>
                  </w:r>
                  <w:r>
                    <w:rPr>
                      <w:rFonts w:hint="eastAsia"/>
                      <w:sz w:val="21"/>
                      <w:szCs w:val="21"/>
                    </w:rPr>
                    <w:t>光氧+活性炭吸附处理装置</w:t>
                  </w:r>
                </w:p>
              </w:tc>
              <w:tc>
                <w:tcPr>
                  <w:tcW w:w="1235" w:type="dxa"/>
                  <w:tcBorders>
                    <w:tl2br w:val="nil"/>
                    <w:tr2bl w:val="nil"/>
                  </w:tcBorders>
                  <w:vAlign w:val="center"/>
                </w:tcPr>
                <w:p>
                  <w:pPr>
                    <w:spacing w:line="240" w:lineRule="auto"/>
                    <w:contextualSpacing/>
                    <w:jc w:val="center"/>
                    <w:rPr>
                      <w:sz w:val="21"/>
                      <w:szCs w:val="21"/>
                    </w:rPr>
                  </w:pPr>
                  <w:r>
                    <w:rPr>
                      <w:rFonts w:hint="eastAsia"/>
                      <w:sz w:val="21"/>
                      <w:szCs w:val="21"/>
                    </w:rPr>
                    <w:t>/</w:t>
                  </w:r>
                </w:p>
              </w:tc>
              <w:tc>
                <w:tcPr>
                  <w:tcW w:w="808" w:type="dxa"/>
                  <w:tcBorders>
                    <w:tl2br w:val="nil"/>
                    <w:tr2bl w:val="nil"/>
                  </w:tcBorders>
                  <w:vAlign w:val="center"/>
                </w:tcPr>
                <w:p>
                  <w:pPr>
                    <w:spacing w:line="240" w:lineRule="auto"/>
                    <w:contextualSpacing/>
                    <w:jc w:val="center"/>
                    <w:rPr>
                      <w:sz w:val="21"/>
                      <w:szCs w:val="21"/>
                    </w:rPr>
                  </w:pPr>
                  <w:r>
                    <w:rPr>
                      <w:rFonts w:hint="eastAsia"/>
                      <w:sz w:val="21"/>
                      <w:szCs w:val="21"/>
                    </w:rPr>
                    <w:t>1</w:t>
                  </w:r>
                </w:p>
              </w:tc>
              <w:tc>
                <w:tcPr>
                  <w:tcW w:w="2099" w:type="dxa"/>
                  <w:tcBorders>
                    <w:tl2br w:val="nil"/>
                    <w:tr2bl w:val="nil"/>
                  </w:tcBorders>
                  <w:vAlign w:val="center"/>
                </w:tcPr>
                <w:p>
                  <w:pPr>
                    <w:spacing w:line="240" w:lineRule="auto"/>
                    <w:jc w:val="center"/>
                    <w:rPr>
                      <w:sz w:val="21"/>
                      <w:szCs w:val="21"/>
                    </w:rPr>
                  </w:pPr>
                  <w:r>
                    <w:rPr>
                      <w:rFonts w:hint="eastAsia"/>
                      <w:sz w:val="21"/>
                      <w:szCs w:val="21"/>
                    </w:rPr>
                    <w:t>/</w:t>
                  </w:r>
                </w:p>
              </w:tc>
            </w:tr>
          </w:tbl>
          <w:p>
            <w:pPr>
              <w:spacing w:line="420" w:lineRule="exact"/>
              <w:rPr>
                <w:b/>
                <w:szCs w:val="24"/>
              </w:rPr>
            </w:pPr>
            <w:r>
              <w:rPr>
                <w:rFonts w:hint="eastAsia"/>
                <w:b/>
                <w:szCs w:val="24"/>
              </w:rPr>
              <w:t>六、项目变更情况</w:t>
            </w:r>
          </w:p>
          <w:p>
            <w:pPr>
              <w:spacing w:line="420" w:lineRule="exact"/>
              <w:ind w:firstLine="480" w:firstLineChars="200"/>
              <w:rPr>
                <w:b/>
                <w:color w:val="000000"/>
                <w:szCs w:val="21"/>
                <w:highlight w:val="yellow"/>
              </w:rPr>
            </w:pPr>
            <w:r>
              <w:rPr>
                <w:rFonts w:hint="eastAsia"/>
                <w:bCs/>
                <w:szCs w:val="21"/>
              </w:rPr>
              <w:t>根据环评及环评批复，以及根据现场勘查情况，本项目实际建设与环评及批复基本一致。根据原环境保护部办公厅《关于印发环评管理中部分行业建设项目重大变动清单的通知》环办[2015]52号文中相关规定，本项目实际建设无重大变更情况。</w:t>
            </w:r>
          </w:p>
          <w:p>
            <w:pPr>
              <w:spacing w:line="420" w:lineRule="exact"/>
              <w:rPr>
                <w:b/>
                <w:color w:val="000000"/>
                <w:szCs w:val="21"/>
              </w:rPr>
            </w:pPr>
            <w:r>
              <w:rPr>
                <w:rFonts w:hint="eastAsia"/>
                <w:b/>
                <w:color w:val="000000"/>
                <w:szCs w:val="21"/>
              </w:rPr>
              <w:t>七、劳动制度和定员</w:t>
            </w:r>
          </w:p>
          <w:p>
            <w:pPr>
              <w:spacing w:line="420" w:lineRule="exact"/>
              <w:ind w:firstLine="480" w:firstLineChars="200"/>
            </w:pPr>
            <w:r>
              <w:rPr>
                <w:rFonts w:hint="eastAsia"/>
              </w:rPr>
              <w:t>本项目</w:t>
            </w:r>
            <w:r>
              <w:t>项目劳动定员</w:t>
            </w:r>
            <w:r>
              <w:rPr>
                <w:rFonts w:hint="eastAsia"/>
              </w:rPr>
              <w:t>6</w:t>
            </w:r>
            <w:r>
              <w:t>人，其中管理人员</w:t>
            </w:r>
            <w:r>
              <w:rPr>
                <w:rFonts w:hint="eastAsia"/>
              </w:rPr>
              <w:t>2</w:t>
            </w:r>
            <w:r>
              <w:t>人、生产人员</w:t>
            </w:r>
            <w:r>
              <w:rPr>
                <w:rFonts w:hint="eastAsia"/>
              </w:rPr>
              <w:t>4</w:t>
            </w:r>
            <w:r>
              <w:t>人。</w:t>
            </w:r>
            <w:r>
              <w:rPr>
                <w:rFonts w:hint="eastAsia"/>
              </w:rPr>
              <w:t>厂区不设置食宿。年工作时间200天，实行一班制（夜间不工作），每天工作8小时。</w:t>
            </w:r>
          </w:p>
          <w:p>
            <w:pPr>
              <w:spacing w:line="420" w:lineRule="exact"/>
              <w:rPr>
                <w:b/>
                <w:color w:val="000000"/>
                <w:szCs w:val="21"/>
              </w:rPr>
            </w:pPr>
            <w:r>
              <w:rPr>
                <w:rFonts w:hint="eastAsia"/>
                <w:b/>
                <w:color w:val="000000"/>
                <w:szCs w:val="21"/>
              </w:rPr>
              <w:t>八、公用工程</w:t>
            </w:r>
          </w:p>
          <w:p>
            <w:pPr>
              <w:widowControl w:val="0"/>
              <w:adjustRightInd/>
              <w:snapToGrid/>
              <w:spacing w:line="420" w:lineRule="exact"/>
              <w:ind w:firstLine="480" w:firstLineChars="200"/>
            </w:pPr>
            <w:r>
              <w:t>1、给水</w:t>
            </w:r>
          </w:p>
          <w:p>
            <w:pPr>
              <w:widowControl w:val="0"/>
              <w:adjustRightInd/>
              <w:snapToGrid/>
              <w:spacing w:line="420" w:lineRule="exact"/>
              <w:ind w:firstLine="480" w:firstLineChars="200"/>
            </w:pPr>
            <w:r>
              <w:rPr>
                <w:rFonts w:hint="eastAsia"/>
              </w:rPr>
              <w:t>项目厂区用水由自备井供给，主要为厂区职工生活用水及水雾冷却用水。</w:t>
            </w:r>
          </w:p>
          <w:p>
            <w:pPr>
              <w:numPr>
                <w:ilvl w:val="0"/>
                <w:numId w:val="5"/>
              </w:numPr>
              <w:spacing w:line="420" w:lineRule="exact"/>
              <w:ind w:firstLine="480" w:firstLineChars="200"/>
            </w:pPr>
            <w:r>
              <w:rPr>
                <w:rFonts w:hint="eastAsia"/>
              </w:rPr>
              <w:t>排水</w:t>
            </w:r>
          </w:p>
          <w:p>
            <w:pPr>
              <w:spacing w:line="420" w:lineRule="exact"/>
              <w:ind w:firstLine="480" w:firstLineChars="200"/>
            </w:pPr>
            <w:r>
              <w:t>项目排水采用雨污分流的形式，雨水进入厂区设置雨水管道，进入市政雨水管网；生产过程不排水，</w:t>
            </w:r>
            <w:r>
              <w:rPr>
                <w:rFonts w:hint="eastAsia"/>
              </w:rPr>
              <w:t>因企业目前区域市政污水管网未敷设到位，生活污水</w:t>
            </w:r>
            <w:r>
              <w:t>经</w:t>
            </w:r>
            <w:r>
              <w:rPr>
                <w:rFonts w:hint="eastAsia"/>
              </w:rPr>
              <w:t>粪污收集池</w:t>
            </w:r>
            <w:r>
              <w:t>处理</w:t>
            </w:r>
            <w:r>
              <w:rPr>
                <w:rFonts w:hint="eastAsia"/>
              </w:rPr>
              <w:t>定期清掏用作农肥。</w:t>
            </w:r>
          </w:p>
          <w:p>
            <w:pPr>
              <w:numPr>
                <w:ilvl w:val="0"/>
                <w:numId w:val="5"/>
              </w:numPr>
              <w:spacing w:line="420" w:lineRule="exact"/>
              <w:ind w:firstLine="480" w:firstLineChars="200"/>
            </w:pPr>
            <w:r>
              <w:rPr>
                <w:rFonts w:hint="eastAsia"/>
              </w:rPr>
              <w:t>供电</w:t>
            </w:r>
          </w:p>
          <w:p>
            <w:pPr>
              <w:spacing w:line="420" w:lineRule="exact"/>
              <w:ind w:firstLine="480" w:firstLineChars="200"/>
            </w:pPr>
            <w:r>
              <w:rPr>
                <w:rFonts w:hint="eastAsia"/>
              </w:rPr>
              <w:t>项目供电由秦汉新城市政电网供给，电力供应充足，可满足本项目的生产、生活供电。</w:t>
            </w:r>
          </w:p>
        </w:tc>
      </w:tr>
    </w:tbl>
    <w:p>
      <w:pPr>
        <w:rPr>
          <w:b/>
          <w:bCs/>
          <w:color w:val="000000"/>
          <w:sz w:val="28"/>
          <w:szCs w:val="28"/>
        </w:rPr>
        <w:sectPr>
          <w:pgSz w:w="11906" w:h="16838"/>
          <w:pgMar w:top="1440" w:right="1800" w:bottom="1440" w:left="1800" w:header="708" w:footer="708" w:gutter="0"/>
          <w:cols w:space="720" w:num="1"/>
          <w:docGrid w:linePitch="360" w:charSpace="0"/>
        </w:sectPr>
      </w:pPr>
    </w:p>
    <w:p>
      <w:pPr>
        <w:spacing w:line="240" w:lineRule="auto"/>
        <w:rPr>
          <w:b/>
          <w:bCs/>
          <w:color w:val="000000"/>
          <w:sz w:val="28"/>
          <w:szCs w:val="28"/>
        </w:rPr>
      </w:pPr>
      <w:r>
        <w:rPr>
          <w:rFonts w:hint="eastAsia"/>
          <w:b/>
          <w:bCs/>
          <w:color w:val="000000"/>
          <w:sz w:val="28"/>
          <w:szCs w:val="28"/>
        </w:rPr>
        <w:t>续表二</w:t>
      </w:r>
    </w:p>
    <w:tbl>
      <w:tblPr>
        <w:tblStyle w:val="9"/>
        <w:tblW w:w="891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2" w:hRule="atLeast"/>
        </w:trPr>
        <w:tc>
          <w:tcPr>
            <w:tcW w:w="8913" w:type="dxa"/>
          </w:tcPr>
          <w:p>
            <w:pPr>
              <w:spacing w:before="120" w:beforeLines="50"/>
              <w:ind w:firstLine="480" w:firstLineChars="200"/>
            </w:pPr>
            <w:r>
              <w:rPr>
                <w:rFonts w:hint="eastAsia"/>
              </w:rPr>
              <w:t>4、供暖、制冷</w:t>
            </w:r>
          </w:p>
          <w:p>
            <w:pPr>
              <w:ind w:firstLine="480" w:firstLineChars="200"/>
            </w:pPr>
            <w:r>
              <w:rPr>
                <w:rFonts w:hint="eastAsia"/>
              </w:rPr>
              <w:t>本项目办公区采用分体式空调供暖、制冷。生产区不供暖制冷。</w:t>
            </w:r>
          </w:p>
          <w:p>
            <w:pPr>
              <w:rPr>
                <w:b/>
                <w:bCs/>
              </w:rPr>
            </w:pPr>
            <w:r>
              <w:rPr>
                <w:rFonts w:hint="eastAsia"/>
                <w:b/>
                <w:bCs/>
              </w:rPr>
              <w:t>九、原材料及水平衡</w:t>
            </w:r>
          </w:p>
          <w:p>
            <w:pPr>
              <w:ind w:firstLine="482" w:firstLineChars="200"/>
              <w:rPr>
                <w:b/>
                <w:bCs/>
              </w:rPr>
            </w:pPr>
            <w:r>
              <w:rPr>
                <w:rFonts w:hint="eastAsia"/>
                <w:b/>
                <w:bCs/>
              </w:rPr>
              <w:t>（一）主要原辅材料及消耗</w:t>
            </w:r>
          </w:p>
          <w:p>
            <w:pPr>
              <w:ind w:firstLine="480" w:firstLineChars="200"/>
              <w:jc w:val="both"/>
              <w:rPr>
                <w:b/>
                <w:bCs/>
                <w:sz w:val="21"/>
                <w:szCs w:val="21"/>
              </w:rPr>
            </w:pPr>
            <w:r>
              <w:rPr>
                <w:rFonts w:hint="eastAsia"/>
              </w:rPr>
              <w:t>本项目主要原辅材料消耗情况见</w:t>
            </w:r>
            <w:r>
              <w:t>表2-3</w:t>
            </w:r>
            <w:r>
              <w:rPr>
                <w:rFonts w:hint="eastAsia"/>
              </w:rPr>
              <w:t>。</w:t>
            </w:r>
          </w:p>
          <w:p>
            <w:pPr>
              <w:jc w:val="center"/>
            </w:pPr>
            <w:r>
              <w:rPr>
                <w:rFonts w:hint="eastAsia"/>
                <w:b/>
                <w:bCs/>
                <w:sz w:val="21"/>
                <w:szCs w:val="21"/>
              </w:rPr>
              <w:t>表2-3  原辅材料及消耗量</w:t>
            </w:r>
          </w:p>
          <w:tbl>
            <w:tblPr>
              <w:tblStyle w:val="8"/>
              <w:tblW w:w="869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12"/>
              <w:gridCol w:w="814"/>
              <w:gridCol w:w="2479"/>
              <w:gridCol w:w="1632"/>
              <w:gridCol w:w="1061"/>
              <w:gridCol w:w="16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1012" w:type="dxa"/>
                  <w:vAlign w:val="center"/>
                </w:tcPr>
                <w:p>
                  <w:pPr>
                    <w:spacing w:line="240" w:lineRule="auto"/>
                    <w:contextualSpacing/>
                    <w:jc w:val="center"/>
                    <w:rPr>
                      <w:b/>
                      <w:bCs/>
                      <w:sz w:val="21"/>
                      <w:szCs w:val="21"/>
                    </w:rPr>
                  </w:pPr>
                  <w:r>
                    <w:rPr>
                      <w:rFonts w:hAnsi="宋体"/>
                      <w:b/>
                      <w:bCs/>
                      <w:sz w:val="21"/>
                      <w:szCs w:val="21"/>
                    </w:rPr>
                    <w:t>类别</w:t>
                  </w:r>
                </w:p>
              </w:tc>
              <w:tc>
                <w:tcPr>
                  <w:tcW w:w="814" w:type="dxa"/>
                  <w:vAlign w:val="center"/>
                </w:tcPr>
                <w:p>
                  <w:pPr>
                    <w:spacing w:line="240" w:lineRule="auto"/>
                    <w:contextualSpacing/>
                    <w:jc w:val="center"/>
                    <w:rPr>
                      <w:b/>
                      <w:bCs/>
                      <w:sz w:val="21"/>
                      <w:szCs w:val="21"/>
                    </w:rPr>
                  </w:pPr>
                  <w:r>
                    <w:rPr>
                      <w:rFonts w:hAnsi="宋体"/>
                      <w:b/>
                      <w:bCs/>
                      <w:sz w:val="21"/>
                      <w:szCs w:val="21"/>
                    </w:rPr>
                    <w:t>序号</w:t>
                  </w:r>
                </w:p>
              </w:tc>
              <w:tc>
                <w:tcPr>
                  <w:tcW w:w="2479" w:type="dxa"/>
                  <w:vAlign w:val="center"/>
                </w:tcPr>
                <w:p>
                  <w:pPr>
                    <w:spacing w:line="240" w:lineRule="auto"/>
                    <w:contextualSpacing/>
                    <w:jc w:val="center"/>
                    <w:rPr>
                      <w:b/>
                      <w:bCs/>
                      <w:sz w:val="21"/>
                      <w:szCs w:val="21"/>
                    </w:rPr>
                  </w:pPr>
                  <w:r>
                    <w:rPr>
                      <w:rFonts w:hint="eastAsia" w:hAnsi="宋体"/>
                      <w:b/>
                      <w:bCs/>
                      <w:sz w:val="21"/>
                      <w:szCs w:val="21"/>
                    </w:rPr>
                    <w:t>名称</w:t>
                  </w:r>
                </w:p>
              </w:tc>
              <w:tc>
                <w:tcPr>
                  <w:tcW w:w="1632" w:type="dxa"/>
                  <w:vAlign w:val="center"/>
                </w:tcPr>
                <w:p>
                  <w:pPr>
                    <w:spacing w:line="240" w:lineRule="auto"/>
                    <w:contextualSpacing/>
                    <w:jc w:val="center"/>
                    <w:rPr>
                      <w:b/>
                      <w:bCs/>
                      <w:sz w:val="21"/>
                      <w:szCs w:val="21"/>
                    </w:rPr>
                  </w:pPr>
                  <w:r>
                    <w:rPr>
                      <w:rFonts w:hAnsi="宋体"/>
                      <w:b/>
                      <w:bCs/>
                      <w:sz w:val="21"/>
                      <w:szCs w:val="21"/>
                    </w:rPr>
                    <w:t>消耗量</w:t>
                  </w:r>
                </w:p>
              </w:tc>
              <w:tc>
                <w:tcPr>
                  <w:tcW w:w="1061" w:type="dxa"/>
                </w:tcPr>
                <w:p>
                  <w:pPr>
                    <w:spacing w:line="240" w:lineRule="auto"/>
                    <w:contextualSpacing/>
                    <w:jc w:val="center"/>
                    <w:rPr>
                      <w:rFonts w:hAnsi="宋体"/>
                      <w:b/>
                      <w:bCs/>
                      <w:sz w:val="21"/>
                      <w:szCs w:val="21"/>
                    </w:rPr>
                  </w:pPr>
                  <w:r>
                    <w:rPr>
                      <w:rFonts w:hint="eastAsia" w:hAnsi="宋体"/>
                      <w:b/>
                      <w:bCs/>
                      <w:sz w:val="21"/>
                      <w:szCs w:val="21"/>
                    </w:rPr>
                    <w:t>状态</w:t>
                  </w:r>
                </w:p>
              </w:tc>
              <w:tc>
                <w:tcPr>
                  <w:tcW w:w="1699" w:type="dxa"/>
                  <w:vAlign w:val="center"/>
                </w:tcPr>
                <w:p>
                  <w:pPr>
                    <w:spacing w:line="240" w:lineRule="auto"/>
                    <w:contextualSpacing/>
                    <w:jc w:val="center"/>
                    <w:rPr>
                      <w:b/>
                      <w:bCs/>
                      <w:sz w:val="21"/>
                      <w:szCs w:val="21"/>
                    </w:rPr>
                  </w:pPr>
                  <w:r>
                    <w:rPr>
                      <w:rFonts w:hAnsi="宋体"/>
                      <w:b/>
                      <w:bCs/>
                      <w:sz w:val="21"/>
                      <w:szCs w:val="21"/>
                    </w:rPr>
                    <w:t>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1012" w:type="dxa"/>
                  <w:vMerge w:val="restart"/>
                  <w:vAlign w:val="center"/>
                </w:tcPr>
                <w:p>
                  <w:pPr>
                    <w:spacing w:line="240" w:lineRule="auto"/>
                    <w:contextualSpacing/>
                    <w:jc w:val="center"/>
                    <w:rPr>
                      <w:bCs/>
                      <w:sz w:val="21"/>
                      <w:szCs w:val="21"/>
                    </w:rPr>
                  </w:pPr>
                  <w:r>
                    <w:rPr>
                      <w:rFonts w:hAnsi="宋体"/>
                      <w:bCs/>
                      <w:sz w:val="21"/>
                      <w:szCs w:val="21"/>
                    </w:rPr>
                    <w:t>原辅材料</w:t>
                  </w:r>
                </w:p>
              </w:tc>
              <w:tc>
                <w:tcPr>
                  <w:tcW w:w="814" w:type="dxa"/>
                  <w:vAlign w:val="center"/>
                </w:tcPr>
                <w:p>
                  <w:pPr>
                    <w:spacing w:line="240" w:lineRule="auto"/>
                    <w:contextualSpacing/>
                    <w:jc w:val="center"/>
                    <w:rPr>
                      <w:bCs/>
                      <w:sz w:val="21"/>
                      <w:szCs w:val="21"/>
                    </w:rPr>
                  </w:pPr>
                  <w:r>
                    <w:rPr>
                      <w:bCs/>
                      <w:sz w:val="21"/>
                      <w:szCs w:val="21"/>
                    </w:rPr>
                    <w:t>1</w:t>
                  </w:r>
                </w:p>
              </w:tc>
              <w:tc>
                <w:tcPr>
                  <w:tcW w:w="2479" w:type="dxa"/>
                  <w:vAlign w:val="center"/>
                </w:tcPr>
                <w:p>
                  <w:pPr>
                    <w:spacing w:line="240" w:lineRule="auto"/>
                    <w:contextualSpacing/>
                    <w:jc w:val="center"/>
                    <w:rPr>
                      <w:bCs/>
                      <w:sz w:val="21"/>
                      <w:szCs w:val="21"/>
                    </w:rPr>
                  </w:pPr>
                  <w:r>
                    <w:rPr>
                      <w:rFonts w:hint="eastAsia" w:hAnsi="宋体"/>
                      <w:bCs/>
                      <w:sz w:val="21"/>
                      <w:szCs w:val="21"/>
                    </w:rPr>
                    <w:t>聚丙烯（PP）树脂</w:t>
                  </w:r>
                </w:p>
              </w:tc>
              <w:tc>
                <w:tcPr>
                  <w:tcW w:w="1632" w:type="dxa"/>
                  <w:vAlign w:val="center"/>
                </w:tcPr>
                <w:p>
                  <w:pPr>
                    <w:spacing w:line="240" w:lineRule="auto"/>
                    <w:contextualSpacing/>
                    <w:jc w:val="center"/>
                    <w:rPr>
                      <w:bCs/>
                      <w:sz w:val="21"/>
                      <w:szCs w:val="21"/>
                    </w:rPr>
                  </w:pPr>
                  <w:r>
                    <w:rPr>
                      <w:rFonts w:hint="eastAsia"/>
                      <w:bCs/>
                      <w:sz w:val="21"/>
                      <w:szCs w:val="21"/>
                    </w:rPr>
                    <w:t>80</w:t>
                  </w:r>
                  <w:r>
                    <w:rPr>
                      <w:bCs/>
                      <w:sz w:val="21"/>
                      <w:szCs w:val="21"/>
                    </w:rPr>
                    <w:t>t/a</w:t>
                  </w:r>
                </w:p>
              </w:tc>
              <w:tc>
                <w:tcPr>
                  <w:tcW w:w="1061" w:type="dxa"/>
                </w:tcPr>
                <w:p>
                  <w:pPr>
                    <w:spacing w:line="240" w:lineRule="auto"/>
                    <w:contextualSpacing/>
                    <w:jc w:val="center"/>
                    <w:rPr>
                      <w:rFonts w:hAnsi="宋体"/>
                      <w:bCs/>
                      <w:sz w:val="21"/>
                      <w:szCs w:val="21"/>
                    </w:rPr>
                  </w:pPr>
                  <w:r>
                    <w:rPr>
                      <w:rFonts w:hint="eastAsia" w:hAnsi="宋体"/>
                      <w:bCs/>
                      <w:sz w:val="21"/>
                      <w:szCs w:val="21"/>
                    </w:rPr>
                    <w:t>片材</w:t>
                  </w:r>
                </w:p>
              </w:tc>
              <w:tc>
                <w:tcPr>
                  <w:tcW w:w="1699" w:type="dxa"/>
                  <w:vMerge w:val="restart"/>
                  <w:vAlign w:val="center"/>
                </w:tcPr>
                <w:p>
                  <w:pPr>
                    <w:spacing w:line="240" w:lineRule="auto"/>
                    <w:contextualSpacing/>
                    <w:jc w:val="center"/>
                    <w:rPr>
                      <w:bCs/>
                      <w:sz w:val="21"/>
                      <w:szCs w:val="21"/>
                    </w:rPr>
                  </w:pPr>
                  <w:r>
                    <w:rPr>
                      <w:rFonts w:hint="eastAsia" w:hAnsi="宋体"/>
                      <w:bCs/>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1012" w:type="dxa"/>
                  <w:vMerge w:val="continue"/>
                  <w:vAlign w:val="center"/>
                </w:tcPr>
                <w:p>
                  <w:pPr>
                    <w:spacing w:line="240" w:lineRule="auto"/>
                    <w:contextualSpacing/>
                    <w:jc w:val="center"/>
                    <w:rPr>
                      <w:b/>
                      <w:bCs/>
                      <w:sz w:val="21"/>
                      <w:szCs w:val="21"/>
                    </w:rPr>
                  </w:pPr>
                </w:p>
              </w:tc>
              <w:tc>
                <w:tcPr>
                  <w:tcW w:w="814" w:type="dxa"/>
                  <w:vAlign w:val="center"/>
                </w:tcPr>
                <w:p>
                  <w:pPr>
                    <w:spacing w:line="240" w:lineRule="auto"/>
                    <w:contextualSpacing/>
                    <w:jc w:val="center"/>
                    <w:rPr>
                      <w:bCs/>
                      <w:sz w:val="21"/>
                      <w:szCs w:val="21"/>
                    </w:rPr>
                  </w:pPr>
                  <w:r>
                    <w:rPr>
                      <w:rFonts w:hint="eastAsia"/>
                      <w:bCs/>
                      <w:sz w:val="21"/>
                      <w:szCs w:val="21"/>
                    </w:rPr>
                    <w:t>2</w:t>
                  </w:r>
                </w:p>
              </w:tc>
              <w:tc>
                <w:tcPr>
                  <w:tcW w:w="2479" w:type="dxa"/>
                  <w:vAlign w:val="center"/>
                </w:tcPr>
                <w:p>
                  <w:pPr>
                    <w:spacing w:line="240" w:lineRule="auto"/>
                    <w:contextualSpacing/>
                    <w:jc w:val="center"/>
                    <w:rPr>
                      <w:bCs/>
                      <w:sz w:val="21"/>
                      <w:szCs w:val="21"/>
                    </w:rPr>
                  </w:pPr>
                  <w:r>
                    <w:rPr>
                      <w:rFonts w:hint="eastAsia" w:hAnsi="宋体"/>
                      <w:bCs/>
                      <w:sz w:val="21"/>
                      <w:szCs w:val="21"/>
                    </w:rPr>
                    <w:t>聚酯（PET）树脂</w:t>
                  </w:r>
                </w:p>
              </w:tc>
              <w:tc>
                <w:tcPr>
                  <w:tcW w:w="1632" w:type="dxa"/>
                  <w:vAlign w:val="center"/>
                </w:tcPr>
                <w:p>
                  <w:pPr>
                    <w:spacing w:line="240" w:lineRule="auto"/>
                    <w:contextualSpacing/>
                    <w:jc w:val="center"/>
                    <w:rPr>
                      <w:bCs/>
                      <w:sz w:val="21"/>
                      <w:szCs w:val="21"/>
                    </w:rPr>
                  </w:pPr>
                  <w:r>
                    <w:rPr>
                      <w:rFonts w:hint="eastAsia"/>
                      <w:bCs/>
                      <w:sz w:val="21"/>
                      <w:szCs w:val="21"/>
                    </w:rPr>
                    <w:t>100</w:t>
                  </w:r>
                  <w:r>
                    <w:rPr>
                      <w:bCs/>
                      <w:sz w:val="21"/>
                      <w:szCs w:val="21"/>
                    </w:rPr>
                    <w:t>t/a</w:t>
                  </w:r>
                </w:p>
              </w:tc>
              <w:tc>
                <w:tcPr>
                  <w:tcW w:w="1061" w:type="dxa"/>
                </w:tcPr>
                <w:p>
                  <w:pPr>
                    <w:spacing w:line="240" w:lineRule="auto"/>
                    <w:contextualSpacing/>
                    <w:jc w:val="center"/>
                    <w:rPr>
                      <w:rFonts w:hAnsi="宋体"/>
                      <w:bCs/>
                      <w:sz w:val="21"/>
                      <w:szCs w:val="21"/>
                    </w:rPr>
                  </w:pPr>
                  <w:r>
                    <w:rPr>
                      <w:rFonts w:hint="eastAsia" w:hAnsi="宋体"/>
                      <w:bCs/>
                      <w:sz w:val="21"/>
                      <w:szCs w:val="21"/>
                    </w:rPr>
                    <w:t>片材</w:t>
                  </w:r>
                </w:p>
              </w:tc>
              <w:tc>
                <w:tcPr>
                  <w:tcW w:w="1699" w:type="dxa"/>
                  <w:vMerge w:val="continue"/>
                  <w:vAlign w:val="center"/>
                </w:tcPr>
                <w:p>
                  <w:pPr>
                    <w:spacing w:line="240" w:lineRule="auto"/>
                    <w:contextualSpacing/>
                    <w:jc w:val="center"/>
                    <w:rPr>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1012" w:type="dxa"/>
                  <w:vMerge w:val="continue"/>
                  <w:vAlign w:val="center"/>
                </w:tcPr>
                <w:p>
                  <w:pPr>
                    <w:spacing w:line="240" w:lineRule="auto"/>
                    <w:contextualSpacing/>
                    <w:jc w:val="center"/>
                    <w:rPr>
                      <w:b/>
                      <w:bCs/>
                      <w:sz w:val="21"/>
                      <w:szCs w:val="21"/>
                    </w:rPr>
                  </w:pPr>
                </w:p>
              </w:tc>
              <w:tc>
                <w:tcPr>
                  <w:tcW w:w="814" w:type="dxa"/>
                  <w:vAlign w:val="center"/>
                </w:tcPr>
                <w:p>
                  <w:pPr>
                    <w:spacing w:line="240" w:lineRule="auto"/>
                    <w:contextualSpacing/>
                    <w:jc w:val="center"/>
                    <w:rPr>
                      <w:bCs/>
                      <w:sz w:val="21"/>
                      <w:szCs w:val="21"/>
                    </w:rPr>
                  </w:pPr>
                  <w:r>
                    <w:rPr>
                      <w:rFonts w:hint="eastAsia"/>
                      <w:bCs/>
                      <w:sz w:val="21"/>
                      <w:szCs w:val="21"/>
                    </w:rPr>
                    <w:t>3</w:t>
                  </w:r>
                </w:p>
              </w:tc>
              <w:tc>
                <w:tcPr>
                  <w:tcW w:w="2479" w:type="dxa"/>
                  <w:vAlign w:val="center"/>
                </w:tcPr>
                <w:p>
                  <w:pPr>
                    <w:spacing w:line="240" w:lineRule="auto"/>
                    <w:contextualSpacing/>
                    <w:jc w:val="center"/>
                    <w:rPr>
                      <w:rFonts w:hAnsi="宋体"/>
                      <w:bCs/>
                      <w:sz w:val="21"/>
                      <w:szCs w:val="21"/>
                    </w:rPr>
                  </w:pPr>
                  <w:r>
                    <w:rPr>
                      <w:rFonts w:hint="eastAsia" w:hAnsi="宋体"/>
                      <w:bCs/>
                      <w:sz w:val="21"/>
                      <w:szCs w:val="21"/>
                    </w:rPr>
                    <w:t>聚氯乙烯（PVC）树脂</w:t>
                  </w:r>
                </w:p>
              </w:tc>
              <w:tc>
                <w:tcPr>
                  <w:tcW w:w="1632" w:type="dxa"/>
                  <w:vAlign w:val="center"/>
                </w:tcPr>
                <w:p>
                  <w:pPr>
                    <w:spacing w:line="240" w:lineRule="auto"/>
                    <w:contextualSpacing/>
                    <w:jc w:val="center"/>
                    <w:rPr>
                      <w:bCs/>
                      <w:sz w:val="21"/>
                      <w:szCs w:val="21"/>
                    </w:rPr>
                  </w:pPr>
                  <w:r>
                    <w:rPr>
                      <w:rFonts w:hint="eastAsia"/>
                      <w:bCs/>
                      <w:sz w:val="21"/>
                      <w:szCs w:val="21"/>
                    </w:rPr>
                    <w:t>73</w:t>
                  </w:r>
                  <w:r>
                    <w:rPr>
                      <w:bCs/>
                      <w:sz w:val="21"/>
                      <w:szCs w:val="21"/>
                    </w:rPr>
                    <w:t>t/a</w:t>
                  </w:r>
                </w:p>
              </w:tc>
              <w:tc>
                <w:tcPr>
                  <w:tcW w:w="1061" w:type="dxa"/>
                </w:tcPr>
                <w:p>
                  <w:pPr>
                    <w:spacing w:line="240" w:lineRule="auto"/>
                    <w:contextualSpacing/>
                    <w:jc w:val="center"/>
                    <w:rPr>
                      <w:rFonts w:hAnsi="宋体"/>
                      <w:bCs/>
                      <w:sz w:val="21"/>
                      <w:szCs w:val="21"/>
                    </w:rPr>
                  </w:pPr>
                  <w:r>
                    <w:rPr>
                      <w:rFonts w:hint="eastAsia" w:hAnsi="宋体"/>
                      <w:bCs/>
                      <w:sz w:val="21"/>
                      <w:szCs w:val="21"/>
                    </w:rPr>
                    <w:t>片材</w:t>
                  </w:r>
                </w:p>
              </w:tc>
              <w:tc>
                <w:tcPr>
                  <w:tcW w:w="1699" w:type="dxa"/>
                  <w:vAlign w:val="center"/>
                </w:tcPr>
                <w:p>
                  <w:pPr>
                    <w:spacing w:line="240" w:lineRule="auto"/>
                    <w:contextualSpacing/>
                    <w:jc w:val="center"/>
                    <w:rPr>
                      <w:rFonts w:hAnsi="宋体"/>
                      <w:bCs/>
                      <w:sz w:val="21"/>
                      <w:szCs w:val="21"/>
                    </w:rPr>
                  </w:pPr>
                  <w:r>
                    <w:rPr>
                      <w:rFonts w:hint="eastAsia" w:hAnsi="宋体"/>
                      <w:bCs/>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1012" w:type="dxa"/>
                  <w:vMerge w:val="restart"/>
                  <w:vAlign w:val="center"/>
                </w:tcPr>
                <w:p>
                  <w:pPr>
                    <w:spacing w:line="240" w:lineRule="auto"/>
                    <w:contextualSpacing/>
                    <w:jc w:val="center"/>
                    <w:rPr>
                      <w:bCs/>
                      <w:sz w:val="21"/>
                      <w:szCs w:val="21"/>
                    </w:rPr>
                  </w:pPr>
                  <w:r>
                    <w:rPr>
                      <w:rFonts w:hAnsi="宋体"/>
                      <w:bCs/>
                      <w:sz w:val="21"/>
                      <w:szCs w:val="21"/>
                    </w:rPr>
                    <w:t>能源</w:t>
                  </w:r>
                </w:p>
              </w:tc>
              <w:tc>
                <w:tcPr>
                  <w:tcW w:w="814" w:type="dxa"/>
                  <w:vAlign w:val="center"/>
                </w:tcPr>
                <w:p>
                  <w:pPr>
                    <w:spacing w:line="240" w:lineRule="auto"/>
                    <w:contextualSpacing/>
                    <w:jc w:val="center"/>
                    <w:rPr>
                      <w:bCs/>
                      <w:sz w:val="21"/>
                      <w:szCs w:val="21"/>
                    </w:rPr>
                  </w:pPr>
                  <w:r>
                    <w:rPr>
                      <w:bCs/>
                      <w:sz w:val="21"/>
                      <w:szCs w:val="21"/>
                    </w:rPr>
                    <w:t>1</w:t>
                  </w:r>
                </w:p>
              </w:tc>
              <w:tc>
                <w:tcPr>
                  <w:tcW w:w="2479" w:type="dxa"/>
                  <w:vAlign w:val="center"/>
                </w:tcPr>
                <w:p>
                  <w:pPr>
                    <w:spacing w:line="240" w:lineRule="auto"/>
                    <w:contextualSpacing/>
                    <w:jc w:val="center"/>
                    <w:rPr>
                      <w:bCs/>
                      <w:sz w:val="21"/>
                      <w:szCs w:val="21"/>
                    </w:rPr>
                  </w:pPr>
                  <w:r>
                    <w:rPr>
                      <w:rFonts w:hAnsi="宋体"/>
                      <w:bCs/>
                      <w:sz w:val="21"/>
                      <w:szCs w:val="21"/>
                    </w:rPr>
                    <w:t>水</w:t>
                  </w:r>
                </w:p>
              </w:tc>
              <w:tc>
                <w:tcPr>
                  <w:tcW w:w="1632" w:type="dxa"/>
                  <w:vAlign w:val="center"/>
                </w:tcPr>
                <w:p>
                  <w:pPr>
                    <w:spacing w:line="240" w:lineRule="auto"/>
                    <w:contextualSpacing/>
                    <w:jc w:val="center"/>
                    <w:rPr>
                      <w:bCs/>
                      <w:sz w:val="21"/>
                      <w:szCs w:val="21"/>
                    </w:rPr>
                  </w:pPr>
                  <w:r>
                    <w:rPr>
                      <w:rFonts w:hint="eastAsia"/>
                      <w:bCs/>
                      <w:sz w:val="21"/>
                      <w:szCs w:val="21"/>
                    </w:rPr>
                    <w:t>93m</w:t>
                  </w:r>
                  <w:r>
                    <w:rPr>
                      <w:rFonts w:hint="eastAsia"/>
                      <w:bCs/>
                      <w:sz w:val="21"/>
                      <w:szCs w:val="21"/>
                      <w:vertAlign w:val="superscript"/>
                    </w:rPr>
                    <w:t>3</w:t>
                  </w:r>
                  <w:r>
                    <w:rPr>
                      <w:bCs/>
                      <w:sz w:val="21"/>
                      <w:szCs w:val="21"/>
                    </w:rPr>
                    <w:t>/a</w:t>
                  </w:r>
                </w:p>
              </w:tc>
              <w:tc>
                <w:tcPr>
                  <w:tcW w:w="1061" w:type="dxa"/>
                </w:tcPr>
                <w:p>
                  <w:pPr>
                    <w:spacing w:line="240" w:lineRule="auto"/>
                    <w:contextualSpacing/>
                    <w:jc w:val="center"/>
                    <w:rPr>
                      <w:rFonts w:hAnsi="宋体"/>
                      <w:bCs/>
                      <w:sz w:val="21"/>
                      <w:szCs w:val="21"/>
                    </w:rPr>
                  </w:pPr>
                  <w:r>
                    <w:rPr>
                      <w:rFonts w:hint="eastAsia" w:hAnsi="宋体"/>
                      <w:bCs/>
                      <w:sz w:val="21"/>
                      <w:szCs w:val="21"/>
                    </w:rPr>
                    <w:t>-</w:t>
                  </w:r>
                </w:p>
              </w:tc>
              <w:tc>
                <w:tcPr>
                  <w:tcW w:w="1699" w:type="dxa"/>
                  <w:vAlign w:val="center"/>
                </w:tcPr>
                <w:p>
                  <w:pPr>
                    <w:spacing w:line="240" w:lineRule="auto"/>
                    <w:contextualSpacing/>
                    <w:jc w:val="center"/>
                    <w:rPr>
                      <w:bCs/>
                      <w:sz w:val="21"/>
                      <w:szCs w:val="21"/>
                    </w:rPr>
                  </w:pPr>
                  <w:r>
                    <w:rPr>
                      <w:rFonts w:hint="eastAsia" w:hAnsi="宋体"/>
                      <w:bCs/>
                      <w:sz w:val="21"/>
                      <w:szCs w:val="21"/>
                    </w:rPr>
                    <w:t>自备水井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1012" w:type="dxa"/>
                  <w:vMerge w:val="continue"/>
                  <w:vAlign w:val="center"/>
                </w:tcPr>
                <w:p>
                  <w:pPr>
                    <w:spacing w:line="240" w:lineRule="auto"/>
                    <w:contextualSpacing/>
                    <w:jc w:val="center"/>
                    <w:rPr>
                      <w:b/>
                      <w:bCs/>
                      <w:sz w:val="21"/>
                      <w:szCs w:val="21"/>
                    </w:rPr>
                  </w:pPr>
                </w:p>
              </w:tc>
              <w:tc>
                <w:tcPr>
                  <w:tcW w:w="814" w:type="dxa"/>
                  <w:vAlign w:val="center"/>
                </w:tcPr>
                <w:p>
                  <w:pPr>
                    <w:spacing w:line="240" w:lineRule="auto"/>
                    <w:contextualSpacing/>
                    <w:jc w:val="center"/>
                    <w:rPr>
                      <w:bCs/>
                      <w:sz w:val="21"/>
                      <w:szCs w:val="21"/>
                    </w:rPr>
                  </w:pPr>
                  <w:r>
                    <w:rPr>
                      <w:bCs/>
                      <w:sz w:val="21"/>
                      <w:szCs w:val="21"/>
                    </w:rPr>
                    <w:t>2</w:t>
                  </w:r>
                </w:p>
              </w:tc>
              <w:tc>
                <w:tcPr>
                  <w:tcW w:w="2479" w:type="dxa"/>
                  <w:vAlign w:val="center"/>
                </w:tcPr>
                <w:p>
                  <w:pPr>
                    <w:spacing w:line="240" w:lineRule="auto"/>
                    <w:contextualSpacing/>
                    <w:jc w:val="center"/>
                    <w:rPr>
                      <w:bCs/>
                      <w:sz w:val="21"/>
                      <w:szCs w:val="21"/>
                    </w:rPr>
                  </w:pPr>
                  <w:r>
                    <w:rPr>
                      <w:rFonts w:hAnsi="宋体"/>
                      <w:bCs/>
                      <w:sz w:val="21"/>
                      <w:szCs w:val="21"/>
                    </w:rPr>
                    <w:t>电</w:t>
                  </w:r>
                </w:p>
              </w:tc>
              <w:tc>
                <w:tcPr>
                  <w:tcW w:w="1632" w:type="dxa"/>
                  <w:vAlign w:val="center"/>
                </w:tcPr>
                <w:p>
                  <w:pPr>
                    <w:spacing w:line="240" w:lineRule="auto"/>
                    <w:contextualSpacing/>
                    <w:jc w:val="center"/>
                    <w:rPr>
                      <w:bCs/>
                      <w:sz w:val="21"/>
                      <w:szCs w:val="21"/>
                    </w:rPr>
                  </w:pPr>
                  <w:r>
                    <w:rPr>
                      <w:rFonts w:hint="eastAsia" w:hAnsi="宋体"/>
                      <w:bCs/>
                      <w:sz w:val="21"/>
                      <w:szCs w:val="21"/>
                    </w:rPr>
                    <w:t>3</w:t>
                  </w:r>
                  <w:r>
                    <w:rPr>
                      <w:rFonts w:hAnsi="宋体"/>
                      <w:bCs/>
                      <w:sz w:val="21"/>
                      <w:szCs w:val="21"/>
                    </w:rPr>
                    <w:t>万</w:t>
                  </w:r>
                  <w:r>
                    <w:rPr>
                      <w:bCs/>
                      <w:sz w:val="21"/>
                      <w:szCs w:val="21"/>
                    </w:rPr>
                    <w:t>kW·h</w:t>
                  </w:r>
                </w:p>
              </w:tc>
              <w:tc>
                <w:tcPr>
                  <w:tcW w:w="1061" w:type="dxa"/>
                </w:tcPr>
                <w:p>
                  <w:pPr>
                    <w:spacing w:line="240" w:lineRule="auto"/>
                    <w:contextualSpacing/>
                    <w:jc w:val="center"/>
                    <w:rPr>
                      <w:rFonts w:hAnsi="宋体"/>
                      <w:bCs/>
                      <w:sz w:val="21"/>
                      <w:szCs w:val="21"/>
                    </w:rPr>
                  </w:pPr>
                  <w:r>
                    <w:rPr>
                      <w:rFonts w:hint="eastAsia" w:hAnsi="宋体"/>
                      <w:bCs/>
                      <w:sz w:val="21"/>
                      <w:szCs w:val="21"/>
                    </w:rPr>
                    <w:t>-</w:t>
                  </w:r>
                </w:p>
              </w:tc>
              <w:tc>
                <w:tcPr>
                  <w:tcW w:w="1699" w:type="dxa"/>
                  <w:vAlign w:val="center"/>
                </w:tcPr>
                <w:p>
                  <w:pPr>
                    <w:spacing w:line="240" w:lineRule="auto"/>
                    <w:contextualSpacing/>
                    <w:jc w:val="center"/>
                    <w:rPr>
                      <w:bCs/>
                      <w:sz w:val="21"/>
                      <w:szCs w:val="21"/>
                    </w:rPr>
                  </w:pPr>
                  <w:r>
                    <w:rPr>
                      <w:rFonts w:hint="eastAsia" w:hAnsi="宋体"/>
                      <w:bCs/>
                      <w:sz w:val="21"/>
                      <w:szCs w:val="21"/>
                    </w:rPr>
                    <w:t>市政电网</w:t>
                  </w:r>
                </w:p>
              </w:tc>
            </w:tr>
          </w:tbl>
          <w:p>
            <w:pPr>
              <w:spacing w:before="120" w:beforeLines="50"/>
              <w:ind w:firstLine="482" w:firstLineChars="200"/>
              <w:rPr>
                <w:b/>
                <w:color w:val="000000"/>
                <w:szCs w:val="24"/>
              </w:rPr>
            </w:pPr>
            <w:r>
              <w:rPr>
                <w:rFonts w:hint="eastAsia"/>
                <w:b/>
                <w:color w:val="000000"/>
                <w:szCs w:val="24"/>
              </w:rPr>
              <w:t>（二）项目水平衡</w:t>
            </w:r>
          </w:p>
          <w:p>
            <w:pPr>
              <w:ind w:left="480" w:leftChars="200"/>
              <w:rPr>
                <w:color w:val="000000"/>
                <w:szCs w:val="24"/>
              </w:rPr>
            </w:pPr>
            <w:r>
              <w:rPr>
                <w:rFonts w:hint="eastAsia"/>
                <w:color w:val="000000"/>
                <w:szCs w:val="24"/>
              </w:rPr>
              <w:t>本项目用水主要为生活用水和水雾冷却用水。本项目水平衡图见</w:t>
            </w:r>
            <w:r>
              <w:rPr>
                <w:color w:val="000000"/>
                <w:szCs w:val="24"/>
              </w:rPr>
              <w:t>图2-4</w:t>
            </w:r>
            <w:r>
              <w:rPr>
                <w:rFonts w:hint="eastAsia"/>
                <w:color w:val="000000"/>
                <w:szCs w:val="24"/>
              </w:rPr>
              <w:t>。</w:t>
            </w:r>
          </w:p>
          <w:p>
            <w:pPr>
              <w:jc w:val="center"/>
            </w:pPr>
            <w:r>
              <w:drawing>
                <wp:inline distT="0" distB="0" distL="0" distR="0">
                  <wp:extent cx="5522595" cy="1872615"/>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tretch>
                            <a:fillRect/>
                          </a:stretch>
                        </pic:blipFill>
                        <pic:spPr>
                          <a:xfrm>
                            <a:off x="0" y="0"/>
                            <a:ext cx="5522595" cy="1872615"/>
                          </a:xfrm>
                          <a:prstGeom prst="rect">
                            <a:avLst/>
                          </a:prstGeom>
                        </pic:spPr>
                      </pic:pic>
                    </a:graphicData>
                  </a:graphic>
                </wp:inline>
              </w:drawing>
            </w:r>
          </w:p>
          <w:p>
            <w:pPr>
              <w:spacing w:before="120" w:beforeLines="50"/>
              <w:jc w:val="center"/>
              <w:rPr>
                <w:b/>
                <w:bCs/>
                <w:sz w:val="21"/>
                <w:szCs w:val="21"/>
              </w:rPr>
            </w:pPr>
            <w:r>
              <w:rPr>
                <w:rFonts w:hint="eastAsia"/>
                <w:b/>
                <w:bCs/>
                <w:sz w:val="21"/>
                <w:szCs w:val="21"/>
              </w:rPr>
              <w:t>图2-4  项目水平衡图（单位：m</w:t>
            </w:r>
            <w:r>
              <w:rPr>
                <w:rFonts w:hint="eastAsia"/>
                <w:b/>
                <w:bCs/>
                <w:sz w:val="21"/>
                <w:szCs w:val="21"/>
                <w:vertAlign w:val="superscript"/>
              </w:rPr>
              <w:t>3</w:t>
            </w:r>
            <w:r>
              <w:rPr>
                <w:rFonts w:hint="eastAsia"/>
                <w:b/>
                <w:bCs/>
                <w:sz w:val="21"/>
                <w:szCs w:val="21"/>
              </w:rPr>
              <w:t>/d）</w:t>
            </w:r>
          </w:p>
          <w:p/>
          <w:p/>
          <w:p/>
          <w:p/>
          <w:p/>
          <w:p/>
          <w:p/>
          <w:p/>
          <w:p/>
          <w:p/>
        </w:tc>
      </w:tr>
    </w:tbl>
    <w:p>
      <w:pPr>
        <w:spacing w:line="240" w:lineRule="auto"/>
        <w:rPr>
          <w:rFonts w:ascii="宋体" w:hAnsi="宋体"/>
          <w:b/>
          <w:color w:val="000000"/>
          <w:sz w:val="28"/>
          <w:szCs w:val="28"/>
        </w:rPr>
        <w:sectPr>
          <w:headerReference r:id="rId11" w:type="default"/>
          <w:footerReference r:id="rId12" w:type="default"/>
          <w:pgSz w:w="11906" w:h="16838"/>
          <w:pgMar w:top="1440" w:right="1800" w:bottom="1440" w:left="1800" w:header="708" w:footer="708" w:gutter="0"/>
          <w:cols w:space="720" w:num="1"/>
          <w:docGrid w:linePitch="360" w:charSpace="0"/>
        </w:sectPr>
      </w:pPr>
    </w:p>
    <w:p>
      <w:pPr>
        <w:spacing w:line="240" w:lineRule="auto"/>
        <w:rPr>
          <w:b/>
          <w:bCs/>
          <w:color w:val="000000"/>
          <w:sz w:val="28"/>
          <w:szCs w:val="28"/>
        </w:rPr>
      </w:pPr>
      <w:r>
        <w:rPr>
          <w:rFonts w:hint="eastAsia"/>
          <w:b/>
          <w:bCs/>
          <w:color w:val="000000"/>
          <w:sz w:val="28"/>
          <w:szCs w:val="28"/>
        </w:rPr>
        <w:t>续表二</w:t>
      </w:r>
    </w:p>
    <w:tbl>
      <w:tblPr>
        <w:tblStyle w:val="9"/>
        <w:tblW w:w="90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7" w:hRule="atLeast"/>
          <w:jc w:val="center"/>
        </w:trPr>
        <w:tc>
          <w:tcPr>
            <w:tcW w:w="9027" w:type="dxa"/>
          </w:tcPr>
          <w:p>
            <w:pPr>
              <w:spacing w:before="120" w:beforeLines="50"/>
            </w:pPr>
            <w:r>
              <w:rPr>
                <w:rFonts w:hint="eastAsia"/>
                <w:b/>
                <w:bCs/>
              </w:rPr>
              <w:t>主要工艺流程及产物环节（附处理工艺流程图，标出产污节点）</w:t>
            </w:r>
          </w:p>
          <w:p>
            <w:pPr>
              <w:ind w:firstLine="482" w:firstLineChars="200"/>
            </w:pPr>
            <w:r>
              <w:rPr>
                <w:rFonts w:hint="eastAsia"/>
                <w:b/>
                <w:bCs/>
              </w:rPr>
              <w:t>一、工艺流程简介</w:t>
            </w:r>
            <w:r>
              <w:rPr>
                <w:rFonts w:hint="eastAsia"/>
              </w:rPr>
              <w:t>：</w:t>
            </w:r>
          </w:p>
          <w:p>
            <w:pPr>
              <w:ind w:firstLine="480" w:firstLineChars="200"/>
            </w:pPr>
            <w:r>
              <w:rPr>
                <w:rFonts w:hint="eastAsia"/>
              </w:rPr>
              <w:t>本项目主要生产展柜，具体工艺流程如下图：</w:t>
            </w:r>
          </w:p>
          <w:p>
            <w:pPr>
              <w:ind w:firstLine="480" w:firstLineChars="200"/>
              <w:jc w:val="center"/>
            </w:pPr>
            <w:r>
              <mc:AlternateContent>
                <mc:Choice Requires="wps">
                  <w:drawing>
                    <wp:anchor distT="0" distB="0" distL="114300" distR="114300" simplePos="0" relativeHeight="251725824" behindDoc="0" locked="0" layoutInCell="1" allowOverlap="1">
                      <wp:simplePos x="0" y="0"/>
                      <wp:positionH relativeFrom="column">
                        <wp:posOffset>2917825</wp:posOffset>
                      </wp:positionH>
                      <wp:positionV relativeFrom="paragraph">
                        <wp:posOffset>769620</wp:posOffset>
                      </wp:positionV>
                      <wp:extent cx="1114425" cy="276225"/>
                      <wp:effectExtent l="0" t="0" r="9525" b="9525"/>
                      <wp:wrapNone/>
                      <wp:docPr id="11" name="文本框 11"/>
                      <wp:cNvGraphicFramePr/>
                      <a:graphic xmlns:a="http://schemas.openxmlformats.org/drawingml/2006/main">
                        <a:graphicData uri="http://schemas.microsoft.com/office/word/2010/wordprocessingShape">
                          <wps:wsp>
                            <wps:cNvSpPr txBox="1"/>
                            <wps:spPr>
                              <a:xfrm>
                                <a:off x="0" y="0"/>
                                <a:ext cx="1114425" cy="276225"/>
                              </a:xfrm>
                              <a:prstGeom prst="rect">
                                <a:avLst/>
                              </a:prstGeom>
                              <a:solidFill>
                                <a:schemeClr val="lt1"/>
                              </a:solidFill>
                              <a:ln w="6350">
                                <a:noFill/>
                              </a:ln>
                            </wps:spPr>
                            <wps:txbx>
                              <w:txbxContent>
                                <w:p>
                                  <w:pPr>
                                    <w:ind w:firstLine="210" w:firstLineChars="100"/>
                                    <w:rPr>
                                      <w:rFonts w:hint="eastAsia"/>
                                      <w:sz w:val="21"/>
                                      <w:szCs w:val="21"/>
                                    </w:rPr>
                                  </w:pPr>
                                  <w:r>
                                    <w:rPr>
                                      <w:rFonts w:hint="eastAsia"/>
                                      <w:sz w:val="21"/>
                                      <w:szCs w:val="21"/>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75pt;margin-top:60.6pt;height:21.75pt;width:87.75pt;z-index:251725824;mso-width-relative:page;mso-height-relative:page;" fillcolor="#FFFFFF [3201]" filled="t" stroked="f" coordsize="21600,21600" o:gfxdata="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WqP/NUAAAALAQAADwAAAAAAAAABACAAAAAiAAAAZHJzL2Rvd25yZXYueG1sUEsB&#10;AhQAFAAAAAgAh07iQNCotD4xAgAAQwQAAA4AAAAAAAAAAQAgAAAAJAEAAGRycy9lMm9Eb2MueG1s&#10;UEsFBgAAAAAGAAYAWQEAAMcFAAAAAA==&#10;">
                      <v:fill on="t" focussize="0,0"/>
                      <v:stroke on="f" weight="0.5pt"/>
                      <v:imagedata o:title=""/>
                      <o:lock v:ext="edit" aspectratio="f"/>
                      <v:textbox>
                        <w:txbxContent>
                          <w:p>
                            <w:pPr>
                              <w:ind w:firstLine="210" w:firstLineChars="100"/>
                              <w:rPr>
                                <w:rFonts w:hint="eastAsia"/>
                                <w:sz w:val="21"/>
                                <w:szCs w:val="21"/>
                              </w:rPr>
                            </w:pPr>
                            <w:r>
                              <w:rPr>
                                <w:rFonts w:hint="eastAsia"/>
                                <w:sz w:val="21"/>
                                <w:szCs w:val="21"/>
                              </w:rPr>
                              <w:t>噪声</w:t>
                            </w:r>
                          </w:p>
                        </w:txbxContent>
                      </v:textbox>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2550795</wp:posOffset>
                      </wp:positionH>
                      <wp:positionV relativeFrom="paragraph">
                        <wp:posOffset>906780</wp:posOffset>
                      </wp:positionV>
                      <wp:extent cx="538480" cy="0"/>
                      <wp:effectExtent l="0" t="76200" r="14605" b="95250"/>
                      <wp:wrapNone/>
                      <wp:docPr id="13" name="直接箭头连接符 13"/>
                      <wp:cNvGraphicFramePr/>
                      <a:graphic xmlns:a="http://schemas.openxmlformats.org/drawingml/2006/main">
                        <a:graphicData uri="http://schemas.microsoft.com/office/word/2010/wordprocessingShape">
                          <wps:wsp>
                            <wps:cNvCnPr/>
                            <wps:spPr>
                              <a:xfrm>
                                <a:off x="0" y="0"/>
                                <a:ext cx="538163"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85pt;margin-top:71.4pt;height:0pt;width:42.4pt;z-index:251726848;mso-width-relative:page;mso-height-relative:page;" filled="f" stroked="t" coordsize="21600,21600" o:gfxdata="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qYRg&#10;1wAAAAsBAAAPAAAAAAAAAAEAIAAAACIAAABkcnMvZG93bnJldi54bWxQSwECFAAUAAAACACHTuJA&#10;hwAgHekBAACTAwAADgAAAAAAAAABACAAAAAmAQAAZHJzL2Uyb0RvYy54bWxQSwUGAAAAAAYABgBZ&#10;AQAAgQUAAAAA&#10;">
                      <v:fill on="f" focussize="0,0"/>
                      <v:stroke weight="0.5pt" color="#000000 [3213]" miterlimit="8" joinstyle="miter" dashstyle="dash" endarrow="block"/>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3050540</wp:posOffset>
                      </wp:positionH>
                      <wp:positionV relativeFrom="paragraph">
                        <wp:posOffset>1226185</wp:posOffset>
                      </wp:positionV>
                      <wp:extent cx="1114425" cy="276225"/>
                      <wp:effectExtent l="0" t="0" r="9525" b="9525"/>
                      <wp:wrapNone/>
                      <wp:docPr id="9" name="文本框 9"/>
                      <wp:cNvGraphicFramePr/>
                      <a:graphic xmlns:a="http://schemas.openxmlformats.org/drawingml/2006/main">
                        <a:graphicData uri="http://schemas.microsoft.com/office/word/2010/wordprocessingShape">
                          <wps:wsp>
                            <wps:cNvSpPr txBox="1"/>
                            <wps:spPr>
                              <a:xfrm>
                                <a:off x="0" y="0"/>
                                <a:ext cx="1114425" cy="276225"/>
                              </a:xfrm>
                              <a:prstGeom prst="rect">
                                <a:avLst/>
                              </a:prstGeom>
                              <a:solidFill>
                                <a:schemeClr val="lt1"/>
                              </a:solidFill>
                              <a:ln w="6350">
                                <a:noFill/>
                              </a:ln>
                            </wps:spPr>
                            <wps:txbx>
                              <w:txbxContent>
                                <w:p>
                                  <w:pPr>
                                    <w:ind w:firstLine="210" w:firstLineChars="100"/>
                                    <w:rPr>
                                      <w:sz w:val="21"/>
                                      <w:szCs w:val="21"/>
                                    </w:rPr>
                                  </w:pPr>
                                  <w:r>
                                    <w:rPr>
                                      <w:rFonts w:hint="eastAsia"/>
                                      <w:sz w:val="21"/>
                                      <w:szCs w:val="21"/>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2pt;margin-top:96.55pt;height:21.75pt;width:87.75pt;z-index:251723776;mso-width-relative:page;mso-height-relative:page;" fillcolor="#FFFFFF [3201]" filled="t" stroked="f" coordsize="21600,21600" o:gfxdata="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ZjzltcAAAALAQAADwAAAAAAAAABACAAAAAiAAAAZHJzL2Rvd25yZXYueG1s&#10;UEsBAhQAFAAAAAgAh07iQE/d9Y8yAgAAQQQAAA4AAAAAAAAAAQAgAAAAJgEAAGRycy9lMm9Eb2Mu&#10;eG1sUEsFBgAAAAAGAAYAWQEAAMoFAAAAAA==&#10;">
                      <v:fill on="t" focussize="0,0"/>
                      <v:stroke on="f" weight="0.5pt"/>
                      <v:imagedata o:title=""/>
                      <o:lock v:ext="edit" aspectratio="f"/>
                      <v:textbox>
                        <w:txbxContent>
                          <w:p>
                            <w:pPr>
                              <w:ind w:firstLine="210" w:firstLineChars="100"/>
                              <w:rPr>
                                <w:sz w:val="21"/>
                                <w:szCs w:val="21"/>
                              </w:rPr>
                            </w:pPr>
                            <w:r>
                              <w:rPr>
                                <w:rFonts w:hint="eastAsia"/>
                                <w:sz w:val="21"/>
                                <w:szCs w:val="21"/>
                              </w:rPr>
                              <w:t>有机废气</w:t>
                            </w:r>
                          </w:p>
                        </w:txbxContent>
                      </v:textbox>
                    </v:shape>
                  </w:pict>
                </mc:Fallback>
              </mc:AlternateContent>
            </w:r>
            <w:r>
              <w:drawing>
                <wp:inline distT="0" distB="0" distL="0" distR="0">
                  <wp:extent cx="5594985" cy="379158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600424" cy="3795629"/>
                          </a:xfrm>
                          <a:prstGeom prst="rect">
                            <a:avLst/>
                          </a:prstGeom>
                        </pic:spPr>
                      </pic:pic>
                    </a:graphicData>
                  </a:graphic>
                </wp:inline>
              </w:drawing>
            </w:r>
          </w:p>
          <w:p>
            <w:pPr>
              <w:jc w:val="center"/>
              <w:rPr>
                <w:b/>
                <w:bCs/>
                <w:sz w:val="21"/>
                <w:szCs w:val="21"/>
              </w:rPr>
            </w:pPr>
            <w:r>
              <w:rPr>
                <w:rFonts w:hint="eastAsia"/>
                <w:b/>
                <w:bCs/>
                <w:sz w:val="21"/>
                <w:szCs w:val="21"/>
              </w:rPr>
              <w:t>图2-5  塑料制品生产工艺流程及产污环节图</w:t>
            </w:r>
          </w:p>
          <w:p>
            <w:pPr>
              <w:widowControl w:val="0"/>
              <w:adjustRightInd/>
              <w:snapToGrid/>
              <w:spacing w:before="120" w:beforeLines="50"/>
              <w:ind w:firstLine="480" w:firstLineChars="200"/>
            </w:pPr>
            <w:r>
              <w:rPr>
                <w:rFonts w:hint="eastAsia"/>
              </w:rPr>
              <w:t>主要工艺流程概述如下：</w:t>
            </w:r>
          </w:p>
          <w:p>
            <w:pPr>
              <w:pStyle w:val="5"/>
              <w:ind w:firstLine="480"/>
              <w:rPr>
                <w:rFonts w:ascii="宋体" w:hAnsi="宋体" w:eastAsia="宋体"/>
                <w:kern w:val="0"/>
              </w:rPr>
            </w:pPr>
            <w:r>
              <w:rPr>
                <w:rFonts w:ascii="宋体" w:hAnsi="宋体" w:eastAsia="宋体"/>
                <w:kern w:val="0"/>
              </w:rPr>
              <w:t>（1）加热</w:t>
            </w:r>
            <w:r>
              <w:rPr>
                <w:rFonts w:hint="eastAsia" w:ascii="宋体" w:hAnsi="宋体" w:eastAsia="宋体"/>
                <w:kern w:val="0"/>
              </w:rPr>
              <w:t>软化</w:t>
            </w:r>
            <w:r>
              <w:rPr>
                <w:rFonts w:ascii="宋体" w:hAnsi="宋体" w:eastAsia="宋体"/>
                <w:kern w:val="0"/>
              </w:rPr>
              <w:t>：将原料（PET/PP/PVC树脂片材）在电阻加热圈加热作用下使其</w:t>
            </w:r>
            <w:r>
              <w:rPr>
                <w:rFonts w:hint="eastAsia" w:ascii="宋体" w:hAnsi="宋体" w:eastAsia="宋体"/>
                <w:kern w:val="0"/>
              </w:rPr>
              <w:t>软化</w:t>
            </w:r>
            <w:r>
              <w:rPr>
                <w:rFonts w:ascii="宋体" w:hAnsi="宋体" w:eastAsia="宋体"/>
                <w:kern w:val="0"/>
              </w:rPr>
              <w:t>，通常加热温度保持在</w:t>
            </w:r>
            <w:r>
              <w:rPr>
                <w:rFonts w:hint="eastAsia" w:ascii="宋体" w:hAnsi="宋体" w:eastAsia="宋体"/>
                <w:kern w:val="0"/>
              </w:rPr>
              <w:t>7</w:t>
            </w:r>
            <w:r>
              <w:rPr>
                <w:rFonts w:ascii="宋体" w:hAnsi="宋体" w:eastAsia="宋体"/>
                <w:kern w:val="0"/>
              </w:rPr>
              <w:t>0-</w:t>
            </w:r>
            <w:r>
              <w:rPr>
                <w:rFonts w:hint="eastAsia" w:ascii="宋体" w:hAnsi="宋体" w:eastAsia="宋体"/>
                <w:kern w:val="0"/>
              </w:rPr>
              <w:t>10</w:t>
            </w:r>
            <w:r>
              <w:rPr>
                <w:rFonts w:ascii="宋体" w:hAnsi="宋体" w:eastAsia="宋体"/>
                <w:kern w:val="0"/>
              </w:rPr>
              <w:t>0℃左右；</w:t>
            </w:r>
          </w:p>
          <w:p>
            <w:pPr>
              <w:pStyle w:val="5"/>
              <w:ind w:firstLine="480"/>
              <w:rPr>
                <w:rFonts w:ascii="宋体" w:hAnsi="宋体" w:eastAsia="宋体"/>
                <w:kern w:val="0"/>
              </w:rPr>
            </w:pPr>
            <w:r>
              <w:rPr>
                <w:rFonts w:ascii="宋体" w:hAnsi="宋体" w:eastAsia="宋体"/>
                <w:kern w:val="0"/>
              </w:rPr>
              <w:t>（</w:t>
            </w:r>
            <w:r>
              <w:rPr>
                <w:rFonts w:hint="eastAsia" w:ascii="宋体" w:hAnsi="宋体" w:eastAsia="宋体"/>
                <w:kern w:val="0"/>
              </w:rPr>
              <w:t>2）吸塑成型</w:t>
            </w:r>
            <w:r>
              <w:rPr>
                <w:rFonts w:ascii="宋体" w:hAnsi="宋体" w:eastAsia="宋体"/>
                <w:kern w:val="0"/>
              </w:rPr>
              <w:t>：</w:t>
            </w:r>
            <w:r>
              <w:rPr>
                <w:rFonts w:hint="eastAsia" w:ascii="宋体" w:hAnsi="宋体" w:eastAsia="宋体"/>
                <w:kern w:val="0"/>
              </w:rPr>
              <w:t>根据产品需要，将加热软化状态的片材通过吸塑机吸附于模具表面，制成需要的产品样式；</w:t>
            </w:r>
          </w:p>
          <w:p>
            <w:pPr>
              <w:pStyle w:val="5"/>
              <w:ind w:firstLine="480"/>
              <w:rPr>
                <w:rFonts w:ascii="宋体" w:hAnsi="宋体" w:eastAsia="宋体"/>
                <w:kern w:val="0"/>
              </w:rPr>
            </w:pPr>
            <w:r>
              <w:rPr>
                <w:rFonts w:ascii="宋体" w:hAnsi="宋体" w:eastAsia="宋体"/>
                <w:kern w:val="0"/>
              </w:rPr>
              <w:t>（4）</w:t>
            </w:r>
            <w:r>
              <w:rPr>
                <w:rFonts w:hint="eastAsia" w:ascii="宋体" w:hAnsi="宋体" w:eastAsia="宋体"/>
                <w:kern w:val="0"/>
              </w:rPr>
              <w:t>冷却脱模</w:t>
            </w:r>
            <w:r>
              <w:rPr>
                <w:rFonts w:ascii="宋体" w:hAnsi="宋体" w:eastAsia="宋体"/>
                <w:kern w:val="0"/>
              </w:rPr>
              <w:t>：</w:t>
            </w:r>
            <w:r>
              <w:rPr>
                <w:rFonts w:hint="eastAsia" w:ascii="宋体" w:hAnsi="宋体" w:eastAsia="宋体"/>
                <w:kern w:val="0"/>
              </w:rPr>
              <w:t>经吸塑工序成型后的产品在水雾冷却作用下降温、冷却后脱模，取出产品；</w:t>
            </w:r>
          </w:p>
          <w:p>
            <w:pPr>
              <w:ind w:firstLine="480" w:firstLineChars="200"/>
              <w:rPr>
                <w:rFonts w:hAnsi="宋体"/>
              </w:rPr>
            </w:pPr>
            <w:r>
              <w:rPr>
                <w:rFonts w:hAnsi="宋体"/>
              </w:rPr>
              <w:t>（</w:t>
            </w:r>
            <w:r>
              <w:t>5</w:t>
            </w:r>
            <w:r>
              <w:rPr>
                <w:rFonts w:hAnsi="宋体"/>
              </w:rPr>
              <w:t>）</w:t>
            </w:r>
            <w:r>
              <w:rPr>
                <w:rFonts w:hint="eastAsia" w:hAnsi="宋体"/>
              </w:rPr>
              <w:t>裁切</w:t>
            </w:r>
            <w:r>
              <w:rPr>
                <w:rFonts w:hAnsi="宋体"/>
              </w:rPr>
              <w:t>：</w:t>
            </w:r>
            <w:r>
              <w:rPr>
                <w:rFonts w:hint="eastAsia" w:hAnsi="宋体"/>
              </w:rPr>
              <w:t>脱模后产品经裁断机根据产品规格进行分切，形成符合客户要求的产品。</w:t>
            </w:r>
          </w:p>
          <w:p>
            <w:pPr>
              <w:ind w:firstLine="480" w:firstLineChars="200"/>
            </w:pPr>
            <w:r>
              <w:rPr>
                <w:rFonts w:hint="eastAsia" w:hAnsi="宋体"/>
              </w:rPr>
              <w:t>（6）检验入库：产品经检验合格后包装入库待售，不合格产品进入废料间暂存后由厂家回收。</w:t>
            </w:r>
          </w:p>
        </w:tc>
      </w:tr>
    </w:tbl>
    <w:p>
      <w:pPr>
        <w:rPr>
          <w:b/>
          <w:bCs/>
          <w:color w:val="000000"/>
          <w:sz w:val="28"/>
          <w:szCs w:val="28"/>
        </w:rPr>
        <w:sectPr>
          <w:footerReference r:id="rId13" w:type="default"/>
          <w:pgSz w:w="11906" w:h="16838"/>
          <w:pgMar w:top="1440" w:right="1800" w:bottom="1440" w:left="1800" w:header="708" w:footer="708" w:gutter="0"/>
          <w:cols w:space="720" w:num="1"/>
          <w:docGrid w:linePitch="360" w:charSpace="0"/>
        </w:sectPr>
      </w:pPr>
    </w:p>
    <w:p>
      <w:pPr>
        <w:spacing w:line="240" w:lineRule="auto"/>
        <w:rPr>
          <w:rFonts w:ascii="宋体" w:hAnsi="宋体"/>
          <w:b/>
          <w:color w:val="000000"/>
          <w:sz w:val="28"/>
          <w:szCs w:val="28"/>
        </w:rPr>
      </w:pPr>
      <w:r>
        <w:rPr>
          <w:rFonts w:ascii="宋体" w:hAnsi="宋体"/>
          <w:b/>
          <w:color w:val="000000"/>
          <w:sz w:val="28"/>
          <w:szCs w:val="28"/>
        </w:rPr>
        <w:t>表</w:t>
      </w:r>
      <w:r>
        <w:rPr>
          <w:rFonts w:hint="eastAsia" w:ascii="宋体" w:hAnsi="宋体"/>
          <w:b/>
          <w:color w:val="000000"/>
          <w:sz w:val="28"/>
          <w:szCs w:val="28"/>
        </w:rPr>
        <w:t>三</w:t>
      </w:r>
    </w:p>
    <w:tbl>
      <w:tblPr>
        <w:tblStyle w:val="8"/>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66" w:hRule="atLeast"/>
          <w:jc w:val="center"/>
        </w:trPr>
        <w:tc>
          <w:tcPr>
            <w:tcW w:w="8924" w:type="dxa"/>
          </w:tcPr>
          <w:p>
            <w:pPr>
              <w:spacing w:before="120" w:beforeLines="50"/>
              <w:rPr>
                <w:b/>
                <w:color w:val="000000"/>
                <w:szCs w:val="24"/>
              </w:rPr>
            </w:pPr>
            <w:r>
              <w:rPr>
                <w:rFonts w:hint="eastAsia"/>
                <w:b/>
                <w:color w:val="000000"/>
                <w:szCs w:val="24"/>
              </w:rPr>
              <w:t>主要污染源、污染物处理和排放（标出废水、废气、厂界噪声监测点位）</w:t>
            </w:r>
          </w:p>
          <w:p>
            <w:pPr>
              <w:ind w:firstLine="480" w:firstLineChars="200"/>
              <w:rPr>
                <w:b/>
                <w:color w:val="000000"/>
                <w:szCs w:val="28"/>
              </w:rPr>
            </w:pPr>
            <w:r>
              <w:rPr>
                <w:rFonts w:hint="eastAsia"/>
                <w:color w:val="000000"/>
                <w:szCs w:val="21"/>
              </w:rPr>
              <w:t>一、</w:t>
            </w:r>
            <w:r>
              <w:rPr>
                <w:b/>
                <w:color w:val="000000"/>
                <w:szCs w:val="28"/>
              </w:rPr>
              <w:t>主要污染源、污染物处理和防治措施：</w:t>
            </w:r>
          </w:p>
          <w:p>
            <w:pPr>
              <w:ind w:firstLine="480" w:firstLineChars="200"/>
              <w:rPr>
                <w:color w:val="000000"/>
                <w:szCs w:val="24"/>
              </w:rPr>
            </w:pPr>
            <w:r>
              <w:rPr>
                <w:rFonts w:hint="eastAsia"/>
                <w:color w:val="000000"/>
              </w:rPr>
              <w:t>本项目运营期污染源主要是废水、废气、噪声、固体废物等，其中固体废物污染源主要为</w:t>
            </w:r>
            <w:r>
              <w:rPr>
                <w:rFonts w:hAnsi="宋体"/>
              </w:rPr>
              <w:t>职工生活垃圾，生产过程中产生的不合格产品</w:t>
            </w:r>
            <w:r>
              <w:rPr>
                <w:rFonts w:hint="eastAsia" w:hAnsi="宋体"/>
              </w:rPr>
              <w:t>，废气处理过程产生的</w:t>
            </w:r>
            <w:r>
              <w:rPr>
                <w:rFonts w:hAnsi="宋体"/>
              </w:rPr>
              <w:t>废活性炭</w:t>
            </w:r>
            <w:r>
              <w:rPr>
                <w:rFonts w:hint="eastAsia" w:hAnsi="宋体"/>
              </w:rPr>
              <w:t>及废紫外灯管，以</w:t>
            </w:r>
            <w:r>
              <w:rPr>
                <w:rFonts w:hint="eastAsia"/>
                <w:color w:val="000000"/>
              </w:rPr>
              <w:t>及设备维修产生的废机油、油抹布等</w:t>
            </w:r>
            <w:r>
              <w:rPr>
                <w:rFonts w:hAnsi="宋体"/>
              </w:rPr>
              <w:t>。</w:t>
            </w:r>
          </w:p>
          <w:p>
            <w:pPr>
              <w:ind w:firstLine="480"/>
              <w:rPr>
                <w:color w:val="000000"/>
              </w:rPr>
            </w:pPr>
            <w:r>
              <w:rPr>
                <w:color w:val="000000"/>
              </w:rPr>
              <w:t>建设项目主要污染源与污染要素、因子识别见表3-</w:t>
            </w:r>
            <w:r>
              <w:rPr>
                <w:rFonts w:hint="eastAsia"/>
                <w:color w:val="000000"/>
              </w:rPr>
              <w:t>1</w:t>
            </w:r>
            <w:r>
              <w:rPr>
                <w:color w:val="000000"/>
              </w:rPr>
              <w:t>。</w:t>
            </w:r>
          </w:p>
          <w:p>
            <w:pPr>
              <w:tabs>
                <w:tab w:val="left" w:leader="middleDot" w:pos="8399"/>
              </w:tabs>
              <w:jc w:val="center"/>
              <w:rPr>
                <w:b/>
                <w:sz w:val="21"/>
                <w:szCs w:val="21"/>
              </w:rPr>
            </w:pPr>
            <w:r>
              <w:rPr>
                <w:b/>
                <w:sz w:val="21"/>
                <w:szCs w:val="21"/>
              </w:rPr>
              <w:t>表3-</w:t>
            </w:r>
            <w:r>
              <w:rPr>
                <w:rFonts w:hint="eastAsia"/>
                <w:b/>
                <w:sz w:val="21"/>
                <w:szCs w:val="21"/>
              </w:rPr>
              <w:t>1</w:t>
            </w:r>
            <w:r>
              <w:rPr>
                <w:b/>
                <w:sz w:val="21"/>
                <w:szCs w:val="21"/>
              </w:rPr>
              <w:t xml:space="preserve">  建设项目主要污染源与污染要素、因子识别表</w:t>
            </w:r>
          </w:p>
          <w:tbl>
            <w:tblPr>
              <w:tblStyle w:val="8"/>
              <w:tblW w:w="870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250"/>
              <w:gridCol w:w="4318"/>
              <w:gridCol w:w="20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blHeader/>
                <w:jc w:val="center"/>
              </w:trPr>
              <w:tc>
                <w:tcPr>
                  <w:tcW w:w="1123" w:type="dxa"/>
                  <w:vAlign w:val="center"/>
                </w:tcPr>
                <w:p>
                  <w:pPr>
                    <w:spacing w:line="320" w:lineRule="exact"/>
                    <w:jc w:val="center"/>
                    <w:rPr>
                      <w:b/>
                      <w:color w:val="000000"/>
                      <w:sz w:val="21"/>
                      <w:szCs w:val="21"/>
                    </w:rPr>
                  </w:pPr>
                  <w:r>
                    <w:rPr>
                      <w:rFonts w:hint="eastAsia"/>
                      <w:b/>
                      <w:color w:val="000000"/>
                      <w:sz w:val="21"/>
                      <w:szCs w:val="21"/>
                    </w:rPr>
                    <w:t>污染类别</w:t>
                  </w:r>
                </w:p>
              </w:tc>
              <w:tc>
                <w:tcPr>
                  <w:tcW w:w="1250" w:type="dxa"/>
                  <w:vAlign w:val="center"/>
                </w:tcPr>
                <w:p>
                  <w:pPr>
                    <w:spacing w:line="320" w:lineRule="exact"/>
                    <w:jc w:val="center"/>
                    <w:rPr>
                      <w:rFonts w:cs="宋体"/>
                      <w:b/>
                      <w:color w:val="000000"/>
                      <w:sz w:val="21"/>
                      <w:szCs w:val="21"/>
                    </w:rPr>
                  </w:pPr>
                  <w:r>
                    <w:rPr>
                      <w:rFonts w:hint="eastAsia" w:cs="宋体"/>
                      <w:b/>
                      <w:color w:val="000000"/>
                      <w:sz w:val="21"/>
                      <w:szCs w:val="21"/>
                    </w:rPr>
                    <w:t>污染源</w:t>
                  </w:r>
                </w:p>
              </w:tc>
              <w:tc>
                <w:tcPr>
                  <w:tcW w:w="4318" w:type="dxa"/>
                  <w:vAlign w:val="center"/>
                </w:tcPr>
                <w:p>
                  <w:pPr>
                    <w:spacing w:line="320" w:lineRule="exact"/>
                    <w:jc w:val="center"/>
                    <w:rPr>
                      <w:b/>
                      <w:color w:val="000000"/>
                      <w:sz w:val="21"/>
                      <w:szCs w:val="21"/>
                    </w:rPr>
                  </w:pPr>
                  <w:r>
                    <w:rPr>
                      <w:rFonts w:hint="eastAsia" w:cs="宋体"/>
                      <w:b/>
                      <w:color w:val="000000"/>
                      <w:sz w:val="21"/>
                      <w:szCs w:val="21"/>
                    </w:rPr>
                    <w:t>污染因子</w:t>
                  </w:r>
                </w:p>
              </w:tc>
              <w:tc>
                <w:tcPr>
                  <w:tcW w:w="2017" w:type="dxa"/>
                  <w:vAlign w:val="center"/>
                </w:tcPr>
                <w:p>
                  <w:pPr>
                    <w:spacing w:line="320" w:lineRule="exact"/>
                    <w:jc w:val="center"/>
                    <w:rPr>
                      <w:rFonts w:cs="宋体"/>
                      <w:b/>
                      <w:color w:val="000000"/>
                      <w:sz w:val="21"/>
                      <w:szCs w:val="21"/>
                    </w:rPr>
                  </w:pPr>
                  <w:r>
                    <w:rPr>
                      <w:rFonts w:hint="eastAsia" w:cs="宋体"/>
                      <w:b/>
                      <w:color w:val="000000"/>
                      <w:sz w:val="21"/>
                      <w:szCs w:val="21"/>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123" w:type="dxa"/>
                  <w:vMerge w:val="restart"/>
                  <w:vAlign w:val="center"/>
                </w:tcPr>
                <w:p>
                  <w:pPr>
                    <w:spacing w:line="320" w:lineRule="exact"/>
                    <w:jc w:val="center"/>
                    <w:rPr>
                      <w:bCs/>
                      <w:sz w:val="21"/>
                      <w:szCs w:val="21"/>
                    </w:rPr>
                  </w:pPr>
                  <w:r>
                    <w:rPr>
                      <w:rFonts w:hint="eastAsia"/>
                      <w:bCs/>
                      <w:sz w:val="21"/>
                      <w:szCs w:val="21"/>
                    </w:rPr>
                    <w:t>固体废物</w:t>
                  </w:r>
                </w:p>
              </w:tc>
              <w:tc>
                <w:tcPr>
                  <w:tcW w:w="1250" w:type="dxa"/>
                  <w:vAlign w:val="center"/>
                </w:tcPr>
                <w:p>
                  <w:pPr>
                    <w:spacing w:line="320" w:lineRule="exact"/>
                    <w:jc w:val="center"/>
                    <w:rPr>
                      <w:rFonts w:cs="宋体"/>
                      <w:bCs/>
                      <w:color w:val="000000"/>
                      <w:sz w:val="21"/>
                      <w:szCs w:val="21"/>
                    </w:rPr>
                  </w:pPr>
                  <w:r>
                    <w:rPr>
                      <w:rFonts w:hint="eastAsia" w:cs="宋体"/>
                      <w:bCs/>
                      <w:color w:val="000000"/>
                      <w:sz w:val="21"/>
                      <w:szCs w:val="21"/>
                    </w:rPr>
                    <w:t>职工生活</w:t>
                  </w:r>
                </w:p>
              </w:tc>
              <w:tc>
                <w:tcPr>
                  <w:tcW w:w="4318" w:type="dxa"/>
                  <w:vAlign w:val="center"/>
                </w:tcPr>
                <w:p>
                  <w:pPr>
                    <w:spacing w:line="320" w:lineRule="exact"/>
                    <w:jc w:val="center"/>
                    <w:rPr>
                      <w:rFonts w:cs="宋体"/>
                      <w:bCs/>
                      <w:color w:val="000000"/>
                      <w:sz w:val="21"/>
                      <w:szCs w:val="21"/>
                    </w:rPr>
                  </w:pPr>
                  <w:r>
                    <w:rPr>
                      <w:rFonts w:hint="eastAsia" w:cs="宋体"/>
                      <w:bCs/>
                      <w:color w:val="000000"/>
                      <w:sz w:val="21"/>
                      <w:szCs w:val="21"/>
                    </w:rPr>
                    <w:t>生活垃圾</w:t>
                  </w:r>
                </w:p>
              </w:tc>
              <w:tc>
                <w:tcPr>
                  <w:tcW w:w="2017" w:type="dxa"/>
                  <w:vAlign w:val="center"/>
                </w:tcPr>
                <w:p>
                  <w:pPr>
                    <w:spacing w:line="320" w:lineRule="exact"/>
                    <w:jc w:val="center"/>
                    <w:rPr>
                      <w:rFonts w:cs="宋体"/>
                      <w:bCs/>
                      <w:color w:val="000000"/>
                      <w:sz w:val="21"/>
                      <w:szCs w:val="21"/>
                    </w:rPr>
                  </w:pPr>
                  <w:r>
                    <w:rPr>
                      <w:rFonts w:hint="eastAsia" w:cs="宋体"/>
                      <w:bCs/>
                      <w:color w:val="000000"/>
                      <w:sz w:val="21"/>
                      <w:szCs w:val="21"/>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123" w:type="dxa"/>
                  <w:vMerge w:val="continue"/>
                  <w:vAlign w:val="center"/>
                </w:tcPr>
                <w:p>
                  <w:pPr>
                    <w:spacing w:line="320" w:lineRule="exact"/>
                    <w:jc w:val="center"/>
                    <w:rPr>
                      <w:bCs/>
                      <w:sz w:val="21"/>
                      <w:szCs w:val="21"/>
                    </w:rPr>
                  </w:pPr>
                </w:p>
              </w:tc>
              <w:tc>
                <w:tcPr>
                  <w:tcW w:w="1250" w:type="dxa"/>
                  <w:vMerge w:val="restart"/>
                  <w:vAlign w:val="center"/>
                </w:tcPr>
                <w:p>
                  <w:pPr>
                    <w:spacing w:line="320" w:lineRule="exact"/>
                    <w:jc w:val="center"/>
                    <w:rPr>
                      <w:rFonts w:cs="宋体"/>
                      <w:bCs/>
                      <w:color w:val="000000"/>
                      <w:sz w:val="21"/>
                      <w:szCs w:val="21"/>
                    </w:rPr>
                  </w:pPr>
                  <w:r>
                    <w:rPr>
                      <w:rFonts w:hint="eastAsia" w:cs="宋体"/>
                      <w:bCs/>
                      <w:color w:val="000000"/>
                      <w:sz w:val="21"/>
                      <w:szCs w:val="21"/>
                    </w:rPr>
                    <w:t>生产区</w:t>
                  </w:r>
                </w:p>
              </w:tc>
              <w:tc>
                <w:tcPr>
                  <w:tcW w:w="4318" w:type="dxa"/>
                  <w:vAlign w:val="center"/>
                </w:tcPr>
                <w:p>
                  <w:pPr>
                    <w:spacing w:line="320" w:lineRule="exact"/>
                    <w:jc w:val="center"/>
                    <w:rPr>
                      <w:rFonts w:cs="宋体"/>
                      <w:bCs/>
                      <w:color w:val="000000"/>
                      <w:sz w:val="21"/>
                      <w:szCs w:val="21"/>
                    </w:rPr>
                  </w:pPr>
                  <w:r>
                    <w:rPr>
                      <w:rFonts w:hint="eastAsia" w:cs="宋体"/>
                      <w:bCs/>
                      <w:color w:val="000000"/>
                      <w:sz w:val="21"/>
                      <w:szCs w:val="21"/>
                    </w:rPr>
                    <w:t>不合格产品</w:t>
                  </w:r>
                </w:p>
              </w:tc>
              <w:tc>
                <w:tcPr>
                  <w:tcW w:w="2017" w:type="dxa"/>
                  <w:vAlign w:val="center"/>
                </w:tcPr>
                <w:p>
                  <w:pPr>
                    <w:spacing w:line="320" w:lineRule="exact"/>
                    <w:jc w:val="center"/>
                    <w:rPr>
                      <w:rFonts w:cs="宋体"/>
                      <w:bCs/>
                      <w:color w:val="000000"/>
                      <w:sz w:val="21"/>
                      <w:szCs w:val="21"/>
                    </w:rPr>
                  </w:pPr>
                  <w:r>
                    <w:rPr>
                      <w:rFonts w:hint="eastAsia" w:cs="宋体"/>
                      <w:bCs/>
                      <w:color w:val="000000"/>
                      <w:sz w:val="21"/>
                      <w:szCs w:val="21"/>
                    </w:rPr>
                    <w:t>一般固废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123" w:type="dxa"/>
                  <w:vMerge w:val="continue"/>
                  <w:vAlign w:val="center"/>
                </w:tcPr>
                <w:p>
                  <w:pPr>
                    <w:spacing w:line="320" w:lineRule="exact"/>
                    <w:jc w:val="center"/>
                    <w:rPr>
                      <w:rFonts w:cs="宋体"/>
                      <w:bCs/>
                      <w:color w:val="000000"/>
                      <w:sz w:val="21"/>
                      <w:szCs w:val="21"/>
                    </w:rPr>
                  </w:pPr>
                </w:p>
              </w:tc>
              <w:tc>
                <w:tcPr>
                  <w:tcW w:w="1250" w:type="dxa"/>
                  <w:vMerge w:val="continue"/>
                  <w:vAlign w:val="center"/>
                </w:tcPr>
                <w:p>
                  <w:pPr>
                    <w:spacing w:line="320" w:lineRule="exact"/>
                    <w:jc w:val="center"/>
                    <w:rPr>
                      <w:rFonts w:cs="宋体"/>
                      <w:bCs/>
                      <w:color w:val="000000"/>
                      <w:sz w:val="21"/>
                      <w:szCs w:val="21"/>
                    </w:rPr>
                  </w:pPr>
                </w:p>
              </w:tc>
              <w:tc>
                <w:tcPr>
                  <w:tcW w:w="4318" w:type="dxa"/>
                  <w:vAlign w:val="center"/>
                </w:tcPr>
                <w:p>
                  <w:pPr>
                    <w:spacing w:line="320" w:lineRule="exact"/>
                    <w:jc w:val="center"/>
                    <w:rPr>
                      <w:bCs/>
                      <w:color w:val="000000"/>
                      <w:sz w:val="21"/>
                      <w:szCs w:val="21"/>
                    </w:rPr>
                  </w:pPr>
                  <w:r>
                    <w:rPr>
                      <w:rFonts w:hint="eastAsia"/>
                      <w:bCs/>
                      <w:color w:val="000000"/>
                      <w:sz w:val="21"/>
                      <w:szCs w:val="21"/>
                    </w:rPr>
                    <w:t>废活性炭、废紫外灯管、废机油、油抹布等</w:t>
                  </w:r>
                </w:p>
              </w:tc>
              <w:tc>
                <w:tcPr>
                  <w:tcW w:w="2017" w:type="dxa"/>
                  <w:vAlign w:val="center"/>
                </w:tcPr>
                <w:p>
                  <w:pPr>
                    <w:spacing w:line="320" w:lineRule="exact"/>
                    <w:jc w:val="center"/>
                    <w:rPr>
                      <w:bCs/>
                      <w:color w:val="000000"/>
                      <w:sz w:val="21"/>
                      <w:szCs w:val="21"/>
                    </w:rPr>
                  </w:pPr>
                  <w:r>
                    <w:rPr>
                      <w:rFonts w:hint="eastAsia"/>
                      <w:bCs/>
                      <w:color w:val="000000"/>
                      <w:sz w:val="21"/>
                      <w:szCs w:val="21"/>
                    </w:rPr>
                    <w:t>危险固废</w:t>
                  </w:r>
                </w:p>
              </w:tc>
            </w:tr>
          </w:tbl>
          <w:p>
            <w:pPr>
              <w:numPr>
                <w:ilvl w:val="0"/>
                <w:numId w:val="6"/>
              </w:numPr>
              <w:spacing w:before="120" w:beforeLines="50"/>
              <w:ind w:firstLine="482" w:firstLineChars="200"/>
              <w:rPr>
                <w:b/>
                <w:color w:val="000000"/>
                <w:szCs w:val="28"/>
              </w:rPr>
            </w:pPr>
            <w:r>
              <w:rPr>
                <w:rFonts w:hint="eastAsia"/>
                <w:b/>
                <w:color w:val="000000"/>
                <w:szCs w:val="28"/>
              </w:rPr>
              <w:t>固体废物污染防治措施</w:t>
            </w:r>
          </w:p>
          <w:p>
            <w:pPr>
              <w:spacing w:line="440" w:lineRule="exact"/>
              <w:ind w:firstLine="480" w:firstLineChars="200"/>
            </w:pPr>
            <w:r>
              <w:rPr>
                <w:rFonts w:hint="eastAsia"/>
              </w:rPr>
              <w:t>（1）生活垃圾</w:t>
            </w:r>
          </w:p>
          <w:p>
            <w:pPr>
              <w:spacing w:line="440" w:lineRule="exact"/>
              <w:ind w:firstLine="480" w:firstLineChars="200"/>
            </w:pPr>
            <w:r>
              <w:rPr>
                <w:rFonts w:hint="eastAsia"/>
              </w:rPr>
              <w:t>本项目生活垃圾采用垃圾桶收集后交由环卫部门统一清运。</w:t>
            </w:r>
          </w:p>
          <w:p>
            <w:pPr>
              <w:spacing w:line="440" w:lineRule="exact"/>
              <w:ind w:firstLine="480" w:firstLineChars="200"/>
            </w:pPr>
            <w:r>
              <w:rPr>
                <w:rFonts w:hint="eastAsia"/>
              </w:rPr>
              <w:t>（2）一般固废</w:t>
            </w:r>
          </w:p>
          <w:p>
            <w:pPr>
              <w:spacing w:line="440" w:lineRule="exact"/>
              <w:ind w:firstLine="480" w:firstLineChars="200"/>
            </w:pPr>
            <w:r>
              <w:rPr>
                <w:rFonts w:hint="eastAsia"/>
              </w:rPr>
              <w:t>项目在检验工序会产生的少量不合格产品经废料库暂存后全部由厂家回收。</w:t>
            </w:r>
          </w:p>
          <w:p>
            <w:pPr>
              <w:spacing w:line="440" w:lineRule="exact"/>
              <w:ind w:firstLine="480" w:firstLineChars="200"/>
            </w:pPr>
            <w:r>
              <w:rPr>
                <w:rFonts w:hint="eastAsia"/>
              </w:rPr>
              <w:t>（3）危险废物</w:t>
            </w:r>
          </w:p>
          <w:p>
            <w:pPr>
              <w:spacing w:line="440" w:lineRule="exact"/>
              <w:ind w:firstLine="480" w:firstLineChars="200"/>
            </w:pPr>
            <w:r>
              <w:rPr>
                <w:rFonts w:hint="eastAsia"/>
              </w:rPr>
              <w:t>本项目设备维修产生的废机油、油抹布等在危废暂存间收集后定期交由陕西明瑞资源再生有限公司处理；有机废气处理过程会产生废活性炭和废紫外灯管，废活性炭在危废暂存间收集后交由陕西明瑞资源再生有限公司处理。紫外灯管由供货商更换，废旧的紫外灯管直接由供货商回收，不在厂区存放。</w:t>
            </w:r>
          </w:p>
          <w:p>
            <w:pPr>
              <w:ind w:firstLine="482" w:firstLineChars="200"/>
              <w:rPr>
                <w:b/>
                <w:color w:val="000000"/>
                <w:szCs w:val="24"/>
              </w:rPr>
            </w:pPr>
            <w:r>
              <w:rPr>
                <w:b/>
                <w:color w:val="000000"/>
                <w:szCs w:val="24"/>
              </w:rPr>
              <w:t>4</w:t>
            </w:r>
            <w:r>
              <w:rPr>
                <w:rFonts w:hint="eastAsia"/>
                <w:b/>
                <w:color w:val="000000"/>
                <w:szCs w:val="24"/>
              </w:rPr>
              <w:t>、</w:t>
            </w:r>
            <w:r>
              <w:rPr>
                <w:b/>
                <w:color w:val="000000"/>
                <w:szCs w:val="24"/>
              </w:rPr>
              <w:t>污染防治措施一览表</w:t>
            </w:r>
          </w:p>
          <w:p>
            <w:pPr>
              <w:widowControl w:val="0"/>
              <w:jc w:val="center"/>
              <w:rPr>
                <w:bCs/>
                <w:sz w:val="21"/>
                <w:szCs w:val="21"/>
              </w:rPr>
            </w:pPr>
            <w:r>
              <w:rPr>
                <w:b/>
                <w:sz w:val="21"/>
                <w:szCs w:val="21"/>
              </w:rPr>
              <w:t>表3-3</w:t>
            </w:r>
            <w:r>
              <w:rPr>
                <w:rFonts w:hint="eastAsia"/>
                <w:b/>
                <w:sz w:val="21"/>
                <w:szCs w:val="21"/>
              </w:rPr>
              <w:t xml:space="preserve">  污染措施防治一览表</w:t>
            </w:r>
          </w:p>
          <w:tbl>
            <w:tblPr>
              <w:tblStyle w:val="8"/>
              <w:tblW w:w="870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131"/>
              <w:gridCol w:w="1480"/>
              <w:gridCol w:w="1612"/>
              <w:gridCol w:w="44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394" w:hRule="atLeast"/>
                <w:jc w:val="center"/>
              </w:trPr>
              <w:tc>
                <w:tcPr>
                  <w:tcW w:w="1131" w:type="dxa"/>
                  <w:tcBorders>
                    <w:tl2br w:val="nil"/>
                    <w:tr2bl w:val="nil"/>
                  </w:tcBorders>
                  <w:vAlign w:val="center"/>
                </w:tcPr>
                <w:p>
                  <w:pPr>
                    <w:spacing w:line="240" w:lineRule="auto"/>
                    <w:jc w:val="center"/>
                    <w:rPr>
                      <w:b/>
                      <w:sz w:val="21"/>
                      <w:szCs w:val="21"/>
                    </w:rPr>
                  </w:pPr>
                  <w:r>
                    <w:rPr>
                      <w:sz w:val="21"/>
                      <w:szCs w:val="21"/>
                    </w:rPr>
                    <mc:AlternateContent>
                      <mc:Choice Requires="wps">
                        <w:drawing>
                          <wp:anchor distT="0" distB="0" distL="114300" distR="114300" simplePos="0" relativeHeight="251715584" behindDoc="0" locked="0" layoutInCell="1" allowOverlap="1">
                            <wp:simplePos x="0" y="0"/>
                            <wp:positionH relativeFrom="column">
                              <wp:posOffset>-62865</wp:posOffset>
                            </wp:positionH>
                            <wp:positionV relativeFrom="paragraph">
                              <wp:posOffset>-44450</wp:posOffset>
                            </wp:positionV>
                            <wp:extent cx="675005" cy="420370"/>
                            <wp:effectExtent l="2540" t="3810" r="8255" b="13970"/>
                            <wp:wrapNone/>
                            <wp:docPr id="19" name="直接连接符 19"/>
                            <wp:cNvGraphicFramePr/>
                            <a:graphic xmlns:a="http://schemas.openxmlformats.org/drawingml/2006/main">
                              <a:graphicData uri="http://schemas.microsoft.com/office/word/2010/wordprocessingShape">
                                <wps:wsp>
                                  <wps:cNvCnPr/>
                                  <wps:spPr>
                                    <a:xfrm>
                                      <a:off x="1204595" y="7738745"/>
                                      <a:ext cx="675005" cy="42037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5pt;margin-top:-3.5pt;height:33.1pt;width:53.15pt;z-index:251715584;mso-width-relative:page;mso-height-relative:page;" filled="f" stroked="t" coordsize="21600,21600" o:gfxdata="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QIlf1QAAAAcBAAAPAAAAAAAAAAEA&#10;IAAAACIAAABkcnMvZG93bnJldi54bWxQSwECFAAUAAAACACHTuJAxhvuANkBAAB1AwAADgAAAAAA&#10;AAABACAAAAAkAQAAZHJzL2Uyb0RvYy54bWxQSwUGAAAAAAYABgBZAQAAbwUAAAAA&#10;">
                            <v:fill on="f" focussize="0,0"/>
                            <v:stroke weight="0.25pt" color="#000000 [3213]" miterlimit="8" joinstyle="miter"/>
                            <v:imagedata o:title=""/>
                            <o:lock v:ext="edit" aspectratio="f"/>
                          </v:line>
                        </w:pict>
                      </mc:Fallback>
                    </mc:AlternateContent>
                  </w:r>
                  <w:r>
                    <w:rPr>
                      <w:rFonts w:hint="eastAsia"/>
                      <w:b/>
                      <w:sz w:val="21"/>
                      <w:szCs w:val="21"/>
                    </w:rPr>
                    <w:t xml:space="preserve">   </w:t>
                  </w:r>
                  <w:r>
                    <w:rPr>
                      <w:b/>
                      <w:sz w:val="21"/>
                      <w:szCs w:val="21"/>
                    </w:rPr>
                    <w:t>内容</w:t>
                  </w:r>
                  <w:r>
                    <w:rPr>
                      <w:rFonts w:hint="eastAsia"/>
                      <w:b/>
                      <w:sz w:val="21"/>
                      <w:szCs w:val="21"/>
                    </w:rPr>
                    <w:t xml:space="preserve"> </w:t>
                  </w:r>
                </w:p>
                <w:p>
                  <w:pPr>
                    <w:spacing w:line="240" w:lineRule="auto"/>
                    <w:rPr>
                      <w:b/>
                      <w:sz w:val="21"/>
                      <w:szCs w:val="21"/>
                    </w:rPr>
                  </w:pPr>
                  <w:r>
                    <w:rPr>
                      <w:b/>
                      <w:sz w:val="21"/>
                      <w:szCs w:val="21"/>
                    </w:rPr>
                    <w:t>类型</w:t>
                  </w:r>
                </w:p>
              </w:tc>
              <w:tc>
                <w:tcPr>
                  <w:tcW w:w="1480" w:type="dxa"/>
                  <w:tcBorders>
                    <w:tl2br w:val="nil"/>
                    <w:tr2bl w:val="nil"/>
                  </w:tcBorders>
                  <w:vAlign w:val="center"/>
                </w:tcPr>
                <w:p>
                  <w:pPr>
                    <w:spacing w:line="240" w:lineRule="auto"/>
                    <w:jc w:val="center"/>
                    <w:rPr>
                      <w:b/>
                      <w:sz w:val="21"/>
                      <w:szCs w:val="21"/>
                    </w:rPr>
                  </w:pPr>
                  <w:r>
                    <w:rPr>
                      <w:rFonts w:hint="eastAsia"/>
                      <w:b/>
                      <w:sz w:val="21"/>
                      <w:szCs w:val="21"/>
                    </w:rPr>
                    <w:t>类别</w:t>
                  </w:r>
                </w:p>
              </w:tc>
              <w:tc>
                <w:tcPr>
                  <w:tcW w:w="1612" w:type="dxa"/>
                  <w:tcBorders>
                    <w:tl2br w:val="nil"/>
                    <w:tr2bl w:val="nil"/>
                  </w:tcBorders>
                  <w:vAlign w:val="center"/>
                </w:tcPr>
                <w:p>
                  <w:pPr>
                    <w:spacing w:line="240" w:lineRule="auto"/>
                    <w:jc w:val="center"/>
                    <w:rPr>
                      <w:b/>
                      <w:sz w:val="21"/>
                      <w:szCs w:val="21"/>
                    </w:rPr>
                  </w:pPr>
                  <w:r>
                    <w:rPr>
                      <w:b/>
                      <w:sz w:val="21"/>
                      <w:szCs w:val="21"/>
                    </w:rPr>
                    <w:t>污染物名称</w:t>
                  </w:r>
                </w:p>
              </w:tc>
              <w:tc>
                <w:tcPr>
                  <w:tcW w:w="4485" w:type="dxa"/>
                  <w:tcBorders>
                    <w:tl2br w:val="nil"/>
                    <w:tr2bl w:val="nil"/>
                  </w:tcBorders>
                  <w:vAlign w:val="center"/>
                </w:tcPr>
                <w:p>
                  <w:pPr>
                    <w:spacing w:line="240" w:lineRule="auto"/>
                    <w:jc w:val="center"/>
                    <w:rPr>
                      <w:b/>
                      <w:sz w:val="21"/>
                      <w:szCs w:val="21"/>
                    </w:rPr>
                  </w:pPr>
                  <w:r>
                    <w:rPr>
                      <w:b/>
                      <w:sz w:val="21"/>
                      <w:szCs w:val="21"/>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41" w:hRule="atLeast"/>
                <w:jc w:val="center"/>
              </w:trPr>
              <w:tc>
                <w:tcPr>
                  <w:tcW w:w="1131" w:type="dxa"/>
                  <w:vMerge w:val="restart"/>
                  <w:tcBorders>
                    <w:tl2br w:val="nil"/>
                    <w:tr2bl w:val="nil"/>
                  </w:tcBorders>
                  <w:vAlign w:val="center"/>
                </w:tcPr>
                <w:p>
                  <w:pPr>
                    <w:spacing w:line="240" w:lineRule="auto"/>
                    <w:jc w:val="center"/>
                    <w:rPr>
                      <w:bCs/>
                      <w:sz w:val="21"/>
                      <w:szCs w:val="21"/>
                    </w:rPr>
                  </w:pPr>
                  <w:r>
                    <w:rPr>
                      <w:rFonts w:hint="eastAsia"/>
                      <w:bCs/>
                      <w:sz w:val="21"/>
                      <w:szCs w:val="21"/>
                    </w:rPr>
                    <w:t>固体废物</w:t>
                  </w:r>
                </w:p>
              </w:tc>
              <w:tc>
                <w:tcPr>
                  <w:tcW w:w="1480" w:type="dxa"/>
                  <w:tcBorders>
                    <w:tl2br w:val="nil"/>
                    <w:tr2bl w:val="nil"/>
                  </w:tcBorders>
                  <w:vAlign w:val="center"/>
                </w:tcPr>
                <w:p>
                  <w:pPr>
                    <w:spacing w:line="240" w:lineRule="auto"/>
                    <w:jc w:val="center"/>
                    <w:rPr>
                      <w:bCs/>
                      <w:sz w:val="21"/>
                      <w:szCs w:val="21"/>
                    </w:rPr>
                  </w:pPr>
                  <w:r>
                    <w:rPr>
                      <w:rFonts w:hint="eastAsia" w:cs="宋体"/>
                      <w:bCs/>
                      <w:color w:val="000000"/>
                      <w:sz w:val="21"/>
                      <w:szCs w:val="21"/>
                    </w:rPr>
                    <w:t>生活垃圾</w:t>
                  </w:r>
                </w:p>
              </w:tc>
              <w:tc>
                <w:tcPr>
                  <w:tcW w:w="1612" w:type="dxa"/>
                  <w:tcBorders>
                    <w:tl2br w:val="nil"/>
                    <w:tr2bl w:val="nil"/>
                  </w:tcBorders>
                  <w:vAlign w:val="center"/>
                </w:tcPr>
                <w:p>
                  <w:pPr>
                    <w:spacing w:line="240" w:lineRule="auto"/>
                    <w:jc w:val="center"/>
                    <w:rPr>
                      <w:bCs/>
                      <w:sz w:val="21"/>
                      <w:szCs w:val="21"/>
                    </w:rPr>
                  </w:pPr>
                  <w:r>
                    <w:rPr>
                      <w:rFonts w:hint="eastAsia"/>
                      <w:bCs/>
                      <w:sz w:val="21"/>
                      <w:szCs w:val="21"/>
                    </w:rPr>
                    <w:t>生活垃圾</w:t>
                  </w:r>
                </w:p>
              </w:tc>
              <w:tc>
                <w:tcPr>
                  <w:tcW w:w="4485" w:type="dxa"/>
                  <w:tcBorders>
                    <w:tl2br w:val="nil"/>
                    <w:tr2bl w:val="nil"/>
                  </w:tcBorders>
                  <w:vAlign w:val="center"/>
                </w:tcPr>
                <w:p>
                  <w:pPr>
                    <w:spacing w:line="240" w:lineRule="auto"/>
                    <w:jc w:val="center"/>
                    <w:rPr>
                      <w:bCs/>
                      <w:sz w:val="21"/>
                      <w:szCs w:val="21"/>
                    </w:rPr>
                  </w:pPr>
                  <w:r>
                    <w:rPr>
                      <w:rFonts w:hint="eastAsia"/>
                      <w:bCs/>
                      <w:sz w:val="21"/>
                      <w:szCs w:val="21"/>
                    </w:rPr>
                    <w:t>收集后由环卫部门统一清运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90" w:hRule="atLeast"/>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tcBorders>
                    <w:tl2br w:val="nil"/>
                    <w:tr2bl w:val="nil"/>
                  </w:tcBorders>
                  <w:vAlign w:val="center"/>
                </w:tcPr>
                <w:p>
                  <w:pPr>
                    <w:spacing w:line="240" w:lineRule="auto"/>
                    <w:jc w:val="center"/>
                    <w:rPr>
                      <w:bCs/>
                      <w:sz w:val="21"/>
                      <w:szCs w:val="21"/>
                    </w:rPr>
                  </w:pPr>
                  <w:r>
                    <w:rPr>
                      <w:rFonts w:hint="eastAsia" w:cs="宋体"/>
                      <w:bCs/>
                      <w:color w:val="000000"/>
                      <w:sz w:val="21"/>
                      <w:szCs w:val="21"/>
                    </w:rPr>
                    <w:t>一般固体废物</w:t>
                  </w:r>
                </w:p>
              </w:tc>
              <w:tc>
                <w:tcPr>
                  <w:tcW w:w="1612" w:type="dxa"/>
                  <w:tcBorders>
                    <w:tl2br w:val="nil"/>
                    <w:tr2bl w:val="nil"/>
                  </w:tcBorders>
                  <w:vAlign w:val="center"/>
                </w:tcPr>
                <w:p>
                  <w:pPr>
                    <w:spacing w:line="240" w:lineRule="auto"/>
                    <w:jc w:val="center"/>
                    <w:rPr>
                      <w:bCs/>
                      <w:sz w:val="21"/>
                      <w:szCs w:val="21"/>
                    </w:rPr>
                  </w:pPr>
                  <w:r>
                    <w:rPr>
                      <w:rFonts w:hint="eastAsia"/>
                      <w:bCs/>
                      <w:sz w:val="21"/>
                      <w:szCs w:val="21"/>
                    </w:rPr>
                    <w:t>不合格产品</w:t>
                  </w:r>
                </w:p>
              </w:tc>
              <w:tc>
                <w:tcPr>
                  <w:tcW w:w="4485" w:type="dxa"/>
                  <w:tcBorders>
                    <w:tl2br w:val="nil"/>
                    <w:tr2bl w:val="nil"/>
                  </w:tcBorders>
                  <w:vAlign w:val="center"/>
                </w:tcPr>
                <w:p>
                  <w:pPr>
                    <w:spacing w:line="240" w:lineRule="auto"/>
                    <w:jc w:val="center"/>
                    <w:rPr>
                      <w:bCs/>
                      <w:sz w:val="21"/>
                      <w:szCs w:val="21"/>
                    </w:rPr>
                  </w:pPr>
                  <w:r>
                    <w:rPr>
                      <w:rFonts w:hint="eastAsia"/>
                      <w:bCs/>
                      <w:sz w:val="21"/>
                      <w:szCs w:val="21"/>
                    </w:rPr>
                    <w:t>外运到周边板材厂作为原料使用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685" w:hRule="atLeast"/>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restart"/>
                  <w:tcBorders>
                    <w:tl2br w:val="nil"/>
                    <w:tr2bl w:val="nil"/>
                  </w:tcBorders>
                  <w:vAlign w:val="center"/>
                </w:tcPr>
                <w:p>
                  <w:pPr>
                    <w:spacing w:line="240" w:lineRule="auto"/>
                    <w:jc w:val="center"/>
                    <w:rPr>
                      <w:rFonts w:cs="宋体"/>
                      <w:bCs/>
                      <w:color w:val="000000"/>
                      <w:sz w:val="21"/>
                      <w:szCs w:val="21"/>
                    </w:rPr>
                  </w:pPr>
                  <w:r>
                    <w:rPr>
                      <w:rFonts w:hint="eastAsia" w:cs="宋体"/>
                      <w:bCs/>
                      <w:color w:val="000000"/>
                      <w:sz w:val="21"/>
                      <w:szCs w:val="21"/>
                    </w:rPr>
                    <w:t>危险废物</w:t>
                  </w:r>
                </w:p>
              </w:tc>
              <w:tc>
                <w:tcPr>
                  <w:tcW w:w="1612" w:type="dxa"/>
                  <w:tcBorders>
                    <w:tl2br w:val="nil"/>
                    <w:tr2bl w:val="nil"/>
                  </w:tcBorders>
                  <w:vAlign w:val="center"/>
                </w:tcPr>
                <w:p>
                  <w:pPr>
                    <w:spacing w:line="240" w:lineRule="auto"/>
                    <w:jc w:val="center"/>
                    <w:rPr>
                      <w:bCs/>
                      <w:sz w:val="21"/>
                      <w:szCs w:val="21"/>
                    </w:rPr>
                  </w:pPr>
                  <w:r>
                    <w:rPr>
                      <w:rFonts w:hint="eastAsia"/>
                      <w:bCs/>
                      <w:sz w:val="21"/>
                      <w:szCs w:val="21"/>
                    </w:rPr>
                    <w:t>废活性炭、废机油、油抹布等</w:t>
                  </w:r>
                </w:p>
              </w:tc>
              <w:tc>
                <w:tcPr>
                  <w:tcW w:w="4485" w:type="dxa"/>
                  <w:tcBorders>
                    <w:tl2br w:val="nil"/>
                    <w:tr2bl w:val="nil"/>
                  </w:tcBorders>
                  <w:vAlign w:val="center"/>
                </w:tcPr>
                <w:p>
                  <w:pPr>
                    <w:spacing w:line="240" w:lineRule="auto"/>
                    <w:jc w:val="center"/>
                    <w:rPr>
                      <w:bCs/>
                      <w:sz w:val="21"/>
                      <w:szCs w:val="21"/>
                    </w:rPr>
                  </w:pPr>
                  <w:r>
                    <w:rPr>
                      <w:rFonts w:hint="eastAsia"/>
                      <w:bCs/>
                      <w:sz w:val="21"/>
                      <w:szCs w:val="21"/>
                    </w:rPr>
                    <w:t>在危废暂存间收集后定期交由陕西明瑞资源再生有限公司处理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444" w:hRule="atLeast"/>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continue"/>
                  <w:tcBorders>
                    <w:tl2br w:val="nil"/>
                    <w:tr2bl w:val="nil"/>
                  </w:tcBorders>
                  <w:vAlign w:val="center"/>
                </w:tcPr>
                <w:p>
                  <w:pPr>
                    <w:spacing w:line="240" w:lineRule="auto"/>
                    <w:jc w:val="center"/>
                    <w:rPr>
                      <w:rFonts w:cs="宋体"/>
                      <w:bCs/>
                      <w:color w:val="000000"/>
                      <w:sz w:val="21"/>
                      <w:szCs w:val="21"/>
                    </w:rPr>
                  </w:pPr>
                </w:p>
              </w:tc>
              <w:tc>
                <w:tcPr>
                  <w:tcW w:w="1612" w:type="dxa"/>
                  <w:tcBorders>
                    <w:tl2br w:val="nil"/>
                    <w:tr2bl w:val="nil"/>
                  </w:tcBorders>
                  <w:vAlign w:val="center"/>
                </w:tcPr>
                <w:p>
                  <w:pPr>
                    <w:spacing w:line="240" w:lineRule="auto"/>
                    <w:jc w:val="center"/>
                    <w:rPr>
                      <w:bCs/>
                      <w:sz w:val="21"/>
                      <w:szCs w:val="21"/>
                    </w:rPr>
                  </w:pPr>
                  <w:r>
                    <w:rPr>
                      <w:rFonts w:hint="eastAsia"/>
                      <w:bCs/>
                      <w:sz w:val="21"/>
                      <w:szCs w:val="21"/>
                    </w:rPr>
                    <w:t>废紫外灯管</w:t>
                  </w:r>
                </w:p>
              </w:tc>
              <w:tc>
                <w:tcPr>
                  <w:tcW w:w="4485" w:type="dxa"/>
                  <w:tcBorders>
                    <w:tl2br w:val="nil"/>
                    <w:tr2bl w:val="nil"/>
                  </w:tcBorders>
                  <w:vAlign w:val="center"/>
                </w:tcPr>
                <w:p>
                  <w:pPr>
                    <w:spacing w:line="240" w:lineRule="auto"/>
                    <w:jc w:val="center"/>
                    <w:rPr>
                      <w:bCs/>
                      <w:sz w:val="21"/>
                      <w:szCs w:val="21"/>
                    </w:rPr>
                  </w:pPr>
                  <w:r>
                    <w:rPr>
                      <w:rFonts w:hint="eastAsia"/>
                      <w:bCs/>
                      <w:sz w:val="21"/>
                      <w:szCs w:val="21"/>
                    </w:rPr>
                    <w:t>废旧的紫外灯管直接由供货商回收，不在厂区存放</w:t>
                  </w:r>
                </w:p>
              </w:tc>
            </w:tr>
          </w:tbl>
          <w:p>
            <w:pPr>
              <w:ind w:firstLine="480" w:firstLineChars="200"/>
            </w:pPr>
          </w:p>
        </w:tc>
      </w:tr>
    </w:tbl>
    <w:p>
      <w:pPr>
        <w:rPr>
          <w:rFonts w:eastAsia="仿宋_GB2312"/>
          <w:color w:val="000000"/>
          <w:sz w:val="21"/>
          <w:szCs w:val="21"/>
        </w:rPr>
        <w:sectPr>
          <w:pgSz w:w="11906" w:h="16838"/>
          <w:pgMar w:top="1440" w:right="1800" w:bottom="1440" w:left="1800" w:header="708" w:footer="708" w:gutter="0"/>
          <w:cols w:space="720" w:num="1"/>
          <w:docGrid w:linePitch="360" w:charSpace="0"/>
        </w:sectPr>
      </w:pPr>
    </w:p>
    <w:p>
      <w:pPr>
        <w:spacing w:line="240" w:lineRule="auto"/>
        <w:rPr>
          <w:b/>
          <w:color w:val="000000"/>
          <w:sz w:val="28"/>
          <w:szCs w:val="28"/>
        </w:rPr>
      </w:pPr>
      <w:r>
        <w:rPr>
          <w:b/>
          <w:color w:val="000000"/>
          <w:sz w:val="28"/>
          <w:szCs w:val="28"/>
        </w:rPr>
        <w:t>表</w:t>
      </w:r>
      <w:r>
        <w:rPr>
          <w:rFonts w:hint="eastAsia"/>
          <w:b/>
          <w:color w:val="000000"/>
          <w:sz w:val="28"/>
          <w:szCs w:val="28"/>
        </w:rPr>
        <w:t>四</w:t>
      </w:r>
    </w:p>
    <w:tbl>
      <w:tblPr>
        <w:tblStyle w:val="8"/>
        <w:tblW w:w="8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65" w:hRule="atLeast"/>
          <w:jc w:val="center"/>
        </w:trPr>
        <w:tc>
          <w:tcPr>
            <w:tcW w:w="8960" w:type="dxa"/>
          </w:tcPr>
          <w:p>
            <w:pPr>
              <w:spacing w:before="120" w:beforeLines="50"/>
              <w:rPr>
                <w:b/>
                <w:color w:val="000000"/>
                <w:sz w:val="21"/>
                <w:szCs w:val="21"/>
              </w:rPr>
            </w:pPr>
            <w:r>
              <w:rPr>
                <w:rFonts w:hint="eastAsia"/>
                <w:b/>
                <w:color w:val="000000"/>
                <w:szCs w:val="21"/>
              </w:rPr>
              <w:t>建设项目环境影响报告表主要结论及审批部门审批决定：</w:t>
            </w:r>
          </w:p>
          <w:p>
            <w:pPr>
              <w:pStyle w:val="14"/>
              <w:ind w:firstLine="0" w:firstLineChars="0"/>
              <w:rPr>
                <w:b/>
                <w:sz w:val="24"/>
                <w:szCs w:val="21"/>
              </w:rPr>
            </w:pPr>
            <w:r>
              <w:rPr>
                <w:rFonts w:hint="eastAsia"/>
                <w:b/>
                <w:sz w:val="24"/>
                <w:szCs w:val="21"/>
              </w:rPr>
              <w:t>一、</w:t>
            </w:r>
            <w:r>
              <w:rPr>
                <w:b/>
                <w:sz w:val="24"/>
                <w:szCs w:val="21"/>
              </w:rPr>
              <w:t>环境影响报告表结论及要求建议：</w:t>
            </w:r>
          </w:p>
          <w:p>
            <w:pPr>
              <w:ind w:firstLine="480"/>
              <w:rPr>
                <w:b/>
              </w:rPr>
            </w:pPr>
            <w:r>
              <w:rPr>
                <w:rFonts w:hint="eastAsia"/>
                <w:b/>
              </w:rPr>
              <w:t>1、</w:t>
            </w:r>
            <w:r>
              <w:rPr>
                <w:rFonts w:hAnsi="宋体"/>
                <w:b/>
              </w:rPr>
              <w:t>项目概况</w:t>
            </w:r>
          </w:p>
          <w:p>
            <w:pPr>
              <w:ind w:firstLine="480"/>
            </w:pPr>
            <w:r>
              <w:rPr>
                <w:rFonts w:hint="eastAsia" w:hAnsi="宋体"/>
              </w:rPr>
              <w:t>西咸新区天河塑料制品有限公司吸塑制品加工生产线建设项目</w:t>
            </w:r>
            <w:r>
              <w:rPr>
                <w:rFonts w:hint="eastAsia"/>
              </w:rPr>
              <w:t>位于</w:t>
            </w:r>
            <w:r>
              <w:rPr>
                <w:rFonts w:hint="eastAsia" w:hAnsi="宋体"/>
              </w:rPr>
              <w:t>陕西省西咸新区秦汉新城天工一路农作物良种场院内</w:t>
            </w:r>
            <w:r>
              <w:rPr>
                <w:rFonts w:hint="eastAsia"/>
              </w:rPr>
              <w:t>，</w:t>
            </w:r>
            <w:r>
              <w:rPr>
                <w:rFonts w:hAnsi="宋体"/>
              </w:rPr>
              <w:t>项目</w:t>
            </w:r>
            <w:r>
              <w:rPr>
                <w:rFonts w:hint="eastAsia" w:hAnsi="宋体"/>
              </w:rPr>
              <w:t>北侧紧邻为西咸新区佳纳环保有限公司，南侧紧邻陕西屹立劳务有限公司，东侧紧临为咸阳市渭城区治祥机械厂、西侧紧邻均为良种场库房，</w:t>
            </w:r>
            <w:r>
              <w:rPr>
                <w:rFonts w:hint="eastAsia"/>
              </w:rPr>
              <w:t>项目占地面积</w:t>
            </w:r>
            <w:r>
              <w:rPr>
                <w:rFonts w:hint="eastAsia" w:hAnsi="宋体"/>
                <w:iCs/>
              </w:rPr>
              <w:t>1800m</w:t>
            </w:r>
            <w:r>
              <w:rPr>
                <w:rFonts w:hint="eastAsia" w:hAnsi="宋体"/>
                <w:iCs/>
                <w:vertAlign w:val="superscript"/>
              </w:rPr>
              <w:t>2</w:t>
            </w:r>
            <w:r>
              <w:rPr>
                <w:rFonts w:hint="eastAsia"/>
              </w:rPr>
              <w:t>，</w:t>
            </w:r>
            <w:r>
              <w:rPr>
                <w:rFonts w:hint="eastAsia" w:hAnsi="宋体"/>
                <w:iCs/>
              </w:rPr>
              <w:t>总建筑面积1680m</w:t>
            </w:r>
            <w:r>
              <w:rPr>
                <w:rFonts w:hint="eastAsia" w:hAnsi="宋体"/>
                <w:iCs/>
                <w:vertAlign w:val="superscript"/>
              </w:rPr>
              <w:t>2</w:t>
            </w:r>
            <w:r>
              <w:rPr>
                <w:rFonts w:hint="eastAsia" w:hAnsi="宋体"/>
                <w:iCs/>
              </w:rPr>
              <w:t>，</w:t>
            </w:r>
            <w:r>
              <w:rPr>
                <w:rFonts w:hint="eastAsia"/>
              </w:rPr>
              <w:t>年产电子工业塑料托盒约70t、</w:t>
            </w:r>
            <w:r>
              <w:rPr>
                <w:rFonts w:hint="eastAsia" w:hAnsi="宋体"/>
              </w:rPr>
              <w:t>药品及保健品外包装盒约</w:t>
            </w:r>
            <w:r>
              <w:rPr>
                <w:rFonts w:hint="eastAsia"/>
              </w:rPr>
              <w:t>160t，项目总投资200万元，其中环保投资24.05万元。</w:t>
            </w:r>
          </w:p>
          <w:p>
            <w:pPr>
              <w:ind w:firstLine="480"/>
              <w:rPr>
                <w:b/>
                <w:bCs/>
              </w:rPr>
            </w:pPr>
            <w:r>
              <w:rPr>
                <w:rFonts w:hint="eastAsia"/>
                <w:b/>
                <w:bCs/>
              </w:rPr>
              <w:t>2</w:t>
            </w:r>
            <w:r>
              <w:rPr>
                <w:rFonts w:hAnsi="宋体"/>
                <w:b/>
                <w:bCs/>
              </w:rPr>
              <w:t>、</w:t>
            </w:r>
            <w:r>
              <w:rPr>
                <w:rFonts w:hint="eastAsia" w:hAnsi="宋体"/>
                <w:b/>
                <w:bCs/>
              </w:rPr>
              <w:t>相关分析判定结论</w:t>
            </w:r>
          </w:p>
          <w:p>
            <w:pPr>
              <w:ind w:firstLine="480"/>
              <w:rPr>
                <w:rFonts w:hAnsi="宋体"/>
              </w:rPr>
            </w:pPr>
            <w:r>
              <w:rPr>
                <w:rFonts w:hAnsi="宋体"/>
              </w:rPr>
              <w:t>项目符合国家及陕西省现行的有关产业政策。项目符合</w:t>
            </w:r>
            <w:r>
              <w:rPr>
                <w:rFonts w:hint="eastAsia" w:hAnsi="宋体"/>
              </w:rPr>
              <w:t>《陕西省西咸新区秦汉新城分区规划（</w:t>
            </w:r>
            <w:r>
              <w:rPr>
                <w:rFonts w:hAnsi="宋体"/>
              </w:rPr>
              <w:t>2016-2035</w:t>
            </w:r>
            <w:r>
              <w:rPr>
                <w:rFonts w:hint="eastAsia" w:hAnsi="宋体"/>
              </w:rPr>
              <w:t>）》及规划环评要求、符合</w:t>
            </w:r>
            <w:r>
              <w:rPr>
                <w:rFonts w:hAnsi="宋体"/>
              </w:rPr>
              <w:t>《</w:t>
            </w:r>
            <w:r>
              <w:rPr>
                <w:rFonts w:hint="eastAsia" w:hAnsi="宋体"/>
              </w:rPr>
              <w:t>陕西省铁腕治霾打赢蓝天保卫战三年行动计划（</w:t>
            </w:r>
            <w:r>
              <w:rPr>
                <w:rFonts w:hAnsi="宋体"/>
              </w:rPr>
              <w:t>2018-2020</w:t>
            </w:r>
            <w:r>
              <w:rPr>
                <w:rFonts w:hint="eastAsia" w:hAnsi="宋体"/>
              </w:rPr>
              <w:t>年）（修订版）</w:t>
            </w:r>
            <w:r>
              <w:rPr>
                <w:rFonts w:hAnsi="宋体"/>
              </w:rPr>
              <w:t>》</w:t>
            </w:r>
            <w:r>
              <w:rPr>
                <w:rFonts w:hint="eastAsia" w:hAnsi="宋体"/>
              </w:rPr>
              <w:t>、</w:t>
            </w:r>
            <w:r>
              <w:rPr>
                <w:rFonts w:hAnsi="宋体"/>
              </w:rPr>
              <w:t>《</w:t>
            </w:r>
            <w:r>
              <w:rPr>
                <w:rFonts w:hint="eastAsia" w:hAnsi="宋体"/>
              </w:rPr>
              <w:t>“</w:t>
            </w:r>
            <w:r>
              <w:rPr>
                <w:rFonts w:hAnsi="宋体"/>
              </w:rPr>
              <w:t>十三五</w:t>
            </w:r>
            <w:r>
              <w:rPr>
                <w:rFonts w:hint="eastAsia" w:hAnsi="宋体"/>
              </w:rPr>
              <w:t>”</w:t>
            </w:r>
            <w:r>
              <w:rPr>
                <w:rFonts w:hAnsi="宋体"/>
              </w:rPr>
              <w:t>挥发性有机物污染防治工作方案》</w:t>
            </w:r>
            <w:r>
              <w:rPr>
                <w:rFonts w:hint="eastAsia" w:hAnsi="宋体"/>
              </w:rPr>
              <w:t>及陕西省西咸新区秦汉新城管理委员会办公</w:t>
            </w:r>
            <w:r>
              <w:rPr>
                <w:rFonts w:hint="eastAsia"/>
              </w:rPr>
              <w:t>室关于印发《陕西省西咸新区秦汉新城2018-2019年秋冬季大气污染综合治理攻坚行动方案》</w:t>
            </w:r>
            <w:r>
              <w:rPr>
                <w:rFonts w:hint="eastAsia" w:hAnsi="宋体"/>
              </w:rPr>
              <w:t>等环保政策</w:t>
            </w:r>
            <w:r>
              <w:rPr>
                <w:rFonts w:hAnsi="宋体"/>
              </w:rPr>
              <w:t>要求，选址合理。</w:t>
            </w:r>
          </w:p>
          <w:p>
            <w:pPr>
              <w:ind w:firstLine="480"/>
              <w:rPr>
                <w:b/>
              </w:rPr>
            </w:pPr>
            <w:r>
              <w:rPr>
                <w:rFonts w:hint="eastAsia"/>
                <w:b/>
              </w:rPr>
              <w:t>3</w:t>
            </w:r>
            <w:r>
              <w:rPr>
                <w:rFonts w:hAnsi="宋体"/>
                <w:b/>
              </w:rPr>
              <w:t>、建设项目所在地环境质量现状</w:t>
            </w:r>
          </w:p>
          <w:p>
            <w:pPr>
              <w:ind w:firstLine="480"/>
            </w:pPr>
            <w:r>
              <w:rPr>
                <w:rFonts w:hAnsi="宋体"/>
              </w:rPr>
              <w:t>（</w:t>
            </w:r>
            <w:r>
              <w:t>1</w:t>
            </w:r>
            <w:r>
              <w:rPr>
                <w:rFonts w:hAnsi="宋体"/>
              </w:rPr>
              <w:t>）环境空气</w:t>
            </w:r>
          </w:p>
          <w:p>
            <w:pPr>
              <w:ind w:firstLine="480"/>
            </w:pPr>
            <w:r>
              <w:rPr>
                <w:rFonts w:hint="eastAsia" w:hAnsi="宋体"/>
              </w:rPr>
              <w:t>项目所在区域各项指标中PM</w:t>
            </w:r>
            <w:r>
              <w:rPr>
                <w:rFonts w:hint="eastAsia" w:hAnsi="宋体"/>
                <w:vertAlign w:val="subscript"/>
              </w:rPr>
              <w:t>10</w:t>
            </w:r>
            <w:r>
              <w:rPr>
                <w:rFonts w:hint="eastAsia" w:hAnsi="宋体"/>
              </w:rPr>
              <w:t>、PM</w:t>
            </w:r>
            <w:r>
              <w:rPr>
                <w:rFonts w:hint="eastAsia" w:hAnsi="宋体"/>
                <w:vertAlign w:val="subscript"/>
              </w:rPr>
              <w:t>2.5</w:t>
            </w:r>
            <w:r>
              <w:rPr>
                <w:rFonts w:hint="eastAsia" w:hAnsi="宋体"/>
              </w:rPr>
              <w:t>、NO</w:t>
            </w:r>
            <w:r>
              <w:rPr>
                <w:rFonts w:hint="eastAsia" w:hAnsi="宋体"/>
                <w:vertAlign w:val="subscript"/>
              </w:rPr>
              <w:t>2</w:t>
            </w:r>
            <w:r>
              <w:rPr>
                <w:rFonts w:hint="eastAsia" w:hAnsi="宋体"/>
              </w:rPr>
              <w:t>均超过《环境空气质量标准》（</w:t>
            </w:r>
            <w:r>
              <w:rPr>
                <w:rFonts w:hAnsi="宋体"/>
              </w:rPr>
              <w:t>GB3095-2012</w:t>
            </w:r>
            <w:r>
              <w:rPr>
                <w:rFonts w:hint="eastAsia" w:hAnsi="宋体"/>
              </w:rPr>
              <w:t>）二级标准限值要求，SO</w:t>
            </w:r>
            <w:r>
              <w:rPr>
                <w:rFonts w:hint="eastAsia" w:hAnsi="宋体"/>
                <w:vertAlign w:val="subscript"/>
              </w:rPr>
              <w:t>2</w:t>
            </w:r>
            <w:r>
              <w:rPr>
                <w:rFonts w:hint="eastAsia" w:hAnsi="宋体"/>
              </w:rPr>
              <w:t>、CO及O</w:t>
            </w:r>
            <w:r>
              <w:rPr>
                <w:rFonts w:hint="eastAsia" w:hAnsi="宋体"/>
                <w:vertAlign w:val="subscript"/>
              </w:rPr>
              <w:t>3</w:t>
            </w:r>
            <w:r>
              <w:rPr>
                <w:rFonts w:hint="eastAsia" w:hAnsi="宋体"/>
              </w:rPr>
              <w:t>满足《环境空气质量标准》（</w:t>
            </w:r>
            <w:r>
              <w:rPr>
                <w:rFonts w:hAnsi="宋体"/>
              </w:rPr>
              <w:t>GB3095-2012</w:t>
            </w:r>
            <w:r>
              <w:rPr>
                <w:rFonts w:hint="eastAsia" w:hAnsi="宋体"/>
              </w:rPr>
              <w:t>）二级标准限值要求，属于不达标区域。项目所在地</w:t>
            </w:r>
            <w:r>
              <w:rPr>
                <w:rFonts w:hint="eastAsia"/>
              </w:rPr>
              <w:t>非甲烷总烃小时平均值满足《环境空气质量非甲烷总烃限值》（DB13/1577-2012）标准要求。</w:t>
            </w:r>
          </w:p>
          <w:p>
            <w:pPr>
              <w:pStyle w:val="19"/>
              <w:adjustRightInd/>
              <w:snapToGrid/>
              <w:rPr>
                <w:color w:val="auto"/>
              </w:rPr>
            </w:pPr>
            <w:r>
              <w:rPr>
                <w:rFonts w:hAnsi="宋体"/>
                <w:color w:val="auto"/>
              </w:rPr>
              <w:t>（</w:t>
            </w:r>
            <w:r>
              <w:rPr>
                <w:rFonts w:hint="eastAsia"/>
                <w:color w:val="auto"/>
              </w:rPr>
              <w:t>2</w:t>
            </w:r>
            <w:r>
              <w:rPr>
                <w:rFonts w:hAnsi="宋体"/>
                <w:color w:val="auto"/>
              </w:rPr>
              <w:t>）声环境</w:t>
            </w:r>
          </w:p>
          <w:p>
            <w:pPr>
              <w:ind w:firstLine="480"/>
              <w:rPr>
                <w:rFonts w:hAnsi="宋体"/>
              </w:rPr>
            </w:pPr>
            <w:r>
              <w:rPr>
                <w:rFonts w:hAnsi="宋体"/>
              </w:rPr>
              <w:t>项目</w:t>
            </w:r>
            <w:r>
              <w:rPr>
                <w:rFonts w:hint="eastAsia" w:hAnsi="宋体"/>
              </w:rPr>
              <w:t>东、南、西、北厂界噪声</w:t>
            </w:r>
            <w:r>
              <w:rPr>
                <w:rFonts w:hAnsi="宋体"/>
              </w:rPr>
              <w:t>监测点昼、夜间环境噪声值均满足《声环境质量标准》</w:t>
            </w:r>
            <w:r>
              <w:rPr>
                <w:rFonts w:hint="eastAsia" w:hAnsi="宋体"/>
              </w:rPr>
              <w:t>（</w:t>
            </w:r>
            <w:r>
              <w:t>GB3096</w:t>
            </w:r>
            <w:r>
              <w:rPr>
                <w:rFonts w:hint="eastAsia" w:hAnsi="宋体"/>
              </w:rPr>
              <w:t>-</w:t>
            </w:r>
            <w:r>
              <w:t>2008</w:t>
            </w:r>
            <w:r>
              <w:rPr>
                <w:rFonts w:hint="eastAsia" w:hAnsi="宋体"/>
              </w:rPr>
              <w:t>）</w:t>
            </w:r>
            <w:r>
              <w:rPr>
                <w:rFonts w:hint="eastAsia"/>
              </w:rPr>
              <w:t>2</w:t>
            </w:r>
            <w:r>
              <w:rPr>
                <w:rFonts w:hAnsi="宋体"/>
              </w:rPr>
              <w:t>类标准</w:t>
            </w:r>
            <w:r>
              <w:rPr>
                <w:rFonts w:hint="eastAsia" w:hAnsi="宋体"/>
              </w:rPr>
              <w:t>，声环境质量良好。</w:t>
            </w:r>
          </w:p>
          <w:p>
            <w:pPr>
              <w:ind w:firstLine="480"/>
              <w:rPr>
                <w:b/>
              </w:rPr>
            </w:pPr>
            <w:r>
              <w:rPr>
                <w:rFonts w:hint="eastAsia"/>
                <w:b/>
              </w:rPr>
              <w:t>4</w:t>
            </w:r>
            <w:r>
              <w:rPr>
                <w:rFonts w:hAnsi="宋体"/>
                <w:b/>
              </w:rPr>
              <w:t>、</w:t>
            </w:r>
            <w:r>
              <w:rPr>
                <w:rFonts w:hAnsi="宋体"/>
                <w:b/>
                <w:bCs/>
                <w:szCs w:val="28"/>
              </w:rPr>
              <w:t>营运期环境影响分析</w:t>
            </w:r>
          </w:p>
          <w:p>
            <w:pPr>
              <w:ind w:left="480"/>
              <w:rPr>
                <w:rFonts w:hAnsi="宋体"/>
                <w:bCs/>
              </w:rPr>
            </w:pPr>
            <w:r>
              <w:rPr>
                <w:rFonts w:hint="eastAsia" w:hAnsi="宋体"/>
                <w:bCs/>
              </w:rPr>
              <w:t>（1）</w:t>
            </w:r>
            <w:r>
              <w:rPr>
                <w:rFonts w:hAnsi="宋体"/>
                <w:bCs/>
              </w:rPr>
              <w:t>大气环境影响分析</w:t>
            </w:r>
          </w:p>
          <w:p>
            <w:pPr>
              <w:widowControl w:val="0"/>
              <w:adjustRightInd/>
              <w:snapToGrid/>
              <w:ind w:firstLine="480" w:firstLineChars="200"/>
              <w:jc w:val="both"/>
              <w:rPr>
                <w:bCs/>
              </w:rPr>
            </w:pPr>
            <w:r>
              <w:rPr>
                <w:rFonts w:hint="eastAsia" w:hAnsi="宋体"/>
                <w:bCs/>
              </w:rPr>
              <w:t>1）有组织有机废气</w:t>
            </w:r>
          </w:p>
        </w:tc>
      </w:tr>
    </w:tbl>
    <w:p>
      <w:pPr>
        <w:rPr>
          <w:rFonts w:eastAsia="仿宋_GB2312"/>
          <w:color w:val="000000"/>
          <w:sz w:val="21"/>
          <w:szCs w:val="21"/>
        </w:rPr>
        <w:sectPr>
          <w:pgSz w:w="11906" w:h="16838"/>
          <w:pgMar w:top="1440" w:right="1800" w:bottom="1440" w:left="1800" w:header="708" w:footer="708" w:gutter="0"/>
          <w:cols w:space="720" w:num="1"/>
          <w:docGrid w:linePitch="360" w:charSpace="0"/>
        </w:sectPr>
      </w:pPr>
    </w:p>
    <w:p>
      <w:pPr>
        <w:spacing w:line="240" w:lineRule="auto"/>
        <w:rPr>
          <w:b/>
          <w:color w:val="000000"/>
          <w:sz w:val="28"/>
          <w:szCs w:val="28"/>
        </w:rPr>
      </w:pPr>
      <w:r>
        <w:rPr>
          <w:rFonts w:hint="eastAsia"/>
          <w:b/>
          <w:color w:val="000000"/>
          <w:sz w:val="28"/>
          <w:szCs w:val="28"/>
        </w:rPr>
        <w:t>续表四</w:t>
      </w:r>
    </w:p>
    <w:tbl>
      <w:tblPr>
        <w:tblStyle w:val="9"/>
        <w:tblW w:w="8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1" w:hRule="atLeast"/>
        </w:trPr>
        <w:tc>
          <w:tcPr>
            <w:tcW w:w="8560" w:type="dxa"/>
          </w:tcPr>
          <w:p>
            <w:pPr>
              <w:wordWrap w:val="0"/>
              <w:autoSpaceDE w:val="0"/>
              <w:autoSpaceDN w:val="0"/>
              <w:spacing w:before="120" w:beforeLines="50"/>
              <w:ind w:firstLine="480" w:firstLineChars="200"/>
            </w:pPr>
            <w:r>
              <w:rPr>
                <w:rFonts w:hint="eastAsia" w:hAnsi="宋体"/>
              </w:rPr>
              <w:t>本项目运营期主要为吸塑工序产生有机废气，主要污染物为非甲烷总烃，项目非甲烷总烃经集气罩收集后通过</w:t>
            </w:r>
            <w:r>
              <w:rPr>
                <w:rFonts w:hAnsi="宋体"/>
              </w:rPr>
              <w:t>UV</w:t>
            </w:r>
            <w:r>
              <w:rPr>
                <w:rFonts w:hint="eastAsia" w:hAnsi="宋体"/>
              </w:rPr>
              <w:t>光解</w:t>
            </w:r>
            <w:r>
              <w:rPr>
                <w:rFonts w:hAnsi="宋体"/>
              </w:rPr>
              <w:t>+</w:t>
            </w:r>
            <w:r>
              <w:rPr>
                <w:rFonts w:hint="eastAsia" w:hAnsi="宋体"/>
              </w:rPr>
              <w:t>活性炭吸附处理装置处理后通过</w:t>
            </w:r>
            <w:r>
              <w:rPr>
                <w:rFonts w:hAnsi="宋体"/>
              </w:rPr>
              <w:t>15m</w:t>
            </w:r>
            <w:r>
              <w:rPr>
                <w:rFonts w:hint="eastAsia" w:hAnsi="宋体"/>
              </w:rPr>
              <w:t>排气筒外排，外排量很小，满足《大气污染物综合排放标准》（</w:t>
            </w:r>
            <w:r>
              <w:rPr>
                <w:rFonts w:hAnsi="宋体"/>
              </w:rPr>
              <w:t>GB16297-1996</w:t>
            </w:r>
            <w:r>
              <w:rPr>
                <w:rFonts w:hint="eastAsia" w:hAnsi="宋体"/>
              </w:rPr>
              <w:t>）二级要求，经估算模式预测，</w:t>
            </w:r>
            <w:r>
              <w:rPr>
                <w:rFonts w:hint="eastAsia"/>
              </w:rPr>
              <w:t>项目有组织废气污染物非甲烷总烃最大落地浓度为0.4063</w:t>
            </w:r>
            <w:r>
              <w:t>ug/m</w:t>
            </w:r>
            <w:r>
              <w:rPr>
                <w:vertAlign w:val="superscript"/>
              </w:rPr>
              <w:t>3</w:t>
            </w:r>
            <w:r>
              <w:rPr>
                <w:rFonts w:hint="eastAsia"/>
              </w:rPr>
              <w:t>，最大浓度占标率为0.0203</w:t>
            </w:r>
            <w:r>
              <w:t>%</w:t>
            </w:r>
            <w:r>
              <w:rPr>
                <w:rFonts w:hint="eastAsia"/>
              </w:rPr>
              <w:t>，出现在下风向69m处，占标率小于1</w:t>
            </w:r>
            <w:r>
              <w:t>%</w:t>
            </w:r>
            <w:r>
              <w:rPr>
                <w:rFonts w:hint="eastAsia"/>
              </w:rPr>
              <w:t>，确定项目大气环境影响评价工作等级为三级，项目有组织排放非甲烷总烃对环境的影响可接受。</w:t>
            </w:r>
          </w:p>
          <w:p>
            <w:pPr>
              <w:wordWrap w:val="0"/>
              <w:autoSpaceDE w:val="0"/>
              <w:autoSpaceDN w:val="0"/>
              <w:ind w:firstLine="480" w:firstLineChars="200"/>
            </w:pPr>
            <w:r>
              <w:rPr>
                <w:rFonts w:hint="eastAsia"/>
              </w:rPr>
              <w:t>2）无组织有机废气</w:t>
            </w:r>
          </w:p>
          <w:p>
            <w:pPr>
              <w:wordWrap w:val="0"/>
              <w:autoSpaceDE w:val="0"/>
              <w:autoSpaceDN w:val="0"/>
              <w:ind w:firstLine="480"/>
              <w:rPr>
                <w:rFonts w:hAnsi="宋体"/>
              </w:rPr>
            </w:pPr>
            <w:r>
              <w:rPr>
                <w:rFonts w:hint="eastAsia" w:hAnsi="宋体"/>
                <w:bCs/>
              </w:rPr>
              <w:t>项目无组织废气排放量为</w:t>
            </w:r>
            <w:r>
              <w:rPr>
                <w:rFonts w:hint="eastAsia"/>
              </w:rPr>
              <w:t>0.009</w:t>
            </w:r>
            <w:r>
              <w:t>t/a</w:t>
            </w:r>
            <w:r>
              <w:rPr>
                <w:rFonts w:hint="eastAsia"/>
              </w:rPr>
              <w:t>（0.00375kg/h），经预测，项目无组织废气污染物非甲烷总烃最大落地浓度为19.243</w:t>
            </w:r>
            <w:r>
              <w:t>ug/m</w:t>
            </w:r>
            <w:r>
              <w:rPr>
                <w:vertAlign w:val="superscript"/>
              </w:rPr>
              <w:t>3</w:t>
            </w:r>
            <w:r>
              <w:rPr>
                <w:rFonts w:hint="eastAsia"/>
              </w:rPr>
              <w:t>，最大浓度占标率为0.9621</w:t>
            </w:r>
            <w:r>
              <w:t>%</w:t>
            </w:r>
            <w:r>
              <w:rPr>
                <w:rFonts w:hint="eastAsia"/>
              </w:rPr>
              <w:t>，出现在下风向14m处，占标率小于1</w:t>
            </w:r>
            <w:r>
              <w:t>%</w:t>
            </w:r>
            <w:r>
              <w:rPr>
                <w:rFonts w:hint="eastAsia"/>
              </w:rPr>
              <w:t>，确定项目大气环境影响评价工作等级为三级，项目无组织排放非甲烷总烃对环境的影响可接受。</w:t>
            </w:r>
          </w:p>
          <w:p>
            <w:pPr>
              <w:autoSpaceDE w:val="0"/>
              <w:autoSpaceDN w:val="0"/>
              <w:ind w:firstLine="436" w:firstLineChars="182"/>
              <w:rPr>
                <w:bCs/>
              </w:rPr>
            </w:pPr>
            <w:r>
              <w:rPr>
                <w:rFonts w:hAnsi="宋体"/>
                <w:bCs/>
              </w:rPr>
              <w:t>（</w:t>
            </w:r>
            <w:r>
              <w:rPr>
                <w:bCs/>
              </w:rPr>
              <w:t>2</w:t>
            </w:r>
            <w:r>
              <w:rPr>
                <w:rFonts w:hAnsi="宋体"/>
                <w:bCs/>
              </w:rPr>
              <w:t>）水环境影响分析</w:t>
            </w:r>
          </w:p>
          <w:p>
            <w:pPr>
              <w:ind w:firstLine="480"/>
            </w:pPr>
            <w:r>
              <w:rPr>
                <w:rFonts w:hint="eastAsia" w:hAnsi="宋体"/>
              </w:rPr>
              <w:t>项目废水排放主要为职工生活污水，排放量为0.24m</w:t>
            </w:r>
            <w:r>
              <w:rPr>
                <w:rFonts w:hint="eastAsia" w:hAnsi="宋体"/>
                <w:vertAlign w:val="superscript"/>
              </w:rPr>
              <w:t>3</w:t>
            </w:r>
            <w:r>
              <w:rPr>
                <w:rFonts w:hint="eastAsia" w:hAnsi="宋体"/>
              </w:rPr>
              <w:t>/d（72m</w:t>
            </w:r>
            <w:r>
              <w:rPr>
                <w:rFonts w:hint="eastAsia" w:hAnsi="宋体"/>
                <w:vertAlign w:val="superscript"/>
              </w:rPr>
              <w:t>3</w:t>
            </w:r>
            <w:r>
              <w:rPr>
                <w:rFonts w:hint="eastAsia" w:hAnsi="宋体"/>
              </w:rPr>
              <w:t>/a）。项目生活污水经粪污收集池处理后</w:t>
            </w:r>
            <w:r>
              <w:rPr>
                <w:rFonts w:hint="eastAsia" w:hAnsi="宋体"/>
                <w:bCs/>
              </w:rPr>
              <w:t>定期清掏用作农肥，项目地处农村地区，周边农田面积较大，可有效消纳项目产生废水，</w:t>
            </w:r>
            <w:r>
              <w:rPr>
                <w:rFonts w:hint="eastAsia"/>
              </w:rPr>
              <w:t>对外环境影响不大。</w:t>
            </w:r>
          </w:p>
          <w:p>
            <w:pPr>
              <w:ind w:firstLine="360" w:firstLineChars="150"/>
              <w:rPr>
                <w:bCs/>
              </w:rPr>
            </w:pPr>
            <w:r>
              <w:rPr>
                <w:rFonts w:hAnsi="宋体"/>
                <w:bCs/>
              </w:rPr>
              <w:t>（</w:t>
            </w:r>
            <w:r>
              <w:rPr>
                <w:bCs/>
              </w:rPr>
              <w:t>3</w:t>
            </w:r>
            <w:r>
              <w:rPr>
                <w:rFonts w:hAnsi="宋体"/>
                <w:bCs/>
              </w:rPr>
              <w:t>）声环境影响分析</w:t>
            </w:r>
          </w:p>
          <w:p>
            <w:pPr>
              <w:ind w:firstLine="480"/>
              <w:rPr>
                <w:rFonts w:hAnsi="宋体"/>
              </w:rPr>
            </w:pPr>
            <w:r>
              <w:rPr>
                <w:rFonts w:hint="eastAsia"/>
              </w:rPr>
              <w:t>项目运营期噪声主要为生产设备噪声，声级在</w:t>
            </w:r>
            <w:r>
              <w:t>75~</w:t>
            </w:r>
            <w:r>
              <w:rPr>
                <w:rFonts w:hint="eastAsia"/>
              </w:rPr>
              <w:t>90</w:t>
            </w:r>
            <w:r>
              <w:t>dB(A)</w:t>
            </w:r>
            <w:r>
              <w:rPr>
                <w:rFonts w:hint="eastAsia"/>
              </w:rPr>
              <w:t>。项目生产设备均选用低噪声设备，并布置于厂房内部，设备已采取厂房隔声，后续通过增加基础减震等措施的情况下，经预测，</w:t>
            </w:r>
            <w:r>
              <w:rPr>
                <w:rFonts w:hint="eastAsia" w:hAnsi="宋体"/>
              </w:rPr>
              <w:t>项目各厂界噪声均满足（</w:t>
            </w:r>
            <w:r>
              <w:t>GB12348-2008</w:t>
            </w:r>
            <w:r>
              <w:rPr>
                <w:rFonts w:hint="eastAsia" w:hAnsi="宋体"/>
              </w:rPr>
              <w:t>）《工业企业厂界环境噪声排放标准》</w:t>
            </w:r>
            <w:r>
              <w:t>2</w:t>
            </w:r>
            <w:r>
              <w:rPr>
                <w:rFonts w:hint="eastAsia" w:hAnsi="宋体"/>
              </w:rPr>
              <w:t>类标准限值。</w:t>
            </w:r>
          </w:p>
          <w:p>
            <w:pPr>
              <w:ind w:firstLine="360" w:firstLineChars="150"/>
              <w:rPr>
                <w:bCs/>
              </w:rPr>
            </w:pPr>
            <w:r>
              <w:rPr>
                <w:rFonts w:hint="eastAsia"/>
                <w:bCs/>
              </w:rPr>
              <w:t>（4）</w:t>
            </w:r>
            <w:r>
              <w:rPr>
                <w:rFonts w:hAnsi="宋体"/>
                <w:bCs/>
              </w:rPr>
              <w:t>固体废物</w:t>
            </w:r>
            <w:r>
              <w:rPr>
                <w:rFonts w:hint="eastAsia" w:hAnsi="宋体"/>
                <w:bCs/>
              </w:rPr>
              <w:t>环境影响分析</w:t>
            </w:r>
          </w:p>
          <w:p>
            <w:pPr>
              <w:pStyle w:val="4"/>
              <w:ind w:firstLine="480"/>
              <w:rPr>
                <w:bCs/>
              </w:rPr>
            </w:pPr>
            <w:r>
              <w:rPr>
                <w:rFonts w:hint="eastAsia"/>
              </w:rPr>
              <w:t>本项目运营期固体废物主要包括职工生活垃圾，生产过程中产生不合格产品和废活性炭。生活垃圾产生量约3</w:t>
            </w:r>
            <w:r>
              <w:t>kg/d</w:t>
            </w:r>
            <w:r>
              <w:rPr>
                <w:rFonts w:hint="eastAsia"/>
              </w:rPr>
              <w:t>（0.9</w:t>
            </w:r>
            <w:r>
              <w:t>t/a</w:t>
            </w:r>
            <w:r>
              <w:rPr>
                <w:rFonts w:hint="eastAsia"/>
              </w:rPr>
              <w:t>），项目厂区设置垃圾收集桶，集中收集后交由环卫部门统一处理处置；项目不合格产品经废料库暂存后全部由厂家回收，不外排。废活性炭、废紫外灯管经专用容器盛装后定期交由有资质单位处理处置。</w:t>
            </w:r>
          </w:p>
          <w:p>
            <w:pPr>
              <w:widowControl w:val="0"/>
              <w:adjustRightInd/>
              <w:snapToGrid/>
              <w:ind w:firstLine="480" w:firstLineChars="200"/>
              <w:jc w:val="both"/>
              <w:rPr>
                <w:bCs/>
              </w:rPr>
            </w:pPr>
            <w:r>
              <w:rPr>
                <w:rFonts w:hint="eastAsia"/>
              </w:rPr>
              <w:t>综上，项目运营期产生的各种固体废物均得到合理处置，去向明确，对周围</w:t>
            </w:r>
          </w:p>
        </w:tc>
      </w:tr>
    </w:tbl>
    <w:p>
      <w:pPr>
        <w:spacing w:line="240" w:lineRule="auto"/>
        <w:rPr>
          <w:b/>
          <w:color w:val="000000"/>
          <w:sz w:val="28"/>
          <w:szCs w:val="28"/>
        </w:rPr>
        <w:sectPr>
          <w:pgSz w:w="11906" w:h="16838"/>
          <w:pgMar w:top="1440" w:right="1800" w:bottom="1440" w:left="1800" w:header="708" w:footer="708" w:gutter="0"/>
          <w:cols w:space="720" w:num="1"/>
          <w:docGrid w:linePitch="360" w:charSpace="0"/>
        </w:sectPr>
      </w:pPr>
    </w:p>
    <w:p>
      <w:pPr>
        <w:spacing w:line="240" w:lineRule="auto"/>
        <w:rPr>
          <w:b/>
          <w:color w:val="000000"/>
          <w:sz w:val="28"/>
          <w:szCs w:val="28"/>
        </w:rPr>
      </w:pPr>
      <w:r>
        <w:rPr>
          <w:rFonts w:hint="eastAsia"/>
          <w:b/>
          <w:color w:val="000000"/>
          <w:sz w:val="28"/>
          <w:szCs w:val="28"/>
        </w:rPr>
        <w:t>续表四</w:t>
      </w:r>
    </w:p>
    <w:tbl>
      <w:tblPr>
        <w:tblStyle w:val="9"/>
        <w:tblW w:w="8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6" w:hRule="atLeast"/>
        </w:trPr>
        <w:tc>
          <w:tcPr>
            <w:tcW w:w="8620" w:type="dxa"/>
          </w:tcPr>
          <w:p>
            <w:pPr>
              <w:ind w:firstLine="436" w:firstLineChars="182"/>
            </w:pPr>
            <w:r>
              <w:rPr>
                <w:rFonts w:hint="eastAsia"/>
              </w:rPr>
              <w:t>环境影响较小。</w:t>
            </w:r>
          </w:p>
          <w:p>
            <w:pPr>
              <w:ind w:firstLine="436" w:firstLineChars="182"/>
            </w:pPr>
            <w:r>
              <w:rPr>
                <w:rFonts w:hint="eastAsia"/>
              </w:rPr>
              <w:t>5、总量控制</w:t>
            </w:r>
          </w:p>
          <w:p>
            <w:pPr>
              <w:ind w:firstLine="436" w:firstLineChars="182"/>
            </w:pPr>
            <w:r>
              <w:rPr>
                <w:rFonts w:hint="eastAsia"/>
              </w:rPr>
              <w:t>根据国家《“十三五”期间全国主要污染物排放总量控制计划》及本项目特点，项目生活污水经粪污收集池处理后定期清掏用作农肥，不设总量控制指标。有机废气集气罩收集经UV光解+活性炭吸附装置处理，因此，本项目大气总量控制指标为VOCs。本项目非甲烷总烃排放量（有组织+无组织）0.021t/a，因此建议VOCs总量控制指标0.021t/a。</w:t>
            </w:r>
          </w:p>
          <w:p>
            <w:pPr>
              <w:ind w:firstLine="436" w:firstLineChars="182"/>
            </w:pPr>
            <w:r>
              <w:rPr>
                <w:rFonts w:hint="eastAsia"/>
              </w:rPr>
              <w:t>综上，西咸新区天河塑料制品有限公司吸塑制品加工生产线建设项目符合国家产业政策、选址合理、目前采取的部分污染物防治措施可行，项目在切实落实本报告提出的各项污染防治整改措施和环境管理措施，确保设施正常运行，做到污染物达标排放的情况下，可有效减少有机废气排放量，切实降低项目对环境空气质量影响，达标改善环境空气质量的目标，本项目从满足环境质量目标出发是可行的。</w:t>
            </w:r>
          </w:p>
          <w:p>
            <w:pPr>
              <w:ind w:firstLine="480"/>
              <w:rPr>
                <w:b/>
                <w:bCs/>
                <w:szCs w:val="28"/>
              </w:rPr>
            </w:pPr>
            <w:r>
              <w:rPr>
                <w:rFonts w:hint="eastAsia" w:hAnsi="宋体"/>
                <w:b/>
                <w:bCs/>
              </w:rPr>
              <w:t>6</w:t>
            </w:r>
            <w:r>
              <w:rPr>
                <w:rFonts w:hAnsi="宋体"/>
                <w:b/>
                <w:bCs/>
              </w:rPr>
              <w:t>、要求与建议</w:t>
            </w:r>
          </w:p>
          <w:p>
            <w:pPr>
              <w:ind w:firstLine="480"/>
            </w:pPr>
            <w:r>
              <w:rPr>
                <w:rFonts w:hint="eastAsia"/>
              </w:rPr>
              <w:t>（</w:t>
            </w:r>
            <w:r>
              <w:t>1</w:t>
            </w:r>
            <w:r>
              <w:rPr>
                <w:rFonts w:hint="eastAsia"/>
              </w:rPr>
              <w:t>）</w:t>
            </w:r>
            <w:r>
              <w:rPr>
                <w:rFonts w:hAnsi="宋体"/>
              </w:rPr>
              <w:t>要求</w:t>
            </w:r>
          </w:p>
          <w:p>
            <w:pPr>
              <w:ind w:firstLine="480"/>
              <w:rPr>
                <w:kern w:val="10"/>
              </w:rPr>
            </w:pPr>
            <w:r>
              <w:rPr>
                <w:rFonts w:hint="eastAsia"/>
                <w:kern w:val="10"/>
              </w:rPr>
              <w:t>1）严格管理，</w:t>
            </w:r>
            <w:r>
              <w:rPr>
                <w:kern w:val="10"/>
              </w:rPr>
              <w:t>确保各项环保设施的建设和正常运行</w:t>
            </w:r>
            <w:r>
              <w:rPr>
                <w:rFonts w:hint="eastAsia"/>
                <w:kern w:val="10"/>
              </w:rPr>
              <w:t>；</w:t>
            </w:r>
          </w:p>
          <w:p>
            <w:pPr>
              <w:ind w:firstLine="480"/>
              <w:rPr>
                <w:kern w:val="10"/>
              </w:rPr>
            </w:pPr>
            <w:r>
              <w:rPr>
                <w:rFonts w:hint="eastAsia"/>
                <w:kern w:val="10"/>
              </w:rPr>
              <w:t>2）</w:t>
            </w:r>
            <w:r>
              <w:rPr>
                <w:kern w:val="10"/>
              </w:rPr>
              <w:t>对环保设备、设施进行定期检查维护，达到最佳运行状态。严格执行污染物排放申报制度，建立污染物排放管理和监测制度</w:t>
            </w:r>
            <w:r>
              <w:rPr>
                <w:rFonts w:hint="eastAsia"/>
                <w:kern w:val="10"/>
              </w:rPr>
              <w:t>；</w:t>
            </w:r>
          </w:p>
          <w:p>
            <w:pPr>
              <w:ind w:firstLine="480"/>
            </w:pPr>
            <w:r>
              <w:rPr>
                <w:rFonts w:hint="eastAsia"/>
              </w:rPr>
              <w:t>3）禁止建设运营中使用国家淘汰落后的生产设备和工艺。</w:t>
            </w:r>
          </w:p>
          <w:p>
            <w:pPr>
              <w:ind w:firstLine="480"/>
              <w:rPr>
                <w:kern w:val="10"/>
              </w:rPr>
            </w:pPr>
            <w:r>
              <w:rPr>
                <w:rFonts w:hint="eastAsia"/>
                <w:kern w:val="10"/>
              </w:rPr>
              <w:t>4）及时编制企业“重污染天气应急预案”、“一厂一策操作方案”及“突发环境事件应急预案”并于环保进行备案，用于指导企业后续生产管理，同时做好企业后续环保竣工验收工作。</w:t>
            </w:r>
          </w:p>
          <w:p>
            <w:pPr>
              <w:ind w:firstLine="480"/>
            </w:pPr>
            <w:r>
              <w:t>2</w:t>
            </w:r>
            <w:r>
              <w:rPr>
                <w:rFonts w:hAnsi="宋体"/>
              </w:rPr>
              <w:t>、建议</w:t>
            </w:r>
          </w:p>
          <w:p>
            <w:pPr>
              <w:ind w:firstLine="480"/>
            </w:pPr>
            <w:r>
              <w:t>1</w:t>
            </w:r>
            <w:r>
              <w:rPr>
                <w:rFonts w:hAnsi="宋体"/>
              </w:rPr>
              <w:t>）垃圾采用分类收集，密封装置存放，垃圾</w:t>
            </w:r>
            <w:r>
              <w:rPr>
                <w:rFonts w:hint="eastAsia" w:hAnsi="宋体"/>
              </w:rPr>
              <w:t>日产日清</w:t>
            </w:r>
            <w:r>
              <w:rPr>
                <w:rFonts w:hAnsi="宋体"/>
              </w:rPr>
              <w:t>，避免垃圾臭味影响周围环境。</w:t>
            </w:r>
          </w:p>
          <w:p>
            <w:pPr>
              <w:ind w:firstLine="436" w:firstLineChars="182"/>
            </w:pPr>
            <w:r>
              <w:t>2</w:t>
            </w:r>
            <w:r>
              <w:rPr>
                <w:rFonts w:hAnsi="宋体"/>
              </w:rPr>
              <w:t>）建立健全的环保管理机构和制度，对客户进行环保知识宣传，全面做好各项环保工作。</w:t>
            </w:r>
          </w:p>
          <w:p>
            <w:pPr>
              <w:ind w:firstLine="439" w:firstLineChars="182"/>
            </w:pPr>
            <w:r>
              <w:rPr>
                <w:rFonts w:hint="eastAsia"/>
                <w:b/>
                <w:bCs/>
              </w:rPr>
              <w:t>二、环评批复主要内容</w:t>
            </w:r>
            <w:r>
              <w:rPr>
                <w:rFonts w:hint="eastAsia"/>
              </w:rPr>
              <w:t>：</w:t>
            </w:r>
          </w:p>
          <w:p>
            <w:pPr>
              <w:ind w:firstLine="436" w:firstLineChars="182"/>
            </w:pPr>
          </w:p>
        </w:tc>
      </w:tr>
    </w:tbl>
    <w:p>
      <w:pPr>
        <w:spacing w:line="240" w:lineRule="auto"/>
        <w:rPr>
          <w:b/>
          <w:color w:val="000000"/>
          <w:sz w:val="28"/>
          <w:szCs w:val="28"/>
        </w:rPr>
        <w:sectPr>
          <w:pgSz w:w="11906" w:h="16838"/>
          <w:pgMar w:top="1440" w:right="1800" w:bottom="1440" w:left="1800" w:header="708" w:footer="708" w:gutter="0"/>
          <w:cols w:space="720" w:num="1"/>
          <w:docGrid w:linePitch="360" w:charSpace="0"/>
        </w:sectPr>
      </w:pPr>
    </w:p>
    <w:p>
      <w:pPr>
        <w:spacing w:line="240" w:lineRule="auto"/>
        <w:rPr>
          <w:b/>
          <w:color w:val="000000"/>
          <w:sz w:val="28"/>
          <w:szCs w:val="28"/>
        </w:rPr>
      </w:pPr>
      <w:r>
        <w:rPr>
          <w:rFonts w:hint="eastAsia"/>
          <w:b/>
          <w:color w:val="000000"/>
          <w:sz w:val="28"/>
          <w:szCs w:val="28"/>
        </w:rPr>
        <w:t>续表四</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2" w:hRule="atLeast"/>
        </w:trPr>
        <w:tc>
          <w:tcPr>
            <w:tcW w:w="8520" w:type="dxa"/>
          </w:tcPr>
          <w:p>
            <w:pPr>
              <w:widowControl w:val="0"/>
              <w:spacing w:before="120" w:beforeLines="50"/>
              <w:ind w:firstLine="480" w:firstLineChars="200"/>
              <w:jc w:val="both"/>
            </w:pPr>
            <w:r>
              <w:rPr>
                <w:rFonts w:hint="eastAsia"/>
              </w:rPr>
              <w:t>1、项目概况该项目位于秦汉新城天工一路农作物良种场院内，总建筑面积1680m</w:t>
            </w:r>
            <w:r>
              <w:rPr>
                <w:rFonts w:hint="eastAsia"/>
                <w:vertAlign w:val="superscript"/>
              </w:rPr>
              <w:t>2</w:t>
            </w:r>
            <w:r>
              <w:rPr>
                <w:rFonts w:hint="eastAsia"/>
              </w:rPr>
              <w:t>，主要建设内容包括原料库房、生产车间、废料库房、办公区及其相关配套设施。项目总投资200万元。其中环保投资24.05万元，占总投资的12.02％。</w:t>
            </w:r>
          </w:p>
          <w:p>
            <w:pPr>
              <w:widowControl w:val="0"/>
              <w:ind w:firstLine="480" w:firstLineChars="200"/>
              <w:jc w:val="both"/>
            </w:pPr>
            <w:r>
              <w:rPr>
                <w:rFonts w:hint="eastAsia"/>
              </w:rPr>
              <w:t>我局原则同意报告表的结论，同意按照报告表中所列工程项目内容、地点、规模、采取的环境保护措施进行项目建设。</w:t>
            </w:r>
          </w:p>
          <w:p>
            <w:pPr>
              <w:widowControl w:val="0"/>
              <w:ind w:firstLine="480" w:firstLineChars="200"/>
              <w:jc w:val="both"/>
            </w:pPr>
            <w:r>
              <w:rPr>
                <w:rFonts w:hint="eastAsia"/>
              </w:rPr>
              <w:t>2、项目建设期间及运行过程中应重点做好以下工作</w:t>
            </w:r>
          </w:p>
          <w:p>
            <w:pPr>
              <w:widowControl w:val="0"/>
              <w:ind w:firstLine="480" w:firstLineChars="200"/>
              <w:jc w:val="both"/>
            </w:pPr>
            <w:r>
              <w:rPr>
                <w:rFonts w:hint="eastAsia"/>
              </w:rPr>
              <w:t>（1）项目在设计、施工及运营中，必须认真落实“报告表”中所提出的各项污染防治措施，严格执行建设项目环境保护“三同时”制度，确保各类污染物稳定达标排放。</w:t>
            </w:r>
          </w:p>
          <w:p>
            <w:pPr>
              <w:widowControl w:val="0"/>
              <w:ind w:firstLine="480" w:firstLineChars="200"/>
              <w:jc w:val="both"/>
            </w:pPr>
            <w:r>
              <w:rPr>
                <w:rFonts w:hint="eastAsia"/>
              </w:rPr>
              <w:t>（2）做好噪声污染防治工作。通过采用低噪声设备，基础减振、加强设备维护等措施后，使噪声排放满足《工业企业厂界环境噪声排放标准》（GB12348-2008）中相关标准。</w:t>
            </w:r>
          </w:p>
          <w:p>
            <w:pPr>
              <w:widowControl w:val="0"/>
              <w:ind w:firstLine="480" w:firstLineChars="200"/>
              <w:jc w:val="both"/>
            </w:pPr>
            <w:r>
              <w:rPr>
                <w:rFonts w:hint="eastAsia"/>
              </w:rPr>
              <w:t>（3）强化大气污染防治措施。项目产生的主要废气为吸望工序产生的有机废气；经集气罩收集后通过UV光解+活性炭吸附处理装置处理后，通过15m排气筒排放，满足《大气污染物综合排放标准》（GB16297-1996）相关标准要求。</w:t>
            </w:r>
          </w:p>
          <w:p>
            <w:pPr>
              <w:widowControl w:val="0"/>
              <w:ind w:firstLine="480" w:firstLineChars="200"/>
              <w:jc w:val="both"/>
            </w:pPr>
            <w:r>
              <w:rPr>
                <w:rFonts w:hint="eastAsia"/>
              </w:rPr>
              <w:t>（4）加强对废水污染的管理。项目废水主要为职工生活污水，经粪污收集池处理后定期清掏。</w:t>
            </w:r>
          </w:p>
          <w:p>
            <w:pPr>
              <w:widowControl w:val="0"/>
              <w:ind w:firstLine="480" w:firstLineChars="200"/>
              <w:jc w:val="both"/>
            </w:pPr>
            <w:r>
              <w:rPr>
                <w:rFonts w:hint="eastAsia"/>
              </w:rPr>
              <w:t>（5）加强固体废物管理。项目生产过程中产生不合格产品经废料库暂存后全部由厂家回收，不外排；生活垃圾集中收集后交由环卫部门统一处理处置；废活性炭、废紫外灯管经专用容器盛装后定期交由有资质单位处理处置。</w:t>
            </w:r>
          </w:p>
          <w:p>
            <w:pPr>
              <w:widowControl w:val="0"/>
              <w:ind w:firstLine="480" w:firstLineChars="200"/>
              <w:jc w:val="both"/>
            </w:pPr>
            <w:r>
              <w:rPr>
                <w:rFonts w:hint="eastAsia"/>
              </w:rPr>
              <w:t>3、几点要求</w:t>
            </w:r>
          </w:p>
          <w:p>
            <w:pPr>
              <w:widowControl w:val="0"/>
              <w:ind w:firstLine="480" w:firstLineChars="200"/>
              <w:jc w:val="both"/>
            </w:pPr>
            <w:r>
              <w:rPr>
                <w:rFonts w:hint="eastAsia"/>
              </w:rPr>
              <w:t>（1）本项目的环保设施必须与主题工程同时设计、同时施工，同时投入使用。项目建成后，须按规定程序实施竣工环境保护验收，验收合格方可投入正式运营。</w:t>
            </w:r>
          </w:p>
          <w:p>
            <w:pPr>
              <w:widowControl w:val="0"/>
              <w:ind w:firstLine="480" w:firstLineChars="200"/>
              <w:jc w:val="both"/>
            </w:pPr>
            <w:r>
              <w:rPr>
                <w:rFonts w:hint="eastAsia"/>
              </w:rPr>
              <w:t>该项目属于秦汉新城“散乱污”升级改造类。环境影响报告表内容的真实性、完整性和可靠性由环评编制单位和建设单位共同负责。</w:t>
            </w:r>
          </w:p>
          <w:p>
            <w:pPr>
              <w:widowControl w:val="0"/>
              <w:adjustRightInd/>
              <w:snapToGrid/>
              <w:ind w:firstLine="480" w:firstLineChars="200"/>
              <w:jc w:val="both"/>
              <w:rPr>
                <w:bCs/>
              </w:rPr>
            </w:pPr>
            <w:r>
              <w:rPr>
                <w:rFonts w:hint="eastAsia"/>
              </w:rPr>
              <w:t>本批复自下达之日起，项目的性质、规模、地点、采用的防治污染措施及生态环境保护措施发生重大变动的须重新报批项目的环境影响评价文件。</w:t>
            </w:r>
          </w:p>
        </w:tc>
      </w:tr>
    </w:tbl>
    <w:p>
      <w:pPr>
        <w:spacing w:line="240" w:lineRule="auto"/>
        <w:rPr>
          <w:b/>
          <w:color w:val="000000"/>
          <w:sz w:val="28"/>
          <w:szCs w:val="28"/>
        </w:rPr>
        <w:sectPr>
          <w:pgSz w:w="11906" w:h="16838"/>
          <w:pgMar w:top="1440" w:right="1800" w:bottom="1440" w:left="1800" w:header="708" w:footer="708" w:gutter="0"/>
          <w:cols w:space="720" w:num="1"/>
          <w:docGrid w:linePitch="360" w:charSpace="0"/>
        </w:sectPr>
      </w:pPr>
    </w:p>
    <w:p>
      <w:pPr>
        <w:spacing w:line="240" w:lineRule="auto"/>
        <w:rPr>
          <w:b/>
          <w:color w:val="000000"/>
          <w:sz w:val="28"/>
          <w:szCs w:val="21"/>
        </w:rPr>
      </w:pPr>
      <w:r>
        <w:rPr>
          <w:rFonts w:hint="eastAsia"/>
          <w:b/>
          <w:color w:val="000000"/>
          <w:sz w:val="28"/>
          <w:szCs w:val="21"/>
        </w:rPr>
        <w:t>表五</w:t>
      </w:r>
    </w:p>
    <w:tbl>
      <w:tblPr>
        <w:tblStyle w:val="9"/>
        <w:tblW w:w="8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4" w:hRule="atLeast"/>
          <w:jc w:val="center"/>
        </w:trPr>
        <w:tc>
          <w:tcPr>
            <w:tcW w:w="8980" w:type="dxa"/>
          </w:tcPr>
          <w:p>
            <w:pPr>
              <w:spacing w:before="120" w:beforeLines="50"/>
              <w:rPr>
                <w:b/>
                <w:color w:val="000000"/>
                <w:sz w:val="21"/>
                <w:szCs w:val="21"/>
              </w:rPr>
            </w:pPr>
            <w:r>
              <w:rPr>
                <w:rFonts w:hint="eastAsia"/>
                <w:b/>
                <w:color w:val="000000"/>
                <w:szCs w:val="21"/>
              </w:rPr>
              <w:t>验收监测质量保证及质量控制：</w:t>
            </w:r>
          </w:p>
          <w:p>
            <w:pPr>
              <w:ind w:firstLine="480" w:firstLineChars="200"/>
              <w:rPr>
                <w:szCs w:val="24"/>
              </w:rPr>
            </w:pPr>
            <w:r>
              <w:rPr>
                <w:szCs w:val="24"/>
              </w:rPr>
              <w:t>依据《环境监测质量管理技术导则》（HJ 630-2011），本次验收监测质量保证和质量控制措施如下：</w:t>
            </w:r>
          </w:p>
          <w:p>
            <w:pPr>
              <w:ind w:firstLine="480" w:firstLineChars="200"/>
              <w:rPr>
                <w:szCs w:val="24"/>
              </w:rPr>
            </w:pPr>
            <w:r>
              <w:rPr>
                <w:rFonts w:hint="eastAsia"/>
                <w:szCs w:val="24"/>
              </w:rPr>
              <w:t>1</w:t>
            </w:r>
            <w:r>
              <w:rPr>
                <w:szCs w:val="24"/>
              </w:rPr>
              <w:t>、所有监测人员持证上岗，严格按照本公司质量管理体系文件中的规定开展工作。</w:t>
            </w:r>
          </w:p>
          <w:p>
            <w:pPr>
              <w:ind w:firstLine="480" w:firstLineChars="200"/>
              <w:rPr>
                <w:szCs w:val="24"/>
              </w:rPr>
            </w:pPr>
            <w:r>
              <w:rPr>
                <w:rFonts w:hint="eastAsia"/>
                <w:szCs w:val="24"/>
              </w:rPr>
              <w:t>2</w:t>
            </w:r>
            <w:r>
              <w:rPr>
                <w:szCs w:val="24"/>
              </w:rPr>
              <w:t>、所用监测仪器通过计量部门检定并在检定有效期内。</w:t>
            </w:r>
          </w:p>
          <w:p>
            <w:pPr>
              <w:ind w:firstLine="480" w:firstLineChars="200"/>
              <w:outlineLvl w:val="0"/>
              <w:rPr>
                <w:szCs w:val="24"/>
              </w:rPr>
            </w:pPr>
            <w:r>
              <w:rPr>
                <w:rFonts w:hint="eastAsia"/>
                <w:szCs w:val="24"/>
              </w:rPr>
              <w:t>3</w:t>
            </w:r>
            <w:r>
              <w:rPr>
                <w:szCs w:val="24"/>
              </w:rPr>
              <w:t>、各类记录及分析测试结果，按相关技术规范要求进行数据处理和填报，并进行三级审核。</w:t>
            </w:r>
          </w:p>
          <w:p>
            <w:pPr>
              <w:ind w:firstLine="562" w:firstLineChars="200"/>
              <w:rPr>
                <w:b/>
                <w:color w:val="000000"/>
                <w:sz w:val="28"/>
                <w:szCs w:val="21"/>
              </w:rPr>
            </w:pPr>
          </w:p>
        </w:tc>
      </w:tr>
    </w:tbl>
    <w:p>
      <w:pPr>
        <w:rPr>
          <w:b/>
          <w:color w:val="000000"/>
          <w:sz w:val="28"/>
          <w:szCs w:val="21"/>
        </w:rPr>
        <w:sectPr>
          <w:pgSz w:w="11906" w:h="16838"/>
          <w:pgMar w:top="1440" w:right="1800" w:bottom="1440" w:left="1800" w:header="708" w:footer="708" w:gutter="0"/>
          <w:cols w:space="720" w:num="1"/>
          <w:docGrid w:linePitch="360" w:charSpace="0"/>
        </w:sectPr>
      </w:pPr>
    </w:p>
    <w:p>
      <w:pPr>
        <w:spacing w:line="240" w:lineRule="auto"/>
        <w:rPr>
          <w:b/>
          <w:color w:val="000000"/>
          <w:sz w:val="28"/>
          <w:szCs w:val="28"/>
        </w:rPr>
      </w:pPr>
      <w:r>
        <w:rPr>
          <w:rFonts w:hint="eastAsia"/>
          <w:b/>
          <w:color w:val="000000"/>
          <w:sz w:val="28"/>
          <w:szCs w:val="21"/>
        </w:rPr>
        <w:t>表六</w:t>
      </w:r>
    </w:p>
    <w:tbl>
      <w:tblPr>
        <w:tblStyle w:val="9"/>
        <w:tblW w:w="87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79" w:hRule="atLeast"/>
          <w:jc w:val="center"/>
        </w:trPr>
        <w:tc>
          <w:tcPr>
            <w:tcW w:w="8700" w:type="dxa"/>
          </w:tcPr>
          <w:p>
            <w:pPr>
              <w:spacing w:before="120" w:beforeLines="50"/>
              <w:rPr>
                <w:b/>
                <w:color w:val="000000"/>
                <w:szCs w:val="21"/>
              </w:rPr>
            </w:pPr>
            <w:r>
              <w:rPr>
                <w:rFonts w:hint="eastAsia"/>
                <w:b/>
                <w:color w:val="000000"/>
                <w:szCs w:val="21"/>
              </w:rPr>
              <w:t>验收监测内容：</w:t>
            </w:r>
          </w:p>
          <w:p>
            <w:pPr>
              <w:ind w:firstLine="482" w:firstLineChars="200"/>
              <w:outlineLvl w:val="1"/>
              <w:rPr>
                <w:b/>
                <w:color w:val="000000"/>
                <w:szCs w:val="24"/>
              </w:rPr>
            </w:pPr>
            <w:r>
              <w:rPr>
                <w:b/>
                <w:color w:val="000000"/>
                <w:szCs w:val="24"/>
              </w:rPr>
              <w:t>1</w:t>
            </w:r>
            <w:r>
              <w:rPr>
                <w:rFonts w:hint="eastAsia"/>
                <w:b/>
                <w:color w:val="000000"/>
                <w:szCs w:val="24"/>
              </w:rPr>
              <w:t>、</w:t>
            </w:r>
            <w:r>
              <w:rPr>
                <w:b/>
                <w:color w:val="000000"/>
                <w:szCs w:val="24"/>
              </w:rPr>
              <w:t>验收监测工况检查</w:t>
            </w:r>
          </w:p>
          <w:p>
            <w:pPr>
              <w:pStyle w:val="16"/>
              <w:ind w:firstLineChars="0"/>
              <w:rPr>
                <w:rFonts w:cs="Times New Roman"/>
                <w:szCs w:val="24"/>
              </w:rPr>
            </w:pPr>
            <w:r>
              <w:rPr>
                <w:rFonts w:cs="Times New Roman"/>
                <w:szCs w:val="24"/>
              </w:rPr>
              <w:t>在验收监测期间</w:t>
            </w:r>
            <w:r>
              <w:rPr>
                <w:rFonts w:hint="eastAsia" w:cs="Times New Roman"/>
                <w:szCs w:val="24"/>
              </w:rPr>
              <w:t>，我公司设专人负责调查</w:t>
            </w:r>
            <w:r>
              <w:rPr>
                <w:rFonts w:hint="eastAsia"/>
              </w:rPr>
              <w:t>西咸新区天河塑料制品有限公司</w:t>
            </w:r>
            <w:r>
              <w:rPr>
                <w:rFonts w:cs="Times New Roman"/>
                <w:szCs w:val="24"/>
              </w:rPr>
              <w:t>生产负荷，以确保监测数据的有效性和准确性。</w:t>
            </w:r>
          </w:p>
          <w:p>
            <w:pPr>
              <w:ind w:firstLine="482" w:firstLineChars="200"/>
              <w:outlineLvl w:val="0"/>
              <w:rPr>
                <w:b/>
                <w:color w:val="000000"/>
                <w:szCs w:val="24"/>
              </w:rPr>
            </w:pPr>
            <w:r>
              <w:rPr>
                <w:rFonts w:hint="eastAsia"/>
                <w:b/>
                <w:color w:val="000000"/>
                <w:szCs w:val="24"/>
              </w:rPr>
              <w:t>2</w:t>
            </w:r>
            <w:r>
              <w:rPr>
                <w:b/>
                <w:color w:val="000000"/>
                <w:szCs w:val="24"/>
              </w:rPr>
              <w:t>、固体废弃物检查内容</w:t>
            </w:r>
          </w:p>
          <w:p>
            <w:pPr>
              <w:pStyle w:val="17"/>
              <w:spacing w:before="0" w:beforeLines="0"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固体废弃物的调查内容主要包括：</w:t>
            </w:r>
          </w:p>
          <w:p>
            <w:pPr>
              <w:pStyle w:val="17"/>
              <w:numPr>
                <w:ilvl w:val="0"/>
                <w:numId w:val="7"/>
              </w:numPr>
              <w:spacing w:before="0" w:beforeLines="0"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调查固体废弃物的去向、产生量。</w:t>
            </w:r>
          </w:p>
          <w:p>
            <w:pPr>
              <w:pStyle w:val="17"/>
              <w:numPr>
                <w:ilvl w:val="0"/>
                <w:numId w:val="7"/>
              </w:numPr>
              <w:spacing w:before="0" w:beforeLines="0"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调查生活垃圾的去向、产生量。</w:t>
            </w:r>
          </w:p>
          <w:p>
            <w:pPr>
              <w:pStyle w:val="17"/>
              <w:spacing w:before="0" w:beforeLines="0" w:line="360" w:lineRule="auto"/>
              <w:ind w:firstLine="480" w:firstLineChars="200"/>
              <w:jc w:val="left"/>
              <w:rPr>
                <w:rFonts w:ascii="Times New Roman" w:hAnsi="Times New Roman" w:eastAsia="宋体"/>
                <w:color w:val="000000"/>
                <w:sz w:val="24"/>
                <w:szCs w:val="24"/>
              </w:rPr>
            </w:pPr>
            <w:r>
              <w:rPr>
                <w:rFonts w:ascii="Times New Roman" w:hAnsi="Times New Roman" w:eastAsia="宋体"/>
                <w:sz w:val="24"/>
                <w:szCs w:val="24"/>
              </w:rPr>
              <w:t>（</w:t>
            </w:r>
            <w:r>
              <w:rPr>
                <w:rFonts w:hint="eastAsia" w:ascii="Times New Roman" w:hAnsi="Times New Roman" w:eastAsia="宋体"/>
                <w:sz w:val="24"/>
                <w:szCs w:val="24"/>
              </w:rPr>
              <w:t>3</w:t>
            </w:r>
            <w:r>
              <w:rPr>
                <w:rFonts w:ascii="Times New Roman" w:hAnsi="Times New Roman" w:eastAsia="宋体"/>
                <w:sz w:val="24"/>
                <w:szCs w:val="24"/>
              </w:rPr>
              <w:t>）调查</w:t>
            </w:r>
            <w:r>
              <w:rPr>
                <w:rFonts w:hint="eastAsia" w:ascii="Times New Roman" w:hAnsi="Times New Roman" w:eastAsia="宋体"/>
                <w:sz w:val="24"/>
                <w:szCs w:val="24"/>
              </w:rPr>
              <w:t>危险</w:t>
            </w:r>
            <w:r>
              <w:rPr>
                <w:rFonts w:ascii="Times New Roman" w:hAnsi="Times New Roman" w:eastAsia="宋体"/>
                <w:sz w:val="24"/>
                <w:szCs w:val="24"/>
              </w:rPr>
              <w:t>固废的去向、产生量。</w:t>
            </w:r>
          </w:p>
          <w:p>
            <w:pPr>
              <w:ind w:firstLine="482" w:firstLineChars="200"/>
              <w:outlineLvl w:val="0"/>
              <w:rPr>
                <w:b/>
                <w:color w:val="000000"/>
                <w:szCs w:val="24"/>
              </w:rPr>
            </w:pPr>
            <w:r>
              <w:rPr>
                <w:rFonts w:hint="eastAsia"/>
                <w:b/>
                <w:color w:val="000000"/>
                <w:szCs w:val="24"/>
              </w:rPr>
              <w:t>3</w:t>
            </w:r>
            <w:r>
              <w:rPr>
                <w:b/>
                <w:color w:val="000000"/>
                <w:szCs w:val="24"/>
              </w:rPr>
              <w:t>、环境管理检查内容</w:t>
            </w:r>
          </w:p>
          <w:p>
            <w:pPr>
              <w:ind w:firstLine="480" w:firstLineChars="200"/>
              <w:rPr>
                <w:szCs w:val="24"/>
              </w:rPr>
            </w:pPr>
            <w:r>
              <w:rPr>
                <w:szCs w:val="24"/>
              </w:rPr>
              <w:t>环境管理检查主要包括以下内容：</w:t>
            </w:r>
          </w:p>
          <w:p>
            <w:pPr>
              <w:ind w:firstLine="480" w:firstLineChars="200"/>
              <w:rPr>
                <w:szCs w:val="24"/>
              </w:rPr>
            </w:pPr>
            <w:r>
              <w:rPr>
                <w:szCs w:val="24"/>
              </w:rPr>
              <w:t>（1）项目三同时落实情况；</w:t>
            </w:r>
          </w:p>
          <w:p>
            <w:pPr>
              <w:ind w:firstLine="480" w:firstLineChars="200"/>
              <w:rPr>
                <w:szCs w:val="24"/>
              </w:rPr>
            </w:pPr>
            <w:r>
              <w:rPr>
                <w:szCs w:val="24"/>
              </w:rPr>
              <w:t>（2）环保设施运行及维护情况；</w:t>
            </w:r>
          </w:p>
          <w:p>
            <w:pPr>
              <w:ind w:firstLine="480" w:firstLineChars="200"/>
              <w:outlineLvl w:val="0"/>
              <w:rPr>
                <w:szCs w:val="24"/>
              </w:rPr>
            </w:pPr>
            <w:r>
              <w:rPr>
                <w:szCs w:val="24"/>
              </w:rPr>
              <w:t>（3）建设期间和试生产阶段是否发生了扰民和污染事故；</w:t>
            </w:r>
          </w:p>
          <w:p>
            <w:pPr>
              <w:ind w:firstLine="480" w:firstLineChars="200"/>
              <w:outlineLvl w:val="0"/>
              <w:rPr>
                <w:szCs w:val="24"/>
              </w:rPr>
            </w:pPr>
            <w:r>
              <w:rPr>
                <w:szCs w:val="24"/>
              </w:rPr>
              <w:t>（4）环保投资落实情况。</w:t>
            </w:r>
          </w:p>
        </w:tc>
      </w:tr>
    </w:tbl>
    <w:p>
      <w:pPr>
        <w:rPr>
          <w:b/>
          <w:color w:val="000000"/>
          <w:sz w:val="28"/>
          <w:szCs w:val="28"/>
        </w:rPr>
        <w:sectPr>
          <w:pgSz w:w="11906" w:h="16838"/>
          <w:pgMar w:top="1440" w:right="1800" w:bottom="1440" w:left="1800" w:header="708" w:footer="708" w:gutter="0"/>
          <w:cols w:space="720" w:num="1"/>
          <w:docGrid w:linePitch="360" w:charSpace="0"/>
        </w:sectPr>
      </w:pPr>
    </w:p>
    <w:p>
      <w:pPr>
        <w:spacing w:line="240" w:lineRule="auto"/>
        <w:rPr>
          <w:b/>
          <w:color w:val="000000"/>
          <w:sz w:val="28"/>
          <w:szCs w:val="28"/>
        </w:rPr>
      </w:pPr>
      <w:r>
        <w:rPr>
          <w:rFonts w:hint="eastAsia"/>
          <w:b/>
          <w:color w:val="000000"/>
          <w:sz w:val="28"/>
          <w:szCs w:val="28"/>
        </w:rPr>
        <w:t>表七</w:t>
      </w:r>
    </w:p>
    <w:tbl>
      <w:tblPr>
        <w:tblStyle w:val="9"/>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45" w:hRule="atLeast"/>
          <w:jc w:val="center"/>
        </w:trPr>
        <w:tc>
          <w:tcPr>
            <w:tcW w:w="8920" w:type="dxa"/>
          </w:tcPr>
          <w:p>
            <w:pPr>
              <w:spacing w:before="120" w:beforeLines="50"/>
              <w:rPr>
                <w:b/>
                <w:color w:val="000000"/>
                <w:szCs w:val="21"/>
              </w:rPr>
            </w:pPr>
            <w:r>
              <w:rPr>
                <w:rFonts w:hint="eastAsia"/>
                <w:b/>
                <w:color w:val="000000"/>
                <w:szCs w:val="21"/>
              </w:rPr>
              <w:t>验收监测期间生产工况记录：</w:t>
            </w:r>
          </w:p>
          <w:p>
            <w:pPr>
              <w:ind w:firstLine="480" w:firstLineChars="200"/>
              <w:rPr>
                <w:color w:val="000000"/>
                <w:szCs w:val="24"/>
              </w:rPr>
            </w:pPr>
            <w:r>
              <w:rPr>
                <w:color w:val="000000"/>
                <w:szCs w:val="24"/>
              </w:rPr>
              <w:t>验收监测期间工况情况见表7-1。</w:t>
            </w:r>
          </w:p>
          <w:p>
            <w:pPr>
              <w:ind w:firstLine="422" w:firstLineChars="200"/>
              <w:jc w:val="center"/>
              <w:rPr>
                <w:b/>
                <w:bCs/>
                <w:color w:val="000000"/>
                <w:szCs w:val="24"/>
              </w:rPr>
            </w:pPr>
            <w:r>
              <w:rPr>
                <w:b/>
                <w:bCs/>
                <w:color w:val="000000"/>
                <w:sz w:val="21"/>
                <w:szCs w:val="21"/>
              </w:rPr>
              <w:t>表7-1    监测期间工况</w:t>
            </w:r>
          </w:p>
          <w:tbl>
            <w:tblPr>
              <w:tblStyle w:val="8"/>
              <w:tblW w:w="86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2475"/>
              <w:gridCol w:w="1887"/>
              <w:gridCol w:w="1749"/>
              <w:gridCol w:w="12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69" w:type="dxa"/>
                  <w:vAlign w:val="center"/>
                </w:tcPr>
                <w:p>
                  <w:pPr>
                    <w:spacing w:line="240" w:lineRule="auto"/>
                    <w:jc w:val="center"/>
                    <w:rPr>
                      <w:b/>
                      <w:bCs/>
                      <w:color w:val="000000"/>
                      <w:sz w:val="21"/>
                      <w:szCs w:val="21"/>
                    </w:rPr>
                  </w:pPr>
                  <w:r>
                    <w:rPr>
                      <w:b/>
                      <w:bCs/>
                      <w:color w:val="000000"/>
                      <w:sz w:val="21"/>
                      <w:szCs w:val="21"/>
                    </w:rPr>
                    <w:t>日期</w:t>
                  </w:r>
                </w:p>
              </w:tc>
              <w:tc>
                <w:tcPr>
                  <w:tcW w:w="2475" w:type="dxa"/>
                  <w:vAlign w:val="center"/>
                </w:tcPr>
                <w:p>
                  <w:pPr>
                    <w:spacing w:line="240" w:lineRule="auto"/>
                    <w:jc w:val="center"/>
                    <w:rPr>
                      <w:b/>
                      <w:bCs/>
                      <w:color w:val="000000"/>
                      <w:sz w:val="21"/>
                      <w:szCs w:val="21"/>
                    </w:rPr>
                  </w:pPr>
                  <w:r>
                    <w:rPr>
                      <w:rFonts w:hint="eastAsia"/>
                      <w:b/>
                      <w:bCs/>
                      <w:color w:val="000000"/>
                      <w:sz w:val="21"/>
                      <w:szCs w:val="21"/>
                    </w:rPr>
                    <w:t>产品</w:t>
                  </w:r>
                </w:p>
              </w:tc>
              <w:tc>
                <w:tcPr>
                  <w:tcW w:w="1887" w:type="dxa"/>
                  <w:vAlign w:val="center"/>
                </w:tcPr>
                <w:p>
                  <w:pPr>
                    <w:spacing w:line="240" w:lineRule="auto"/>
                    <w:jc w:val="center"/>
                    <w:rPr>
                      <w:b/>
                      <w:bCs/>
                      <w:color w:val="000000"/>
                      <w:sz w:val="21"/>
                      <w:szCs w:val="21"/>
                    </w:rPr>
                  </w:pPr>
                  <w:r>
                    <w:rPr>
                      <w:rFonts w:hint="eastAsia"/>
                      <w:b/>
                      <w:bCs/>
                      <w:color w:val="000000"/>
                      <w:sz w:val="21"/>
                      <w:szCs w:val="21"/>
                    </w:rPr>
                    <w:t>设计产量（t/d）</w:t>
                  </w:r>
                </w:p>
              </w:tc>
              <w:tc>
                <w:tcPr>
                  <w:tcW w:w="1749" w:type="dxa"/>
                  <w:vAlign w:val="center"/>
                </w:tcPr>
                <w:p>
                  <w:pPr>
                    <w:spacing w:line="240" w:lineRule="auto"/>
                    <w:jc w:val="center"/>
                    <w:rPr>
                      <w:b/>
                      <w:bCs/>
                      <w:color w:val="000000"/>
                      <w:sz w:val="21"/>
                      <w:szCs w:val="21"/>
                    </w:rPr>
                  </w:pPr>
                  <w:r>
                    <w:rPr>
                      <w:rFonts w:hint="eastAsia"/>
                      <w:b/>
                      <w:bCs/>
                      <w:color w:val="000000"/>
                      <w:sz w:val="21"/>
                      <w:szCs w:val="21"/>
                    </w:rPr>
                    <w:t>实际产量（t/d）</w:t>
                  </w:r>
                </w:p>
              </w:tc>
              <w:tc>
                <w:tcPr>
                  <w:tcW w:w="1244" w:type="dxa"/>
                  <w:vAlign w:val="center"/>
                </w:tcPr>
                <w:p>
                  <w:pPr>
                    <w:spacing w:line="240" w:lineRule="auto"/>
                    <w:jc w:val="center"/>
                    <w:rPr>
                      <w:b/>
                      <w:bCs/>
                      <w:color w:val="000000"/>
                      <w:sz w:val="21"/>
                      <w:szCs w:val="21"/>
                    </w:rPr>
                  </w:pPr>
                  <w:r>
                    <w:rPr>
                      <w:b/>
                      <w:bCs/>
                      <w:color w:val="000000"/>
                      <w:sz w:val="21"/>
                      <w:szCs w:val="21"/>
                    </w:rPr>
                    <w:t>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69" w:type="dxa"/>
                  <w:vMerge w:val="restart"/>
                  <w:vAlign w:val="center"/>
                </w:tcPr>
                <w:p>
                  <w:pPr>
                    <w:spacing w:line="240" w:lineRule="auto"/>
                    <w:jc w:val="center"/>
                    <w:rPr>
                      <w:color w:val="000000"/>
                      <w:sz w:val="21"/>
                      <w:szCs w:val="21"/>
                    </w:rPr>
                  </w:pPr>
                  <w:r>
                    <w:rPr>
                      <w:color w:val="000000"/>
                      <w:sz w:val="21"/>
                      <w:szCs w:val="21"/>
                    </w:rPr>
                    <w:t>201</w:t>
                  </w:r>
                  <w:r>
                    <w:rPr>
                      <w:rFonts w:hint="eastAsia"/>
                      <w:color w:val="000000"/>
                      <w:sz w:val="21"/>
                      <w:szCs w:val="21"/>
                    </w:rPr>
                    <w:t>9</w:t>
                  </w:r>
                  <w:r>
                    <w:rPr>
                      <w:color w:val="000000"/>
                      <w:sz w:val="21"/>
                      <w:szCs w:val="21"/>
                    </w:rPr>
                    <w:t>.</w:t>
                  </w:r>
                  <w:r>
                    <w:rPr>
                      <w:rFonts w:hint="eastAsia"/>
                      <w:color w:val="000000"/>
                      <w:sz w:val="21"/>
                      <w:szCs w:val="21"/>
                    </w:rPr>
                    <w:t>05</w:t>
                  </w:r>
                  <w:r>
                    <w:rPr>
                      <w:color w:val="000000"/>
                      <w:sz w:val="21"/>
                      <w:szCs w:val="21"/>
                    </w:rPr>
                    <w:t>.</w:t>
                  </w:r>
                  <w:r>
                    <w:rPr>
                      <w:rFonts w:hint="eastAsia"/>
                      <w:color w:val="000000"/>
                      <w:sz w:val="21"/>
                      <w:szCs w:val="21"/>
                    </w:rPr>
                    <w:t>16</w:t>
                  </w:r>
                </w:p>
              </w:tc>
              <w:tc>
                <w:tcPr>
                  <w:tcW w:w="2475" w:type="dxa"/>
                  <w:vAlign w:val="center"/>
                </w:tcPr>
                <w:p>
                  <w:pPr>
                    <w:spacing w:line="240" w:lineRule="auto"/>
                    <w:jc w:val="center"/>
                    <w:rPr>
                      <w:color w:val="000000"/>
                      <w:sz w:val="21"/>
                      <w:szCs w:val="21"/>
                    </w:rPr>
                  </w:pPr>
                  <w:r>
                    <w:rPr>
                      <w:rFonts w:hint="eastAsia"/>
                      <w:color w:val="000000"/>
                      <w:sz w:val="21"/>
                      <w:szCs w:val="21"/>
                    </w:rPr>
                    <w:t>电子工业塑料托盒</w:t>
                  </w:r>
                </w:p>
              </w:tc>
              <w:tc>
                <w:tcPr>
                  <w:tcW w:w="1887" w:type="dxa"/>
                  <w:vAlign w:val="center"/>
                </w:tcPr>
                <w:p>
                  <w:pPr>
                    <w:spacing w:line="240" w:lineRule="auto"/>
                    <w:jc w:val="center"/>
                    <w:rPr>
                      <w:color w:val="000000"/>
                      <w:sz w:val="21"/>
                      <w:szCs w:val="21"/>
                    </w:rPr>
                  </w:pPr>
                  <w:r>
                    <w:rPr>
                      <w:rFonts w:hint="eastAsia"/>
                      <w:color w:val="000000"/>
                      <w:sz w:val="21"/>
                      <w:szCs w:val="21"/>
                    </w:rPr>
                    <w:t>0.233</w:t>
                  </w:r>
                </w:p>
              </w:tc>
              <w:tc>
                <w:tcPr>
                  <w:tcW w:w="1749" w:type="dxa"/>
                  <w:vAlign w:val="center"/>
                </w:tcPr>
                <w:p>
                  <w:pPr>
                    <w:spacing w:line="240" w:lineRule="auto"/>
                    <w:jc w:val="center"/>
                    <w:rPr>
                      <w:color w:val="000000"/>
                      <w:sz w:val="21"/>
                      <w:szCs w:val="21"/>
                    </w:rPr>
                  </w:pPr>
                  <w:r>
                    <w:rPr>
                      <w:rFonts w:hint="eastAsia"/>
                      <w:color w:val="000000"/>
                      <w:sz w:val="21"/>
                      <w:szCs w:val="21"/>
                    </w:rPr>
                    <w:t>0.186</w:t>
                  </w:r>
                </w:p>
              </w:tc>
              <w:tc>
                <w:tcPr>
                  <w:tcW w:w="1244" w:type="dxa"/>
                  <w:vAlign w:val="center"/>
                </w:tcPr>
                <w:p>
                  <w:pPr>
                    <w:spacing w:line="240" w:lineRule="auto"/>
                    <w:jc w:val="center"/>
                    <w:rPr>
                      <w:color w:val="000000"/>
                      <w:sz w:val="21"/>
                      <w:szCs w:val="21"/>
                    </w:rPr>
                  </w:pPr>
                  <w:r>
                    <w:rPr>
                      <w:rFonts w:hint="eastAsia"/>
                      <w:color w:val="000000"/>
                      <w:sz w:val="21"/>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69" w:type="dxa"/>
                  <w:vMerge w:val="continue"/>
                  <w:vAlign w:val="center"/>
                </w:tcPr>
                <w:p>
                  <w:pPr>
                    <w:spacing w:line="240" w:lineRule="auto"/>
                    <w:jc w:val="center"/>
                    <w:rPr>
                      <w:color w:val="000000"/>
                      <w:sz w:val="21"/>
                      <w:szCs w:val="21"/>
                    </w:rPr>
                  </w:pPr>
                </w:p>
              </w:tc>
              <w:tc>
                <w:tcPr>
                  <w:tcW w:w="2475" w:type="dxa"/>
                  <w:vAlign w:val="center"/>
                </w:tcPr>
                <w:p>
                  <w:pPr>
                    <w:spacing w:line="240" w:lineRule="auto"/>
                    <w:jc w:val="center"/>
                    <w:rPr>
                      <w:color w:val="000000"/>
                      <w:sz w:val="21"/>
                      <w:szCs w:val="21"/>
                    </w:rPr>
                  </w:pPr>
                  <w:r>
                    <w:rPr>
                      <w:rFonts w:hint="eastAsia"/>
                      <w:color w:val="000000"/>
                      <w:sz w:val="21"/>
                      <w:szCs w:val="21"/>
                    </w:rPr>
                    <w:t>药瓶及保健品外包装盒</w:t>
                  </w:r>
                </w:p>
              </w:tc>
              <w:tc>
                <w:tcPr>
                  <w:tcW w:w="1887" w:type="dxa"/>
                  <w:vAlign w:val="center"/>
                </w:tcPr>
                <w:p>
                  <w:pPr>
                    <w:spacing w:line="240" w:lineRule="auto"/>
                    <w:jc w:val="center"/>
                    <w:rPr>
                      <w:color w:val="000000"/>
                      <w:sz w:val="21"/>
                      <w:szCs w:val="21"/>
                    </w:rPr>
                  </w:pPr>
                  <w:r>
                    <w:rPr>
                      <w:rFonts w:hint="eastAsia"/>
                      <w:color w:val="000000"/>
                      <w:sz w:val="21"/>
                      <w:szCs w:val="21"/>
                    </w:rPr>
                    <w:t>0.533</w:t>
                  </w:r>
                </w:p>
              </w:tc>
              <w:tc>
                <w:tcPr>
                  <w:tcW w:w="1749" w:type="dxa"/>
                  <w:vAlign w:val="center"/>
                </w:tcPr>
                <w:p>
                  <w:pPr>
                    <w:spacing w:line="240" w:lineRule="auto"/>
                    <w:jc w:val="center"/>
                    <w:rPr>
                      <w:color w:val="000000"/>
                      <w:sz w:val="21"/>
                      <w:szCs w:val="21"/>
                    </w:rPr>
                  </w:pPr>
                  <w:r>
                    <w:rPr>
                      <w:rFonts w:hint="eastAsia"/>
                      <w:color w:val="000000"/>
                      <w:sz w:val="21"/>
                      <w:szCs w:val="21"/>
                    </w:rPr>
                    <w:t>0.415</w:t>
                  </w:r>
                </w:p>
              </w:tc>
              <w:tc>
                <w:tcPr>
                  <w:tcW w:w="1244" w:type="dxa"/>
                  <w:vAlign w:val="center"/>
                </w:tcPr>
                <w:p>
                  <w:pPr>
                    <w:spacing w:line="240" w:lineRule="auto"/>
                    <w:jc w:val="center"/>
                    <w:rPr>
                      <w:color w:val="000000"/>
                      <w:sz w:val="21"/>
                      <w:szCs w:val="21"/>
                    </w:rPr>
                  </w:pPr>
                  <w:r>
                    <w:rPr>
                      <w:rFonts w:hint="eastAsia"/>
                      <w:color w:val="000000"/>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69" w:type="dxa"/>
                  <w:vMerge w:val="restart"/>
                  <w:vAlign w:val="center"/>
                </w:tcPr>
                <w:p>
                  <w:pPr>
                    <w:spacing w:line="240" w:lineRule="auto"/>
                    <w:jc w:val="center"/>
                    <w:rPr>
                      <w:color w:val="000000"/>
                      <w:sz w:val="21"/>
                      <w:szCs w:val="21"/>
                    </w:rPr>
                  </w:pPr>
                  <w:r>
                    <w:rPr>
                      <w:color w:val="000000"/>
                      <w:sz w:val="21"/>
                      <w:szCs w:val="21"/>
                    </w:rPr>
                    <w:t>201</w:t>
                  </w:r>
                  <w:r>
                    <w:rPr>
                      <w:rFonts w:hint="eastAsia"/>
                      <w:color w:val="000000"/>
                      <w:sz w:val="21"/>
                      <w:szCs w:val="21"/>
                    </w:rPr>
                    <w:t>8</w:t>
                  </w:r>
                  <w:r>
                    <w:rPr>
                      <w:color w:val="000000"/>
                      <w:sz w:val="21"/>
                      <w:szCs w:val="21"/>
                    </w:rPr>
                    <w:t>.</w:t>
                  </w:r>
                  <w:r>
                    <w:rPr>
                      <w:rFonts w:hint="eastAsia"/>
                      <w:color w:val="000000"/>
                      <w:sz w:val="21"/>
                      <w:szCs w:val="21"/>
                    </w:rPr>
                    <w:t>05</w:t>
                  </w:r>
                  <w:r>
                    <w:rPr>
                      <w:color w:val="000000"/>
                      <w:sz w:val="21"/>
                      <w:szCs w:val="21"/>
                    </w:rPr>
                    <w:t>.</w:t>
                  </w:r>
                  <w:r>
                    <w:rPr>
                      <w:rFonts w:hint="eastAsia"/>
                      <w:color w:val="000000"/>
                      <w:sz w:val="21"/>
                      <w:szCs w:val="21"/>
                    </w:rPr>
                    <w:t>17</w:t>
                  </w:r>
                </w:p>
              </w:tc>
              <w:tc>
                <w:tcPr>
                  <w:tcW w:w="2475" w:type="dxa"/>
                  <w:vAlign w:val="center"/>
                </w:tcPr>
                <w:p>
                  <w:pPr>
                    <w:spacing w:line="240" w:lineRule="auto"/>
                    <w:jc w:val="center"/>
                    <w:rPr>
                      <w:color w:val="000000"/>
                      <w:sz w:val="21"/>
                      <w:szCs w:val="21"/>
                    </w:rPr>
                  </w:pPr>
                  <w:r>
                    <w:rPr>
                      <w:rFonts w:hint="eastAsia"/>
                      <w:color w:val="000000"/>
                      <w:sz w:val="21"/>
                      <w:szCs w:val="21"/>
                    </w:rPr>
                    <w:t>电子工业塑料托盒</w:t>
                  </w:r>
                </w:p>
              </w:tc>
              <w:tc>
                <w:tcPr>
                  <w:tcW w:w="1887" w:type="dxa"/>
                  <w:vAlign w:val="center"/>
                </w:tcPr>
                <w:p>
                  <w:pPr>
                    <w:spacing w:line="240" w:lineRule="auto"/>
                    <w:jc w:val="center"/>
                    <w:rPr>
                      <w:color w:val="000000"/>
                      <w:sz w:val="21"/>
                      <w:szCs w:val="21"/>
                    </w:rPr>
                  </w:pPr>
                  <w:r>
                    <w:rPr>
                      <w:rFonts w:hint="eastAsia"/>
                      <w:color w:val="000000"/>
                      <w:sz w:val="21"/>
                      <w:szCs w:val="21"/>
                    </w:rPr>
                    <w:t>0.233</w:t>
                  </w:r>
                </w:p>
              </w:tc>
              <w:tc>
                <w:tcPr>
                  <w:tcW w:w="1749" w:type="dxa"/>
                  <w:vAlign w:val="center"/>
                </w:tcPr>
                <w:p>
                  <w:pPr>
                    <w:spacing w:line="240" w:lineRule="auto"/>
                    <w:jc w:val="center"/>
                    <w:rPr>
                      <w:color w:val="000000"/>
                      <w:sz w:val="21"/>
                      <w:szCs w:val="21"/>
                    </w:rPr>
                  </w:pPr>
                  <w:r>
                    <w:rPr>
                      <w:rFonts w:hint="eastAsia"/>
                      <w:color w:val="000000"/>
                      <w:sz w:val="21"/>
                      <w:szCs w:val="21"/>
                    </w:rPr>
                    <w:t>0.184</w:t>
                  </w:r>
                </w:p>
              </w:tc>
              <w:tc>
                <w:tcPr>
                  <w:tcW w:w="1244" w:type="dxa"/>
                  <w:vAlign w:val="center"/>
                </w:tcPr>
                <w:p>
                  <w:pPr>
                    <w:spacing w:line="240" w:lineRule="auto"/>
                    <w:jc w:val="center"/>
                    <w:rPr>
                      <w:color w:val="000000"/>
                      <w:sz w:val="21"/>
                      <w:szCs w:val="21"/>
                    </w:rPr>
                  </w:pPr>
                  <w:r>
                    <w:rPr>
                      <w:rFonts w:hint="eastAsia"/>
                      <w:color w:val="000000"/>
                      <w:sz w:val="21"/>
                      <w:szCs w:val="21"/>
                    </w:rPr>
                    <w:t>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69" w:type="dxa"/>
                  <w:vMerge w:val="continue"/>
                  <w:vAlign w:val="center"/>
                </w:tcPr>
                <w:p>
                  <w:pPr>
                    <w:spacing w:line="240" w:lineRule="auto"/>
                    <w:jc w:val="center"/>
                    <w:rPr>
                      <w:color w:val="000000"/>
                      <w:sz w:val="21"/>
                      <w:szCs w:val="21"/>
                    </w:rPr>
                  </w:pPr>
                </w:p>
              </w:tc>
              <w:tc>
                <w:tcPr>
                  <w:tcW w:w="2475" w:type="dxa"/>
                  <w:vAlign w:val="center"/>
                </w:tcPr>
                <w:p>
                  <w:pPr>
                    <w:spacing w:line="240" w:lineRule="auto"/>
                    <w:jc w:val="center"/>
                    <w:rPr>
                      <w:color w:val="000000"/>
                      <w:sz w:val="21"/>
                      <w:szCs w:val="21"/>
                    </w:rPr>
                  </w:pPr>
                  <w:r>
                    <w:rPr>
                      <w:rFonts w:hint="eastAsia"/>
                      <w:color w:val="000000"/>
                      <w:sz w:val="21"/>
                      <w:szCs w:val="21"/>
                    </w:rPr>
                    <w:t>药瓶及保健品外包装盒</w:t>
                  </w:r>
                </w:p>
              </w:tc>
              <w:tc>
                <w:tcPr>
                  <w:tcW w:w="1887" w:type="dxa"/>
                  <w:vAlign w:val="center"/>
                </w:tcPr>
                <w:p>
                  <w:pPr>
                    <w:spacing w:line="240" w:lineRule="auto"/>
                    <w:jc w:val="center"/>
                    <w:rPr>
                      <w:color w:val="000000"/>
                      <w:sz w:val="21"/>
                      <w:szCs w:val="21"/>
                    </w:rPr>
                  </w:pPr>
                  <w:r>
                    <w:rPr>
                      <w:rFonts w:hint="eastAsia"/>
                      <w:color w:val="000000"/>
                      <w:sz w:val="21"/>
                      <w:szCs w:val="21"/>
                    </w:rPr>
                    <w:t>0.533</w:t>
                  </w:r>
                </w:p>
              </w:tc>
              <w:tc>
                <w:tcPr>
                  <w:tcW w:w="1749" w:type="dxa"/>
                  <w:vAlign w:val="center"/>
                </w:tcPr>
                <w:p>
                  <w:pPr>
                    <w:spacing w:line="240" w:lineRule="auto"/>
                    <w:jc w:val="center"/>
                    <w:rPr>
                      <w:color w:val="000000"/>
                      <w:sz w:val="21"/>
                      <w:szCs w:val="21"/>
                    </w:rPr>
                  </w:pPr>
                  <w:r>
                    <w:rPr>
                      <w:rFonts w:hint="eastAsia"/>
                      <w:color w:val="000000"/>
                      <w:sz w:val="21"/>
                      <w:szCs w:val="21"/>
                    </w:rPr>
                    <w:t>0.415</w:t>
                  </w:r>
                </w:p>
              </w:tc>
              <w:tc>
                <w:tcPr>
                  <w:tcW w:w="1244" w:type="dxa"/>
                  <w:vAlign w:val="center"/>
                </w:tcPr>
                <w:p>
                  <w:pPr>
                    <w:spacing w:line="240" w:lineRule="auto"/>
                    <w:jc w:val="center"/>
                    <w:rPr>
                      <w:color w:val="000000"/>
                      <w:sz w:val="21"/>
                      <w:szCs w:val="21"/>
                    </w:rPr>
                  </w:pPr>
                  <w:r>
                    <w:rPr>
                      <w:rFonts w:hint="eastAsia"/>
                      <w:color w:val="000000"/>
                      <w:sz w:val="21"/>
                      <w:szCs w:val="21"/>
                    </w:rPr>
                    <w:t>78</w:t>
                  </w:r>
                </w:p>
              </w:tc>
            </w:tr>
          </w:tbl>
          <w:p>
            <w:pPr>
              <w:spacing w:before="120" w:beforeLines="50"/>
              <w:jc w:val="both"/>
              <w:rPr>
                <w:b/>
                <w:color w:val="000000"/>
                <w:szCs w:val="21"/>
              </w:rPr>
            </w:pPr>
            <w:r>
              <w:rPr>
                <w:rFonts w:hint="eastAsia"/>
                <w:b/>
                <w:color w:val="000000"/>
                <w:sz w:val="21"/>
                <w:szCs w:val="21"/>
              </w:rPr>
              <w:t>7.1</w:t>
            </w:r>
            <w:r>
              <w:rPr>
                <w:rFonts w:hint="eastAsia"/>
                <w:b/>
                <w:color w:val="000000"/>
                <w:szCs w:val="21"/>
              </w:rPr>
              <w:t>环境管理检查结果</w:t>
            </w:r>
          </w:p>
          <w:p>
            <w:pPr>
              <w:widowControl w:val="0"/>
              <w:adjustRightInd/>
              <w:snapToGrid/>
              <w:ind w:firstLine="480" w:firstLineChars="200"/>
              <w:jc w:val="both"/>
              <w:rPr>
                <w:rFonts w:cs="宋体"/>
                <w:lang w:bidi="ar"/>
              </w:rPr>
            </w:pPr>
            <w:r>
              <w:rPr>
                <w:rFonts w:hint="eastAsia"/>
                <w:color w:val="000000"/>
                <w:szCs w:val="21"/>
              </w:rPr>
              <w:t>1、</w:t>
            </w:r>
            <w:r>
              <w:rPr>
                <w:szCs w:val="24"/>
              </w:rPr>
              <w:t>项目</w:t>
            </w:r>
            <w:r>
              <w:rPr>
                <w:rFonts w:hint="eastAsia"/>
                <w:szCs w:val="24"/>
              </w:rPr>
              <w:t>“</w:t>
            </w:r>
            <w:r>
              <w:rPr>
                <w:szCs w:val="24"/>
              </w:rPr>
              <w:t>三同时</w:t>
            </w:r>
            <w:r>
              <w:rPr>
                <w:rFonts w:hint="eastAsia"/>
                <w:szCs w:val="24"/>
              </w:rPr>
              <w:t>”</w:t>
            </w:r>
            <w:r>
              <w:rPr>
                <w:szCs w:val="24"/>
              </w:rPr>
              <w:t>落实情况</w:t>
            </w:r>
          </w:p>
          <w:p>
            <w:pPr>
              <w:widowControl w:val="0"/>
              <w:adjustRightInd/>
              <w:snapToGrid/>
              <w:ind w:firstLine="480" w:firstLineChars="200"/>
              <w:rPr>
                <w:szCs w:val="21"/>
              </w:rPr>
            </w:pPr>
            <w:r>
              <w:rPr>
                <w:rFonts w:hint="eastAsia" w:cs="宋体"/>
                <w:lang w:bidi="ar"/>
              </w:rPr>
              <w:t>西咸新区天河塑料制品有限公司吸塑制品加工生产线建设项目于</w:t>
            </w:r>
            <w:r>
              <w:rPr>
                <w:rFonts w:hint="eastAsia"/>
                <w:color w:val="000000"/>
              </w:rPr>
              <w:t>2019年3月</w:t>
            </w:r>
            <w:r>
              <w:rPr>
                <w:rFonts w:hint="eastAsia" w:cs="宋体"/>
                <w:lang w:bidi="ar"/>
              </w:rPr>
              <w:t>由重庆大润环境科学研究院有限公司</w:t>
            </w:r>
            <w:r>
              <w:rPr>
                <w:rFonts w:hint="eastAsia"/>
                <w:color w:val="000000"/>
              </w:rPr>
              <w:t>完成环境影响报告表的编制工作，2019年4月30日由陕西省西咸新区秦汉新城行政审批与政务服务局对该项目的环境影响报告表进行了审批，</w:t>
            </w:r>
            <w:r>
              <w:rPr>
                <w:rFonts w:hint="eastAsia" w:cs="宋体"/>
                <w:lang w:bidi="ar"/>
              </w:rPr>
              <w:t>2018年11月开工建设，2019年03月建成投产</w:t>
            </w:r>
            <w:r>
              <w:rPr>
                <w:rFonts w:hint="eastAsia"/>
                <w:color w:val="000000"/>
              </w:rPr>
              <w:t>；项</w:t>
            </w:r>
            <w:r>
              <w:rPr>
                <w:rFonts w:hint="eastAsia"/>
              </w:rPr>
              <w:t>目总投资200</w:t>
            </w:r>
            <w:r>
              <w:t>万元</w:t>
            </w:r>
            <w:r>
              <w:rPr>
                <w:rFonts w:hint="eastAsia"/>
              </w:rPr>
              <w:t>，其中环保投资23万，占总投资的11.5%。</w:t>
            </w:r>
            <w:r>
              <w:rPr>
                <w:szCs w:val="21"/>
              </w:rPr>
              <w:t>环评批复、环评结论、要求及建议的落实情况见表7-</w:t>
            </w:r>
            <w:r>
              <w:rPr>
                <w:rFonts w:hint="eastAsia"/>
                <w:szCs w:val="21"/>
              </w:rPr>
              <w:t>2</w:t>
            </w:r>
            <w:r>
              <w:rPr>
                <w:szCs w:val="21"/>
              </w:rPr>
              <w:t>。</w:t>
            </w:r>
          </w:p>
          <w:p>
            <w:pPr>
              <w:jc w:val="center"/>
              <w:rPr>
                <w:rFonts w:cs="黑体"/>
                <w:bCs/>
              </w:rPr>
            </w:pPr>
            <w:r>
              <w:rPr>
                <w:rFonts w:hint="eastAsia" w:cs="宋体"/>
                <w:b/>
                <w:sz w:val="21"/>
                <w:szCs w:val="21"/>
              </w:rPr>
              <w:t>表7-2  本项目落实环境保护“三同时”制度情况一览表</w:t>
            </w:r>
          </w:p>
          <w:tbl>
            <w:tblPr>
              <w:tblStyle w:val="8"/>
              <w:tblW w:w="870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2"/>
              <w:gridCol w:w="2477"/>
              <w:gridCol w:w="2571"/>
              <w:gridCol w:w="29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682" w:type="dxa"/>
                  <w:vAlign w:val="center"/>
                </w:tcPr>
                <w:p>
                  <w:pPr>
                    <w:pStyle w:val="18"/>
                    <w:spacing w:line="240" w:lineRule="atLeast"/>
                    <w:ind w:firstLine="0" w:firstLineChars="0"/>
                    <w:jc w:val="center"/>
                    <w:rPr>
                      <w:rFonts w:ascii="Times New Roman" w:hAnsi="Times New Roman"/>
                      <w:b/>
                      <w:sz w:val="21"/>
                      <w:szCs w:val="21"/>
                    </w:rPr>
                  </w:pPr>
                  <w:r>
                    <w:rPr>
                      <w:rFonts w:ascii="Times New Roman" w:hAnsi="Times New Roman"/>
                      <w:b/>
                      <w:sz w:val="21"/>
                      <w:szCs w:val="21"/>
                    </w:rPr>
                    <w:t>环保设施</w:t>
                  </w:r>
                </w:p>
              </w:tc>
              <w:tc>
                <w:tcPr>
                  <w:tcW w:w="2477" w:type="dxa"/>
                  <w:vAlign w:val="center"/>
                </w:tcPr>
                <w:p>
                  <w:pPr>
                    <w:pStyle w:val="18"/>
                    <w:spacing w:line="240" w:lineRule="atLeast"/>
                    <w:ind w:firstLine="0" w:firstLineChars="0"/>
                    <w:jc w:val="center"/>
                    <w:rPr>
                      <w:rFonts w:ascii="Times New Roman" w:hAnsi="Times New Roman"/>
                      <w:b/>
                      <w:sz w:val="21"/>
                      <w:szCs w:val="21"/>
                    </w:rPr>
                  </w:pPr>
                  <w:r>
                    <w:rPr>
                      <w:rFonts w:ascii="Times New Roman" w:hAnsi="Times New Roman"/>
                      <w:b/>
                      <w:sz w:val="21"/>
                      <w:szCs w:val="21"/>
                    </w:rPr>
                    <w:t>环评结论、要求</w:t>
                  </w:r>
                </w:p>
              </w:tc>
              <w:tc>
                <w:tcPr>
                  <w:tcW w:w="2571" w:type="dxa"/>
                  <w:vAlign w:val="center"/>
                </w:tcPr>
                <w:p>
                  <w:pPr>
                    <w:pStyle w:val="18"/>
                    <w:spacing w:line="240" w:lineRule="atLeast"/>
                    <w:ind w:firstLine="0" w:firstLineChars="0"/>
                    <w:jc w:val="center"/>
                    <w:rPr>
                      <w:rFonts w:ascii="Times New Roman" w:hAnsi="Times New Roman"/>
                      <w:b/>
                      <w:sz w:val="21"/>
                      <w:szCs w:val="21"/>
                    </w:rPr>
                  </w:pPr>
                  <w:r>
                    <w:rPr>
                      <w:rFonts w:hint="eastAsia" w:ascii="Times New Roman" w:hAnsi="Times New Roman"/>
                      <w:b/>
                      <w:sz w:val="21"/>
                      <w:szCs w:val="21"/>
                    </w:rPr>
                    <w:t>环评批复要求</w:t>
                  </w:r>
                </w:p>
              </w:tc>
              <w:tc>
                <w:tcPr>
                  <w:tcW w:w="2974" w:type="dxa"/>
                  <w:vAlign w:val="center"/>
                </w:tcPr>
                <w:p>
                  <w:pPr>
                    <w:pStyle w:val="18"/>
                    <w:spacing w:line="240" w:lineRule="atLeast"/>
                    <w:ind w:firstLine="0" w:firstLineChars="0"/>
                    <w:jc w:val="center"/>
                    <w:rPr>
                      <w:rFonts w:ascii="Times New Roman" w:hAnsi="Times New Roman"/>
                      <w:b/>
                      <w:sz w:val="21"/>
                      <w:szCs w:val="21"/>
                    </w:rPr>
                  </w:pPr>
                  <w:r>
                    <w:rPr>
                      <w:rFonts w:ascii="Times New Roman" w:hAnsi="Times New Roman"/>
                      <w:b/>
                      <w:sz w:val="21"/>
                      <w:szCs w:val="21"/>
                    </w:rPr>
                    <w:t>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95" w:hRule="atLeast"/>
                <w:jc w:val="center"/>
              </w:trPr>
              <w:tc>
                <w:tcPr>
                  <w:tcW w:w="682" w:type="dxa"/>
                  <w:vAlign w:val="center"/>
                </w:tcPr>
                <w:p>
                  <w:pPr>
                    <w:widowControl w:val="0"/>
                    <w:adjustRightInd/>
                    <w:snapToGrid/>
                    <w:spacing w:line="240" w:lineRule="atLeast"/>
                    <w:jc w:val="center"/>
                    <w:textAlignment w:val="baseline"/>
                    <w:rPr>
                      <w:bCs/>
                      <w:sz w:val="21"/>
                      <w:szCs w:val="21"/>
                    </w:rPr>
                  </w:pPr>
                  <w:r>
                    <w:rPr>
                      <w:rFonts w:hint="eastAsia"/>
                      <w:bCs/>
                      <w:sz w:val="21"/>
                      <w:szCs w:val="21"/>
                    </w:rPr>
                    <w:t>固体废物</w:t>
                  </w:r>
                </w:p>
                <w:p>
                  <w:pPr>
                    <w:widowControl w:val="0"/>
                    <w:adjustRightInd/>
                    <w:snapToGrid/>
                    <w:spacing w:line="240" w:lineRule="atLeast"/>
                    <w:jc w:val="center"/>
                    <w:textAlignment w:val="baseline"/>
                    <w:rPr>
                      <w:bCs/>
                      <w:sz w:val="21"/>
                      <w:szCs w:val="21"/>
                    </w:rPr>
                  </w:pPr>
                  <w:r>
                    <w:rPr>
                      <w:bCs/>
                      <w:sz w:val="21"/>
                      <w:szCs w:val="21"/>
                    </w:rPr>
                    <w:t>防治措施</w:t>
                  </w:r>
                </w:p>
              </w:tc>
              <w:tc>
                <w:tcPr>
                  <w:tcW w:w="2477" w:type="dxa"/>
                  <w:vAlign w:val="center"/>
                </w:tcPr>
                <w:p>
                  <w:pPr>
                    <w:pStyle w:val="18"/>
                    <w:spacing w:line="240" w:lineRule="auto"/>
                    <w:ind w:firstLine="0" w:firstLineChars="0"/>
                    <w:jc w:val="center"/>
                    <w:textAlignment w:val="baseline"/>
                    <w:rPr>
                      <w:rFonts w:ascii="Times New Roman" w:hAnsi="Times New Roman"/>
                      <w:bCs/>
                      <w:sz w:val="21"/>
                      <w:szCs w:val="21"/>
                    </w:rPr>
                  </w:pPr>
                  <w:r>
                    <w:rPr>
                      <w:rFonts w:hint="eastAsia" w:ascii="Times New Roman" w:hAnsi="Times New Roman"/>
                      <w:bCs/>
                      <w:sz w:val="21"/>
                      <w:szCs w:val="21"/>
                    </w:rPr>
                    <w:t>项目厂区设置垃圾收集桶，生活垃圾集中收集后交由环卫部门统一处理处置；项目不合格产品经废料库暂存后全部由厂家回收，不外排。废活性炭、废紫外灯管经专用容器盛装后定期交由有资质单位处理处置。</w:t>
                  </w:r>
                </w:p>
              </w:tc>
              <w:tc>
                <w:tcPr>
                  <w:tcW w:w="2571" w:type="dxa"/>
                  <w:vAlign w:val="center"/>
                </w:tcPr>
                <w:p>
                  <w:pPr>
                    <w:spacing w:line="240" w:lineRule="auto"/>
                    <w:jc w:val="center"/>
                    <w:rPr>
                      <w:bCs/>
                      <w:sz w:val="21"/>
                      <w:szCs w:val="21"/>
                    </w:rPr>
                  </w:pPr>
                  <w:r>
                    <w:rPr>
                      <w:rFonts w:hint="eastAsia"/>
                      <w:bCs/>
                      <w:sz w:val="21"/>
                      <w:szCs w:val="21"/>
                    </w:rPr>
                    <w:t>加强固体废物管理。项目生产过程中产生不合格产品经废料库暂存后全部由厂家回收，不外排；生活垃圾集中收集后交由环卫部门统一处理处置；废活性炭、废紫外灯管经专用容器盛装后定期交由有资质单位处理处置。</w:t>
                  </w:r>
                </w:p>
              </w:tc>
              <w:tc>
                <w:tcPr>
                  <w:tcW w:w="2974" w:type="dxa"/>
                  <w:vAlign w:val="center"/>
                </w:tcPr>
                <w:p>
                  <w:pPr>
                    <w:spacing w:line="240" w:lineRule="auto"/>
                    <w:jc w:val="center"/>
                    <w:rPr>
                      <w:bCs/>
                      <w:sz w:val="21"/>
                      <w:szCs w:val="21"/>
                    </w:rPr>
                  </w:pPr>
                  <w:r>
                    <w:rPr>
                      <w:rFonts w:hint="eastAsia"/>
                      <w:bCs/>
                      <w:sz w:val="21"/>
                      <w:szCs w:val="21"/>
                    </w:rPr>
                    <w:t>项目厂区设置垃圾收集桶，生活垃圾集中收集后交由环卫部门统一处理处置；项目不合格产品经废料库暂存后全部由厂家回收；废机油、油抹布、废活性炭分类收集在危废暂存间暂存后定期交由陕西明瑞资源再生有限公司处理；废紫外灯管由厂商更换后直接回收，不在厂区存放。</w:t>
                  </w:r>
                </w:p>
              </w:tc>
            </w:tr>
          </w:tbl>
          <w:p>
            <w:pPr>
              <w:spacing w:before="120" w:beforeLines="50"/>
              <w:ind w:firstLine="480" w:firstLineChars="200"/>
              <w:rPr>
                <w:szCs w:val="24"/>
              </w:rPr>
            </w:pPr>
            <w:r>
              <w:rPr>
                <w:rFonts w:hint="eastAsia"/>
                <w:color w:val="000000"/>
                <w:szCs w:val="21"/>
              </w:rPr>
              <w:t>2、</w:t>
            </w:r>
            <w:r>
              <w:rPr>
                <w:szCs w:val="24"/>
              </w:rPr>
              <w:t>环保设施运行及维护情况</w:t>
            </w:r>
          </w:p>
          <w:p>
            <w:pPr>
              <w:ind w:firstLine="480" w:firstLineChars="200"/>
              <w:jc w:val="both"/>
            </w:pPr>
            <w:r>
              <w:rPr>
                <w:rFonts w:hint="eastAsia"/>
                <w:color w:val="000000"/>
              </w:rPr>
              <w:t>经检查，建设单位在厂区建设了危废暂存间和废料库，目前各项环保设施运行</w:t>
            </w:r>
          </w:p>
        </w:tc>
      </w:tr>
    </w:tbl>
    <w:p>
      <w:pPr>
        <w:spacing w:line="240" w:lineRule="auto"/>
        <w:rPr>
          <w:b/>
          <w:color w:val="000000"/>
          <w:sz w:val="28"/>
          <w:szCs w:val="28"/>
        </w:rPr>
      </w:pPr>
    </w:p>
    <w:p>
      <w:pPr>
        <w:spacing w:line="240" w:lineRule="auto"/>
        <w:rPr>
          <w:b/>
          <w:color w:val="000000"/>
          <w:sz w:val="28"/>
          <w:szCs w:val="28"/>
        </w:rPr>
      </w:pPr>
      <w:r>
        <w:rPr>
          <w:rFonts w:hint="eastAsia"/>
          <w:b/>
          <w:color w:val="000000"/>
          <w:sz w:val="28"/>
          <w:szCs w:val="28"/>
        </w:rPr>
        <w:t>续表七</w:t>
      </w:r>
    </w:p>
    <w:tbl>
      <w:tblPr>
        <w:tblStyle w:val="9"/>
        <w:tblW w:w="8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62" w:hRule="atLeast"/>
          <w:jc w:val="center"/>
        </w:trPr>
        <w:tc>
          <w:tcPr>
            <w:tcW w:w="8840" w:type="dxa"/>
          </w:tcPr>
          <w:p>
            <w:pPr>
              <w:spacing w:before="120" w:beforeLines="50"/>
              <w:jc w:val="both"/>
              <w:rPr>
                <w:rFonts w:cs="宋体"/>
                <w:b/>
                <w:bCs/>
                <w:color w:val="000000"/>
                <w:sz w:val="21"/>
                <w:szCs w:val="21"/>
              </w:rPr>
            </w:pPr>
            <w:r>
              <w:rPr>
                <w:rFonts w:hint="eastAsia"/>
                <w:color w:val="000000"/>
              </w:rPr>
              <w:t>正常，无异常情况。环保落实情况见表7-3。</w:t>
            </w:r>
          </w:p>
          <w:p>
            <w:pPr>
              <w:ind w:firstLine="422" w:firstLineChars="200"/>
              <w:jc w:val="center"/>
              <w:rPr>
                <w:rFonts w:cs="宋体"/>
                <w:b/>
                <w:bCs/>
                <w:color w:val="000000"/>
                <w:sz w:val="21"/>
                <w:szCs w:val="21"/>
              </w:rPr>
            </w:pPr>
            <w:r>
              <w:rPr>
                <w:rFonts w:hint="eastAsia" w:cs="宋体"/>
                <w:b/>
                <w:bCs/>
                <w:color w:val="000000"/>
                <w:sz w:val="21"/>
                <w:szCs w:val="21"/>
              </w:rPr>
              <w:t>表7-3 环保设施落实情况对照表</w:t>
            </w:r>
          </w:p>
          <w:tbl>
            <w:tblPr>
              <w:tblStyle w:val="9"/>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20"/>
              <w:gridCol w:w="3074"/>
              <w:gridCol w:w="1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42" w:type="dxa"/>
                  <w:vAlign w:val="center"/>
                </w:tcPr>
                <w:p>
                  <w:pPr>
                    <w:widowControl w:val="0"/>
                    <w:adjustRightInd/>
                    <w:snapToGrid/>
                    <w:spacing w:line="240" w:lineRule="auto"/>
                    <w:jc w:val="center"/>
                    <w:rPr>
                      <w:b/>
                      <w:bCs/>
                      <w:color w:val="000000"/>
                      <w:sz w:val="21"/>
                      <w:szCs w:val="21"/>
                    </w:rPr>
                  </w:pPr>
                  <w:r>
                    <w:rPr>
                      <w:rFonts w:hint="eastAsia"/>
                      <w:b/>
                      <w:bCs/>
                      <w:color w:val="000000"/>
                      <w:sz w:val="21"/>
                      <w:szCs w:val="21"/>
                    </w:rPr>
                    <w:t>类别</w:t>
                  </w:r>
                </w:p>
              </w:tc>
              <w:tc>
                <w:tcPr>
                  <w:tcW w:w="2720" w:type="dxa"/>
                  <w:vAlign w:val="center"/>
                </w:tcPr>
                <w:p>
                  <w:pPr>
                    <w:widowControl w:val="0"/>
                    <w:adjustRightInd/>
                    <w:snapToGrid/>
                    <w:spacing w:line="240" w:lineRule="auto"/>
                    <w:jc w:val="center"/>
                    <w:rPr>
                      <w:b/>
                      <w:bCs/>
                      <w:color w:val="000000"/>
                      <w:sz w:val="21"/>
                      <w:szCs w:val="21"/>
                    </w:rPr>
                  </w:pPr>
                  <w:r>
                    <w:rPr>
                      <w:b/>
                      <w:bCs/>
                      <w:color w:val="000000"/>
                      <w:sz w:val="21"/>
                      <w:szCs w:val="21"/>
                    </w:rPr>
                    <w:t>环评要求环保措施</w:t>
                  </w:r>
                </w:p>
              </w:tc>
              <w:tc>
                <w:tcPr>
                  <w:tcW w:w="3074" w:type="dxa"/>
                  <w:vAlign w:val="center"/>
                </w:tcPr>
                <w:p>
                  <w:pPr>
                    <w:widowControl w:val="0"/>
                    <w:adjustRightInd/>
                    <w:snapToGrid/>
                    <w:spacing w:line="240" w:lineRule="auto"/>
                    <w:jc w:val="center"/>
                    <w:rPr>
                      <w:b/>
                      <w:bCs/>
                      <w:color w:val="000000"/>
                      <w:sz w:val="21"/>
                      <w:szCs w:val="21"/>
                    </w:rPr>
                  </w:pPr>
                  <w:r>
                    <w:rPr>
                      <w:b/>
                      <w:bCs/>
                      <w:color w:val="000000"/>
                      <w:sz w:val="21"/>
                      <w:szCs w:val="21"/>
                    </w:rPr>
                    <w:t>环保措施落实情况</w:t>
                  </w:r>
                </w:p>
              </w:tc>
              <w:tc>
                <w:tcPr>
                  <w:tcW w:w="1770" w:type="dxa"/>
                  <w:vAlign w:val="center"/>
                </w:tcPr>
                <w:p>
                  <w:pPr>
                    <w:widowControl w:val="0"/>
                    <w:adjustRightInd/>
                    <w:snapToGrid/>
                    <w:spacing w:line="240" w:lineRule="auto"/>
                    <w:jc w:val="center"/>
                    <w:rPr>
                      <w:b/>
                      <w:bCs/>
                      <w:color w:val="000000"/>
                      <w:sz w:val="21"/>
                      <w:szCs w:val="21"/>
                    </w:rPr>
                  </w:pPr>
                  <w:r>
                    <w:rPr>
                      <w:b/>
                      <w:bCs/>
                      <w:color w:val="00000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41" w:hRule="atLeast"/>
              </w:trPr>
              <w:tc>
                <w:tcPr>
                  <w:tcW w:w="742" w:type="dxa"/>
                  <w:vAlign w:val="center"/>
                </w:tcPr>
                <w:p>
                  <w:pPr>
                    <w:widowControl w:val="0"/>
                    <w:adjustRightInd/>
                    <w:snapToGrid/>
                    <w:spacing w:line="240" w:lineRule="auto"/>
                    <w:jc w:val="center"/>
                    <w:rPr>
                      <w:color w:val="000000"/>
                      <w:sz w:val="21"/>
                      <w:szCs w:val="21"/>
                    </w:rPr>
                  </w:pPr>
                  <w:r>
                    <w:rPr>
                      <w:rFonts w:hint="eastAsia"/>
                      <w:color w:val="000000"/>
                      <w:sz w:val="21"/>
                      <w:szCs w:val="21"/>
                    </w:rPr>
                    <w:t>固废</w:t>
                  </w:r>
                </w:p>
              </w:tc>
              <w:tc>
                <w:tcPr>
                  <w:tcW w:w="2720" w:type="dxa"/>
                  <w:vAlign w:val="center"/>
                </w:tcPr>
                <w:p>
                  <w:pPr>
                    <w:widowControl w:val="0"/>
                    <w:adjustRightInd/>
                    <w:snapToGrid/>
                    <w:spacing w:line="240" w:lineRule="auto"/>
                    <w:jc w:val="center"/>
                    <w:rPr>
                      <w:color w:val="000000"/>
                      <w:sz w:val="21"/>
                      <w:szCs w:val="21"/>
                    </w:rPr>
                  </w:pPr>
                  <w:r>
                    <w:rPr>
                      <w:rFonts w:hint="eastAsia"/>
                      <w:color w:val="000000"/>
                      <w:sz w:val="21"/>
                      <w:szCs w:val="21"/>
                    </w:rPr>
                    <w:t>本项目运营期固体废物主要包括职工生活垃圾，生产过程中产生不合格产品和废活性炭。生活垃圾产生量约3</w:t>
                  </w:r>
                  <w:r>
                    <w:rPr>
                      <w:color w:val="000000"/>
                      <w:sz w:val="21"/>
                      <w:szCs w:val="21"/>
                    </w:rPr>
                    <w:t>kg/d</w:t>
                  </w:r>
                  <w:r>
                    <w:rPr>
                      <w:rFonts w:hint="eastAsia"/>
                      <w:color w:val="000000"/>
                      <w:sz w:val="21"/>
                      <w:szCs w:val="21"/>
                    </w:rPr>
                    <w:t>（0.9</w:t>
                  </w:r>
                  <w:r>
                    <w:rPr>
                      <w:color w:val="000000"/>
                      <w:sz w:val="21"/>
                      <w:szCs w:val="21"/>
                    </w:rPr>
                    <w:t>t/a</w:t>
                  </w:r>
                  <w:r>
                    <w:rPr>
                      <w:rFonts w:hint="eastAsia"/>
                      <w:color w:val="000000"/>
                      <w:sz w:val="21"/>
                      <w:szCs w:val="21"/>
                    </w:rPr>
                    <w:t>），项目厂区设置垃圾收集桶，集中收集后交由环卫部门统一处理处置；项目不合格产品经废料库暂存后全部由厂家回收，不外排。废活性炭、废紫外灯管经专用容器盛装后定期交由有资质单位处理处置。</w:t>
                  </w:r>
                </w:p>
              </w:tc>
              <w:tc>
                <w:tcPr>
                  <w:tcW w:w="3074" w:type="dxa"/>
                  <w:vAlign w:val="center"/>
                </w:tcPr>
                <w:p>
                  <w:pPr>
                    <w:widowControl w:val="0"/>
                    <w:adjustRightInd/>
                    <w:snapToGrid/>
                    <w:spacing w:line="240" w:lineRule="auto"/>
                    <w:jc w:val="center"/>
                    <w:rPr>
                      <w:color w:val="000000"/>
                      <w:sz w:val="21"/>
                      <w:szCs w:val="21"/>
                    </w:rPr>
                  </w:pPr>
                  <w:r>
                    <w:rPr>
                      <w:rFonts w:hint="eastAsia"/>
                      <w:bCs/>
                      <w:sz w:val="21"/>
                      <w:szCs w:val="21"/>
                    </w:rPr>
                    <w:t>项目厂区设置垃圾收集桶，生活垃圾集中收集后交由环卫部门统一处理处置；项目不合格产品经废料库暂存后全部由厂家回收；废机油、油抹布、废活性炭等分类收集，在危废暂存间暂存后定期交由陕西明瑞资源再生有限公司处理；废紫外灯管由厂商更换后直接回收，不在厂区存放。</w:t>
                  </w:r>
                </w:p>
              </w:tc>
              <w:tc>
                <w:tcPr>
                  <w:tcW w:w="1770" w:type="dxa"/>
                  <w:vAlign w:val="center"/>
                </w:tcPr>
                <w:p>
                  <w:pPr>
                    <w:widowControl w:val="0"/>
                    <w:adjustRightInd/>
                    <w:snapToGrid/>
                    <w:spacing w:line="240" w:lineRule="auto"/>
                    <w:jc w:val="center"/>
                    <w:rPr>
                      <w:sz w:val="21"/>
                      <w:szCs w:val="21"/>
                    </w:rPr>
                  </w:pPr>
                  <w:r>
                    <w:rPr>
                      <w:rFonts w:hint="eastAsia"/>
                      <w:color w:val="000000"/>
                      <w:sz w:val="21"/>
                      <w:szCs w:val="21"/>
                    </w:rPr>
                    <w:t>满足环评要求</w:t>
                  </w:r>
                </w:p>
              </w:tc>
            </w:tr>
          </w:tbl>
          <w:p>
            <w:pPr>
              <w:spacing w:before="120" w:beforeLines="50"/>
              <w:ind w:firstLine="480" w:firstLineChars="200"/>
              <w:rPr>
                <w:szCs w:val="24"/>
              </w:rPr>
            </w:pPr>
            <w:r>
              <w:rPr>
                <w:rFonts w:hint="eastAsia"/>
                <w:color w:val="000000"/>
                <w:szCs w:val="21"/>
              </w:rPr>
              <w:t>3、</w:t>
            </w:r>
            <w:r>
              <w:rPr>
                <w:szCs w:val="24"/>
              </w:rPr>
              <w:t>建设期间和试生产阶段是否发生了扰民和污染事故</w:t>
            </w:r>
          </w:p>
          <w:p>
            <w:pPr>
              <w:ind w:firstLine="539"/>
              <w:rPr>
                <w:color w:val="000000"/>
                <w:szCs w:val="28"/>
              </w:rPr>
            </w:pPr>
            <w:r>
              <w:rPr>
                <w:szCs w:val="21"/>
              </w:rPr>
              <w:t>经现场调查和周边走访，该项目在建设和试生产期间未发生扰民和污染事故。</w:t>
            </w:r>
          </w:p>
          <w:p>
            <w:pPr>
              <w:ind w:firstLine="539"/>
              <w:rPr>
                <w:color w:val="000000"/>
                <w:szCs w:val="28"/>
              </w:rPr>
            </w:pPr>
            <w:r>
              <w:rPr>
                <w:color w:val="000000"/>
                <w:szCs w:val="28"/>
              </w:rPr>
              <w:t>4</w:t>
            </w:r>
            <w:r>
              <w:rPr>
                <w:rFonts w:hint="eastAsia"/>
                <w:color w:val="000000"/>
                <w:szCs w:val="28"/>
              </w:rPr>
              <w:t>、本项目环保投资落</w:t>
            </w:r>
            <w:r>
              <w:rPr>
                <w:color w:val="000000"/>
                <w:szCs w:val="28"/>
              </w:rPr>
              <w:t>实情况</w:t>
            </w:r>
          </w:p>
          <w:p>
            <w:pPr>
              <w:ind w:firstLine="539"/>
              <w:rPr>
                <w:color w:val="000000"/>
                <w:szCs w:val="28"/>
              </w:rPr>
            </w:pPr>
            <w:r>
              <w:rPr>
                <w:color w:val="000000"/>
                <w:szCs w:val="28"/>
              </w:rPr>
              <w:t>本项目环保投资情况见表7-</w:t>
            </w:r>
            <w:r>
              <w:rPr>
                <w:rFonts w:hint="eastAsia"/>
                <w:color w:val="000000"/>
                <w:szCs w:val="28"/>
              </w:rPr>
              <w:t>4</w:t>
            </w:r>
            <w:r>
              <w:rPr>
                <w:color w:val="000000"/>
                <w:szCs w:val="28"/>
              </w:rPr>
              <w:t>。</w:t>
            </w:r>
          </w:p>
          <w:p>
            <w:pPr>
              <w:widowControl w:val="0"/>
              <w:tabs>
                <w:tab w:val="left" w:pos="1263"/>
              </w:tabs>
              <w:adjustRightInd/>
              <w:snapToGrid/>
              <w:ind w:firstLine="422" w:firstLineChars="200"/>
              <w:jc w:val="center"/>
              <w:rPr>
                <w:szCs w:val="28"/>
              </w:rPr>
            </w:pPr>
            <w:r>
              <w:rPr>
                <w:b/>
                <w:bCs/>
                <w:sz w:val="21"/>
                <w:szCs w:val="21"/>
              </w:rPr>
              <w:t>表</w:t>
            </w:r>
            <w:r>
              <w:rPr>
                <w:rFonts w:hint="eastAsia"/>
                <w:b/>
                <w:bCs/>
                <w:sz w:val="21"/>
                <w:szCs w:val="21"/>
              </w:rPr>
              <w:t xml:space="preserve">7-4  </w:t>
            </w:r>
            <w:r>
              <w:rPr>
                <w:b/>
                <w:bCs/>
                <w:sz w:val="21"/>
                <w:szCs w:val="21"/>
              </w:rPr>
              <w:t>环保投资情况</w:t>
            </w:r>
          </w:p>
          <w:tbl>
            <w:tblPr>
              <w:tblStyle w:val="9"/>
              <w:tblW w:w="8624"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48"/>
              <w:gridCol w:w="2194"/>
              <w:gridCol w:w="3748"/>
              <w:gridCol w:w="193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48" w:type="dxa"/>
                  <w:tcBorders>
                    <w:tl2br w:val="nil"/>
                    <w:tr2bl w:val="nil"/>
                  </w:tcBorders>
                  <w:vAlign w:val="center"/>
                </w:tcPr>
                <w:p>
                  <w:pPr>
                    <w:spacing w:line="240" w:lineRule="auto"/>
                    <w:jc w:val="center"/>
                    <w:rPr>
                      <w:b/>
                      <w:bCs/>
                      <w:color w:val="000000"/>
                      <w:sz w:val="21"/>
                      <w:szCs w:val="21"/>
                    </w:rPr>
                  </w:pPr>
                  <w:r>
                    <w:rPr>
                      <w:rFonts w:hint="eastAsia"/>
                      <w:b/>
                      <w:bCs/>
                      <w:color w:val="000000"/>
                      <w:sz w:val="21"/>
                      <w:szCs w:val="21"/>
                    </w:rPr>
                    <w:t>类别</w:t>
                  </w:r>
                </w:p>
              </w:tc>
              <w:tc>
                <w:tcPr>
                  <w:tcW w:w="5942" w:type="dxa"/>
                  <w:gridSpan w:val="2"/>
                  <w:tcBorders>
                    <w:tl2br w:val="nil"/>
                    <w:tr2bl w:val="nil"/>
                  </w:tcBorders>
                  <w:vAlign w:val="center"/>
                </w:tcPr>
                <w:p>
                  <w:pPr>
                    <w:spacing w:line="240" w:lineRule="auto"/>
                    <w:jc w:val="center"/>
                    <w:rPr>
                      <w:b/>
                      <w:bCs/>
                      <w:color w:val="000000"/>
                      <w:sz w:val="21"/>
                      <w:szCs w:val="21"/>
                    </w:rPr>
                  </w:pPr>
                  <w:r>
                    <w:rPr>
                      <w:rFonts w:hint="eastAsia"/>
                      <w:b/>
                      <w:bCs/>
                      <w:color w:val="000000"/>
                      <w:sz w:val="21"/>
                      <w:szCs w:val="21"/>
                    </w:rPr>
                    <w:t>环保设施</w:t>
                  </w:r>
                </w:p>
              </w:tc>
              <w:tc>
                <w:tcPr>
                  <w:tcW w:w="1934" w:type="dxa"/>
                  <w:tcBorders>
                    <w:tl2br w:val="nil"/>
                    <w:tr2bl w:val="nil"/>
                  </w:tcBorders>
                  <w:vAlign w:val="center"/>
                </w:tcPr>
                <w:p>
                  <w:pPr>
                    <w:spacing w:line="240" w:lineRule="auto"/>
                    <w:jc w:val="center"/>
                    <w:rPr>
                      <w:b/>
                      <w:bCs/>
                      <w:color w:val="000000"/>
                      <w:sz w:val="21"/>
                      <w:szCs w:val="21"/>
                    </w:rPr>
                  </w:pPr>
                  <w:r>
                    <w:rPr>
                      <w:rFonts w:hint="eastAsia"/>
                      <w:b/>
                      <w:bCs/>
                      <w:color w:val="000000"/>
                      <w:sz w:val="21"/>
                      <w:szCs w:val="21"/>
                    </w:rPr>
                    <w:t>实际环保投资（万元）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48" w:type="dxa"/>
                  <w:tcBorders>
                    <w:tl2br w:val="nil"/>
                    <w:tr2bl w:val="nil"/>
                  </w:tcBorders>
                  <w:vAlign w:val="center"/>
                </w:tcPr>
                <w:p>
                  <w:pPr>
                    <w:spacing w:line="240" w:lineRule="auto"/>
                    <w:jc w:val="center"/>
                    <w:rPr>
                      <w:color w:val="000000"/>
                      <w:sz w:val="21"/>
                      <w:szCs w:val="21"/>
                    </w:rPr>
                  </w:pPr>
                  <w:r>
                    <w:rPr>
                      <w:rFonts w:hint="eastAsia"/>
                      <w:color w:val="000000"/>
                      <w:sz w:val="21"/>
                      <w:szCs w:val="21"/>
                    </w:rPr>
                    <w:t>废水</w:t>
                  </w:r>
                </w:p>
              </w:tc>
              <w:tc>
                <w:tcPr>
                  <w:tcW w:w="5942" w:type="dxa"/>
                  <w:gridSpan w:val="2"/>
                  <w:tcBorders>
                    <w:tl2br w:val="nil"/>
                    <w:tr2bl w:val="nil"/>
                  </w:tcBorders>
                  <w:vAlign w:val="center"/>
                </w:tcPr>
                <w:p>
                  <w:pPr>
                    <w:spacing w:line="240" w:lineRule="auto"/>
                    <w:jc w:val="center"/>
                    <w:rPr>
                      <w:color w:val="000000"/>
                      <w:sz w:val="21"/>
                      <w:szCs w:val="21"/>
                    </w:rPr>
                  </w:pPr>
                  <w:r>
                    <w:rPr>
                      <w:rFonts w:hint="eastAsia"/>
                      <w:color w:val="000000"/>
                      <w:sz w:val="21"/>
                      <w:szCs w:val="21"/>
                    </w:rPr>
                    <w:t>化粪池</w:t>
                  </w:r>
                </w:p>
              </w:tc>
              <w:tc>
                <w:tcPr>
                  <w:tcW w:w="1934" w:type="dxa"/>
                  <w:tcBorders>
                    <w:tl2br w:val="nil"/>
                    <w:tr2bl w:val="nil"/>
                  </w:tcBorders>
                  <w:vAlign w:val="center"/>
                </w:tcPr>
                <w:p>
                  <w:pPr>
                    <w:spacing w:line="240" w:lineRule="auto"/>
                    <w:jc w:val="center"/>
                    <w:rPr>
                      <w:color w:val="000000"/>
                      <w:sz w:val="21"/>
                      <w:szCs w:val="21"/>
                    </w:rPr>
                  </w:pPr>
                  <w:r>
                    <w:rPr>
                      <w:rFonts w:hint="eastAsia"/>
                      <w:color w:val="000000"/>
                      <w:sz w:val="21"/>
                      <w:szCs w:val="21"/>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48" w:type="dxa"/>
                  <w:tcBorders>
                    <w:tl2br w:val="nil"/>
                    <w:tr2bl w:val="nil"/>
                  </w:tcBorders>
                  <w:vAlign w:val="center"/>
                </w:tcPr>
                <w:p>
                  <w:pPr>
                    <w:spacing w:line="240" w:lineRule="auto"/>
                    <w:jc w:val="center"/>
                    <w:rPr>
                      <w:color w:val="000000"/>
                      <w:sz w:val="21"/>
                      <w:szCs w:val="21"/>
                    </w:rPr>
                  </w:pPr>
                  <w:r>
                    <w:rPr>
                      <w:rFonts w:hint="eastAsia"/>
                      <w:color w:val="000000"/>
                      <w:sz w:val="21"/>
                      <w:szCs w:val="21"/>
                    </w:rPr>
                    <w:t>废气</w:t>
                  </w:r>
                </w:p>
              </w:tc>
              <w:tc>
                <w:tcPr>
                  <w:tcW w:w="2194" w:type="dxa"/>
                  <w:tcBorders>
                    <w:tl2br w:val="nil"/>
                    <w:tr2bl w:val="nil"/>
                  </w:tcBorders>
                  <w:vAlign w:val="center"/>
                </w:tcPr>
                <w:p>
                  <w:pPr>
                    <w:spacing w:line="240" w:lineRule="auto"/>
                    <w:jc w:val="center"/>
                    <w:rPr>
                      <w:color w:val="000000"/>
                      <w:sz w:val="21"/>
                      <w:szCs w:val="21"/>
                    </w:rPr>
                  </w:pPr>
                  <w:r>
                    <w:rPr>
                      <w:rFonts w:hint="eastAsia"/>
                      <w:color w:val="000000"/>
                      <w:sz w:val="21"/>
                      <w:szCs w:val="21"/>
                    </w:rPr>
                    <w:t>吸塑工序</w:t>
                  </w:r>
                </w:p>
              </w:tc>
              <w:tc>
                <w:tcPr>
                  <w:tcW w:w="3748" w:type="dxa"/>
                  <w:tcBorders>
                    <w:tl2br w:val="nil"/>
                    <w:tr2bl w:val="nil"/>
                  </w:tcBorders>
                  <w:vAlign w:val="center"/>
                </w:tcPr>
                <w:p>
                  <w:pPr>
                    <w:spacing w:line="240" w:lineRule="auto"/>
                    <w:jc w:val="center"/>
                    <w:rPr>
                      <w:color w:val="000000"/>
                      <w:sz w:val="21"/>
                      <w:szCs w:val="21"/>
                    </w:rPr>
                  </w:pPr>
                  <w:r>
                    <w:rPr>
                      <w:rFonts w:hint="eastAsia"/>
                      <w:color w:val="000000"/>
                      <w:sz w:val="21"/>
                      <w:szCs w:val="21"/>
                    </w:rPr>
                    <w:t>集气罩+UV光氧催化+活性炭吸附+15m高排气筒</w:t>
                  </w:r>
                </w:p>
              </w:tc>
              <w:tc>
                <w:tcPr>
                  <w:tcW w:w="1934" w:type="dxa"/>
                  <w:tcBorders>
                    <w:tl2br w:val="nil"/>
                    <w:tr2bl w:val="nil"/>
                  </w:tcBorders>
                  <w:vAlign w:val="center"/>
                </w:tcPr>
                <w:p>
                  <w:pPr>
                    <w:spacing w:line="240" w:lineRule="auto"/>
                    <w:jc w:val="center"/>
                    <w:rPr>
                      <w:color w:val="FF0000"/>
                      <w:sz w:val="21"/>
                      <w:szCs w:val="21"/>
                    </w:rPr>
                  </w:pPr>
                  <w:r>
                    <w:rPr>
                      <w:rFonts w:hint="eastAsia"/>
                      <w:sz w:val="21"/>
                      <w:szCs w:val="21"/>
                    </w:rPr>
                    <w:t>12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48" w:type="dxa"/>
                  <w:tcBorders>
                    <w:tl2br w:val="nil"/>
                    <w:tr2bl w:val="nil"/>
                  </w:tcBorders>
                  <w:vAlign w:val="center"/>
                </w:tcPr>
                <w:p>
                  <w:pPr>
                    <w:spacing w:line="240" w:lineRule="auto"/>
                    <w:jc w:val="center"/>
                    <w:rPr>
                      <w:color w:val="000000"/>
                      <w:sz w:val="21"/>
                      <w:szCs w:val="21"/>
                    </w:rPr>
                  </w:pPr>
                  <w:r>
                    <w:rPr>
                      <w:rFonts w:hint="eastAsia"/>
                      <w:color w:val="000000"/>
                      <w:sz w:val="21"/>
                      <w:szCs w:val="21"/>
                    </w:rPr>
                    <w:t>噪声</w:t>
                  </w:r>
                </w:p>
              </w:tc>
              <w:tc>
                <w:tcPr>
                  <w:tcW w:w="5942" w:type="dxa"/>
                  <w:gridSpan w:val="2"/>
                  <w:tcBorders>
                    <w:tl2br w:val="nil"/>
                    <w:tr2bl w:val="nil"/>
                  </w:tcBorders>
                  <w:vAlign w:val="center"/>
                </w:tcPr>
                <w:p>
                  <w:pPr>
                    <w:spacing w:line="240" w:lineRule="auto"/>
                    <w:jc w:val="center"/>
                    <w:rPr>
                      <w:color w:val="000000"/>
                      <w:sz w:val="21"/>
                      <w:szCs w:val="21"/>
                    </w:rPr>
                  </w:pPr>
                  <w:r>
                    <w:rPr>
                      <w:rFonts w:hint="eastAsia"/>
                      <w:color w:val="000000"/>
                      <w:sz w:val="21"/>
                      <w:szCs w:val="21"/>
                    </w:rPr>
                    <w:t>选用低噪设备、基础减振、墙壁隔声</w:t>
                  </w:r>
                </w:p>
              </w:tc>
              <w:tc>
                <w:tcPr>
                  <w:tcW w:w="1934" w:type="dxa"/>
                  <w:tcBorders>
                    <w:tl2br w:val="nil"/>
                    <w:tr2bl w:val="nil"/>
                  </w:tcBorders>
                  <w:vAlign w:val="center"/>
                </w:tcPr>
                <w:p>
                  <w:pPr>
                    <w:spacing w:line="240" w:lineRule="auto"/>
                    <w:jc w:val="center"/>
                    <w:rPr>
                      <w:color w:val="000000"/>
                      <w:sz w:val="21"/>
                      <w:szCs w:val="21"/>
                    </w:rPr>
                  </w:pPr>
                  <w:r>
                    <w:rPr>
                      <w:rFonts w:hint="eastAsia"/>
                      <w:color w:val="000000"/>
                      <w:sz w:val="21"/>
                      <w:szCs w:val="21"/>
                    </w:rPr>
                    <w:t>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48" w:type="dxa"/>
                  <w:vMerge w:val="restart"/>
                  <w:tcBorders>
                    <w:tl2br w:val="nil"/>
                    <w:tr2bl w:val="nil"/>
                  </w:tcBorders>
                  <w:vAlign w:val="center"/>
                </w:tcPr>
                <w:p>
                  <w:pPr>
                    <w:spacing w:line="240" w:lineRule="auto"/>
                    <w:jc w:val="center"/>
                    <w:rPr>
                      <w:color w:val="000000"/>
                      <w:sz w:val="21"/>
                      <w:szCs w:val="21"/>
                    </w:rPr>
                  </w:pPr>
                  <w:r>
                    <w:rPr>
                      <w:rFonts w:hint="eastAsia"/>
                      <w:color w:val="000000"/>
                      <w:sz w:val="21"/>
                      <w:szCs w:val="21"/>
                    </w:rPr>
                    <w:t>固体废物</w:t>
                  </w:r>
                </w:p>
              </w:tc>
              <w:tc>
                <w:tcPr>
                  <w:tcW w:w="2194" w:type="dxa"/>
                  <w:tcBorders>
                    <w:tl2br w:val="nil"/>
                    <w:tr2bl w:val="nil"/>
                  </w:tcBorders>
                  <w:vAlign w:val="center"/>
                </w:tcPr>
                <w:p>
                  <w:pPr>
                    <w:spacing w:line="240" w:lineRule="auto"/>
                    <w:jc w:val="center"/>
                    <w:rPr>
                      <w:color w:val="000000"/>
                      <w:sz w:val="21"/>
                      <w:szCs w:val="21"/>
                    </w:rPr>
                  </w:pPr>
                  <w:r>
                    <w:rPr>
                      <w:rFonts w:hint="eastAsia"/>
                      <w:color w:val="000000"/>
                      <w:sz w:val="21"/>
                      <w:szCs w:val="21"/>
                    </w:rPr>
                    <w:t>生活垃圾</w:t>
                  </w:r>
                </w:p>
              </w:tc>
              <w:tc>
                <w:tcPr>
                  <w:tcW w:w="3748" w:type="dxa"/>
                  <w:tcBorders>
                    <w:tl2br w:val="nil"/>
                    <w:tr2bl w:val="nil"/>
                  </w:tcBorders>
                  <w:vAlign w:val="center"/>
                </w:tcPr>
                <w:p>
                  <w:pPr>
                    <w:spacing w:line="240" w:lineRule="auto"/>
                    <w:jc w:val="center"/>
                    <w:rPr>
                      <w:color w:val="000000"/>
                      <w:sz w:val="21"/>
                      <w:szCs w:val="21"/>
                    </w:rPr>
                  </w:pPr>
                  <w:r>
                    <w:rPr>
                      <w:rFonts w:hint="eastAsia"/>
                      <w:color w:val="000000"/>
                      <w:sz w:val="21"/>
                      <w:szCs w:val="21"/>
                    </w:rPr>
                    <w:t>垃圾桶</w:t>
                  </w:r>
                </w:p>
              </w:tc>
              <w:tc>
                <w:tcPr>
                  <w:tcW w:w="1934" w:type="dxa"/>
                  <w:tcBorders>
                    <w:tl2br w:val="nil"/>
                    <w:tr2bl w:val="nil"/>
                  </w:tcBorders>
                  <w:vAlign w:val="center"/>
                </w:tcPr>
                <w:p>
                  <w:pPr>
                    <w:spacing w:line="240" w:lineRule="auto"/>
                    <w:jc w:val="center"/>
                    <w:rPr>
                      <w:color w:val="000000"/>
                      <w:sz w:val="21"/>
                      <w:szCs w:val="21"/>
                    </w:rPr>
                  </w:pPr>
                  <w:r>
                    <w:rPr>
                      <w:rFonts w:hint="eastAsia"/>
                      <w:color w:val="000000"/>
                      <w:sz w:val="21"/>
                      <w:szCs w:val="21"/>
                    </w:rPr>
                    <w:t>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48" w:type="dxa"/>
                  <w:vMerge w:val="continue"/>
                  <w:tcBorders>
                    <w:tl2br w:val="nil"/>
                    <w:tr2bl w:val="nil"/>
                  </w:tcBorders>
                  <w:vAlign w:val="center"/>
                </w:tcPr>
                <w:p>
                  <w:pPr>
                    <w:spacing w:line="240" w:lineRule="auto"/>
                    <w:jc w:val="center"/>
                    <w:rPr>
                      <w:color w:val="000000"/>
                      <w:sz w:val="21"/>
                      <w:szCs w:val="21"/>
                    </w:rPr>
                  </w:pPr>
                </w:p>
              </w:tc>
              <w:tc>
                <w:tcPr>
                  <w:tcW w:w="2194" w:type="dxa"/>
                  <w:tcBorders>
                    <w:tl2br w:val="nil"/>
                    <w:tr2bl w:val="nil"/>
                  </w:tcBorders>
                  <w:vAlign w:val="center"/>
                </w:tcPr>
                <w:p>
                  <w:pPr>
                    <w:spacing w:line="240" w:lineRule="auto"/>
                    <w:jc w:val="center"/>
                    <w:rPr>
                      <w:color w:val="000000"/>
                      <w:sz w:val="21"/>
                      <w:szCs w:val="21"/>
                    </w:rPr>
                  </w:pPr>
                  <w:r>
                    <w:rPr>
                      <w:rFonts w:hint="eastAsia"/>
                      <w:color w:val="000000"/>
                      <w:sz w:val="21"/>
                      <w:szCs w:val="21"/>
                    </w:rPr>
                    <w:t>不合格产品</w:t>
                  </w:r>
                </w:p>
              </w:tc>
              <w:tc>
                <w:tcPr>
                  <w:tcW w:w="3748" w:type="dxa"/>
                  <w:tcBorders>
                    <w:tl2br w:val="nil"/>
                    <w:tr2bl w:val="nil"/>
                  </w:tcBorders>
                  <w:vAlign w:val="center"/>
                </w:tcPr>
                <w:p>
                  <w:pPr>
                    <w:spacing w:line="240" w:lineRule="auto"/>
                    <w:jc w:val="center"/>
                    <w:rPr>
                      <w:color w:val="000000"/>
                      <w:sz w:val="21"/>
                      <w:szCs w:val="21"/>
                    </w:rPr>
                  </w:pPr>
                  <w:r>
                    <w:rPr>
                      <w:rFonts w:hint="eastAsia"/>
                      <w:color w:val="000000"/>
                      <w:sz w:val="21"/>
                      <w:szCs w:val="21"/>
                    </w:rPr>
                    <w:t>废料库</w:t>
                  </w:r>
                </w:p>
              </w:tc>
              <w:tc>
                <w:tcPr>
                  <w:tcW w:w="1934" w:type="dxa"/>
                  <w:tcBorders>
                    <w:tl2br w:val="nil"/>
                    <w:tr2bl w:val="nil"/>
                  </w:tcBorders>
                  <w:vAlign w:val="center"/>
                </w:tcPr>
                <w:p>
                  <w:pPr>
                    <w:spacing w:line="240" w:lineRule="auto"/>
                    <w:jc w:val="center"/>
                    <w:rPr>
                      <w:color w:val="000000"/>
                      <w:sz w:val="21"/>
                      <w:szCs w:val="21"/>
                    </w:rPr>
                  </w:pPr>
                  <w:r>
                    <w:rPr>
                      <w:rFonts w:hint="eastAsia"/>
                      <w:color w:val="00000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48" w:type="dxa"/>
                  <w:vMerge w:val="continue"/>
                  <w:tcBorders>
                    <w:tl2br w:val="nil"/>
                    <w:tr2bl w:val="nil"/>
                  </w:tcBorders>
                  <w:vAlign w:val="center"/>
                </w:tcPr>
                <w:p>
                  <w:pPr>
                    <w:spacing w:line="240" w:lineRule="auto"/>
                    <w:jc w:val="center"/>
                    <w:rPr>
                      <w:color w:val="000000"/>
                      <w:sz w:val="21"/>
                      <w:szCs w:val="21"/>
                    </w:rPr>
                  </w:pPr>
                </w:p>
              </w:tc>
              <w:tc>
                <w:tcPr>
                  <w:tcW w:w="2194" w:type="dxa"/>
                  <w:tcBorders>
                    <w:tl2br w:val="nil"/>
                    <w:tr2bl w:val="nil"/>
                  </w:tcBorders>
                  <w:vAlign w:val="center"/>
                </w:tcPr>
                <w:p>
                  <w:pPr>
                    <w:spacing w:line="240" w:lineRule="auto"/>
                    <w:jc w:val="center"/>
                    <w:rPr>
                      <w:color w:val="000000"/>
                      <w:sz w:val="21"/>
                      <w:szCs w:val="21"/>
                    </w:rPr>
                  </w:pPr>
                  <w:r>
                    <w:rPr>
                      <w:rFonts w:hint="eastAsia"/>
                      <w:color w:val="000000"/>
                      <w:sz w:val="21"/>
                      <w:szCs w:val="21"/>
                    </w:rPr>
                    <w:t>废机油、油抹布、废活性炭、废紫外灯管</w:t>
                  </w:r>
                </w:p>
              </w:tc>
              <w:tc>
                <w:tcPr>
                  <w:tcW w:w="3748" w:type="dxa"/>
                  <w:tcBorders>
                    <w:tl2br w:val="nil"/>
                    <w:tr2bl w:val="nil"/>
                  </w:tcBorders>
                  <w:vAlign w:val="center"/>
                </w:tcPr>
                <w:p>
                  <w:pPr>
                    <w:spacing w:line="240" w:lineRule="auto"/>
                    <w:jc w:val="center"/>
                    <w:rPr>
                      <w:color w:val="000000"/>
                      <w:sz w:val="21"/>
                      <w:szCs w:val="21"/>
                    </w:rPr>
                  </w:pPr>
                  <w:r>
                    <w:rPr>
                      <w:rFonts w:hint="eastAsia"/>
                      <w:color w:val="000000"/>
                      <w:sz w:val="21"/>
                      <w:szCs w:val="21"/>
                    </w:rPr>
                    <w:t>危险废物暂存间</w:t>
                  </w:r>
                </w:p>
              </w:tc>
              <w:tc>
                <w:tcPr>
                  <w:tcW w:w="1934" w:type="dxa"/>
                  <w:tcBorders>
                    <w:tl2br w:val="nil"/>
                    <w:tr2bl w:val="nil"/>
                  </w:tcBorders>
                  <w:vAlign w:val="center"/>
                </w:tcPr>
                <w:p>
                  <w:pPr>
                    <w:spacing w:line="240" w:lineRule="auto"/>
                    <w:jc w:val="center"/>
                    <w:rPr>
                      <w:color w:val="000000"/>
                      <w:sz w:val="21"/>
                      <w:szCs w:val="21"/>
                    </w:rPr>
                  </w:pPr>
                  <w:r>
                    <w:rPr>
                      <w:rFonts w:hint="eastAsia"/>
                      <w:color w:val="000000"/>
                      <w:sz w:val="21"/>
                      <w:szCs w:val="21"/>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6690" w:type="dxa"/>
                  <w:gridSpan w:val="3"/>
                  <w:tcBorders>
                    <w:tl2br w:val="nil"/>
                    <w:tr2bl w:val="nil"/>
                  </w:tcBorders>
                  <w:vAlign w:val="center"/>
                </w:tcPr>
                <w:p>
                  <w:pPr>
                    <w:spacing w:line="240" w:lineRule="auto"/>
                    <w:jc w:val="center"/>
                    <w:rPr>
                      <w:color w:val="000000"/>
                      <w:sz w:val="21"/>
                      <w:szCs w:val="21"/>
                    </w:rPr>
                  </w:pPr>
                  <w:r>
                    <w:rPr>
                      <w:rFonts w:hint="eastAsia"/>
                      <w:color w:val="000000"/>
                      <w:sz w:val="21"/>
                      <w:szCs w:val="21"/>
                    </w:rPr>
                    <w:t>合计</w:t>
                  </w:r>
                </w:p>
              </w:tc>
              <w:tc>
                <w:tcPr>
                  <w:tcW w:w="1934" w:type="dxa"/>
                  <w:tcBorders>
                    <w:tl2br w:val="nil"/>
                    <w:tr2bl w:val="nil"/>
                  </w:tcBorders>
                  <w:vAlign w:val="center"/>
                </w:tcPr>
                <w:p>
                  <w:pPr>
                    <w:spacing w:line="240" w:lineRule="auto"/>
                    <w:jc w:val="center"/>
                    <w:rPr>
                      <w:color w:val="000000"/>
                      <w:sz w:val="21"/>
                      <w:szCs w:val="21"/>
                    </w:rPr>
                  </w:pPr>
                  <w:r>
                    <w:rPr>
                      <w:rFonts w:hint="eastAsia"/>
                      <w:color w:val="000000"/>
                      <w:sz w:val="21"/>
                      <w:szCs w:val="21"/>
                    </w:rPr>
                    <w:t>23</w:t>
                  </w:r>
                </w:p>
              </w:tc>
            </w:tr>
          </w:tbl>
          <w:p>
            <w:pPr>
              <w:ind w:firstLine="480" w:firstLineChars="200"/>
              <w:jc w:val="both"/>
            </w:pPr>
          </w:p>
        </w:tc>
      </w:tr>
    </w:tbl>
    <w:p>
      <w:pPr>
        <w:rPr>
          <w:b/>
          <w:color w:val="000000"/>
          <w:sz w:val="21"/>
          <w:szCs w:val="21"/>
        </w:rPr>
        <w:sectPr>
          <w:pgSz w:w="11906" w:h="16838"/>
          <w:pgMar w:top="1440" w:right="1800" w:bottom="1440" w:left="1800" w:header="708" w:footer="708" w:gutter="0"/>
          <w:cols w:space="720" w:num="1"/>
          <w:docGrid w:linePitch="360" w:charSpace="0"/>
        </w:sectPr>
      </w:pPr>
      <w:r>
        <w:rPr>
          <w:color w:val="000000"/>
          <w:sz w:val="21"/>
          <w:szCs w:val="21"/>
        </w:rPr>
        <w:br w:type="page"/>
      </w:r>
    </w:p>
    <w:p>
      <w:pPr>
        <w:spacing w:line="240" w:lineRule="auto"/>
        <w:rPr>
          <w:b/>
          <w:color w:val="000000"/>
          <w:sz w:val="28"/>
          <w:szCs w:val="28"/>
        </w:rPr>
      </w:pPr>
      <w:r>
        <w:rPr>
          <w:b/>
          <w:color w:val="000000"/>
          <w:sz w:val="28"/>
          <w:szCs w:val="28"/>
        </w:rPr>
        <w:t>表</w:t>
      </w:r>
      <w:r>
        <w:rPr>
          <w:rFonts w:hint="eastAsia"/>
          <w:b/>
          <w:color w:val="000000"/>
          <w:sz w:val="28"/>
          <w:szCs w:val="28"/>
        </w:rPr>
        <w:t>八</w:t>
      </w:r>
    </w:p>
    <w:tbl>
      <w:tblPr>
        <w:tblStyle w:val="8"/>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31" w:hRule="atLeast"/>
          <w:jc w:val="center"/>
        </w:trPr>
        <w:tc>
          <w:tcPr>
            <w:tcW w:w="8920" w:type="dxa"/>
          </w:tcPr>
          <w:p>
            <w:pPr>
              <w:spacing w:before="156" w:beforeLines="50"/>
              <w:rPr>
                <w:b/>
                <w:color w:val="000000"/>
                <w:szCs w:val="24"/>
              </w:rPr>
            </w:pPr>
            <w:r>
              <w:rPr>
                <w:rFonts w:hint="eastAsia"/>
                <w:b/>
                <w:color w:val="000000"/>
                <w:szCs w:val="24"/>
              </w:rPr>
              <w:t>验收监测结论：</w:t>
            </w:r>
          </w:p>
          <w:p>
            <w:pPr>
              <w:widowControl w:val="0"/>
              <w:adjustRightInd/>
              <w:snapToGrid/>
              <w:ind w:firstLine="482" w:firstLineChars="200"/>
              <w:rPr>
                <w:b/>
                <w:color w:val="000000"/>
                <w:szCs w:val="24"/>
              </w:rPr>
            </w:pPr>
            <w:r>
              <w:rPr>
                <w:rFonts w:hint="eastAsia"/>
                <w:b/>
                <w:color w:val="000000"/>
                <w:szCs w:val="24"/>
              </w:rPr>
              <w:t>一、</w:t>
            </w:r>
            <w:r>
              <w:rPr>
                <w:b/>
                <w:color w:val="000000"/>
                <w:szCs w:val="24"/>
              </w:rPr>
              <w:t>“三同时”执行情况</w:t>
            </w:r>
          </w:p>
          <w:p>
            <w:pPr>
              <w:ind w:firstLine="480" w:firstLineChars="200"/>
            </w:pPr>
            <w:r>
              <w:rPr>
                <w:rFonts w:hint="eastAsia" w:cs="宋体"/>
                <w:lang w:bidi="ar"/>
              </w:rPr>
              <w:t>西咸新区天河塑料制品有限公司吸塑制品加工生产线建设项目于</w:t>
            </w:r>
            <w:r>
              <w:rPr>
                <w:rFonts w:hint="eastAsia"/>
                <w:color w:val="000000"/>
              </w:rPr>
              <w:t>2019年3月</w:t>
            </w:r>
            <w:r>
              <w:rPr>
                <w:rFonts w:hint="eastAsia" w:cs="宋体"/>
                <w:lang w:bidi="ar"/>
              </w:rPr>
              <w:t>由重庆大润环境科学研究院有限公司</w:t>
            </w:r>
            <w:r>
              <w:rPr>
                <w:rFonts w:hint="eastAsia"/>
                <w:color w:val="000000"/>
              </w:rPr>
              <w:t>完成环境影响报告表的编制工作，2019年4月30日由陕西省西咸新区秦汉新城行政审批与政务服务局对该项目的环境影响报告表进行了审批，</w:t>
            </w:r>
            <w:r>
              <w:rPr>
                <w:rFonts w:hint="eastAsia" w:cs="宋体"/>
                <w:lang w:bidi="ar"/>
              </w:rPr>
              <w:t>2018年11月开工建设，2019年03月建成投产</w:t>
            </w:r>
            <w:r>
              <w:rPr>
                <w:rFonts w:hint="eastAsia"/>
                <w:color w:val="000000"/>
              </w:rPr>
              <w:t>；项</w:t>
            </w:r>
            <w:r>
              <w:rPr>
                <w:rFonts w:hint="eastAsia"/>
              </w:rPr>
              <w:t>目总投资200</w:t>
            </w:r>
            <w:r>
              <w:t>万元</w:t>
            </w:r>
            <w:r>
              <w:rPr>
                <w:rFonts w:hint="eastAsia"/>
              </w:rPr>
              <w:t>，其中环保投资23万，占总投资的11.5%。</w:t>
            </w:r>
          </w:p>
          <w:p>
            <w:pPr>
              <w:ind w:firstLine="482" w:firstLineChars="200"/>
              <w:rPr>
                <w:b/>
                <w:color w:val="000000"/>
              </w:rPr>
            </w:pPr>
            <w:r>
              <w:rPr>
                <w:rFonts w:hint="eastAsia"/>
                <w:b/>
                <w:color w:val="000000"/>
              </w:rPr>
              <w:t>二、</w:t>
            </w:r>
            <w:r>
              <w:rPr>
                <w:b/>
                <w:color w:val="000000"/>
              </w:rPr>
              <w:t>固体废弃物检查结论</w:t>
            </w:r>
          </w:p>
          <w:p>
            <w:pPr>
              <w:ind w:firstLine="480" w:firstLineChars="200"/>
            </w:pPr>
            <w:r>
              <w:rPr>
                <w:rFonts w:hint="eastAsia"/>
              </w:rPr>
              <w:t>项目厂区设置垃圾收集桶，生活垃圾集中收集后交由环卫部门统一处理处置；项目不合格产品经废料库暂存后全部由厂家回收；设备维修产生的废机油、油抹布等在危废暂存间收集后定期交由陕西明瑞资源再生有限公司处理；废活性炭经专用容器盛装，在危废暂存间收集后定期交由陕西明瑞资源再生有限公司处理；废紫外灯管由厂商更换后直接回收，不在厂区存放。各项固体废弃物均得到有效处置。</w:t>
            </w:r>
          </w:p>
          <w:p>
            <w:pPr>
              <w:ind w:firstLine="482" w:firstLineChars="200"/>
              <w:rPr>
                <w:b/>
                <w:color w:val="000000"/>
                <w:szCs w:val="24"/>
              </w:rPr>
            </w:pPr>
            <w:r>
              <w:rPr>
                <w:rFonts w:hint="eastAsia"/>
                <w:b/>
                <w:color w:val="000000"/>
                <w:szCs w:val="24"/>
              </w:rPr>
              <w:t>三、</w:t>
            </w:r>
            <w:r>
              <w:rPr>
                <w:b/>
                <w:color w:val="000000"/>
                <w:szCs w:val="24"/>
              </w:rPr>
              <w:t>总结论</w:t>
            </w:r>
          </w:p>
          <w:p>
            <w:pPr>
              <w:ind w:firstLine="480" w:firstLineChars="200"/>
              <w:rPr>
                <w:b/>
                <w:color w:val="000000"/>
                <w:szCs w:val="24"/>
              </w:rPr>
            </w:pPr>
            <w:r>
              <w:rPr>
                <w:szCs w:val="24"/>
              </w:rPr>
              <w:t>本建设项目环境影响报告表提出的要求及环评批复均已落实，环保防治措施已落实并有效运行，各项污染物均达标排放。因此，</w:t>
            </w:r>
            <w:r>
              <w:rPr>
                <w:rFonts w:hint="eastAsia"/>
                <w:szCs w:val="24"/>
              </w:rPr>
              <w:t>建议</w:t>
            </w:r>
            <w:r>
              <w:rPr>
                <w:szCs w:val="24"/>
              </w:rPr>
              <w:t>该项目</w:t>
            </w:r>
            <w:r>
              <w:rPr>
                <w:rFonts w:hint="eastAsia"/>
                <w:szCs w:val="24"/>
              </w:rPr>
              <w:t>固体废物部分通过</w:t>
            </w:r>
            <w:r>
              <w:rPr>
                <w:szCs w:val="24"/>
              </w:rPr>
              <w:t>竣工环境保护验收。</w:t>
            </w:r>
          </w:p>
          <w:p>
            <w:pPr>
              <w:ind w:firstLine="482" w:firstLineChars="200"/>
              <w:rPr>
                <w:b/>
                <w:color w:val="000000"/>
                <w:szCs w:val="24"/>
              </w:rPr>
            </w:pPr>
            <w:r>
              <w:rPr>
                <w:rFonts w:hint="eastAsia"/>
                <w:b/>
                <w:color w:val="000000"/>
                <w:szCs w:val="24"/>
              </w:rPr>
              <w:t>四、</w:t>
            </w:r>
            <w:r>
              <w:rPr>
                <w:b/>
                <w:color w:val="000000"/>
                <w:szCs w:val="24"/>
              </w:rPr>
              <w:t>建议</w:t>
            </w:r>
          </w:p>
          <w:p>
            <w:pPr>
              <w:ind w:firstLine="480" w:firstLineChars="200"/>
              <w:rPr>
                <w:szCs w:val="24"/>
              </w:rPr>
            </w:pPr>
            <w:r>
              <w:rPr>
                <w:szCs w:val="24"/>
              </w:rPr>
              <w:t>（1）加强生产运营管理，加强对污染治理设施的维护与管理，保证各项环保设施能够有效、稳定、连续的运行，确保各项污染物达标排放。</w:t>
            </w:r>
          </w:p>
          <w:p>
            <w:pPr>
              <w:ind w:firstLine="480" w:firstLineChars="200"/>
              <w:rPr>
                <w:szCs w:val="24"/>
              </w:rPr>
            </w:pPr>
            <w:r>
              <w:rPr>
                <w:szCs w:val="24"/>
              </w:rPr>
              <w:t>（2）建立健全环保管理制度，加强职工环保培训，增强职工环保意识。</w:t>
            </w:r>
          </w:p>
          <w:p>
            <w:pPr>
              <w:ind w:firstLine="480" w:firstLineChars="200"/>
              <w:rPr>
                <w:color w:val="000000"/>
                <w:szCs w:val="24"/>
              </w:rPr>
            </w:pPr>
            <w:r>
              <w:rPr>
                <w:rFonts w:hint="eastAsia"/>
                <w:color w:val="000000"/>
                <w:szCs w:val="24"/>
              </w:rPr>
              <w:t>（3）</w:t>
            </w:r>
            <w:r>
              <w:t>建立环保设备运行管理维护台帐，并做好记录。</w:t>
            </w:r>
          </w:p>
          <w:p>
            <w:pPr>
              <w:ind w:firstLine="480" w:firstLineChars="200"/>
              <w:rPr>
                <w:b/>
                <w:color w:val="000000"/>
                <w:szCs w:val="24"/>
              </w:rPr>
            </w:pPr>
            <w:r>
              <w:t>（4）规范厂区固体废弃物的存储、处置</w:t>
            </w:r>
            <w:r>
              <w:rPr>
                <w:rFonts w:hint="eastAsia"/>
              </w:rPr>
              <w:t>，并做好记录</w:t>
            </w:r>
            <w:r>
              <w:t>。</w:t>
            </w:r>
          </w:p>
        </w:tc>
      </w:tr>
    </w:tbl>
    <w:p>
      <w:pPr>
        <w:sectPr>
          <w:pgSz w:w="11906" w:h="16838"/>
          <w:pgMar w:top="1440" w:right="1800" w:bottom="1440" w:left="1800" w:header="851" w:footer="992" w:gutter="0"/>
          <w:cols w:space="425" w:num="1"/>
          <w:docGrid w:type="lines" w:linePitch="312" w:charSpace="0"/>
        </w:sectPr>
      </w:pPr>
    </w:p>
    <w:p>
      <w:pPr>
        <w:rPr>
          <w:b/>
          <w:bCs/>
          <w:szCs w:val="24"/>
        </w:rPr>
        <w:sectPr>
          <w:footerReference r:id="rId14" w:type="default"/>
          <w:pgSz w:w="11906" w:h="16838"/>
          <w:pgMar w:top="1440" w:right="1797" w:bottom="1440" w:left="1797" w:header="851" w:footer="992" w:gutter="0"/>
          <w:cols w:space="425" w:num="1"/>
          <w:docGrid w:type="lines" w:linePitch="312" w:charSpace="0"/>
        </w:sectPr>
      </w:pPr>
      <w:bookmarkStart w:id="1" w:name="_GoBack"/>
      <w:bookmarkEnd w:id="1"/>
    </w:p>
    <w:p>
      <w:pPr>
        <w:rPr>
          <w:b/>
          <w:bCs/>
          <w:szCs w:val="24"/>
          <w:highlight w:val="yellow"/>
        </w:rPr>
        <w:sectPr>
          <w:pgSz w:w="11906" w:h="16838"/>
          <w:pgMar w:top="1440" w:right="1797" w:bottom="1440" w:left="1797" w:header="851" w:footer="992" w:gutter="0"/>
          <w:cols w:space="425" w:num="1"/>
          <w:docGrid w:type="lines" w:linePitch="312" w:charSpace="0"/>
        </w:sectPr>
      </w:pPr>
    </w:p>
    <w:p>
      <w:pPr>
        <w:adjustRightInd/>
        <w:snapToGrid/>
        <w:rPr>
          <w:b/>
          <w:bCs/>
          <w:szCs w:val="24"/>
        </w:rPr>
      </w:pPr>
    </w:p>
    <w:sectPr>
      <w:footerReference r:id="rId1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宋体o湧.瑤.">
    <w:altName w:val="宋体"/>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80"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left="480"/>
      <w:rPr>
        <w:rStyle w:val="15"/>
      </w:rPr>
    </w:pPr>
    <w:r>
      <w:fldChar w:fldCharType="begin"/>
    </w:r>
    <w:r>
      <w:rPr>
        <w:rStyle w:val="15"/>
      </w:rPr>
      <w:instrText xml:space="preserve">PAGE  </w:instrText>
    </w:r>
    <w:r>
      <w:fldChar w:fldCharType="separate"/>
    </w:r>
    <w:r>
      <w:rPr>
        <w:rStyle w:val="15"/>
      </w:rPr>
      <w:t>36</w:t>
    </w:r>
    <w:r>
      <w:fldChar w:fldCharType="end"/>
    </w:r>
  </w:p>
  <w:p>
    <w:pPr>
      <w:pStyle w:val="6"/>
      <w:ind w:left="480"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t>西安京诚检测技术有限公司</w: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9819284"/>
    </w:sdtPr>
    <w:sdtContent>
      <w:p>
        <w:pPr>
          <w:pStyle w:val="6"/>
          <w:jc w:val="right"/>
        </w:pPr>
        <w:r>
          <w:fldChar w:fldCharType="begin"/>
        </w:r>
        <w:r>
          <w:instrText xml:space="preserve">PAGE   \* MERGEFORMAT</w:instrText>
        </w:r>
        <w:r>
          <w:fldChar w:fldCharType="separate"/>
        </w:r>
        <w:r>
          <w:rPr>
            <w:lang w:val="zh-CN"/>
          </w:rPr>
          <w:t>15</w:t>
        </w:r>
        <w:r>
          <w:fldChar w:fldCharType="end"/>
        </w:r>
      </w:p>
    </w:sdtContent>
  </w:sdt>
  <w:p>
    <w:pPr>
      <w:pStyle w:val="6"/>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T0LgRAgAACQQAAA4AAABkcnMvZTJvRG9jLnhtbK1TzY7TMBC+I/EO&#10;lu80aVesSt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9hPQuBECAAAJBAAADgAAAAAAAAABACAA&#10;AAAfAQAAZHJzL2Uyb0RvYy54bWxQSwUGAAAAAAYABgBZAQAAogUAAAAA&#10;">
              <v:fill on="f" focussize="0,0"/>
              <v:stroke on="f" weight="0.5pt"/>
              <v:imagedata o:title=""/>
              <o:lock v:ext="edit" aspectratio="f"/>
              <v:textbox inset="0mm,0mm,0mm,0mm" style="mso-fit-shape-to-text:t;">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2640330</wp:posOffset>
              </wp:positionH>
              <wp:positionV relativeFrom="paragraph">
                <wp:posOffset>15875</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15708510"/>
                          </w:sdtPr>
                          <w:sdtContent>
                            <w:p>
                              <w:pPr>
                                <w:pStyle w:val="6"/>
                                <w:jc w:val="right"/>
                              </w:pP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7.9pt;margin-top:1.25pt;height:144pt;width:144pt;mso-position-horizontal-relative:margin;mso-wrap-style:none;z-index:251660288;mso-width-relative:page;mso-height-relative:page;" filled="f" stroked="f" coordsize="21600,21600" o:gfxdata="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OxBlfWAAAACQEAAA8AAAAAAAAAAQAg&#10;AAAAIgAAAGRycy9kb3ducmV2LnhtbFBLAQIUABQAAAAIAIdO4kBskhDNEAIAAAkEAAAOAAAAAAAA&#10;AAEAIAAAACUBAABkcnMvZTJvRG9jLnhtbFBLBQYAAAAABgAGAFkBAACnBQAAAAA=&#10;">
              <v:fill on="f" focussize="0,0"/>
              <v:stroke on="f" weight="0.5pt"/>
              <v:imagedata o:title=""/>
              <o:lock v:ext="edit" aspectratio="f"/>
              <v:textbox inset="0mm,0mm,0mm,0mm" style="mso-fit-shape-to-text:t;">
                <w:txbxContent>
                  <w:sdt>
                    <w:sdtPr>
                      <w:id w:val="2115708510"/>
                    </w:sdtPr>
                    <w:sdtContent>
                      <w:p>
                        <w:pPr>
                          <w:pStyle w:val="6"/>
                          <w:jc w:val="right"/>
                        </w:pPr>
                      </w:p>
                    </w:sdtContent>
                  </w:sdt>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Y+/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QI9mCjs6/fh++vlw+vWNwAeCWutnyNtYZIbunemw6MHv4Yxz&#10;d5VT8YuJCOLAOl7oFV0gPF6aTqbTHCGO2PAD/OzxunU+vBdGkWgU1GF/iVZ2WPvQpw4psZo2q0bK&#10;tEOpSVvQq9dv83ThEgG41KgRh+ibjVbott15sq0pjxjMmV4b3vJVg+Jr5sM9cxADGobAwx2OShoU&#10;MWeLktq4r3/zx3zsCFFKWoiroBrqp0R+0NgdAMNguMHYDobeqxsDtY7xcCxP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WPvzEAIAAAkEAAAOAAAAAAAAAAEAIAAA&#10;AB8BAABkcnMvZTJvRG9jLnhtbFBLBQYAAAAABgAGAFkBAAChBQAAAAA=&#10;">
              <v:fill on="f" focussize="0,0"/>
              <v:stroke on="f" weight="0.5pt"/>
              <v:imagedata o:title=""/>
              <o:lock v:ext="edit" aspectratio="f"/>
              <v:textbox inset="0mm,0mm,0mm,0mm" style="mso-fit-shape-to-text:t;">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pPr>
      <w:pStyle w:val="6"/>
      <w:ind w:right="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VqL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pRoprCj04/vp58Pp1/fCHwgqLV+hryNRWbo3pkOix78Hs44&#10;d1c5Fb+YiCAOqo8XekUXCI+XppPpNEeIIzb8AD97vG6dD++FUSQaBXXYX6KVHdY+9KlDSqymzaqR&#10;Mu1QatIW9Or12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FaizEAIAAAkEAAAOAAAAAAAAAAEAIAAA&#10;AB8BAABkcnMvZTJvRG9jLnhtbFBLBQYAAAAABgAGAFkBAAChBQAAAAA=&#10;">
              <v:fill on="f" focussize="0,0"/>
              <v:stroke on="f" weight="0.5pt"/>
              <v:imagedata o:title=""/>
              <o:lock v:ext="edit" aspectratio="f"/>
              <v:textbox inset="0mm,0mm,0mm,0mm" style="mso-fit-shape-to-text:t;">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p>
                </w:txbxContent>
              </v:textbox>
            </v:shape>
          </w:pict>
        </mc:Fallback>
      </mc:AlternateContent>
    </w:r>
  </w:p>
  <w:p>
    <w:pPr>
      <w:pStyle w:val="6"/>
      <w:jc w:val="center"/>
      <w:rPr>
        <w:rFonts w:ascii="宋体" w:hAnsi="宋体"/>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DXXM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Jp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8NdcxECAAAJBAAADgAAAAAAAAABACAA&#10;AAAfAQAAZHJzL2Uyb0RvYy54bWxQSwUGAAAAAAYABgBZAQAAogUAAAAA&#10;">
              <v:fill on="f" focussize="0,0"/>
              <v:stroke on="f" weight="0.5pt"/>
              <v:imagedata o:title=""/>
              <o:lock v:ext="edit" aspectratio="f"/>
              <v:textbox inset="0mm,0mm,0mm,0mm" style="mso-fit-shape-to-text:t;">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29</w:t>
                    </w:r>
                    <w:r>
                      <w:rPr>
                        <w:rFonts w:hint="eastAsia"/>
                      </w:rPr>
                      <w:fldChar w:fldCharType="end"/>
                    </w:r>
                  </w:p>
                </w:txbxContent>
              </v:textbox>
            </v:shape>
          </w:pict>
        </mc:Fallback>
      </mc:AlternateContent>
    </w:r>
  </w:p>
  <w:p>
    <w:pPr>
      <w:pStyle w:val="6"/>
      <w:jc w:val="center"/>
      <w:rPr>
        <w:rFonts w:ascii="宋体" w:hAnsi="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hint="eastAsia"/>
      </w:rPr>
      <w:t>陕西波尔特酒业有限公司葡萄酒酒庄建设项目环境保护竣工验收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spacing w:line="240" w:lineRule="auto"/>
      <w:jc w:val="right"/>
      <w:rPr>
        <w:rFonts w:ascii="宋体" w:hAnsi="宋体"/>
      </w:rPr>
    </w:pPr>
    <w:r>
      <w:rPr>
        <w:rFonts w:hint="eastAsia"/>
      </w:rPr>
      <w:t>西咸新区天河塑料制品有限公司吸塑制品加工生产线建设项目环境保护竣工验收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spacing w:line="240" w:lineRule="auto"/>
      <w:jc w:val="right"/>
      <w:rPr>
        <w:rFonts w:ascii="宋体" w:hAnsi="宋体"/>
      </w:rPr>
    </w:pPr>
    <w:r>
      <w:rPr>
        <w:rFonts w:hint="eastAsia"/>
      </w:rPr>
      <w:t>西咸新区天河塑料制品有限公司吸塑制品加工生产线建设项目环境保护竣工验收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22A6D4"/>
    <w:multiLevelType w:val="singleLevel"/>
    <w:tmpl w:val="8922A6D4"/>
    <w:lvl w:ilvl="0" w:tentative="0">
      <w:start w:val="4"/>
      <w:numFmt w:val="chineseCounting"/>
      <w:suff w:val="nothing"/>
      <w:lvlText w:val="%1、"/>
      <w:lvlJc w:val="left"/>
      <w:rPr>
        <w:rFonts w:hint="eastAsia"/>
      </w:rPr>
    </w:lvl>
  </w:abstractNum>
  <w:abstractNum w:abstractNumId="1">
    <w:nsid w:val="A29AAA14"/>
    <w:multiLevelType w:val="singleLevel"/>
    <w:tmpl w:val="A29AAA14"/>
    <w:lvl w:ilvl="0" w:tentative="0">
      <w:start w:val="2"/>
      <w:numFmt w:val="chineseCounting"/>
      <w:suff w:val="nothing"/>
      <w:lvlText w:val="%1、"/>
      <w:lvlJc w:val="left"/>
      <w:rPr>
        <w:rFonts w:hint="eastAsia"/>
      </w:rPr>
    </w:lvl>
  </w:abstractNum>
  <w:abstractNum w:abstractNumId="2">
    <w:nsid w:val="CCB0576E"/>
    <w:multiLevelType w:val="singleLevel"/>
    <w:tmpl w:val="CCB0576E"/>
    <w:lvl w:ilvl="0" w:tentative="0">
      <w:start w:val="3"/>
      <w:numFmt w:val="chineseCounting"/>
      <w:suff w:val="nothing"/>
      <w:lvlText w:val="%1、"/>
      <w:lvlJc w:val="left"/>
      <w:rPr>
        <w:rFonts w:hint="eastAsia"/>
      </w:rPr>
    </w:lvl>
  </w:abstractNum>
  <w:abstractNum w:abstractNumId="3">
    <w:nsid w:val="FDBFA020"/>
    <w:multiLevelType w:val="singleLevel"/>
    <w:tmpl w:val="FDBFA020"/>
    <w:lvl w:ilvl="0" w:tentative="0">
      <w:start w:val="2"/>
      <w:numFmt w:val="decimal"/>
      <w:suff w:val="nothing"/>
      <w:lvlText w:val="%1、"/>
      <w:lvlJc w:val="left"/>
    </w:lvl>
  </w:abstractNum>
  <w:abstractNum w:abstractNumId="4">
    <w:nsid w:val="59493A6F"/>
    <w:multiLevelType w:val="singleLevel"/>
    <w:tmpl w:val="59493A6F"/>
    <w:lvl w:ilvl="0" w:tentative="0">
      <w:start w:val="1"/>
      <w:numFmt w:val="decimal"/>
      <w:suff w:val="nothing"/>
      <w:lvlText w:val="（%1）"/>
      <w:lvlJc w:val="left"/>
    </w:lvl>
  </w:abstractNum>
  <w:abstractNum w:abstractNumId="5">
    <w:nsid w:val="59F811A4"/>
    <w:multiLevelType w:val="singleLevel"/>
    <w:tmpl w:val="59F811A4"/>
    <w:lvl w:ilvl="0" w:tentative="0">
      <w:start w:val="1"/>
      <w:numFmt w:val="chineseCounting"/>
      <w:suff w:val="nothing"/>
      <w:lvlText w:val="%1、"/>
      <w:lvlJc w:val="left"/>
      <w:rPr>
        <w:rFonts w:cs="Times New Roman"/>
        <w:sz w:val="28"/>
        <w:szCs w:val="28"/>
      </w:rPr>
    </w:lvl>
  </w:abstractNum>
  <w:abstractNum w:abstractNumId="6">
    <w:nsid w:val="7E522F3A"/>
    <w:multiLevelType w:val="singleLevel"/>
    <w:tmpl w:val="7E522F3A"/>
    <w:lvl w:ilvl="0" w:tentative="0">
      <w:start w:val="7"/>
      <w:numFmt w:val="chineseCounting"/>
      <w:suff w:val="nothing"/>
      <w:lvlText w:val="%1、"/>
      <w:lvlJc w:val="left"/>
      <w:rPr>
        <w:rFonts w:hint="eastAsia"/>
      </w:rPr>
    </w:lvl>
  </w:abstractNum>
  <w:num w:numId="1">
    <w:abstractNumId w:val="5"/>
  </w:num>
  <w:num w:numId="2">
    <w:abstractNumId w:val="2"/>
  </w:num>
  <w:num w:numId="3">
    <w:abstractNumId w:val="6"/>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89C"/>
    <w:rsid w:val="00054821"/>
    <w:rsid w:val="000E18D9"/>
    <w:rsid w:val="002C0FBD"/>
    <w:rsid w:val="002D089C"/>
    <w:rsid w:val="0041248D"/>
    <w:rsid w:val="004164E1"/>
    <w:rsid w:val="004E1BC8"/>
    <w:rsid w:val="00515A24"/>
    <w:rsid w:val="00585C0B"/>
    <w:rsid w:val="005920BB"/>
    <w:rsid w:val="00720A58"/>
    <w:rsid w:val="007B1233"/>
    <w:rsid w:val="00AB25B9"/>
    <w:rsid w:val="00CC62DE"/>
    <w:rsid w:val="00CE1086"/>
    <w:rsid w:val="00DD2253"/>
    <w:rsid w:val="01CB39B1"/>
    <w:rsid w:val="01D4406D"/>
    <w:rsid w:val="02316EFD"/>
    <w:rsid w:val="02C00066"/>
    <w:rsid w:val="03641753"/>
    <w:rsid w:val="081D7756"/>
    <w:rsid w:val="08DF592E"/>
    <w:rsid w:val="08E26ADB"/>
    <w:rsid w:val="0A187FA9"/>
    <w:rsid w:val="0CA93815"/>
    <w:rsid w:val="0D76115A"/>
    <w:rsid w:val="0DD57641"/>
    <w:rsid w:val="0E7402EA"/>
    <w:rsid w:val="0F7E5FE1"/>
    <w:rsid w:val="0FFA4301"/>
    <w:rsid w:val="10646C9A"/>
    <w:rsid w:val="1224084F"/>
    <w:rsid w:val="15426AAF"/>
    <w:rsid w:val="15984256"/>
    <w:rsid w:val="1603392B"/>
    <w:rsid w:val="160B6BCF"/>
    <w:rsid w:val="166C1663"/>
    <w:rsid w:val="16AC57A9"/>
    <w:rsid w:val="16F86611"/>
    <w:rsid w:val="18DC2DC7"/>
    <w:rsid w:val="19B9420D"/>
    <w:rsid w:val="1A5A1CD5"/>
    <w:rsid w:val="1AAE4111"/>
    <w:rsid w:val="1D624EC8"/>
    <w:rsid w:val="1E050F2C"/>
    <w:rsid w:val="1E4038BC"/>
    <w:rsid w:val="1E5A326C"/>
    <w:rsid w:val="1FBB0448"/>
    <w:rsid w:val="1FFC4194"/>
    <w:rsid w:val="223B0A43"/>
    <w:rsid w:val="224C4FAD"/>
    <w:rsid w:val="23797C75"/>
    <w:rsid w:val="243875F5"/>
    <w:rsid w:val="258A5B4D"/>
    <w:rsid w:val="25C92712"/>
    <w:rsid w:val="260554B7"/>
    <w:rsid w:val="26AE74E6"/>
    <w:rsid w:val="27EE4B1A"/>
    <w:rsid w:val="28EA35DF"/>
    <w:rsid w:val="29622261"/>
    <w:rsid w:val="2A416579"/>
    <w:rsid w:val="2A477983"/>
    <w:rsid w:val="2A8B6AAC"/>
    <w:rsid w:val="2ABE5B70"/>
    <w:rsid w:val="2AF652B5"/>
    <w:rsid w:val="2B71414B"/>
    <w:rsid w:val="2BF73D6E"/>
    <w:rsid w:val="2DC72245"/>
    <w:rsid w:val="2E8F74C2"/>
    <w:rsid w:val="2FD32BB4"/>
    <w:rsid w:val="30781203"/>
    <w:rsid w:val="349E4880"/>
    <w:rsid w:val="352068A3"/>
    <w:rsid w:val="358334A3"/>
    <w:rsid w:val="35FC6F04"/>
    <w:rsid w:val="36150076"/>
    <w:rsid w:val="3B4B5D55"/>
    <w:rsid w:val="3BFE504A"/>
    <w:rsid w:val="3C6C1D3E"/>
    <w:rsid w:val="3D69258D"/>
    <w:rsid w:val="3E8E2812"/>
    <w:rsid w:val="3F0110C7"/>
    <w:rsid w:val="3F071B6E"/>
    <w:rsid w:val="40961217"/>
    <w:rsid w:val="4098794A"/>
    <w:rsid w:val="40AD0FCA"/>
    <w:rsid w:val="41336EC0"/>
    <w:rsid w:val="422A4EA2"/>
    <w:rsid w:val="42FA75FE"/>
    <w:rsid w:val="442D097F"/>
    <w:rsid w:val="446963B0"/>
    <w:rsid w:val="45CD78B2"/>
    <w:rsid w:val="478E7573"/>
    <w:rsid w:val="47F365BF"/>
    <w:rsid w:val="4AAD53AA"/>
    <w:rsid w:val="4B337D3A"/>
    <w:rsid w:val="4C4A42B7"/>
    <w:rsid w:val="4D486FF9"/>
    <w:rsid w:val="4DB143BB"/>
    <w:rsid w:val="4E753C69"/>
    <w:rsid w:val="533E1F3D"/>
    <w:rsid w:val="53E20A5E"/>
    <w:rsid w:val="544754C6"/>
    <w:rsid w:val="54CF23AE"/>
    <w:rsid w:val="55212CAD"/>
    <w:rsid w:val="555A6EDA"/>
    <w:rsid w:val="560A1C59"/>
    <w:rsid w:val="56322B27"/>
    <w:rsid w:val="59AD6C51"/>
    <w:rsid w:val="5A167172"/>
    <w:rsid w:val="5BD049A0"/>
    <w:rsid w:val="5D726DBA"/>
    <w:rsid w:val="5E3D496D"/>
    <w:rsid w:val="5EB718C1"/>
    <w:rsid w:val="5EE9258D"/>
    <w:rsid w:val="605B26CE"/>
    <w:rsid w:val="60BE72A0"/>
    <w:rsid w:val="615C1DE9"/>
    <w:rsid w:val="6201510C"/>
    <w:rsid w:val="62DC27D4"/>
    <w:rsid w:val="65236002"/>
    <w:rsid w:val="65F8181A"/>
    <w:rsid w:val="661C6C53"/>
    <w:rsid w:val="66632789"/>
    <w:rsid w:val="6AA55C2C"/>
    <w:rsid w:val="6BE74258"/>
    <w:rsid w:val="6E290089"/>
    <w:rsid w:val="6FF46050"/>
    <w:rsid w:val="703C6163"/>
    <w:rsid w:val="713B11ED"/>
    <w:rsid w:val="72253E55"/>
    <w:rsid w:val="72B45E4A"/>
    <w:rsid w:val="73622089"/>
    <w:rsid w:val="73CA7C2E"/>
    <w:rsid w:val="74420207"/>
    <w:rsid w:val="74B57C45"/>
    <w:rsid w:val="751127B8"/>
    <w:rsid w:val="768873B9"/>
    <w:rsid w:val="76994237"/>
    <w:rsid w:val="7718389F"/>
    <w:rsid w:val="7771297C"/>
    <w:rsid w:val="78774DD8"/>
    <w:rsid w:val="787D0B1B"/>
    <w:rsid w:val="7A800887"/>
    <w:rsid w:val="7A931C32"/>
    <w:rsid w:val="7AD639C6"/>
    <w:rsid w:val="7CF908FC"/>
    <w:rsid w:val="7D8D0A26"/>
    <w:rsid w:val="7DC529D1"/>
    <w:rsid w:val="7E070A37"/>
    <w:rsid w:val="7E7643FE"/>
    <w:rsid w:val="7EFF11AA"/>
    <w:rsid w:val="7F1E6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imes New Roman" w:hAnsi="Times New Roman" w:eastAsia="宋体" w:cs="Times New Roman"/>
      <w:sz w:val="24"/>
      <w:szCs w:val="22"/>
      <w:lang w:val="en-US" w:eastAsia="zh-CN" w:bidi="ar-SA"/>
    </w:rPr>
  </w:style>
  <w:style w:type="paragraph" w:styleId="2">
    <w:name w:val="heading 1"/>
    <w:basedOn w:val="1"/>
    <w:next w:val="1"/>
    <w:link w:val="20"/>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4">
    <w:name w:val="Body Text"/>
    <w:basedOn w:val="1"/>
    <w:qFormat/>
    <w:uiPriority w:val="0"/>
    <w:pPr>
      <w:spacing w:after="120"/>
    </w:pPr>
  </w:style>
  <w:style w:type="paragraph" w:styleId="5">
    <w:name w:val="Body Text Indent"/>
    <w:basedOn w:val="1"/>
    <w:qFormat/>
    <w:uiPriority w:val="0"/>
    <w:pPr>
      <w:widowControl w:val="0"/>
      <w:adjustRightInd/>
      <w:snapToGrid/>
      <w:ind w:firstLine="594" w:firstLineChars="200"/>
    </w:pPr>
    <w:rPr>
      <w:rFonts w:ascii="楷体_GB2312" w:eastAsia="楷体_GB2312"/>
      <w:kern w:val="2"/>
      <w:szCs w:val="24"/>
    </w:rPr>
  </w:style>
  <w:style w:type="paragraph" w:styleId="6">
    <w:name w:val="footer"/>
    <w:basedOn w:val="1"/>
    <w:qFormat/>
    <w:uiPriority w:val="99"/>
    <w:pPr>
      <w:tabs>
        <w:tab w:val="center" w:pos="4153"/>
        <w:tab w:val="right" w:pos="8306"/>
      </w:tabs>
    </w:pPr>
    <w:rPr>
      <w:rFonts w:eastAsiaTheme="minorEastAsia" w:cstheme="minorBidi"/>
      <w:kern w:val="2"/>
      <w:sz w:val="18"/>
      <w:szCs w:val="18"/>
    </w:rPr>
  </w:style>
  <w:style w:type="paragraph" w:styleId="7">
    <w:name w:val="header"/>
    <w:basedOn w:val="1"/>
    <w:unhideWhenUsed/>
    <w:qFormat/>
    <w:uiPriority w:val="0"/>
    <w:pPr>
      <w:pBdr>
        <w:bottom w:val="single" w:color="auto" w:sz="6" w:space="1"/>
      </w:pBdr>
      <w:tabs>
        <w:tab w:val="center" w:pos="4153"/>
        <w:tab w:val="right" w:pos="8306"/>
      </w:tabs>
      <w:jc w:val="center"/>
    </w:pPr>
    <w:rPr>
      <w:sz w:val="18"/>
      <w:szCs w:val="18"/>
    </w:rPr>
  </w:style>
  <w:style w:type="table" w:styleId="9">
    <w:name w:val="Table Grid"/>
    <w:basedOn w:val="8"/>
    <w:qFormat/>
    <w:uiPriority w:val="0"/>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表格"/>
    <w:basedOn w:val="12"/>
    <w:next w:val="1"/>
    <w:qFormat/>
    <w:uiPriority w:val="0"/>
    <w:rPr>
      <w:b w:val="0"/>
      <w:bCs/>
      <w:sz w:val="21"/>
    </w:rPr>
  </w:style>
  <w:style w:type="paragraph" w:customStyle="1" w:styleId="12">
    <w:name w:val="表格标题"/>
    <w:basedOn w:val="1"/>
    <w:qFormat/>
    <w:uiPriority w:val="0"/>
    <w:pPr>
      <w:widowControl w:val="0"/>
      <w:adjustRightInd/>
      <w:snapToGrid/>
      <w:jc w:val="center"/>
    </w:pPr>
    <w:rPr>
      <w:b/>
      <w:kern w:val="2"/>
      <w:szCs w:val="24"/>
    </w:rPr>
  </w:style>
  <w:style w:type="paragraph" w:customStyle="1" w:styleId="13">
    <w:name w:val="xl43"/>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pPr>
    <w:rPr>
      <w:rFonts w:hint="eastAsia" w:ascii="仿宋_GB2312" w:hAnsi="宋体" w:eastAsia="仿宋_GB2312"/>
      <w:color w:val="FF0000"/>
      <w:szCs w:val="24"/>
    </w:rPr>
  </w:style>
  <w:style w:type="paragraph" w:styleId="14">
    <w:name w:val="List Paragraph"/>
    <w:basedOn w:val="1"/>
    <w:qFormat/>
    <w:uiPriority w:val="0"/>
    <w:pPr>
      <w:widowControl w:val="0"/>
      <w:adjustRightInd/>
      <w:snapToGrid/>
      <w:ind w:firstLine="420" w:firstLineChars="200"/>
      <w:jc w:val="both"/>
    </w:pPr>
    <w:rPr>
      <w:kern w:val="2"/>
      <w:sz w:val="21"/>
      <w:szCs w:val="20"/>
    </w:rPr>
  </w:style>
  <w:style w:type="character" w:customStyle="1" w:styleId="15">
    <w:name w:val="页码1"/>
    <w:basedOn w:val="10"/>
    <w:qFormat/>
    <w:uiPriority w:val="0"/>
  </w:style>
  <w:style w:type="paragraph" w:customStyle="1" w:styleId="16">
    <w:name w:val="样式 首行缩进:  2 字符"/>
    <w:basedOn w:val="1"/>
    <w:qFormat/>
    <w:uiPriority w:val="0"/>
    <w:pPr>
      <w:widowControl w:val="0"/>
      <w:adjustRightInd/>
      <w:snapToGrid/>
      <w:ind w:firstLine="480" w:firstLineChars="200"/>
      <w:jc w:val="both"/>
    </w:pPr>
    <w:rPr>
      <w:rFonts w:cs="宋体"/>
      <w:kern w:val="2"/>
      <w:szCs w:val="20"/>
    </w:rPr>
  </w:style>
  <w:style w:type="paragraph" w:customStyle="1" w:styleId="17">
    <w:name w:val="Hu表头"/>
    <w:basedOn w:val="1"/>
    <w:qFormat/>
    <w:uiPriority w:val="0"/>
    <w:pPr>
      <w:widowControl w:val="0"/>
      <w:spacing w:before="156" w:beforeLines="50" w:line="420" w:lineRule="exact"/>
      <w:jc w:val="center"/>
      <w:textAlignment w:val="baseline"/>
    </w:pPr>
    <w:rPr>
      <w:rFonts w:ascii="黑体" w:hAnsi="黑体" w:eastAsia="黑体"/>
      <w:kern w:val="2"/>
      <w:sz w:val="21"/>
      <w:szCs w:val="21"/>
    </w:rPr>
  </w:style>
  <w:style w:type="paragraph" w:customStyle="1" w:styleId="18">
    <w:name w:val="呼正"/>
    <w:basedOn w:val="1"/>
    <w:qFormat/>
    <w:uiPriority w:val="0"/>
    <w:pPr>
      <w:widowControl w:val="0"/>
      <w:adjustRightInd/>
      <w:snapToGrid/>
      <w:ind w:firstLine="187" w:firstLineChars="187"/>
      <w:jc w:val="both"/>
    </w:pPr>
    <w:rPr>
      <w:rFonts w:ascii="宋体" w:hAnsi="宋体"/>
      <w:kern w:val="2"/>
      <w:sz w:val="28"/>
      <w:szCs w:val="28"/>
    </w:rPr>
  </w:style>
  <w:style w:type="paragraph" w:customStyle="1" w:styleId="19">
    <w:name w:val="样式 正文 +"/>
    <w:basedOn w:val="1"/>
    <w:qFormat/>
    <w:uiPriority w:val="0"/>
    <w:pPr>
      <w:widowControl w:val="0"/>
      <w:ind w:firstLine="480" w:firstLineChars="200"/>
      <w:jc w:val="both"/>
    </w:pPr>
    <w:rPr>
      <w:color w:val="FF0000"/>
      <w:kern w:val="2"/>
      <w:szCs w:val="24"/>
    </w:rPr>
  </w:style>
  <w:style w:type="character" w:customStyle="1" w:styleId="20">
    <w:name w:val="标题 1 字符"/>
    <w:basedOn w:val="10"/>
    <w:link w:val="2"/>
    <w:uiPriority w:val="0"/>
    <w:rPr>
      <w:b/>
      <w:bCs/>
      <w:kern w:val="44"/>
      <w:sz w:val="44"/>
      <w:szCs w:val="44"/>
    </w:rPr>
  </w:style>
  <w:style w:type="paragraph" w:customStyle="1" w:styleId="21">
    <w:name w:val="Default"/>
    <w:qFormat/>
    <w:uiPriority w:val="0"/>
    <w:pPr>
      <w:widowControl w:val="0"/>
      <w:autoSpaceDE w:val="0"/>
      <w:autoSpaceDN w:val="0"/>
      <w:adjustRightInd w:val="0"/>
    </w:pPr>
    <w:rPr>
      <w:rFonts w:ascii="华文新魏" w:hAnsi="Calibri" w:eastAsia="华文新魏" w:cs="华文新魏"/>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2235</Words>
  <Characters>12742</Characters>
  <Lines>106</Lines>
  <Paragraphs>29</Paragraphs>
  <TotalTime>2</TotalTime>
  <ScaleCrop>false</ScaleCrop>
  <LinksUpToDate>false</LinksUpToDate>
  <CharactersWithSpaces>14948</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2019-06-27T14:05:00Z</dcterms:created>
  <dc:creator>Administrator</dc:creator>
  <cp:lastModifiedBy>cygszs</cp:lastModifiedBy>
  <cp:lastPrinted>2019-06-27T14:05:00Z</cp:lastPrinted>
  <dcterms:modified xsi:type="dcterms:W3CDTF">2019-07-05T08:42:06Z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