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220" w:lineRule="atLeast"/>
        <w:rPr>
          <w:rFonts w:hint="default" w:ascii="Times New Roman" w:hAnsi="Times New Roman" w:eastAsia="黑体" w:cs="Times New Roman"/>
          <w:bCs/>
          <w:color w:val="auto"/>
          <w:sz w:val="24"/>
          <w:szCs w:val="24"/>
          <w:highlight w:val="none"/>
        </w:rPr>
      </w:pPr>
    </w:p>
    <w:p>
      <w:pPr>
        <w:spacing w:line="360" w:lineRule="auto"/>
        <w:jc w:val="center"/>
        <w:rPr>
          <w:rFonts w:hint="default" w:ascii="Times New Roman" w:hAnsi="Times New Roman" w:eastAsia="仿宋_GB2312" w:cs="Times New Roman"/>
          <w:color w:val="auto"/>
          <w:sz w:val="28"/>
          <w:highlight w:val="none"/>
        </w:rPr>
      </w:pPr>
    </w:p>
    <w:p>
      <w:pPr>
        <w:spacing w:line="360" w:lineRule="auto"/>
        <w:jc w:val="center"/>
        <w:rPr>
          <w:rFonts w:hint="default" w:ascii="Times New Roman" w:hAnsi="Times New Roman" w:eastAsia="仿宋_GB2312" w:cs="Times New Roman"/>
          <w:color w:val="auto"/>
          <w:sz w:val="28"/>
          <w:highlight w:val="none"/>
        </w:rPr>
      </w:pPr>
    </w:p>
    <w:p>
      <w:pPr>
        <w:spacing w:line="360" w:lineRule="auto"/>
        <w:jc w:val="center"/>
        <w:rPr>
          <w:rFonts w:hint="default" w:ascii="Times New Roman" w:hAnsi="Times New Roman" w:eastAsia="仿宋_GB2312" w:cs="Times New Roman"/>
          <w:color w:val="auto"/>
          <w:sz w:val="28"/>
          <w:highlight w:val="none"/>
        </w:rPr>
      </w:pPr>
    </w:p>
    <w:p>
      <w:pPr>
        <w:spacing w:line="360" w:lineRule="auto"/>
        <w:jc w:val="center"/>
        <w:rPr>
          <w:rFonts w:hint="default" w:ascii="Times New Roman" w:hAnsi="Times New Roman" w:eastAsia="华文新魏" w:cs="Times New Roman"/>
          <w:b/>
          <w:color w:val="auto"/>
          <w:sz w:val="48"/>
          <w:szCs w:val="48"/>
          <w:highlight w:val="none"/>
        </w:rPr>
      </w:pPr>
      <w:r>
        <w:rPr>
          <w:rFonts w:hint="eastAsia" w:ascii="Times New Roman" w:hAnsi="Times New Roman" w:eastAsia="华文新魏" w:cs="Times New Roman"/>
          <w:b/>
          <w:color w:val="auto"/>
          <w:sz w:val="48"/>
          <w:szCs w:val="48"/>
          <w:highlight w:val="none"/>
          <w:lang w:eastAsia="zh-CN"/>
        </w:rPr>
        <w:t>陕西金工装饰幕墙有限公司西咸新区分公司金属制品加工厂项目</w:t>
      </w:r>
      <w:r>
        <w:rPr>
          <w:rFonts w:hint="default" w:ascii="Times New Roman" w:hAnsi="Times New Roman" w:eastAsia="华文新魏" w:cs="Times New Roman"/>
          <w:b/>
          <w:color w:val="auto"/>
          <w:sz w:val="48"/>
          <w:szCs w:val="48"/>
          <w:highlight w:val="none"/>
        </w:rPr>
        <w:t>竣工环境保护</w:t>
      </w:r>
    </w:p>
    <w:p>
      <w:pPr>
        <w:spacing w:line="360" w:lineRule="auto"/>
        <w:jc w:val="center"/>
        <w:rPr>
          <w:rFonts w:hint="default" w:ascii="Times New Roman" w:hAnsi="Times New Roman" w:eastAsia="华文新魏" w:cs="Times New Roman"/>
          <w:color w:val="auto"/>
          <w:sz w:val="48"/>
          <w:szCs w:val="48"/>
          <w:highlight w:val="none"/>
        </w:rPr>
      </w:pPr>
      <w:r>
        <w:rPr>
          <w:rFonts w:hint="default" w:ascii="Times New Roman" w:hAnsi="Times New Roman" w:eastAsia="华文新魏" w:cs="Times New Roman"/>
          <w:b/>
          <w:color w:val="auto"/>
          <w:sz w:val="48"/>
          <w:szCs w:val="48"/>
          <w:highlight w:val="none"/>
        </w:rPr>
        <w:t>验收</w:t>
      </w:r>
      <w:r>
        <w:rPr>
          <w:rFonts w:hint="eastAsia" w:ascii="Times New Roman" w:hAnsi="Times New Roman" w:eastAsia="华文新魏" w:cs="Times New Roman"/>
          <w:b/>
          <w:color w:val="auto"/>
          <w:sz w:val="48"/>
          <w:szCs w:val="48"/>
          <w:highlight w:val="none"/>
          <w:lang w:val="en-US" w:eastAsia="zh-CN"/>
        </w:rPr>
        <w:t>调查</w:t>
      </w:r>
      <w:r>
        <w:rPr>
          <w:rFonts w:hint="default" w:ascii="Times New Roman" w:hAnsi="Times New Roman" w:eastAsia="华文新魏" w:cs="Times New Roman"/>
          <w:b/>
          <w:color w:val="auto"/>
          <w:sz w:val="48"/>
          <w:szCs w:val="48"/>
          <w:highlight w:val="none"/>
        </w:rPr>
        <w:t>报告表</w:t>
      </w:r>
    </w:p>
    <w:p>
      <w:pPr>
        <w:spacing w:line="360" w:lineRule="auto"/>
        <w:jc w:val="center"/>
        <w:rPr>
          <w:rFonts w:hint="default" w:ascii="Times New Roman" w:hAnsi="Times New Roman" w:eastAsia="仿宋_GB2312" w:cs="Times New Roman"/>
          <w:color w:val="auto"/>
          <w:sz w:val="28"/>
          <w:highlight w:val="none"/>
        </w:rPr>
      </w:pPr>
      <w:r>
        <w:rPr>
          <w:rFonts w:hint="default" w:ascii="Times New Roman" w:hAnsi="Times New Roman" w:eastAsia="华文新魏" w:cs="Times New Roman"/>
          <w:color w:val="auto"/>
          <w:sz w:val="30"/>
          <w:szCs w:val="30"/>
          <w:highlight w:val="none"/>
          <w:lang w:eastAsia="zh-CN"/>
        </w:rPr>
        <w:t>（</w:t>
      </w:r>
      <w:r>
        <w:rPr>
          <w:rFonts w:hint="eastAsia" w:ascii="Times New Roman" w:hAnsi="Times New Roman" w:eastAsia="华文新魏" w:cs="Times New Roman"/>
          <w:color w:val="auto"/>
          <w:sz w:val="30"/>
          <w:szCs w:val="30"/>
          <w:highlight w:val="none"/>
          <w:lang w:val="en-US" w:eastAsia="zh-CN"/>
        </w:rPr>
        <w:t>固废</w:t>
      </w:r>
      <w:r>
        <w:rPr>
          <w:rFonts w:hint="default" w:ascii="Times New Roman" w:hAnsi="Times New Roman" w:eastAsia="华文新魏" w:cs="Times New Roman"/>
          <w:color w:val="auto"/>
          <w:sz w:val="30"/>
          <w:szCs w:val="30"/>
          <w:highlight w:val="none"/>
          <w:lang w:eastAsia="zh-CN"/>
        </w:rPr>
        <w:t>专篇）</w:t>
      </w:r>
    </w:p>
    <w:p>
      <w:pPr>
        <w:jc w:val="center"/>
        <w:rPr>
          <w:rFonts w:hint="default" w:ascii="Times New Roman" w:hAnsi="Times New Roman" w:eastAsia="仿宋_GB2312" w:cs="Times New Roman"/>
          <w:color w:val="auto"/>
          <w:sz w:val="28"/>
          <w:highlight w:val="none"/>
        </w:rPr>
      </w:pPr>
    </w:p>
    <w:p>
      <w:pPr>
        <w:jc w:val="center"/>
        <w:rPr>
          <w:rFonts w:hint="default" w:ascii="Times New Roman" w:hAnsi="Times New Roman" w:eastAsia="仿宋_GB2312" w:cs="Times New Roman"/>
          <w:color w:val="auto"/>
          <w:sz w:val="28"/>
          <w:highlight w:val="none"/>
        </w:rPr>
      </w:pPr>
    </w:p>
    <w:p>
      <w:pPr>
        <w:jc w:val="center"/>
        <w:rPr>
          <w:rFonts w:hint="default" w:ascii="Times New Roman" w:hAnsi="Times New Roman" w:eastAsia="仿宋_GB2312" w:cs="Times New Roman"/>
          <w:color w:val="auto"/>
          <w:sz w:val="28"/>
          <w:highlight w:val="none"/>
        </w:rPr>
      </w:pPr>
    </w:p>
    <w:p>
      <w:pPr>
        <w:jc w:val="center"/>
        <w:rPr>
          <w:rFonts w:hint="default" w:ascii="Times New Roman" w:hAnsi="Times New Roman" w:eastAsia="仿宋_GB2312" w:cs="Times New Roman"/>
          <w:color w:val="auto"/>
          <w:sz w:val="28"/>
          <w:highlight w:val="none"/>
        </w:rPr>
      </w:pPr>
    </w:p>
    <w:p>
      <w:pPr>
        <w:jc w:val="center"/>
        <w:rPr>
          <w:rFonts w:hint="default" w:ascii="Times New Roman" w:hAnsi="Times New Roman" w:eastAsia="仿宋_GB2312" w:cs="Times New Roman"/>
          <w:color w:val="auto"/>
          <w:sz w:val="28"/>
          <w:highlight w:val="none"/>
        </w:rPr>
      </w:pPr>
    </w:p>
    <w:p>
      <w:pPr>
        <w:jc w:val="center"/>
        <w:rPr>
          <w:rFonts w:hint="default" w:ascii="Times New Roman" w:hAnsi="Times New Roman" w:eastAsia="仿宋_GB2312" w:cs="Times New Roman"/>
          <w:color w:val="auto"/>
          <w:sz w:val="28"/>
          <w:highlight w:val="none"/>
        </w:rPr>
      </w:pPr>
    </w:p>
    <w:p>
      <w:pPr>
        <w:rPr>
          <w:rFonts w:hint="default" w:ascii="Times New Roman" w:hAnsi="Times New Roman" w:eastAsia="仿宋_GB2312" w:cs="Times New Roman"/>
          <w:color w:val="auto"/>
          <w:sz w:val="28"/>
          <w:highlight w:val="none"/>
        </w:rPr>
      </w:pPr>
    </w:p>
    <w:p>
      <w:pPr>
        <w:rPr>
          <w:rFonts w:hint="default" w:ascii="Times New Roman" w:hAnsi="Times New Roman" w:eastAsia="华文新魏" w:cs="Times New Roman"/>
          <w:color w:val="auto"/>
          <w:sz w:val="28"/>
          <w:szCs w:val="28"/>
          <w:highlight w:val="none"/>
        </w:rPr>
      </w:pPr>
      <w:r>
        <w:rPr>
          <w:rFonts w:hint="default" w:ascii="Times New Roman" w:hAnsi="Times New Roman" w:eastAsia="仿宋_GB2312" w:cs="Times New Roman"/>
          <w:color w:val="auto"/>
          <w:sz w:val="28"/>
          <w:highlight w:val="none"/>
        </w:rPr>
        <w:tab/>
      </w:r>
    </w:p>
    <w:p>
      <w:pPr>
        <w:keepNext w:val="0"/>
        <w:keepLines w:val="0"/>
        <w:pageBreakBefore w:val="0"/>
        <w:widowControl w:val="0"/>
        <w:kinsoku/>
        <w:wordWrap/>
        <w:overflowPunct/>
        <w:topLinePunct w:val="0"/>
        <w:autoSpaceDE/>
        <w:autoSpaceDN/>
        <w:bidi w:val="0"/>
        <w:adjustRightInd/>
        <w:snapToGrid/>
        <w:spacing w:line="360" w:lineRule="auto"/>
        <w:ind w:firstLine="1680" w:firstLineChars="600"/>
        <w:textAlignment w:val="auto"/>
        <w:outlineLvl w:val="9"/>
        <w:rPr>
          <w:rFonts w:hint="default" w:ascii="Times New Roman" w:hAnsi="Times New Roman" w:eastAsia="华文新魏" w:cs="Times New Roman"/>
          <w:color w:val="auto"/>
          <w:sz w:val="28"/>
          <w:szCs w:val="28"/>
          <w:highlight w:val="none"/>
          <w:lang w:eastAsia="zh-CN"/>
        </w:rPr>
      </w:pPr>
      <w:r>
        <w:rPr>
          <w:rFonts w:hint="default" w:ascii="Times New Roman" w:hAnsi="Times New Roman" w:eastAsia="华文新魏" w:cs="Times New Roman"/>
          <w:color w:val="auto"/>
          <w:sz w:val="28"/>
          <w:szCs w:val="28"/>
          <w:highlight w:val="none"/>
        </w:rPr>
        <w:t>建设单位</w:t>
      </w:r>
      <w:r>
        <w:rPr>
          <w:rFonts w:hint="default" w:ascii="Times New Roman" w:hAnsi="Times New Roman" w:eastAsia="华文新魏" w:cs="Times New Roman"/>
          <w:color w:val="auto"/>
          <w:sz w:val="28"/>
          <w:szCs w:val="28"/>
          <w:highlight w:val="none"/>
          <w:lang w:eastAsia="zh-CN"/>
        </w:rPr>
        <w:t>：</w:t>
      </w:r>
      <w:r>
        <w:rPr>
          <w:rFonts w:hint="eastAsia" w:ascii="Times New Roman" w:hAnsi="Times New Roman" w:eastAsia="华文新魏" w:cs="Times New Roman"/>
          <w:color w:val="auto"/>
          <w:sz w:val="28"/>
          <w:szCs w:val="28"/>
          <w:highlight w:val="none"/>
          <w:lang w:eastAsia="zh-CN"/>
        </w:rPr>
        <w:t>陕西金工装饰幕墙有限公司西咸新区分公司</w:t>
      </w:r>
    </w:p>
    <w:p>
      <w:pPr>
        <w:keepNext w:val="0"/>
        <w:keepLines w:val="0"/>
        <w:pageBreakBefore w:val="0"/>
        <w:widowControl w:val="0"/>
        <w:kinsoku/>
        <w:wordWrap/>
        <w:overflowPunct/>
        <w:topLinePunct w:val="0"/>
        <w:autoSpaceDE/>
        <w:autoSpaceDN/>
        <w:bidi w:val="0"/>
        <w:adjustRightInd/>
        <w:snapToGrid/>
        <w:spacing w:line="360" w:lineRule="auto"/>
        <w:ind w:firstLine="1680" w:firstLineChars="600"/>
        <w:textAlignment w:val="auto"/>
        <w:outlineLvl w:val="9"/>
        <w:rPr>
          <w:rFonts w:hint="default" w:ascii="Times New Roman" w:hAnsi="Times New Roman" w:eastAsia="华文新魏" w:cs="Times New Roman"/>
          <w:color w:val="auto"/>
          <w:sz w:val="28"/>
          <w:szCs w:val="28"/>
          <w:highlight w:val="none"/>
          <w:lang w:eastAsia="zh-CN"/>
        </w:rPr>
      </w:pPr>
      <w:r>
        <w:rPr>
          <w:rFonts w:hint="default" w:ascii="Times New Roman" w:hAnsi="Times New Roman" w:eastAsia="华文新魏" w:cs="Times New Roman"/>
          <w:color w:val="auto"/>
          <w:sz w:val="28"/>
          <w:szCs w:val="28"/>
          <w:highlight w:val="none"/>
        </w:rPr>
        <w:t>编制单位</w:t>
      </w:r>
      <w:r>
        <w:rPr>
          <w:rFonts w:hint="default" w:ascii="Times New Roman" w:hAnsi="Times New Roman" w:eastAsia="华文新魏" w:cs="Times New Roman"/>
          <w:color w:val="auto"/>
          <w:sz w:val="28"/>
          <w:szCs w:val="28"/>
          <w:highlight w:val="none"/>
          <w:lang w:eastAsia="zh-CN"/>
        </w:rPr>
        <w:t>：西安冕成环保科技有限公司</w:t>
      </w:r>
    </w:p>
    <w:p>
      <w:pPr>
        <w:rPr>
          <w:rFonts w:hint="default" w:ascii="Times New Roman" w:hAnsi="Times New Roman" w:eastAsia="仿宋_GB2312" w:cs="Times New Roman"/>
          <w:color w:val="auto"/>
          <w:sz w:val="28"/>
          <w:highlight w:val="none"/>
        </w:rPr>
      </w:pPr>
    </w:p>
    <w:p>
      <w:pPr>
        <w:rPr>
          <w:rFonts w:hint="default" w:ascii="Times New Roman" w:hAnsi="Times New Roman" w:eastAsia="仿宋_GB2312" w:cs="Times New Roman"/>
          <w:color w:val="auto"/>
          <w:sz w:val="28"/>
          <w:highlight w:val="none"/>
        </w:rPr>
      </w:pPr>
    </w:p>
    <w:p>
      <w:pPr>
        <w:rPr>
          <w:rFonts w:hint="default" w:ascii="Times New Roman" w:hAnsi="Times New Roman" w:eastAsia="仿宋_GB2312" w:cs="Times New Roman"/>
          <w:color w:val="auto"/>
          <w:sz w:val="28"/>
          <w:highlight w:val="none"/>
        </w:rPr>
      </w:pPr>
    </w:p>
    <w:p>
      <w:pPr>
        <w:rPr>
          <w:rFonts w:hint="default" w:ascii="Times New Roman" w:hAnsi="Times New Roman" w:eastAsia="仿宋_GB2312" w:cs="Times New Roman"/>
          <w:color w:val="auto"/>
          <w:sz w:val="28"/>
          <w:highlight w:val="none"/>
        </w:rPr>
      </w:pPr>
    </w:p>
    <w:p>
      <w:pPr>
        <w:rPr>
          <w:rFonts w:hint="default" w:ascii="Times New Roman" w:hAnsi="Times New Roman" w:eastAsia="仿宋_GB2312" w:cs="Times New Roman"/>
          <w:color w:val="auto"/>
          <w:sz w:val="28"/>
          <w:highlight w:val="none"/>
        </w:rPr>
      </w:pPr>
    </w:p>
    <w:p>
      <w:pPr>
        <w:rPr>
          <w:rFonts w:hint="default" w:ascii="Times New Roman" w:hAnsi="Times New Roman" w:eastAsia="仿宋_GB2312" w:cs="Times New Roman"/>
          <w:color w:val="auto"/>
          <w:sz w:val="28"/>
          <w:highlight w:val="none"/>
        </w:rPr>
      </w:pPr>
    </w:p>
    <w:p>
      <w:pPr>
        <w:rPr>
          <w:rFonts w:hint="default" w:ascii="Times New Roman" w:hAnsi="Times New Roman" w:eastAsia="仿宋_GB2312" w:cs="Times New Roman"/>
          <w:color w:val="auto"/>
          <w:sz w:val="28"/>
          <w:highlight w:val="none"/>
        </w:rPr>
      </w:pPr>
    </w:p>
    <w:p>
      <w:pPr>
        <w:rPr>
          <w:rFonts w:hint="default" w:ascii="Times New Roman" w:hAnsi="Times New Roman" w:eastAsia="仿宋_GB2312" w:cs="Times New Roman"/>
          <w:color w:val="auto"/>
          <w:sz w:val="28"/>
          <w:highlight w:val="none"/>
        </w:rPr>
      </w:pPr>
    </w:p>
    <w:p>
      <w:pPr>
        <w:rPr>
          <w:rFonts w:hint="default" w:ascii="Times New Roman" w:hAnsi="Times New Roman" w:eastAsia="仿宋_GB2312" w:cs="Times New Roman"/>
          <w:color w:val="auto"/>
          <w:sz w:val="28"/>
          <w:highlight w:val="none"/>
        </w:rPr>
      </w:pPr>
    </w:p>
    <w:p>
      <w:pPr>
        <w:rPr>
          <w:rFonts w:hint="default" w:ascii="Times New Roman" w:hAnsi="Times New Roman" w:eastAsia="仿宋_GB2312" w:cs="Times New Roman"/>
          <w:color w:val="auto"/>
          <w:sz w:val="28"/>
          <w:highlight w:val="none"/>
        </w:rPr>
      </w:pPr>
    </w:p>
    <w:p>
      <w:pPr>
        <w:rPr>
          <w:rFonts w:hint="default" w:ascii="Times New Roman" w:hAnsi="Times New Roman" w:eastAsia="华文新魏" w:cs="Times New Roman"/>
          <w:color w:val="auto"/>
          <w:sz w:val="28"/>
          <w:szCs w:val="28"/>
          <w:highlight w:val="none"/>
        </w:rPr>
      </w:pPr>
    </w:p>
    <w:p>
      <w:pPr>
        <w:jc w:val="center"/>
        <w:rPr>
          <w:rFonts w:hint="default" w:ascii="Times New Roman" w:hAnsi="Times New Roman" w:eastAsia="华文新魏" w:cs="Times New Roman"/>
          <w:color w:val="auto"/>
          <w:sz w:val="28"/>
          <w:szCs w:val="28"/>
          <w:highlight w:val="none"/>
        </w:rPr>
      </w:pPr>
      <w:r>
        <w:rPr>
          <w:rFonts w:hint="default" w:ascii="Times New Roman" w:hAnsi="Times New Roman" w:eastAsia="华文新魏" w:cs="Times New Roman"/>
          <w:b/>
          <w:color w:val="auto"/>
          <w:sz w:val="28"/>
          <w:szCs w:val="28"/>
          <w:highlight w:val="none"/>
          <w:lang w:val="en-US" w:eastAsia="zh-CN"/>
        </w:rPr>
        <w:t>201</w:t>
      </w:r>
      <w:r>
        <w:rPr>
          <w:rFonts w:hint="eastAsia" w:ascii="Times New Roman" w:hAnsi="Times New Roman" w:eastAsia="华文新魏" w:cs="Times New Roman"/>
          <w:b/>
          <w:color w:val="auto"/>
          <w:sz w:val="28"/>
          <w:szCs w:val="28"/>
          <w:highlight w:val="none"/>
          <w:lang w:val="en-US" w:eastAsia="zh-CN"/>
        </w:rPr>
        <w:t>9</w:t>
      </w:r>
      <w:r>
        <w:rPr>
          <w:rFonts w:hint="default" w:ascii="Times New Roman" w:hAnsi="Times New Roman" w:eastAsia="华文新魏" w:cs="Times New Roman"/>
          <w:color w:val="auto"/>
          <w:sz w:val="28"/>
          <w:szCs w:val="28"/>
          <w:highlight w:val="none"/>
        </w:rPr>
        <w:t>年</w:t>
      </w:r>
      <w:r>
        <w:rPr>
          <w:rFonts w:hint="eastAsia" w:ascii="Times New Roman" w:hAnsi="Times New Roman" w:eastAsia="华文新魏" w:cs="Times New Roman"/>
          <w:b/>
          <w:color w:val="auto"/>
          <w:sz w:val="28"/>
          <w:szCs w:val="28"/>
          <w:highlight w:val="none"/>
          <w:lang w:val="en-US" w:eastAsia="zh-CN"/>
        </w:rPr>
        <w:t>6</w:t>
      </w:r>
      <w:r>
        <w:rPr>
          <w:rFonts w:hint="default" w:ascii="Times New Roman" w:hAnsi="Times New Roman" w:eastAsia="华文新魏" w:cs="Times New Roman"/>
          <w:color w:val="auto"/>
          <w:sz w:val="28"/>
          <w:szCs w:val="28"/>
          <w:highlight w:val="none"/>
        </w:rPr>
        <w:t>月</w:t>
      </w:r>
    </w:p>
    <w:p>
      <w:pPr>
        <w:rPr>
          <w:rFonts w:hint="default" w:ascii="Times New Roman" w:hAnsi="Times New Roman" w:eastAsia="华文新魏" w:cs="Times New Roman"/>
          <w:color w:val="auto"/>
          <w:sz w:val="28"/>
          <w:szCs w:val="28"/>
          <w:highlight w:val="none"/>
        </w:rPr>
      </w:pPr>
    </w:p>
    <w:p>
      <w:pPr>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br w:type="page"/>
      </w:r>
      <w:r>
        <w:rPr>
          <w:rFonts w:hint="default" w:ascii="Times New Roman" w:hAnsi="Times New Roman" w:eastAsia="仿宋_GB2312" w:cs="Times New Roman"/>
          <w:b/>
          <w:color w:val="auto"/>
          <w:sz w:val="28"/>
          <w:highlight w:val="none"/>
        </w:rPr>
        <w:tab/>
      </w:r>
    </w:p>
    <w:p>
      <w:pPr>
        <w:spacing w:line="360" w:lineRule="auto"/>
        <w:rPr>
          <w:rFonts w:hint="default" w:ascii="Times New Roman" w:hAnsi="Times New Roman" w:eastAsia="仿宋_GB2312" w:cs="Times New Roman"/>
          <w:color w:val="auto"/>
          <w:sz w:val="28"/>
          <w:highlight w:val="none"/>
        </w:rPr>
      </w:pPr>
      <w:r>
        <w:rPr>
          <w:rFonts w:hint="default" w:ascii="Times New Roman" w:hAnsi="Times New Roman" w:eastAsia="仿宋_GB2312" w:cs="Times New Roman"/>
          <w:b/>
          <w:color w:val="auto"/>
          <w:sz w:val="28"/>
          <w:highlight w:val="none"/>
        </w:rPr>
        <w:t>建设单位法人代表</w:t>
      </w:r>
      <w:r>
        <w:rPr>
          <w:rFonts w:hint="default" w:ascii="Times New Roman" w:hAnsi="Times New Roman" w:eastAsia="仿宋_GB2312" w:cs="Times New Roman"/>
          <w:b/>
          <w:color w:val="auto"/>
          <w:sz w:val="28"/>
          <w:highlight w:val="none"/>
          <w:lang w:eastAsia="zh-CN"/>
        </w:rPr>
        <w:t>：</w:t>
      </w:r>
      <w:r>
        <w:rPr>
          <w:rFonts w:hint="default" w:ascii="Times New Roman" w:hAnsi="Times New Roman" w:eastAsia="仿宋_GB2312" w:cs="Times New Roman"/>
          <w:color w:val="auto"/>
          <w:sz w:val="28"/>
          <w:highlight w:val="none"/>
        </w:rPr>
        <w:tab/>
      </w:r>
      <w:r>
        <w:rPr>
          <w:rFonts w:hint="default" w:ascii="Times New Roman" w:hAnsi="Times New Roman" w:eastAsia="仿宋_GB2312" w:cs="Times New Roman"/>
          <w:color w:val="auto"/>
          <w:sz w:val="28"/>
          <w:highlight w:val="none"/>
        </w:rPr>
        <w:t xml:space="preserve">          （签字）</w:t>
      </w:r>
    </w:p>
    <w:p>
      <w:pPr>
        <w:spacing w:line="360" w:lineRule="auto"/>
        <w:rPr>
          <w:rFonts w:hint="default" w:ascii="Times New Roman" w:hAnsi="Times New Roman" w:eastAsia="仿宋_GB2312" w:cs="Times New Roman"/>
          <w:color w:val="auto"/>
          <w:sz w:val="28"/>
          <w:highlight w:val="none"/>
        </w:rPr>
      </w:pPr>
      <w:r>
        <w:rPr>
          <w:rFonts w:hint="default" w:ascii="Times New Roman" w:hAnsi="Times New Roman" w:eastAsia="仿宋_GB2312" w:cs="Times New Roman"/>
          <w:b/>
          <w:color w:val="auto"/>
          <w:sz w:val="28"/>
          <w:highlight w:val="none"/>
        </w:rPr>
        <w:t>编制单位法人代表</w:t>
      </w:r>
      <w:r>
        <w:rPr>
          <w:rFonts w:hint="default" w:ascii="Times New Roman" w:hAnsi="Times New Roman" w:eastAsia="仿宋_GB2312" w:cs="Times New Roman"/>
          <w:b/>
          <w:color w:val="auto"/>
          <w:sz w:val="28"/>
          <w:highlight w:val="none"/>
          <w:lang w:eastAsia="zh-CN"/>
        </w:rPr>
        <w:t>：</w:t>
      </w:r>
      <w:r>
        <w:rPr>
          <w:rFonts w:hint="default" w:ascii="Times New Roman" w:hAnsi="Times New Roman" w:eastAsia="仿宋_GB2312" w:cs="Times New Roman"/>
          <w:color w:val="auto"/>
          <w:sz w:val="28"/>
          <w:highlight w:val="none"/>
        </w:rPr>
        <w:tab/>
      </w:r>
      <w:r>
        <w:rPr>
          <w:rFonts w:hint="default" w:ascii="Times New Roman" w:hAnsi="Times New Roman" w:eastAsia="仿宋_GB2312" w:cs="Times New Roman"/>
          <w:color w:val="auto"/>
          <w:sz w:val="28"/>
          <w:highlight w:val="none"/>
        </w:rPr>
        <w:t xml:space="preserve">          （签字）</w:t>
      </w:r>
    </w:p>
    <w:p>
      <w:pPr>
        <w:spacing w:line="360" w:lineRule="auto"/>
        <w:rPr>
          <w:rFonts w:hint="eastAsia" w:ascii="Times New Roman" w:hAnsi="Times New Roman" w:eastAsia="仿宋_GB2312" w:cs="Times New Roman"/>
          <w:b/>
          <w:color w:val="auto"/>
          <w:spacing w:val="7"/>
          <w:w w:val="79"/>
          <w:sz w:val="28"/>
          <w:highlight w:val="none"/>
          <w:lang w:eastAsia="zh-CN"/>
        </w:rPr>
      </w:pPr>
      <w:r>
        <w:rPr>
          <w:rFonts w:hint="default" w:ascii="Times New Roman" w:hAnsi="Times New Roman" w:eastAsia="仿宋_GB2312" w:cs="Times New Roman"/>
          <w:b/>
          <w:color w:val="auto"/>
          <w:spacing w:val="136"/>
          <w:w w:val="79"/>
          <w:sz w:val="28"/>
          <w:highlight w:val="none"/>
        </w:rPr>
        <w:t>项目负责</w:t>
      </w:r>
      <w:r>
        <w:rPr>
          <w:rFonts w:hint="default" w:ascii="Times New Roman" w:hAnsi="Times New Roman" w:eastAsia="仿宋_GB2312" w:cs="Times New Roman"/>
          <w:b/>
          <w:color w:val="auto"/>
          <w:spacing w:val="20"/>
          <w:w w:val="79"/>
          <w:sz w:val="28"/>
          <w:highlight w:val="none"/>
        </w:rPr>
        <w:t>人</w:t>
      </w:r>
      <w:r>
        <w:rPr>
          <w:rFonts w:hint="default" w:ascii="Times New Roman" w:hAnsi="Times New Roman" w:eastAsia="仿宋_GB2312" w:cs="Times New Roman"/>
          <w:b/>
          <w:color w:val="auto"/>
          <w:spacing w:val="10"/>
          <w:w w:val="79"/>
          <w:sz w:val="28"/>
          <w:highlight w:val="none"/>
          <w:lang w:eastAsia="zh-CN"/>
        </w:rPr>
        <w:t>：</w:t>
      </w:r>
      <w:r>
        <w:rPr>
          <w:rFonts w:hint="eastAsia" w:ascii="Times New Roman" w:hAnsi="Times New Roman" w:eastAsia="仿宋_GB2312" w:cs="Times New Roman"/>
          <w:b/>
          <w:color w:val="auto"/>
          <w:sz w:val="28"/>
          <w:highlight w:val="none"/>
          <w:lang w:val="en-US" w:eastAsia="zh-CN"/>
        </w:rPr>
        <w:t>赵凡</w:t>
      </w:r>
    </w:p>
    <w:p>
      <w:pPr>
        <w:spacing w:line="360" w:lineRule="auto"/>
        <w:rPr>
          <w:rFonts w:hint="default" w:ascii="Times New Roman" w:hAnsi="Times New Roman" w:eastAsia="仿宋_GB2312" w:cs="Times New Roman"/>
          <w:b/>
          <w:color w:val="auto"/>
          <w:sz w:val="28"/>
          <w:highlight w:val="none"/>
          <w:lang w:eastAsia="zh-CN"/>
        </w:rPr>
      </w:pPr>
      <w:r>
        <w:rPr>
          <w:rFonts w:hint="default" w:ascii="Times New Roman" w:hAnsi="Times New Roman" w:eastAsia="仿宋_GB2312" w:cs="Times New Roman"/>
          <w:b/>
          <w:color w:val="auto"/>
          <w:spacing w:val="164"/>
          <w:w w:val="79"/>
          <w:sz w:val="28"/>
          <w:highlight w:val="none"/>
        </w:rPr>
        <w:t>填</w:t>
      </w:r>
      <w:r>
        <w:rPr>
          <w:rFonts w:hint="default" w:ascii="Times New Roman" w:hAnsi="Times New Roman" w:eastAsia="仿宋_GB2312" w:cs="Times New Roman"/>
          <w:b/>
          <w:color w:val="auto"/>
          <w:spacing w:val="164"/>
          <w:w w:val="79"/>
          <w:sz w:val="28"/>
          <w:highlight w:val="none"/>
          <w:lang w:val="en-US" w:eastAsia="zh-CN"/>
        </w:rPr>
        <w:t xml:space="preserve"> </w:t>
      </w:r>
      <w:r>
        <w:rPr>
          <w:rFonts w:hint="default" w:ascii="Times New Roman" w:hAnsi="Times New Roman" w:eastAsia="仿宋_GB2312" w:cs="Times New Roman"/>
          <w:b/>
          <w:color w:val="auto"/>
          <w:spacing w:val="164"/>
          <w:w w:val="79"/>
          <w:sz w:val="28"/>
          <w:highlight w:val="none"/>
        </w:rPr>
        <w:t xml:space="preserve">表 </w:t>
      </w:r>
      <w:r>
        <w:rPr>
          <w:rFonts w:hint="default" w:ascii="Times New Roman" w:hAnsi="Times New Roman" w:eastAsia="仿宋_GB2312" w:cs="Times New Roman"/>
          <w:b/>
          <w:color w:val="auto"/>
          <w:spacing w:val="0"/>
          <w:w w:val="79"/>
          <w:sz w:val="28"/>
          <w:highlight w:val="none"/>
        </w:rPr>
        <w:t>人</w:t>
      </w:r>
      <w:r>
        <w:rPr>
          <w:rFonts w:hint="default" w:ascii="Times New Roman" w:hAnsi="Times New Roman" w:eastAsia="仿宋_GB2312" w:cs="Times New Roman"/>
          <w:b/>
          <w:color w:val="auto"/>
          <w:spacing w:val="2"/>
          <w:w w:val="79"/>
          <w:sz w:val="28"/>
          <w:highlight w:val="none"/>
        </w:rPr>
        <w:t>：</w:t>
      </w:r>
      <w:r>
        <w:rPr>
          <w:rFonts w:hint="eastAsia" w:ascii="Times New Roman" w:hAnsi="Times New Roman" w:eastAsia="仿宋_GB2312" w:cs="Times New Roman"/>
          <w:b/>
          <w:color w:val="auto"/>
          <w:sz w:val="28"/>
          <w:highlight w:val="none"/>
          <w:lang w:val="en-US" w:eastAsia="zh-CN"/>
        </w:rPr>
        <w:t>张瑶</w:t>
      </w:r>
    </w:p>
    <w:p>
      <w:pPr>
        <w:spacing w:line="360" w:lineRule="auto"/>
        <w:rPr>
          <w:rFonts w:hint="default" w:ascii="Times New Roman" w:hAnsi="Times New Roman" w:eastAsia="仿宋_GB2312" w:cs="Times New Roman"/>
          <w:color w:val="auto"/>
          <w:sz w:val="28"/>
          <w:highlight w:val="none"/>
        </w:rPr>
      </w:pPr>
      <w:r>
        <w:rPr>
          <w:rFonts w:hint="default" w:ascii="Times New Roman" w:hAnsi="Times New Roman" w:eastAsia="仿宋_GB2312" w:cs="Times New Roman"/>
          <w:color w:val="auto"/>
          <w:sz w:val="28"/>
          <w:highlight w:val="none"/>
        </w:rPr>
        <w:tab/>
      </w:r>
    </w:p>
    <w:p>
      <w:pPr>
        <w:spacing w:line="360" w:lineRule="auto"/>
        <w:rPr>
          <w:rFonts w:hint="default" w:ascii="Times New Roman" w:hAnsi="Times New Roman" w:eastAsia="仿宋_GB2312" w:cs="Times New Roman"/>
          <w:color w:val="auto"/>
          <w:sz w:val="28"/>
          <w:highlight w:val="none"/>
        </w:rPr>
      </w:pPr>
    </w:p>
    <w:p>
      <w:pPr>
        <w:tabs>
          <w:tab w:val="left" w:pos="984"/>
        </w:tabs>
        <w:spacing w:line="360" w:lineRule="auto"/>
        <w:rPr>
          <w:rFonts w:hint="default" w:ascii="Times New Roman" w:hAnsi="Times New Roman" w:eastAsia="仿宋_GB2312" w:cs="Times New Roman"/>
          <w:color w:val="auto"/>
          <w:sz w:val="28"/>
          <w:highlight w:val="none"/>
        </w:rPr>
      </w:pPr>
      <w:r>
        <w:rPr>
          <w:rFonts w:hint="default" w:ascii="Times New Roman" w:hAnsi="Times New Roman" w:eastAsia="仿宋_GB2312" w:cs="Times New Roman"/>
          <w:color w:val="auto"/>
          <w:sz w:val="28"/>
          <w:highlight w:val="none"/>
        </w:rPr>
        <w:tab/>
      </w:r>
    </w:p>
    <w:p>
      <w:pPr>
        <w:tabs>
          <w:tab w:val="left" w:pos="984"/>
        </w:tabs>
        <w:spacing w:line="360" w:lineRule="auto"/>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pStyle w:val="2"/>
        <w:rPr>
          <w:rFonts w:hint="default" w:ascii="Times New Roman" w:hAnsi="Times New Roman" w:eastAsia="仿宋_GB2312" w:cs="Times New Roman"/>
          <w:color w:val="auto"/>
          <w:sz w:val="28"/>
          <w:highlight w:val="none"/>
        </w:rPr>
      </w:pPr>
    </w:p>
    <w:p>
      <w:pPr>
        <w:spacing w:line="360" w:lineRule="auto"/>
        <w:rPr>
          <w:rFonts w:hint="default" w:ascii="Times New Roman" w:hAnsi="Times New Roman" w:eastAsia="仿宋_GB2312" w:cs="Times New Roman"/>
          <w:color w:val="auto"/>
          <w:sz w:val="28"/>
          <w:highlight w:val="none"/>
        </w:rPr>
      </w:pPr>
    </w:p>
    <w:p>
      <w:pPr>
        <w:spacing w:line="360" w:lineRule="auto"/>
        <w:rPr>
          <w:rFonts w:hint="default" w:ascii="Times New Roman" w:hAnsi="Times New Roman" w:eastAsia="仿宋_GB2312" w:cs="Times New Roman"/>
          <w:color w:val="auto"/>
          <w:sz w:val="28"/>
          <w:highlight w:val="none"/>
        </w:rPr>
      </w:pPr>
    </w:p>
    <w:p>
      <w:pPr>
        <w:spacing w:line="360" w:lineRule="auto"/>
        <w:rPr>
          <w:rFonts w:hint="default" w:ascii="Times New Roman" w:hAnsi="Times New Roman" w:eastAsia="仿宋_GB2312" w:cs="Times New Roman"/>
          <w:color w:val="auto"/>
          <w:sz w:val="28"/>
          <w:highlight w:val="none"/>
        </w:rPr>
      </w:pPr>
      <w:r>
        <w:rPr>
          <w:rFonts w:hint="default" w:ascii="Times New Roman" w:hAnsi="Times New Roman" w:eastAsia="仿宋_GB2312" w:cs="Times New Roman"/>
          <w:color w:val="auto"/>
          <w:sz w:val="28"/>
          <w:highlight w:val="none"/>
        </w:rPr>
        <w:t xml:space="preserve">建设单位（盖章）        </w:t>
      </w:r>
      <w:r>
        <w:rPr>
          <w:rFonts w:hint="default" w:ascii="Times New Roman" w:hAnsi="Times New Roman" w:eastAsia="仿宋_GB2312" w:cs="Times New Roman"/>
          <w:color w:val="auto"/>
          <w:sz w:val="28"/>
          <w:highlight w:val="none"/>
          <w:lang w:val="en-US" w:eastAsia="zh-CN"/>
        </w:rPr>
        <w:t xml:space="preserve">      </w:t>
      </w:r>
      <w:r>
        <w:rPr>
          <w:rFonts w:hint="eastAsia" w:ascii="Times New Roman" w:hAnsi="Times New Roman" w:eastAsia="仿宋_GB2312" w:cs="Times New Roman"/>
          <w:color w:val="auto"/>
          <w:sz w:val="28"/>
          <w:highlight w:val="none"/>
          <w:lang w:val="en-US" w:eastAsia="zh-CN"/>
        </w:rPr>
        <w:t xml:space="preserve">  </w:t>
      </w:r>
      <w:r>
        <w:rPr>
          <w:rFonts w:hint="default" w:ascii="Times New Roman" w:hAnsi="Times New Roman" w:eastAsia="仿宋_GB2312" w:cs="Times New Roman"/>
          <w:color w:val="auto"/>
          <w:sz w:val="28"/>
          <w:highlight w:val="none"/>
        </w:rPr>
        <w:t>编制单位（盖章）</w:t>
      </w:r>
    </w:p>
    <w:p>
      <w:pPr>
        <w:spacing w:line="360" w:lineRule="auto"/>
        <w:rPr>
          <w:rFonts w:hint="eastAsia" w:ascii="Times New Roman" w:hAnsi="Times New Roman" w:eastAsia="仿宋_GB2312" w:cs="Times New Roman"/>
          <w:color w:val="auto"/>
          <w:sz w:val="28"/>
          <w:highlight w:val="none"/>
          <w:lang w:eastAsia="zh-CN"/>
        </w:rPr>
      </w:pPr>
      <w:r>
        <w:rPr>
          <w:rFonts w:hint="eastAsia" w:ascii="Times New Roman" w:hAnsi="Times New Roman" w:eastAsia="仿宋_GB2312" w:cs="Times New Roman"/>
          <w:color w:val="auto"/>
          <w:sz w:val="28"/>
          <w:highlight w:val="none"/>
          <w:lang w:eastAsia="zh-CN"/>
        </w:rPr>
        <w:t>陕西金工装饰幕墙有限公司</w:t>
      </w:r>
      <w:r>
        <w:rPr>
          <w:rFonts w:hint="eastAsia" w:ascii="Times New Roman" w:hAnsi="Times New Roman" w:eastAsia="仿宋_GB2312" w:cs="Times New Roman"/>
          <w:color w:val="auto"/>
          <w:sz w:val="28"/>
          <w:highlight w:val="none"/>
          <w:lang w:val="en-US" w:eastAsia="zh-CN"/>
        </w:rPr>
        <w:t xml:space="preserve">        </w:t>
      </w:r>
      <w:r>
        <w:rPr>
          <w:rFonts w:hint="default" w:ascii="Times New Roman" w:hAnsi="Times New Roman" w:eastAsia="仿宋_GB2312" w:cs="Times New Roman"/>
          <w:color w:val="auto"/>
          <w:sz w:val="28"/>
          <w:highlight w:val="none"/>
          <w:lang w:eastAsia="zh-CN"/>
        </w:rPr>
        <w:t>西安冕成环保科技有限公司</w:t>
      </w:r>
    </w:p>
    <w:p>
      <w:pPr>
        <w:spacing w:line="360" w:lineRule="auto"/>
        <w:rPr>
          <w:rFonts w:hint="default" w:ascii="Times New Roman" w:hAnsi="Times New Roman" w:eastAsia="仿宋_GB2312" w:cs="Times New Roman"/>
          <w:color w:val="auto"/>
          <w:sz w:val="28"/>
          <w:highlight w:val="none"/>
        </w:rPr>
      </w:pPr>
      <w:r>
        <w:rPr>
          <w:rFonts w:hint="eastAsia" w:ascii="Times New Roman" w:hAnsi="Times New Roman" w:eastAsia="仿宋_GB2312" w:cs="Times New Roman"/>
          <w:color w:val="auto"/>
          <w:sz w:val="28"/>
          <w:highlight w:val="none"/>
          <w:lang w:eastAsia="zh-CN"/>
        </w:rPr>
        <w:t>西咸新区分公司</w:t>
      </w:r>
      <w:r>
        <w:rPr>
          <w:rFonts w:hint="eastAsia" w:ascii="Times New Roman" w:hAnsi="Times New Roman" w:eastAsia="仿宋_GB2312" w:cs="Times New Roman"/>
          <w:color w:val="auto"/>
          <w:sz w:val="28"/>
          <w:highlight w:val="none"/>
          <w:lang w:val="en-US" w:eastAsia="zh-CN"/>
        </w:rPr>
        <w:t xml:space="preserve">          </w:t>
      </w:r>
    </w:p>
    <w:p>
      <w:pPr>
        <w:spacing w:line="360" w:lineRule="auto"/>
        <w:rPr>
          <w:rFonts w:hint="default" w:ascii="Times New Roman" w:hAnsi="Times New Roman" w:eastAsia="仿宋_GB2312" w:cs="Times New Roman"/>
          <w:color w:val="auto"/>
          <w:sz w:val="28"/>
          <w:highlight w:val="none"/>
        </w:rPr>
      </w:pPr>
      <w:r>
        <w:rPr>
          <w:rFonts w:hint="default" w:ascii="Times New Roman" w:hAnsi="Times New Roman" w:eastAsia="仿宋_GB2312" w:cs="Times New Roman"/>
          <w:color w:val="auto"/>
          <w:sz w:val="28"/>
          <w:highlight w:val="none"/>
        </w:rPr>
        <w:t>电话</w:t>
      </w:r>
      <w:r>
        <w:rPr>
          <w:rFonts w:hint="default" w:ascii="Times New Roman" w:hAnsi="Times New Roman" w:eastAsia="仿宋_GB2312" w:cs="Times New Roman"/>
          <w:color w:val="auto"/>
          <w:sz w:val="28"/>
          <w:highlight w:val="none"/>
          <w:lang w:eastAsia="zh-CN"/>
        </w:rPr>
        <w:t>：</w:t>
      </w:r>
      <w:r>
        <w:rPr>
          <w:rFonts w:hint="eastAsia" w:ascii="Times New Roman" w:hAnsi="Times New Roman" w:eastAsia="仿宋_GB2312" w:cs="Times New Roman"/>
          <w:color w:val="auto"/>
          <w:sz w:val="28"/>
          <w:highlight w:val="none"/>
          <w:lang w:val="en-US" w:eastAsia="zh-CN"/>
        </w:rPr>
        <w:t xml:space="preserve">18691097505          </w:t>
      </w:r>
      <w:r>
        <w:rPr>
          <w:rFonts w:hint="default" w:ascii="Times New Roman" w:hAnsi="Times New Roman" w:eastAsia="仿宋_GB2312" w:cs="Times New Roman"/>
          <w:color w:val="auto"/>
          <w:sz w:val="28"/>
          <w:highlight w:val="none"/>
          <w:lang w:val="en-US" w:eastAsia="zh-CN"/>
        </w:rPr>
        <w:t xml:space="preserve">     </w:t>
      </w:r>
      <w:r>
        <w:rPr>
          <w:rFonts w:hint="default" w:ascii="Times New Roman" w:hAnsi="Times New Roman" w:eastAsia="仿宋_GB2312" w:cs="Times New Roman"/>
          <w:color w:val="auto"/>
          <w:sz w:val="28"/>
          <w:highlight w:val="none"/>
        </w:rPr>
        <w:t>电话</w:t>
      </w:r>
      <w:r>
        <w:rPr>
          <w:rFonts w:hint="default" w:ascii="Times New Roman" w:hAnsi="Times New Roman" w:eastAsia="仿宋_GB2312" w:cs="Times New Roman"/>
          <w:color w:val="auto"/>
          <w:sz w:val="28"/>
          <w:highlight w:val="none"/>
          <w:lang w:eastAsia="zh-CN"/>
        </w:rPr>
        <w:t>：</w:t>
      </w:r>
      <w:r>
        <w:rPr>
          <w:rFonts w:hint="default" w:ascii="Times New Roman" w:hAnsi="Times New Roman" w:eastAsia="仿宋_GB2312" w:cs="Times New Roman"/>
          <w:color w:val="auto"/>
          <w:sz w:val="28"/>
          <w:highlight w:val="none"/>
        </w:rPr>
        <w:t>（029）</w:t>
      </w:r>
      <w:r>
        <w:rPr>
          <w:rFonts w:hint="default" w:ascii="Times New Roman" w:hAnsi="Times New Roman" w:eastAsia="仿宋_GB2312" w:cs="Times New Roman"/>
          <w:color w:val="auto"/>
          <w:sz w:val="28"/>
          <w:highlight w:val="none"/>
          <w:lang w:val="en-US" w:eastAsia="zh-CN"/>
        </w:rPr>
        <w:t>81022252</w:t>
      </w:r>
    </w:p>
    <w:p>
      <w:pPr>
        <w:spacing w:line="360" w:lineRule="auto"/>
        <w:rPr>
          <w:rFonts w:hint="default" w:ascii="Times New Roman" w:hAnsi="Times New Roman" w:eastAsia="仿宋_GB2312" w:cs="Times New Roman"/>
          <w:color w:val="auto"/>
          <w:sz w:val="28"/>
          <w:highlight w:val="none"/>
        </w:rPr>
      </w:pPr>
      <w:r>
        <w:rPr>
          <w:rFonts w:hint="default" w:ascii="Times New Roman" w:hAnsi="Times New Roman" w:eastAsia="仿宋_GB2312" w:cs="Times New Roman"/>
          <w:color w:val="auto"/>
          <w:sz w:val="28"/>
          <w:highlight w:val="none"/>
        </w:rPr>
        <w:t>传真</w:t>
      </w:r>
      <w:r>
        <w:rPr>
          <w:rFonts w:hint="default" w:ascii="Times New Roman" w:hAnsi="Times New Roman" w:eastAsia="仿宋_GB2312" w:cs="Times New Roman"/>
          <w:color w:val="auto"/>
          <w:sz w:val="28"/>
          <w:highlight w:val="none"/>
          <w:lang w:eastAsia="zh-CN"/>
        </w:rPr>
        <w:t>：</w:t>
      </w:r>
      <w:r>
        <w:rPr>
          <w:rFonts w:hint="default" w:ascii="Times New Roman" w:hAnsi="Times New Roman" w:eastAsia="仿宋_GB2312" w:cs="Times New Roman"/>
          <w:color w:val="auto"/>
          <w:sz w:val="28"/>
          <w:highlight w:val="none"/>
        </w:rPr>
        <w:t xml:space="preserve"> </w:t>
      </w:r>
      <w:r>
        <w:rPr>
          <w:rFonts w:hint="eastAsia" w:ascii="Times New Roman" w:hAnsi="Times New Roman" w:eastAsia="仿宋_GB2312" w:cs="Times New Roman"/>
          <w:color w:val="auto"/>
          <w:sz w:val="28"/>
          <w:highlight w:val="none"/>
          <w:lang w:val="en-US" w:eastAsia="zh-CN"/>
        </w:rPr>
        <w:t>/</w:t>
      </w:r>
      <w:r>
        <w:rPr>
          <w:rFonts w:hint="default" w:ascii="Times New Roman" w:hAnsi="Times New Roman" w:eastAsia="仿宋_GB2312" w:cs="Times New Roman"/>
          <w:color w:val="auto"/>
          <w:sz w:val="28"/>
          <w:highlight w:val="none"/>
          <w:lang w:val="en-US" w:eastAsia="zh-CN"/>
        </w:rPr>
        <w:t xml:space="preserve">                        </w:t>
      </w:r>
      <w:r>
        <w:rPr>
          <w:rFonts w:hint="default" w:ascii="Times New Roman" w:hAnsi="Times New Roman" w:eastAsia="仿宋_GB2312" w:cs="Times New Roman"/>
          <w:color w:val="auto"/>
          <w:sz w:val="28"/>
          <w:highlight w:val="none"/>
        </w:rPr>
        <w:t>传真</w:t>
      </w:r>
      <w:r>
        <w:rPr>
          <w:rFonts w:hint="default" w:ascii="Times New Roman" w:hAnsi="Times New Roman" w:eastAsia="仿宋_GB2312" w:cs="Times New Roman"/>
          <w:color w:val="auto"/>
          <w:sz w:val="28"/>
          <w:highlight w:val="none"/>
          <w:lang w:eastAsia="zh-CN"/>
        </w:rPr>
        <w:t>：029-81121928</w:t>
      </w:r>
    </w:p>
    <w:p>
      <w:pPr>
        <w:spacing w:line="360" w:lineRule="auto"/>
        <w:rPr>
          <w:rFonts w:hint="default" w:ascii="Times New Roman" w:hAnsi="Times New Roman" w:eastAsia="仿宋_GB2312" w:cs="Times New Roman"/>
          <w:color w:val="auto"/>
          <w:sz w:val="28"/>
          <w:highlight w:val="none"/>
        </w:rPr>
      </w:pPr>
      <w:r>
        <w:rPr>
          <w:rFonts w:hint="default" w:ascii="Times New Roman" w:hAnsi="Times New Roman" w:eastAsia="仿宋_GB2312" w:cs="Times New Roman"/>
          <w:color w:val="auto"/>
          <w:sz w:val="28"/>
          <w:highlight w:val="none"/>
        </w:rPr>
        <w:t>邮编</w:t>
      </w:r>
      <w:r>
        <w:rPr>
          <w:rFonts w:hint="default" w:ascii="Times New Roman" w:hAnsi="Times New Roman" w:eastAsia="仿宋_GB2312" w:cs="Times New Roman"/>
          <w:color w:val="auto"/>
          <w:sz w:val="28"/>
          <w:highlight w:val="none"/>
          <w:lang w:eastAsia="zh-CN"/>
        </w:rPr>
        <w:t>：</w:t>
      </w:r>
      <w:r>
        <w:rPr>
          <w:rFonts w:hint="eastAsia" w:ascii="Times New Roman" w:hAnsi="Times New Roman" w:eastAsia="仿宋_GB2312" w:cs="Times New Roman"/>
          <w:color w:val="auto"/>
          <w:sz w:val="28"/>
          <w:highlight w:val="none"/>
          <w:lang w:val="en-US" w:eastAsia="zh-CN"/>
        </w:rPr>
        <w:t xml:space="preserve">712000      </w:t>
      </w:r>
      <w:r>
        <w:rPr>
          <w:rFonts w:hint="default" w:ascii="Times New Roman" w:hAnsi="Times New Roman" w:eastAsia="仿宋_GB2312" w:cs="Times New Roman"/>
          <w:color w:val="auto"/>
          <w:sz w:val="28"/>
          <w:highlight w:val="none"/>
        </w:rPr>
        <w:t xml:space="preserve"> </w:t>
      </w:r>
      <w:r>
        <w:rPr>
          <w:rFonts w:hint="default" w:ascii="Times New Roman" w:hAnsi="Times New Roman" w:eastAsia="仿宋_GB2312" w:cs="Times New Roman"/>
          <w:color w:val="auto"/>
          <w:sz w:val="28"/>
          <w:highlight w:val="none"/>
          <w:lang w:val="en-US" w:eastAsia="zh-CN"/>
        </w:rPr>
        <w:t xml:space="preserve">             </w:t>
      </w:r>
      <w:r>
        <w:rPr>
          <w:rFonts w:hint="default" w:ascii="Times New Roman" w:hAnsi="Times New Roman" w:eastAsia="仿宋_GB2312" w:cs="Times New Roman"/>
          <w:color w:val="auto"/>
          <w:sz w:val="28"/>
          <w:highlight w:val="none"/>
        </w:rPr>
        <w:t>邮编</w:t>
      </w:r>
      <w:r>
        <w:rPr>
          <w:rFonts w:hint="default" w:ascii="Times New Roman" w:hAnsi="Times New Roman" w:eastAsia="仿宋_GB2312" w:cs="Times New Roman"/>
          <w:color w:val="auto"/>
          <w:sz w:val="28"/>
          <w:highlight w:val="none"/>
          <w:lang w:eastAsia="zh-CN"/>
        </w:rPr>
        <w:t>：</w:t>
      </w:r>
      <w:r>
        <w:rPr>
          <w:rFonts w:hint="default" w:ascii="Times New Roman" w:hAnsi="Times New Roman" w:eastAsia="仿宋_GB2312" w:cs="Times New Roman"/>
          <w:color w:val="auto"/>
          <w:sz w:val="28"/>
          <w:highlight w:val="none"/>
        </w:rPr>
        <w:t>7100</w:t>
      </w:r>
      <w:r>
        <w:rPr>
          <w:rFonts w:hint="default" w:ascii="Times New Roman" w:hAnsi="Times New Roman" w:eastAsia="仿宋_GB2312" w:cs="Times New Roman"/>
          <w:color w:val="auto"/>
          <w:sz w:val="28"/>
          <w:highlight w:val="none"/>
          <w:lang w:val="en-US" w:eastAsia="zh-CN"/>
        </w:rPr>
        <w:t>00</w:t>
      </w:r>
    </w:p>
    <w:p>
      <w:pPr>
        <w:spacing w:line="360" w:lineRule="auto"/>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8"/>
          <w:highlight w:val="none"/>
          <w:lang w:eastAsia="zh-CN"/>
        </w:rPr>
        <w:t>地址：</w:t>
      </w:r>
      <w:r>
        <w:rPr>
          <w:rFonts w:hint="default" w:ascii="Times New Roman" w:hAnsi="Times New Roman" w:eastAsia="仿宋_GB2312" w:cs="Times New Roman"/>
          <w:color w:val="auto"/>
          <w:sz w:val="24"/>
          <w:szCs w:val="24"/>
          <w:highlight w:val="none"/>
          <w:lang w:eastAsia="zh-CN"/>
        </w:rPr>
        <w:t>陕西省西咸新区秦汉新城</w:t>
      </w:r>
      <w:r>
        <w:rPr>
          <w:rFonts w:hint="eastAsia" w:ascii="Times New Roman" w:hAnsi="Times New Roman" w:eastAsia="仿宋_GB2312" w:cs="Times New Roman"/>
          <w:color w:val="auto"/>
          <w:sz w:val="24"/>
          <w:szCs w:val="24"/>
          <w:highlight w:val="none"/>
          <w:lang w:val="en-US" w:eastAsia="zh-CN"/>
        </w:rPr>
        <w:t xml:space="preserve">        </w:t>
      </w:r>
      <w:r>
        <w:rPr>
          <w:rFonts w:hint="default" w:ascii="Times New Roman" w:hAnsi="Times New Roman" w:eastAsia="仿宋_GB2312" w:cs="Times New Roman"/>
          <w:color w:val="auto"/>
          <w:sz w:val="28"/>
          <w:highlight w:val="none"/>
          <w:lang w:eastAsia="zh-CN"/>
        </w:rPr>
        <w:t>地址：</w:t>
      </w:r>
      <w:r>
        <w:rPr>
          <w:rFonts w:hint="default" w:ascii="Times New Roman" w:hAnsi="Times New Roman" w:eastAsia="仿宋_GB2312" w:cs="Times New Roman"/>
          <w:color w:val="auto"/>
          <w:sz w:val="24"/>
          <w:szCs w:val="24"/>
          <w:highlight w:val="none"/>
          <w:lang w:eastAsia="zh-CN"/>
        </w:rPr>
        <w:t>西安市高新区唐延南路十一号</w:t>
      </w:r>
    </w:p>
    <w:p>
      <w:pPr>
        <w:spacing w:line="360" w:lineRule="auto"/>
        <w:ind w:firstLine="720" w:firstLineChars="300"/>
        <w:rPr>
          <w:rFonts w:hint="default" w:ascii="Times New Roman" w:hAnsi="Times New Roman" w:eastAsia="仿宋_GB2312" w:cs="Times New Roman"/>
          <w:color w:val="auto"/>
          <w:sz w:val="28"/>
          <w:highlight w:val="none"/>
        </w:rPr>
      </w:pPr>
      <w:r>
        <w:rPr>
          <w:rFonts w:hint="default" w:ascii="Times New Roman" w:hAnsi="Times New Roman" w:eastAsia="仿宋_GB2312" w:cs="Times New Roman"/>
          <w:color w:val="auto"/>
          <w:sz w:val="24"/>
          <w:szCs w:val="24"/>
          <w:highlight w:val="none"/>
          <w:lang w:eastAsia="zh-CN"/>
        </w:rPr>
        <w:t>朝阳七路二号</w:t>
      </w:r>
      <w:r>
        <w:rPr>
          <w:rFonts w:hint="default" w:ascii="Times New Roman" w:hAnsi="Times New Roman" w:eastAsia="仿宋_GB2312" w:cs="Times New Roman"/>
          <w:color w:val="auto"/>
          <w:sz w:val="28"/>
          <w:highlight w:val="none"/>
          <w:lang w:val="en-US" w:eastAsia="zh-CN"/>
        </w:rPr>
        <w:t xml:space="preserve"> </w:t>
      </w:r>
      <w:r>
        <w:rPr>
          <w:rFonts w:hint="eastAsia" w:ascii="Times New Roman" w:hAnsi="Times New Roman" w:eastAsia="仿宋_GB2312" w:cs="Times New Roman"/>
          <w:color w:val="auto"/>
          <w:sz w:val="28"/>
          <w:highlight w:val="none"/>
          <w:lang w:val="en-US" w:eastAsia="zh-CN"/>
        </w:rPr>
        <w:t xml:space="preserve"> </w:t>
      </w:r>
    </w:p>
    <w:p>
      <w:pPr>
        <w:spacing w:line="360" w:lineRule="auto"/>
        <w:rPr>
          <w:rFonts w:hint="default" w:ascii="Times New Roman" w:hAnsi="Times New Roman" w:eastAsia="仿宋_GB2312" w:cs="Times New Roman"/>
          <w:color w:val="auto"/>
          <w:sz w:val="28"/>
          <w:highlight w:val="none"/>
        </w:rPr>
        <w:sectPr>
          <w:headerReference r:id="rId3" w:type="default"/>
          <w:footerReference r:id="rId4" w:type="default"/>
          <w:pgSz w:w="11906" w:h="16838"/>
          <w:pgMar w:top="1440" w:right="1701" w:bottom="1440" w:left="1701" w:header="708" w:footer="709" w:gutter="0"/>
          <w:pgBorders>
            <w:top w:val="none" w:sz="0" w:space="0"/>
            <w:left w:val="none" w:sz="0" w:space="0"/>
            <w:bottom w:val="none" w:sz="0" w:space="0"/>
            <w:right w:val="none" w:sz="0" w:space="0"/>
          </w:pgBorders>
          <w:cols w:space="0" w:num="1"/>
          <w:rtlGutter w:val="0"/>
          <w:docGrid w:linePitch="360" w:charSpace="0"/>
        </w:sectPr>
      </w:pPr>
    </w:p>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表一</w:t>
      </w:r>
    </w:p>
    <w:tbl>
      <w:tblPr>
        <w:tblStyle w:val="26"/>
        <w:tblW w:w="9649" w:type="dxa"/>
        <w:jc w:val="center"/>
        <w:tblInd w:w="-27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1909"/>
        <w:gridCol w:w="2175"/>
        <w:gridCol w:w="1302"/>
        <w:gridCol w:w="750"/>
        <w:gridCol w:w="13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453" w:type="dxa"/>
            <w:gridSpan w:val="5"/>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金属制品加工厂项目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建设单位名称</w:t>
            </w:r>
          </w:p>
        </w:tc>
        <w:tc>
          <w:tcPr>
            <w:tcW w:w="7453" w:type="dxa"/>
            <w:gridSpan w:val="5"/>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陕西金工装饰幕墙有限公司西咸新区分公司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建设项目性质</w:t>
            </w:r>
          </w:p>
        </w:tc>
        <w:tc>
          <w:tcPr>
            <w:tcW w:w="7453" w:type="dxa"/>
            <w:gridSpan w:val="5"/>
            <w:vAlign w:val="center"/>
          </w:tcPr>
          <w:p>
            <w:pPr>
              <w:keepNext w:val="0"/>
              <w:keepLines w:val="0"/>
              <w:suppressLineNumbers w:val="0"/>
              <w:spacing w:before="0" w:beforeAutospacing="0" w:after="0" w:afterLines="0" w:afterAutospacing="0"/>
              <w:ind w:left="0" w:right="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   改扩建</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453" w:type="dxa"/>
            <w:gridSpan w:val="5"/>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陕西省西咸新区秦汉新城朝阳七路二号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主要产品名称</w:t>
            </w:r>
          </w:p>
        </w:tc>
        <w:tc>
          <w:tcPr>
            <w:tcW w:w="7453" w:type="dxa"/>
            <w:gridSpan w:val="5"/>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单元式幕墙框架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设计生产能力</w:t>
            </w:r>
          </w:p>
        </w:tc>
        <w:tc>
          <w:tcPr>
            <w:tcW w:w="7453" w:type="dxa"/>
            <w:gridSpan w:val="5"/>
            <w:vAlign w:val="center"/>
          </w:tcPr>
          <w:p>
            <w:pPr>
              <w:keepNext w:val="0"/>
              <w:keepLines w:val="0"/>
              <w:suppressLineNumbers w:val="0"/>
              <w:spacing w:before="0" w:beforeAutospacing="0" w:after="0" w:afterLines="0" w:afterAutospacing="0"/>
              <w:ind w:left="0" w:right="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rPr>
              <w:t>1350</w:t>
            </w:r>
            <w:r>
              <w:rPr>
                <w:rFonts w:hint="eastAsia" w:ascii="Times New Roman" w:hAnsi="Times New Roman" w:eastAsia="宋体" w:cs="Times New Roman"/>
                <w:color w:val="auto"/>
                <w:sz w:val="24"/>
                <w:szCs w:val="24"/>
                <w:highlight w:val="none"/>
                <w:lang w:val="en-US" w:eastAsia="zh-CN"/>
              </w:rPr>
              <w:t>件/a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实际生产能力</w:t>
            </w:r>
          </w:p>
        </w:tc>
        <w:tc>
          <w:tcPr>
            <w:tcW w:w="7453" w:type="dxa"/>
            <w:gridSpan w:val="5"/>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rPr>
              <w:t>1350</w:t>
            </w:r>
            <w:r>
              <w:rPr>
                <w:rFonts w:hint="eastAsia" w:ascii="Times New Roman" w:hAnsi="Times New Roman" w:eastAsia="宋体" w:cs="Times New Roman"/>
                <w:color w:val="auto"/>
                <w:sz w:val="24"/>
                <w:szCs w:val="24"/>
                <w:highlight w:val="none"/>
                <w:lang w:val="en-US" w:eastAsia="zh-CN"/>
              </w:rPr>
              <w:t>件/a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建设项目环评时间</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20</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eastAsia="zh-CN"/>
              </w:rPr>
              <w:t>月</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开工建设时间</w:t>
            </w:r>
          </w:p>
        </w:tc>
        <w:tc>
          <w:tcPr>
            <w:tcW w:w="3369" w:type="dxa"/>
            <w:gridSpan w:val="3"/>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201</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201</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验收现场监测时间</w:t>
            </w:r>
          </w:p>
        </w:tc>
        <w:tc>
          <w:tcPr>
            <w:tcW w:w="3369" w:type="dxa"/>
            <w:gridSpan w:val="3"/>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Theme="minorEastAsia"/>
                <w:color w:val="auto"/>
                <w:kern w:val="0"/>
                <w:sz w:val="24"/>
                <w:szCs w:val="24"/>
                <w:highlight w:val="none"/>
              </w:rPr>
              <w:t>2019</w:t>
            </w:r>
            <w:r>
              <w:rPr>
                <w:rFonts w:hint="default" w:ascii="Times New Roman" w:hAnsiTheme="minorEastAsia" w:eastAsiaTheme="minorEastAsia"/>
                <w:color w:val="auto"/>
                <w:kern w:val="0"/>
                <w:sz w:val="24"/>
                <w:szCs w:val="24"/>
                <w:highlight w:val="none"/>
              </w:rPr>
              <w:t>年</w:t>
            </w:r>
            <w:r>
              <w:rPr>
                <w:rFonts w:hint="eastAsia" w:ascii="Times New Roman" w:hAnsi="Times New Roman" w:eastAsiaTheme="minorEastAsia"/>
                <w:color w:val="auto"/>
                <w:kern w:val="0"/>
                <w:sz w:val="24"/>
                <w:szCs w:val="24"/>
                <w:highlight w:val="none"/>
              </w:rPr>
              <w:t>5</w:t>
            </w:r>
            <w:r>
              <w:rPr>
                <w:rFonts w:hint="default" w:ascii="Times New Roman" w:hAnsiTheme="minorEastAsia" w:eastAsiaTheme="minorEastAsia"/>
                <w:color w:val="auto"/>
                <w:kern w:val="0"/>
                <w:sz w:val="24"/>
                <w:szCs w:val="24"/>
                <w:highlight w:val="none"/>
              </w:rPr>
              <w:t>月</w:t>
            </w:r>
            <w:r>
              <w:rPr>
                <w:rFonts w:hint="eastAsia" w:ascii="Times New Roman" w:hAnsi="Times New Roman" w:eastAsiaTheme="minorEastAsia"/>
                <w:color w:val="auto"/>
                <w:kern w:val="0"/>
                <w:sz w:val="24"/>
                <w:szCs w:val="24"/>
                <w:highlight w:val="none"/>
              </w:rPr>
              <w:t>8</w:t>
            </w:r>
            <w:r>
              <w:rPr>
                <w:rFonts w:hint="default"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rPr>
              <w:t>至</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Theme="minorEastAsia"/>
                <w:color w:val="auto"/>
                <w:kern w:val="0"/>
                <w:sz w:val="24"/>
                <w:szCs w:val="24"/>
                <w:highlight w:val="none"/>
              </w:rPr>
              <w:t>2019</w:t>
            </w:r>
            <w:r>
              <w:rPr>
                <w:rFonts w:hint="default" w:ascii="Times New Roman" w:hAnsiTheme="minorEastAsia" w:eastAsiaTheme="minorEastAsia"/>
                <w:color w:val="auto"/>
                <w:kern w:val="0"/>
                <w:sz w:val="24"/>
                <w:szCs w:val="24"/>
                <w:highlight w:val="none"/>
              </w:rPr>
              <w:t>年</w:t>
            </w:r>
            <w:r>
              <w:rPr>
                <w:rFonts w:hint="eastAsia" w:ascii="Times New Roman" w:hAnsi="Times New Roman" w:eastAsiaTheme="minorEastAsia"/>
                <w:color w:val="auto"/>
                <w:kern w:val="0"/>
                <w:sz w:val="24"/>
                <w:szCs w:val="24"/>
                <w:highlight w:val="none"/>
              </w:rPr>
              <w:t>5</w:t>
            </w:r>
            <w:r>
              <w:rPr>
                <w:rFonts w:hint="default" w:ascii="Times New Roman" w:hAnsiTheme="minorEastAsia" w:eastAsiaTheme="minorEastAsia"/>
                <w:color w:val="auto"/>
                <w:kern w:val="0"/>
                <w:sz w:val="24"/>
                <w:szCs w:val="24"/>
                <w:highlight w:val="none"/>
              </w:rPr>
              <w:t>月</w:t>
            </w:r>
            <w:r>
              <w:rPr>
                <w:rFonts w:hint="eastAsia" w:ascii="Times New Roman" w:hAnsi="Times New Roman"/>
                <w:color w:val="auto"/>
                <w:kern w:val="0"/>
                <w:sz w:val="24"/>
                <w:szCs w:val="24"/>
                <w:highlight w:val="none"/>
                <w:lang w:val="en-US" w:eastAsia="zh-CN"/>
              </w:rPr>
              <w:t>9</w:t>
            </w:r>
            <w:r>
              <w:rPr>
                <w:rFonts w:hint="default" w:ascii="Times New Roman" w:hAnsiTheme="minorEastAsia" w:eastAsiaTheme="minorEastAsia"/>
                <w:color w:val="auto"/>
                <w:kern w:val="0"/>
                <w:sz w:val="24"/>
                <w:szCs w:val="24"/>
                <w:highlight w:val="none"/>
              </w:rPr>
              <w:t>日</w:t>
            </w:r>
            <w:r>
              <w:rPr>
                <w:rFonts w:hint="default" w:ascii="Times New Roman" w:hAnsi="Times New Roman" w:eastAsia="宋体" w:cs="Times New Roman"/>
                <w:color w:val="auto"/>
                <w:sz w:val="24"/>
                <w:szCs w:val="24"/>
                <w:highlight w:val="none"/>
                <w:lang w:eastAsia="zh-CN"/>
              </w:rPr>
              <w:t>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环评报告表</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审批部门</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秦汉新城行政审批与政务服务局</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环评报告表</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编制单位</w:t>
            </w:r>
          </w:p>
        </w:tc>
        <w:tc>
          <w:tcPr>
            <w:tcW w:w="3369" w:type="dxa"/>
            <w:gridSpan w:val="3"/>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陕西企科环境技术有限公司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环保设施设计单位</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济南金马涂装设备有限公司</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环保设施施工单位</w:t>
            </w:r>
          </w:p>
        </w:tc>
        <w:tc>
          <w:tcPr>
            <w:tcW w:w="3369" w:type="dxa"/>
            <w:gridSpan w:val="3"/>
            <w:vAlign w:val="center"/>
          </w:tcPr>
          <w:p>
            <w:pPr>
              <w:keepNext w:val="0"/>
              <w:keepLines w:val="0"/>
              <w:suppressLineNumbers w:val="0"/>
              <w:spacing w:before="0" w:beforeAutospacing="0" w:after="0" w:afterLines="0" w:afterAutospacing="0"/>
              <w:ind w:left="0" w:right="0"/>
              <w:jc w:val="center"/>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济南金马涂装设备有限公司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投资总概算</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110</w:t>
            </w:r>
            <w:r>
              <w:rPr>
                <w:rFonts w:hint="default" w:ascii="Times New Roman" w:hAnsi="Times New Roman" w:eastAsia="宋体" w:cs="Times New Roman"/>
                <w:color w:val="auto"/>
                <w:sz w:val="24"/>
                <w:szCs w:val="24"/>
                <w:highlight w:val="none"/>
              </w:rPr>
              <w:t>万元</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环保投资总概算</w:t>
            </w:r>
          </w:p>
        </w:tc>
        <w:tc>
          <w:tcPr>
            <w:tcW w:w="1302"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20.7</w:t>
            </w:r>
            <w:r>
              <w:rPr>
                <w:rFonts w:hint="default" w:ascii="Times New Roman" w:hAnsi="Times New Roman" w:eastAsia="宋体" w:cs="Times New Roman"/>
                <w:color w:val="auto"/>
                <w:sz w:val="24"/>
                <w:szCs w:val="24"/>
                <w:highlight w:val="none"/>
              </w:rPr>
              <w:t>万元</w:t>
            </w:r>
          </w:p>
        </w:tc>
        <w:tc>
          <w:tcPr>
            <w:tcW w:w="750"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1317"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18.82</w:t>
            </w:r>
            <w:r>
              <w:rPr>
                <w:rFonts w:hint="default" w:ascii="Times New Roman" w:hAnsi="Times New Roman" w:eastAsia="宋体"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实际总投资</w:t>
            </w:r>
          </w:p>
        </w:tc>
        <w:tc>
          <w:tcPr>
            <w:tcW w:w="1909"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135</w:t>
            </w:r>
            <w:r>
              <w:rPr>
                <w:rFonts w:hint="default" w:ascii="Times New Roman" w:hAnsi="Times New Roman" w:eastAsia="宋体" w:cs="Times New Roman"/>
                <w:color w:val="auto"/>
                <w:sz w:val="24"/>
                <w:szCs w:val="24"/>
                <w:highlight w:val="none"/>
              </w:rPr>
              <w:t>万元</w:t>
            </w:r>
          </w:p>
        </w:tc>
        <w:tc>
          <w:tcPr>
            <w:tcW w:w="2175"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tc>
        <w:tc>
          <w:tcPr>
            <w:tcW w:w="1302"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26.3</w:t>
            </w:r>
            <w:r>
              <w:rPr>
                <w:rFonts w:hint="default" w:ascii="Times New Roman" w:hAnsi="Times New Roman" w:eastAsia="宋体" w:cs="Times New Roman"/>
                <w:color w:val="auto"/>
                <w:sz w:val="24"/>
                <w:szCs w:val="24"/>
                <w:highlight w:val="none"/>
              </w:rPr>
              <w:t>万元</w:t>
            </w:r>
          </w:p>
        </w:tc>
        <w:tc>
          <w:tcPr>
            <w:tcW w:w="750"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1317"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19.48</w:t>
            </w:r>
            <w:r>
              <w:rPr>
                <w:rFonts w:hint="default" w:ascii="Times New Roman" w:hAnsi="Times New Roman" w:eastAsia="宋体"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5" w:hRule="atLeast"/>
          <w:jc w:val="center"/>
        </w:trPr>
        <w:tc>
          <w:tcPr>
            <w:tcW w:w="2196" w:type="dxa"/>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验收监测依据</w:t>
            </w:r>
          </w:p>
        </w:tc>
        <w:tc>
          <w:tcPr>
            <w:tcW w:w="7453" w:type="dxa"/>
            <w:gridSpan w:val="5"/>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40" w:lineRule="exact"/>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1.《中华人民共和国环境保护法》（主席令第9号，2015年01月01日）；</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40" w:lineRule="exact"/>
              <w:ind w:left="0" w:leftChars="0" w:right="0" w:rightChars="0" w:firstLine="0" w:firstLineChars="0"/>
              <w:jc w:val="left"/>
              <w:textAlignment w:val="auto"/>
              <w:outlineLvl w:val="9"/>
              <w:rPr>
                <w:rFonts w:hint="default" w:ascii="Times New Roman" w:hAnsi="Times New Roman" w:eastAsia="宋体" w:cs="Times New Roman"/>
                <w:color w:val="auto"/>
                <w:spacing w:val="-2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《建设项目环境保护管理条例》</w:t>
            </w:r>
            <w:r>
              <w:rPr>
                <w:rFonts w:hint="default" w:ascii="Times New Roman" w:hAnsi="Times New Roman" w:cs="Times New Roman"/>
                <w:color w:val="auto"/>
                <w:spacing w:val="-20"/>
                <w:sz w:val="24"/>
                <w:szCs w:val="24"/>
                <w:highlight w:val="none"/>
                <w:lang w:val="en-US" w:eastAsia="zh-CN"/>
              </w:rPr>
              <w:t>（</w:t>
            </w:r>
            <w:r>
              <w:rPr>
                <w:rFonts w:hint="default" w:ascii="Times New Roman" w:hAnsi="Times New Roman" w:eastAsia="宋体" w:cs="Times New Roman"/>
                <w:color w:val="auto"/>
                <w:spacing w:val="-20"/>
                <w:sz w:val="24"/>
                <w:szCs w:val="24"/>
                <w:highlight w:val="none"/>
                <w:lang w:val="en-US" w:eastAsia="zh-CN"/>
              </w:rPr>
              <w:t>国务院令第682号</w:t>
            </w:r>
            <w:r>
              <w:rPr>
                <w:rFonts w:hint="default" w:ascii="Times New Roman" w:hAnsi="Times New Roman" w:cs="Times New Roman"/>
                <w:color w:val="auto"/>
                <w:spacing w:val="-20"/>
                <w:sz w:val="24"/>
                <w:szCs w:val="24"/>
                <w:highlight w:val="none"/>
                <w:lang w:val="en-US" w:eastAsia="zh-CN"/>
              </w:rPr>
              <w:t>）</w:t>
            </w:r>
            <w:r>
              <w:rPr>
                <w:rFonts w:hint="default" w:ascii="Times New Roman" w:hAnsi="Times New Roman" w:eastAsia="宋体" w:cs="Times New Roman"/>
                <w:color w:val="auto"/>
                <w:spacing w:val="-20"/>
                <w:sz w:val="24"/>
                <w:szCs w:val="24"/>
                <w:highlight w:val="none"/>
                <w:lang w:val="en-US" w:eastAsia="zh-CN"/>
              </w:rPr>
              <w:t>，2017年10月1日；</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default" w:ascii="Times New Roman" w:hAnsi="Times New Roman" w:eastAsia="宋体" w:cs="Times New Roman"/>
                <w:color w:val="auto"/>
                <w:spacing w:val="-20"/>
                <w:sz w:val="24"/>
                <w:szCs w:val="24"/>
                <w:highlight w:val="none"/>
                <w:lang w:val="en-US" w:eastAsia="zh-CN"/>
              </w:rPr>
            </w:pP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.《中华人民共和国固体废物污染环境防治法》，2016年11月7日；</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40" w:lineRule="exact"/>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.环境保护部关于发布《建设项目竣工环境保护验收暂行办法》的公告（国环规环评</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2017</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4 号）；</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40" w:lineRule="exact"/>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.生态环境部关于发布《建设项目竣工环境保护验收技术指南 污染影响类》的公告（公告2018年第9号）</w:t>
            </w:r>
            <w:r>
              <w:rPr>
                <w:rFonts w:hint="eastAsia" w:ascii="Times New Roman" w:hAnsi="Times New Roman" w:cs="Times New Roman"/>
                <w:color w:val="auto"/>
                <w:sz w:val="24"/>
                <w:szCs w:val="24"/>
                <w:highlight w:val="none"/>
                <w:lang w:val="en-US" w:eastAsia="zh-CN"/>
              </w:rPr>
              <w:t>；</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40" w:lineRule="exact"/>
              <w:ind w:left="0" w:leftChars="0" w:right="0" w:rightChars="0" w:firstLine="0" w:firstLineChars="0"/>
              <w:jc w:val="left"/>
              <w:textAlignment w:val="auto"/>
              <w:outlineLvl w:val="9"/>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201</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eastAsia="zh-CN"/>
              </w:rPr>
              <w:t>月</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陕西企科环境技术有限公司</w:t>
            </w:r>
            <w:r>
              <w:rPr>
                <w:rFonts w:hint="default" w:ascii="Times New Roman" w:hAnsi="Times New Roman" w:eastAsia="宋体" w:cs="Times New Roman"/>
                <w:color w:val="auto"/>
                <w:sz w:val="24"/>
                <w:szCs w:val="24"/>
                <w:highlight w:val="none"/>
              </w:rPr>
              <w:t>编制完成了</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陕西金工装饰幕墙有限公司西咸新区分公司金属制品加工厂项目</w:t>
            </w:r>
            <w:r>
              <w:rPr>
                <w:rFonts w:hint="default" w:ascii="Times New Roman" w:hAnsi="Times New Roman" w:eastAsia="宋体" w:cs="Times New Roman"/>
                <w:color w:val="auto"/>
                <w:sz w:val="24"/>
                <w:szCs w:val="24"/>
                <w:highlight w:val="none"/>
                <w:lang w:val="en-US" w:eastAsia="zh-CN"/>
              </w:rPr>
              <w:t>环境影响报告表》</w:t>
            </w:r>
            <w:r>
              <w:rPr>
                <w:rFonts w:hint="eastAsia" w:ascii="Times New Roman" w:hAnsi="Times New Roman" w:cs="Times New Roman"/>
                <w:color w:val="auto"/>
                <w:sz w:val="24"/>
                <w:szCs w:val="24"/>
                <w:highlight w:val="none"/>
                <w:lang w:val="en-US" w:eastAsia="zh-CN"/>
              </w:rPr>
              <w:t>；</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40" w:lineRule="exact"/>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201</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eastAsia="zh-CN"/>
              </w:rPr>
              <w:t>月1</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rPr>
              <w:t>，取得</w:t>
            </w:r>
            <w:r>
              <w:rPr>
                <w:rFonts w:hint="default" w:ascii="Times New Roman" w:hAnsi="Times New Roman" w:eastAsia="宋体" w:cs="Times New Roman"/>
                <w:color w:val="auto"/>
                <w:sz w:val="24"/>
                <w:highlight w:val="none"/>
              </w:rPr>
              <w:t>汉新城行政审批与政务服务局</w:t>
            </w:r>
            <w:r>
              <w:rPr>
                <w:rFonts w:hint="default" w:ascii="Times New Roman" w:hAnsi="Times New Roman" w:eastAsia="宋体" w:cs="Times New Roman"/>
                <w:color w:val="auto"/>
                <w:sz w:val="24"/>
                <w:szCs w:val="24"/>
                <w:highlight w:val="none"/>
              </w:rPr>
              <w:t>关于</w:t>
            </w:r>
            <w:r>
              <w:rPr>
                <w:rFonts w:hint="default" w:ascii="Times New Roman" w:hAnsi="Times New Roman" w:eastAsia="宋体" w:cs="Times New Roman"/>
                <w:color w:val="auto"/>
                <w:sz w:val="24"/>
                <w:szCs w:val="24"/>
                <w:highlight w:val="none"/>
                <w:lang w:eastAsia="zh-CN"/>
              </w:rPr>
              <w:t>陕西金工装饰幕墙有限公司西咸新区分公司金属制品加工厂项目</w:t>
            </w:r>
            <w:r>
              <w:rPr>
                <w:rFonts w:hint="default" w:ascii="Times New Roman" w:hAnsi="Times New Roman" w:eastAsia="宋体" w:cs="Times New Roman"/>
                <w:color w:val="auto"/>
                <w:sz w:val="24"/>
                <w:szCs w:val="24"/>
                <w:highlight w:val="none"/>
              </w:rPr>
              <w:t>环境影响报告表的批复</w:t>
            </w:r>
            <w:r>
              <w:rPr>
                <w:rFonts w:hint="default" w:ascii="Times New Roman" w:hAnsi="Times New Roman" w:eastAsia="宋体" w:cs="Times New Roman"/>
                <w:color w:val="auto"/>
                <w:sz w:val="24"/>
                <w:szCs w:val="24"/>
                <w:highlight w:val="none"/>
                <w:lang w:val="en-US" w:eastAsia="zh-CN"/>
              </w:rPr>
              <w:t>；</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陕西金工装饰幕墙有限公司西咸新区分公司</w:t>
            </w:r>
            <w:r>
              <w:rPr>
                <w:rFonts w:hint="default" w:ascii="Times New Roman" w:hAnsi="Times New Roman" w:eastAsia="宋体" w:cs="Times New Roman"/>
                <w:color w:val="auto"/>
                <w:sz w:val="24"/>
                <w:szCs w:val="24"/>
                <w:highlight w:val="none"/>
                <w:lang w:val="en-US" w:eastAsia="zh-CN"/>
              </w:rPr>
              <w:t>提供的其它资料。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73" w:hRule="atLeast"/>
          <w:jc w:val="center"/>
        </w:trPr>
        <w:tc>
          <w:tcPr>
            <w:tcW w:w="2196" w:type="dxa"/>
            <w:vAlign w:val="center"/>
          </w:tcPr>
          <w:p>
            <w:pPr>
              <w:keepNext w:val="0"/>
              <w:keepLines w:val="0"/>
              <w:suppressLineNumbers w:val="0"/>
              <w:spacing w:before="0" w:beforeAutospacing="0" w:after="0" w:afterLines="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验收监测评价标准、标号、级别、限值</w:t>
            </w:r>
          </w:p>
        </w:tc>
        <w:tc>
          <w:tcPr>
            <w:tcW w:w="7453" w:type="dxa"/>
            <w:gridSpan w:val="5"/>
            <w:vAlign w:val="center"/>
          </w:tcPr>
          <w:p>
            <w:pPr>
              <w:pStyle w:val="9"/>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GB18599-2001《一般工业固体废物贮存、处置场污染控制标准》及</w:t>
            </w:r>
            <w:r>
              <w:rPr>
                <w:rFonts w:hint="eastAsia" w:ascii="Times New Roman" w:hAnsi="Times New Roman"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修改单中的相应规定</w:t>
            </w:r>
            <w:r>
              <w:rPr>
                <w:rFonts w:hint="eastAsia" w:ascii="Times New Roman" w:hAnsi="Times New Roman" w:cs="Times New Roman"/>
                <w:color w:val="auto"/>
                <w:sz w:val="24"/>
                <w:szCs w:val="24"/>
                <w:highlight w:val="none"/>
                <w:lang w:val="en-US" w:eastAsia="zh-CN"/>
              </w:rPr>
              <w:t>；</w:t>
            </w:r>
          </w:p>
          <w:p>
            <w:pPr>
              <w:pStyle w:val="9"/>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GB18597-2001《危险废物贮存污染控制标准》</w:t>
            </w:r>
            <w:r>
              <w:rPr>
                <w:rFonts w:hint="default" w:ascii="Times New Roman" w:hAnsi="Times New Roman" w:cs="Times New Roman"/>
                <w:color w:val="auto"/>
                <w:sz w:val="24"/>
                <w:szCs w:val="24"/>
                <w:highlight w:val="none"/>
                <w:lang w:val="en-US" w:eastAsia="zh-CN"/>
              </w:rPr>
              <w:t>及</w:t>
            </w:r>
            <w:r>
              <w:rPr>
                <w:rFonts w:hint="eastAsia" w:ascii="Times New Roman" w:hAnsi="Times New Roman"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修改单。</w:t>
            </w:r>
          </w:p>
        </w:tc>
      </w:tr>
    </w:tbl>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color w:val="auto"/>
          <w:sz w:val="21"/>
          <w:szCs w:val="21"/>
          <w:highlight w:val="none"/>
        </w:rPr>
        <w:br w:type="page"/>
      </w:r>
      <w:r>
        <w:rPr>
          <w:rFonts w:hint="default" w:ascii="Times New Roman" w:hAnsi="Times New Roman" w:eastAsia="仿宋_GB2312" w:cs="Times New Roman"/>
          <w:b/>
          <w:color w:val="auto"/>
          <w:sz w:val="24"/>
          <w:szCs w:val="24"/>
          <w:highlight w:val="none"/>
        </w:rPr>
        <w:t>表二</w:t>
      </w:r>
    </w:p>
    <w:tbl>
      <w:tblPr>
        <w:tblStyle w:val="26"/>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01" w:hRule="atLeast"/>
          <w:jc w:val="center"/>
        </w:trPr>
        <w:tc>
          <w:tcPr>
            <w:tcW w:w="9028"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公司</w:t>
            </w:r>
            <w:r>
              <w:rPr>
                <w:rFonts w:hint="default" w:ascii="Times New Roman" w:hAnsi="Times New Roman" w:eastAsia="宋体" w:cs="Times New Roman"/>
                <w:color w:val="auto"/>
                <w:sz w:val="24"/>
                <w:szCs w:val="24"/>
                <w:highlight w:val="none"/>
                <w:lang w:eastAsia="zh-CN"/>
              </w:rPr>
              <w:t>概况</w:t>
            </w:r>
            <w:r>
              <w:rPr>
                <w:rFonts w:hint="default" w:ascii="Times New Roman" w:hAnsi="Times New Roman" w:eastAsia="宋体" w:cs="Times New Roman"/>
                <w:color w:val="auto"/>
                <w:sz w:val="24"/>
                <w:szCs w:val="24"/>
                <w:highlight w:val="none"/>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陕西金工装饰幕墙有限公司西咸新区分公司</w:t>
            </w:r>
            <w:r>
              <w:rPr>
                <w:rFonts w:hint="default" w:ascii="Times New Roman" w:hAnsi="Times New Roman" w:eastAsia="宋体" w:cs="Times New Roman"/>
                <w:color w:val="auto"/>
                <w:sz w:val="24"/>
                <w:szCs w:val="24"/>
                <w:highlight w:val="none"/>
              </w:rPr>
              <w:t>成立于</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月1</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位于</w:t>
            </w:r>
            <w:r>
              <w:rPr>
                <w:rFonts w:hint="eastAsia" w:ascii="Times New Roman" w:hAnsi="Times New Roman" w:eastAsia="宋体" w:cs="Times New Roman"/>
                <w:color w:val="auto"/>
                <w:sz w:val="24"/>
                <w:szCs w:val="24"/>
                <w:highlight w:val="none"/>
                <w:lang w:eastAsia="zh-CN"/>
              </w:rPr>
              <w:t>陕西省西咸新区秦汉新城朝阳七路二号</w:t>
            </w:r>
            <w:r>
              <w:rPr>
                <w:rFonts w:hint="default" w:ascii="Times New Roman" w:hAnsi="Times New Roman" w:eastAsia="宋体" w:cs="Times New Roman"/>
                <w:color w:val="auto"/>
                <w:sz w:val="24"/>
                <w:szCs w:val="24"/>
                <w:highlight w:val="none"/>
              </w:rPr>
              <w:t>。公司经营范围为建筑工程、建筑装修装饰工程、建筑幕墙工程</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建设项目概况</w:t>
            </w:r>
            <w:r>
              <w:rPr>
                <w:rFonts w:hint="default" w:ascii="Times New Roman" w:hAnsi="Times New Roman" w:eastAsia="宋体" w:cs="Times New Roman"/>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金属制品加工厂项目</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eastAsia="zh-CN"/>
              </w:rPr>
              <w:t>陕西金工装饰幕墙有限公司西咸新区分公司</w:t>
            </w:r>
            <w:r>
              <w:rPr>
                <w:rFonts w:hint="eastAsia" w:ascii="Times New Roman" w:hAnsi="Times New Roman" w:eastAsia="宋体" w:cs="Times New Roman"/>
                <w:color w:val="auto"/>
                <w:sz w:val="24"/>
                <w:szCs w:val="24"/>
                <w:highlight w:val="none"/>
                <w:lang w:val="en-US" w:eastAsia="zh-CN"/>
              </w:rPr>
              <w:t>新建</w:t>
            </w: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年产</w:t>
            </w:r>
            <w:r>
              <w:rPr>
                <w:rFonts w:hint="default" w:ascii="Times New Roman" w:hAnsi="Times New Roman" w:eastAsia="宋体" w:cs="Times New Roman"/>
                <w:color w:val="auto"/>
                <w:sz w:val="24"/>
                <w:szCs w:val="24"/>
                <w:highlight w:val="none"/>
                <w:lang w:eastAsia="zh-CN"/>
              </w:rPr>
              <w:t>单元式幕墙框架</w:t>
            </w:r>
            <w:r>
              <w:rPr>
                <w:rFonts w:hint="eastAsia" w:ascii="Times New Roman" w:hAnsi="Times New Roman" w:eastAsia="宋体" w:cs="Times New Roman"/>
                <w:color w:val="auto"/>
                <w:sz w:val="24"/>
                <w:szCs w:val="24"/>
                <w:highlight w:val="none"/>
                <w:lang w:val="en-US" w:eastAsia="zh-CN"/>
              </w:rPr>
              <w:t>1350件</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201</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eastAsia="zh-CN"/>
              </w:rPr>
              <w:t>月</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陕西金工装饰幕墙有限公司西咸新区分公司</w:t>
            </w:r>
            <w:r>
              <w:rPr>
                <w:rFonts w:hint="default" w:ascii="Times New Roman" w:hAnsi="Times New Roman" w:eastAsia="宋体" w:cs="Times New Roman"/>
                <w:color w:val="auto"/>
                <w:sz w:val="24"/>
                <w:szCs w:val="24"/>
                <w:highlight w:val="none"/>
              </w:rPr>
              <w:t>委托</w:t>
            </w:r>
            <w:r>
              <w:rPr>
                <w:rFonts w:hint="default" w:ascii="Times New Roman" w:hAnsi="Times New Roman" w:eastAsia="宋体" w:cs="Times New Roman"/>
                <w:color w:val="auto"/>
                <w:sz w:val="24"/>
                <w:szCs w:val="24"/>
                <w:highlight w:val="none"/>
                <w:lang w:eastAsia="zh-CN"/>
              </w:rPr>
              <w:t>陕西企科环境技术有限公司</w:t>
            </w:r>
            <w:r>
              <w:rPr>
                <w:rFonts w:hint="default" w:ascii="Times New Roman" w:hAnsi="Times New Roman" w:eastAsia="宋体" w:cs="Times New Roman"/>
                <w:color w:val="auto"/>
                <w:sz w:val="24"/>
                <w:szCs w:val="24"/>
                <w:highlight w:val="none"/>
              </w:rPr>
              <w:t>编制完成了《</w:t>
            </w:r>
            <w:r>
              <w:rPr>
                <w:rFonts w:hint="default" w:ascii="Times New Roman" w:hAnsi="Times New Roman" w:eastAsia="宋体" w:cs="Times New Roman"/>
                <w:color w:val="auto"/>
                <w:sz w:val="24"/>
                <w:szCs w:val="24"/>
                <w:highlight w:val="none"/>
                <w:lang w:val="en-US" w:eastAsia="zh-CN"/>
              </w:rPr>
              <w:t>金属制品加工厂项目</w:t>
            </w:r>
            <w:r>
              <w:rPr>
                <w:rFonts w:hint="default" w:ascii="Times New Roman" w:hAnsi="Times New Roman" w:eastAsia="宋体" w:cs="Times New Roman"/>
                <w:color w:val="auto"/>
                <w:sz w:val="24"/>
                <w:szCs w:val="24"/>
                <w:highlight w:val="none"/>
              </w:rPr>
              <w:t>环境影响报告表》；</w:t>
            </w:r>
            <w:r>
              <w:rPr>
                <w:rFonts w:hint="default" w:ascii="Times New Roman" w:hAnsi="Times New Roman" w:eastAsia="宋体" w:cs="Times New Roman"/>
                <w:color w:val="auto"/>
                <w:sz w:val="24"/>
                <w:szCs w:val="24"/>
                <w:highlight w:val="none"/>
                <w:lang w:eastAsia="zh-CN"/>
              </w:rPr>
              <w:t>201</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eastAsia="zh-CN"/>
              </w:rPr>
              <w:t>月1</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rPr>
              <w:t>，该环境影响报告表取得</w:t>
            </w:r>
            <w:r>
              <w:rPr>
                <w:rFonts w:hint="default" w:ascii="Times New Roman" w:hAnsi="Times New Roman" w:eastAsia="宋体" w:cs="Times New Roman"/>
                <w:color w:val="auto"/>
                <w:sz w:val="24"/>
                <w:highlight w:val="none"/>
              </w:rPr>
              <w:t>秦汉新城行政审批与政务服务局批复</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秦汉审服准</w:t>
            </w:r>
            <w:r>
              <w:rPr>
                <w:rFonts w:hint="default" w:ascii="Times New Roman" w:hAnsi="Times New Roman" w:eastAsia="宋体" w:cs="Times New Roman"/>
                <w:color w:val="auto"/>
                <w:sz w:val="24"/>
                <w:szCs w:val="24"/>
                <w:highlight w:val="none"/>
                <w:lang w:eastAsia="zh-CN"/>
              </w:rPr>
              <w:t>【201</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112</w:t>
            </w:r>
            <w:r>
              <w:rPr>
                <w:rFonts w:hint="default" w:ascii="Times New Roman" w:hAnsi="Times New Roman" w:eastAsia="宋体" w:cs="Times New Roman"/>
                <w:color w:val="auto"/>
                <w:sz w:val="24"/>
                <w:szCs w:val="24"/>
                <w:highlight w:val="none"/>
                <w:lang w:eastAsia="zh-CN"/>
              </w:rPr>
              <w:t>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秦汉新城行政审批与政务服务局</w:t>
            </w:r>
            <w:r>
              <w:rPr>
                <w:rFonts w:hint="default" w:ascii="Times New Roman" w:hAnsi="Times New Roman" w:eastAsia="宋体" w:cs="Times New Roman"/>
                <w:color w:val="auto"/>
                <w:sz w:val="24"/>
                <w:szCs w:val="24"/>
                <w:highlight w:val="none"/>
              </w:rPr>
              <w:t>关于</w:t>
            </w:r>
            <w:r>
              <w:rPr>
                <w:rFonts w:hint="default" w:ascii="Times New Roman" w:hAnsi="Times New Roman" w:eastAsia="宋体" w:cs="Times New Roman"/>
                <w:color w:val="auto"/>
                <w:sz w:val="24"/>
                <w:szCs w:val="24"/>
                <w:highlight w:val="none"/>
                <w:lang w:eastAsia="zh-CN"/>
              </w:rPr>
              <w:t>陕西金工装饰幕墙有限公司西咸新区分公司金属制品加工厂项目</w:t>
            </w:r>
            <w:r>
              <w:rPr>
                <w:rFonts w:hint="default" w:ascii="Times New Roman" w:hAnsi="Times New Roman" w:eastAsia="宋体" w:cs="Times New Roman"/>
                <w:color w:val="auto"/>
                <w:sz w:val="24"/>
                <w:szCs w:val="24"/>
                <w:highlight w:val="none"/>
              </w:rPr>
              <w:t>环境影响报告表的批复”）。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该项目于201</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月开始动工兴建，总投资</w:t>
            </w:r>
            <w:r>
              <w:rPr>
                <w:rFonts w:hint="eastAsia" w:ascii="Times New Roman" w:hAnsi="Times New Roman" w:eastAsia="宋体" w:cs="Times New Roman"/>
                <w:color w:val="auto"/>
                <w:sz w:val="24"/>
                <w:szCs w:val="24"/>
                <w:highlight w:val="none"/>
                <w:lang w:val="en-US" w:eastAsia="zh-CN"/>
              </w:rPr>
              <w:t>135</w:t>
            </w:r>
            <w:r>
              <w:rPr>
                <w:rFonts w:hint="default" w:ascii="Times New Roman" w:hAnsi="Times New Roman" w:eastAsia="宋体" w:cs="Times New Roman"/>
                <w:color w:val="auto"/>
                <w:sz w:val="24"/>
                <w:szCs w:val="24"/>
                <w:highlight w:val="none"/>
              </w:rPr>
              <w:t>万元，该项目在201</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月全部竣工投产，现各项环保设施已全部竣工并投入使用，满足环境保护竣工验收监测的要求。201</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月14日</w:t>
            </w:r>
            <w:r>
              <w:rPr>
                <w:rFonts w:hint="default" w:ascii="Times New Roman" w:hAnsi="Times New Roman" w:eastAsia="宋体" w:cs="Times New Roman"/>
                <w:color w:val="auto"/>
                <w:sz w:val="24"/>
                <w:szCs w:val="24"/>
                <w:highlight w:val="none"/>
                <w:lang w:eastAsia="zh-CN"/>
              </w:rPr>
              <w:t>陕西金工装饰幕墙有限公司西咸新区分公司</w:t>
            </w:r>
            <w:r>
              <w:rPr>
                <w:rFonts w:hint="default" w:ascii="Times New Roman" w:hAnsi="Times New Roman" w:eastAsia="宋体" w:cs="Times New Roman"/>
                <w:color w:val="auto"/>
                <w:sz w:val="24"/>
                <w:szCs w:val="24"/>
                <w:highlight w:val="none"/>
              </w:rPr>
              <w:t>委托西安冕成环保科技有限公司对“</w:t>
            </w:r>
            <w:r>
              <w:rPr>
                <w:rFonts w:hint="default" w:ascii="Times New Roman" w:hAnsi="Times New Roman" w:eastAsia="宋体" w:cs="Times New Roman"/>
                <w:color w:val="auto"/>
                <w:sz w:val="24"/>
                <w:szCs w:val="24"/>
                <w:highlight w:val="none"/>
                <w:lang w:eastAsia="zh-CN"/>
              </w:rPr>
              <w:t>陕西金工装饰幕墙有限公司西咸新区分公司金属制品加工厂项目</w:t>
            </w:r>
            <w:r>
              <w:rPr>
                <w:rFonts w:hint="default" w:ascii="Times New Roman" w:hAnsi="Times New Roman" w:eastAsia="宋体" w:cs="Times New Roman"/>
                <w:color w:val="auto"/>
                <w:sz w:val="24"/>
                <w:szCs w:val="24"/>
                <w:highlight w:val="none"/>
              </w:rPr>
              <w:t>”进行环境保护竣工验收。我公司于201</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月15日组织专业技术人员前往该项目进行了现场勘查，并依据《</w:t>
            </w:r>
            <w:r>
              <w:rPr>
                <w:rFonts w:hint="default" w:ascii="Times New Roman" w:hAnsi="Times New Roman" w:eastAsia="宋体" w:cs="Times New Roman"/>
                <w:color w:val="auto"/>
                <w:sz w:val="24"/>
                <w:szCs w:val="24"/>
                <w:highlight w:val="none"/>
                <w:lang w:eastAsia="zh-CN"/>
              </w:rPr>
              <w:t>陕西金工装饰幕墙有限公司西咸新区分公司</w:t>
            </w:r>
            <w:r>
              <w:rPr>
                <w:rFonts w:hint="default" w:ascii="Times New Roman" w:hAnsi="Times New Roman" w:eastAsia="宋体" w:cs="Times New Roman"/>
                <w:color w:val="auto"/>
                <w:sz w:val="24"/>
                <w:szCs w:val="24"/>
                <w:highlight w:val="none"/>
                <w:lang w:val="en-US" w:eastAsia="zh-CN"/>
              </w:rPr>
              <w:t>金属制品加工厂项目</w:t>
            </w:r>
            <w:r>
              <w:rPr>
                <w:rFonts w:hint="default" w:ascii="Times New Roman" w:hAnsi="Times New Roman" w:eastAsia="宋体" w:cs="Times New Roman"/>
                <w:color w:val="auto"/>
                <w:sz w:val="24"/>
                <w:szCs w:val="24"/>
                <w:highlight w:val="none"/>
              </w:rPr>
              <w:t>环境影响报告表》、环评批复文件以及查阅相关资料的情况编制了该项目环境保护竣工验收监测方案。依据环境保护部文件国环规环评【2017】4号关于发布《建设项目竣工环境保护验收暂行办法》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生态环境部公告2018年第9号关于发布《建设项目竣工环境保护验收技术指南 污染影响类》公告中的要求，建设项目需要配套建设水、气、噪声或者固体废物污染防治设施的，在《中华人民共和国固体废物污染环境防治法》修改完成前，应依法由环境保护部门对建设项目固体废物污染防治设施进行验收。因本项目涉及废气、废水、噪声和固体废物污染防治设施，所以本项目分两部分验收，第一部分为废水、废气、噪声污染防治设施验收；第二部分为固体废物污染防治设施验收（即本报告）。</w:t>
            </w:r>
          </w:p>
        </w:tc>
      </w:tr>
    </w:tbl>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lang w:eastAsia="zh-CN"/>
        </w:rPr>
        <w:t>续</w:t>
      </w:r>
      <w:r>
        <w:rPr>
          <w:rFonts w:hint="default" w:ascii="Times New Roman" w:hAnsi="Times New Roman" w:eastAsia="仿宋_GB2312" w:cs="Times New Roman"/>
          <w:b/>
          <w:color w:val="auto"/>
          <w:sz w:val="24"/>
          <w:szCs w:val="24"/>
          <w:highlight w:val="none"/>
        </w:rPr>
        <w:t>表二</w:t>
      </w:r>
    </w:p>
    <w:tbl>
      <w:tblPr>
        <w:tblStyle w:val="26"/>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66" w:hRule="atLeast"/>
          <w:jc w:val="center"/>
        </w:trPr>
        <w:tc>
          <w:tcPr>
            <w:tcW w:w="9028"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工程建设内容：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2.1建设地点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项目位于</w:t>
            </w:r>
            <w:r>
              <w:rPr>
                <w:rFonts w:hint="eastAsia" w:ascii="Times New Roman" w:hAnsi="Times New Roman" w:eastAsia="宋体" w:cs="Times New Roman"/>
                <w:color w:val="auto"/>
                <w:sz w:val="24"/>
                <w:szCs w:val="24"/>
                <w:highlight w:val="none"/>
                <w:lang w:eastAsia="zh-CN"/>
              </w:rPr>
              <w:t>陕西省西咸新区秦汉新城朝阳七路二号</w:t>
            </w:r>
            <w:r>
              <w:rPr>
                <w:rFonts w:hint="default" w:ascii="Times New Roman" w:hAnsi="Times New Roman" w:eastAsia="宋体" w:cs="Times New Roman"/>
                <w:color w:val="auto"/>
                <w:sz w:val="24"/>
                <w:szCs w:val="24"/>
                <w:highlight w:val="none"/>
                <w:lang w:eastAsia="zh-CN"/>
              </w:rPr>
              <w:t>（北纬N34°</w:t>
            </w:r>
            <w:r>
              <w:rPr>
                <w:rFonts w:hint="eastAsia" w:ascii="Times New Roman" w:hAnsi="Times New Roman" w:eastAsia="宋体" w:cs="Times New Roman"/>
                <w:color w:val="auto"/>
                <w:sz w:val="24"/>
                <w:szCs w:val="24"/>
                <w:highlight w:val="none"/>
                <w:lang w:val="en-US" w:eastAsia="zh-CN"/>
              </w:rPr>
              <w:t>37</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52.63</w:t>
            </w:r>
            <w:r>
              <w:rPr>
                <w:rFonts w:hint="default" w:ascii="Times New Roman" w:hAnsi="Times New Roman" w:eastAsia="宋体" w:cs="Times New Roman"/>
                <w:color w:val="auto"/>
                <w:sz w:val="24"/>
                <w:szCs w:val="24"/>
                <w:highlight w:val="none"/>
                <w:lang w:eastAsia="zh-CN"/>
              </w:rPr>
              <w:t>″ 东经E108°</w:t>
            </w:r>
            <w:r>
              <w:rPr>
                <w:rFonts w:hint="eastAsia" w:ascii="Times New Roman" w:hAnsi="Times New Roman" w:eastAsia="宋体" w:cs="Times New Roman"/>
                <w:color w:val="auto"/>
                <w:sz w:val="24"/>
                <w:szCs w:val="24"/>
                <w:highlight w:val="none"/>
                <w:lang w:val="en-US" w:eastAsia="zh-CN"/>
              </w:rPr>
              <w:t>79</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64.47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其周边四邻为：东邻朝阳七路，西邻玻璃厂，南边是一个加工厂，北侧隔45m为金旭路。具体地理位置见附图1。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2.2建设规模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占</w:t>
            </w:r>
            <w:r>
              <w:rPr>
                <w:rFonts w:hint="default" w:ascii="Times New Roman" w:hAnsi="Times New Roman" w:eastAsia="宋体" w:cs="Times New Roman"/>
                <w:color w:val="auto"/>
                <w:sz w:val="24"/>
                <w:szCs w:val="24"/>
                <w:highlight w:val="none"/>
              </w:rPr>
              <w:t>地面积1600m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年产单元式幕墙框架1350件</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本项目职工人数20人，年工作320天，每天工作8小时。</w:t>
            </w:r>
            <w:r>
              <w:rPr>
                <w:rFonts w:hint="default" w:ascii="Times New Roman" w:hAnsi="Times New Roman" w:eastAsia="宋体" w:cs="Times New Roman"/>
                <w:color w:val="auto"/>
                <w:sz w:val="24"/>
                <w:szCs w:val="24"/>
                <w:highlight w:val="none"/>
              </w:rPr>
              <w:t>总投资</w:t>
            </w:r>
            <w:r>
              <w:rPr>
                <w:rFonts w:hint="eastAsia" w:ascii="Times New Roman" w:hAnsi="Times New Roman" w:eastAsia="宋体" w:cs="Times New Roman"/>
                <w:color w:val="auto"/>
                <w:sz w:val="24"/>
                <w:szCs w:val="24"/>
                <w:highlight w:val="none"/>
                <w:lang w:val="en-US" w:eastAsia="zh-CN"/>
              </w:rPr>
              <w:t>135</w:t>
            </w:r>
            <w:r>
              <w:rPr>
                <w:rFonts w:hint="default" w:ascii="Times New Roman" w:hAnsi="Times New Roman" w:eastAsia="宋体" w:cs="Times New Roman"/>
                <w:color w:val="auto"/>
                <w:sz w:val="24"/>
                <w:szCs w:val="24"/>
                <w:highlight w:val="none"/>
              </w:rPr>
              <w:t>万元，其中环保投资</w:t>
            </w:r>
            <w:r>
              <w:rPr>
                <w:rFonts w:hint="eastAsia" w:ascii="Times New Roman" w:hAnsi="Times New Roman" w:eastAsia="宋体" w:cs="Times New Roman"/>
                <w:color w:val="auto"/>
                <w:sz w:val="24"/>
                <w:szCs w:val="24"/>
                <w:highlight w:val="none"/>
                <w:lang w:val="en-US" w:eastAsia="zh-CN"/>
              </w:rPr>
              <w:t>26.3</w:t>
            </w:r>
            <w:r>
              <w:rPr>
                <w:rFonts w:hint="default" w:ascii="Times New Roman" w:hAnsi="Times New Roman" w:eastAsia="宋体" w:cs="Times New Roman"/>
                <w:color w:val="auto"/>
                <w:sz w:val="24"/>
                <w:szCs w:val="24"/>
                <w:highlight w:val="none"/>
              </w:rPr>
              <w:t>万元，占总投资的</w:t>
            </w:r>
            <w:r>
              <w:rPr>
                <w:rFonts w:hint="eastAsia" w:ascii="Times New Roman" w:hAnsi="Times New Roman" w:eastAsia="宋体" w:cs="Times New Roman"/>
                <w:color w:val="auto"/>
                <w:sz w:val="24"/>
                <w:szCs w:val="24"/>
                <w:highlight w:val="none"/>
                <w:lang w:val="en-US" w:eastAsia="zh-CN"/>
              </w:rPr>
              <w:t>19.48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本</w:t>
            </w:r>
            <w:r>
              <w:rPr>
                <w:rFonts w:hint="eastAsia" w:ascii="Times New Roman" w:hAnsi="Times New Roman" w:eastAsia="宋体" w:cs="Times New Roman"/>
                <w:color w:val="auto"/>
                <w:kern w:val="2"/>
                <w:sz w:val="24"/>
                <w:szCs w:val="24"/>
                <w:highlight w:val="none"/>
                <w:lang w:val="en-US" w:eastAsia="zh-CN" w:bidi="ar"/>
              </w:rPr>
              <w:t>项目</w:t>
            </w:r>
            <w:r>
              <w:rPr>
                <w:rFonts w:hint="eastAsia" w:ascii="Times New Roman" w:hAnsi="Times New Roman" w:eastAsia="宋体" w:cs="Times New Roman"/>
                <w:color w:val="auto"/>
                <w:spacing w:val="-4"/>
                <w:kern w:val="2"/>
                <w:sz w:val="24"/>
                <w:szCs w:val="24"/>
                <w:highlight w:val="none"/>
                <w:lang w:val="en-US" w:eastAsia="zh-CN" w:bidi="ar"/>
              </w:rPr>
              <w:t>租赁陕西警力</w:t>
            </w:r>
            <w:bookmarkStart w:id="4" w:name="_GoBack"/>
            <w:bookmarkEnd w:id="4"/>
            <w:r>
              <w:rPr>
                <w:rFonts w:hint="eastAsia" w:ascii="Times New Roman" w:hAnsi="Times New Roman" w:eastAsia="宋体" w:cs="Times New Roman"/>
                <w:color w:val="auto"/>
                <w:spacing w:val="-4"/>
                <w:kern w:val="2"/>
                <w:sz w:val="24"/>
                <w:szCs w:val="24"/>
                <w:highlight w:val="none"/>
                <w:lang w:val="en-US" w:eastAsia="zh-CN" w:bidi="ar"/>
              </w:rPr>
              <w:t>保安器械厂</w:t>
            </w:r>
            <w:r>
              <w:rPr>
                <w:rFonts w:hint="default" w:ascii="Times New Roman" w:hAnsi="Times New Roman" w:eastAsia="宋体" w:cs="Times New Roman"/>
                <w:color w:val="auto"/>
                <w:spacing w:val="-4"/>
                <w:kern w:val="2"/>
                <w:sz w:val="24"/>
                <w:szCs w:val="24"/>
                <w:highlight w:val="none"/>
                <w:lang w:val="en-US" w:eastAsia="zh-CN" w:bidi="ar"/>
              </w:rPr>
              <w:t>1600m</w:t>
            </w:r>
            <w:r>
              <w:rPr>
                <w:rFonts w:hint="default" w:ascii="Times New Roman" w:hAnsi="Times New Roman" w:eastAsia="宋体" w:cs="Times New Roman"/>
                <w:color w:val="auto"/>
                <w:spacing w:val="-4"/>
                <w:kern w:val="2"/>
                <w:sz w:val="24"/>
                <w:szCs w:val="24"/>
                <w:highlight w:val="none"/>
                <w:vertAlign w:val="superscript"/>
                <w:lang w:val="en-US" w:eastAsia="zh-CN" w:bidi="ar"/>
              </w:rPr>
              <w:t>2</w:t>
            </w:r>
            <w:r>
              <w:rPr>
                <w:rFonts w:hint="eastAsia" w:ascii="Times New Roman" w:hAnsi="Times New Roman" w:eastAsia="宋体" w:cs="Times New Roman"/>
                <w:color w:val="auto"/>
                <w:spacing w:val="-4"/>
                <w:kern w:val="2"/>
                <w:sz w:val="24"/>
                <w:szCs w:val="24"/>
                <w:highlight w:val="none"/>
                <w:lang w:val="en-US" w:eastAsia="zh-CN" w:bidi="ar"/>
              </w:rPr>
              <w:t>砖混厂房，</w:t>
            </w:r>
            <w:r>
              <w:rPr>
                <w:rFonts w:hint="default" w:ascii="Times New Roman" w:hAnsi="Times New Roman" w:eastAsia="宋体" w:cs="Times New Roman"/>
                <w:color w:val="auto"/>
                <w:sz w:val="24"/>
                <w:szCs w:val="24"/>
                <w:highlight w:val="none"/>
              </w:rPr>
              <w:t>主要建设内容包括</w:t>
            </w:r>
            <w:r>
              <w:rPr>
                <w:rFonts w:hint="eastAsia" w:ascii="Times New Roman" w:hAnsi="Times New Roman" w:eastAsia="宋体" w:cs="Times New Roman"/>
                <w:color w:val="auto"/>
                <w:sz w:val="24"/>
                <w:szCs w:val="24"/>
                <w:highlight w:val="none"/>
                <w:lang w:val="en-US" w:eastAsia="zh-CN"/>
              </w:rPr>
              <w:t>生产厂房、刷漆房、办公区、食堂</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工程组成及主要建设内容</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项目由主体工程、辅助工程、公用工程、储运工程以及环保工程组成，工程组成及主要建设内容见表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w:t>
            </w:r>
          </w:p>
        </w:tc>
      </w:tr>
    </w:tbl>
    <w:p>
      <w:pPr>
        <w:spacing w:after="0" w:afterLines="0" w:line="360" w:lineRule="auto"/>
        <w:rPr>
          <w:rFonts w:hint="default" w:ascii="Times New Roman" w:hAnsi="Times New Roman" w:eastAsia="仿宋_GB2312" w:cs="Times New Roman"/>
          <w:b/>
          <w:color w:val="auto"/>
          <w:sz w:val="24"/>
          <w:szCs w:val="24"/>
          <w:highlight w:val="none"/>
          <w:lang w:eastAsia="zh-CN"/>
        </w:rPr>
        <w:sectPr>
          <w:footerReference r:id="rId5" w:type="default"/>
          <w:pgSz w:w="11906" w:h="16838"/>
          <w:pgMar w:top="1440" w:right="1800" w:bottom="1440" w:left="1800" w:header="1134" w:footer="1134" w:gutter="0"/>
          <w:pgBorders>
            <w:top w:val="none" w:sz="0" w:space="0"/>
            <w:left w:val="none" w:sz="0" w:space="0"/>
            <w:bottom w:val="none" w:sz="0" w:space="0"/>
            <w:right w:val="none" w:sz="0" w:space="0"/>
          </w:pgBorders>
          <w:pgNumType w:fmt="decimal" w:start="1"/>
          <w:cols w:space="720" w:num="1"/>
          <w:docGrid w:linePitch="360" w:charSpace="0"/>
        </w:sectPr>
      </w:pPr>
    </w:p>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lang w:eastAsia="zh-CN"/>
        </w:rPr>
        <w:t>续</w:t>
      </w:r>
      <w:r>
        <w:rPr>
          <w:rFonts w:hint="default" w:ascii="Times New Roman" w:hAnsi="Times New Roman" w:eastAsia="仿宋_GB2312" w:cs="Times New Roman"/>
          <w:b/>
          <w:color w:val="auto"/>
          <w:sz w:val="24"/>
          <w:szCs w:val="24"/>
          <w:highlight w:val="none"/>
        </w:rPr>
        <w:t>表二</w:t>
      </w:r>
    </w:p>
    <w:tbl>
      <w:tblPr>
        <w:tblStyle w:val="26"/>
        <w:tblW w:w="1478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651" w:hRule="atLeast"/>
          <w:jc w:val="center"/>
        </w:trPr>
        <w:tc>
          <w:tcPr>
            <w:tcW w:w="14786" w:type="dxa"/>
            <w:tcBorders>
              <w:tl2br w:val="nil"/>
              <w:tr2bl w:val="nil"/>
            </w:tcBorders>
            <w:vAlign w:val="top"/>
          </w:tcPr>
          <w:p>
            <w:pPr>
              <w:pStyle w:val="9"/>
              <w:keepNext w:val="0"/>
              <w:keepLines w:val="0"/>
              <w:pageBreakBefore w:val="0"/>
              <w:widowControl w:val="0"/>
              <w:suppressLineNumbers w:val="0"/>
              <w:tabs>
                <w:tab w:val="left" w:pos="6495"/>
              </w:tabs>
              <w:kinsoku/>
              <w:wordWrap/>
              <w:overflowPunct/>
              <w:topLinePunct w:val="0"/>
              <w:autoSpaceDE/>
              <w:autoSpaceDN/>
              <w:bidi w:val="0"/>
              <w:adjustRightInd w:val="0"/>
              <w:snapToGrid w:val="0"/>
              <w:spacing w:before="181" w:beforeLines="5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rPr>
              <w:t>表</w:t>
            </w:r>
            <w:r>
              <w:rPr>
                <w:rFonts w:hint="default" w:ascii="Times New Roman" w:hAnsi="Times New Roman"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lang w:val="en-US" w:eastAsia="zh-CN"/>
              </w:rPr>
              <w:t xml:space="preserve">    工程组成及主要建设内容一览表</w:t>
            </w:r>
          </w:p>
          <w:tbl>
            <w:tblPr>
              <w:tblStyle w:val="27"/>
              <w:tblW w:w="14629"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890"/>
              <w:gridCol w:w="4469"/>
              <w:gridCol w:w="4425"/>
              <w:gridCol w:w="25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工程名称</w:t>
                  </w: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工段名称</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eastAsia="zh-CN"/>
                    </w:rPr>
                    <w:t>环评阶段建设规模与内容</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eastAsia="zh-CN"/>
                    </w:rPr>
                    <w:t xml:space="preserve"> 目前实际建设规模与内容 </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eastAsia="zh-CN"/>
                    </w:rPr>
                    <w:t>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主</w:t>
                  </w:r>
                  <w:r>
                    <w:rPr>
                      <w:rFonts w:hint="default" w:ascii="Times New Roman" w:hAnsi="Times New Roman" w:eastAsia="宋体" w:cs="Times New Roman"/>
                      <w:color w:val="auto"/>
                      <w:sz w:val="24"/>
                      <w:szCs w:val="24"/>
                      <w:highlight w:val="none"/>
                      <w:lang w:eastAsia="zh-CN"/>
                    </w:rPr>
                    <w:t>体</w:t>
                  </w:r>
                  <w:r>
                    <w:rPr>
                      <w:rFonts w:hint="default" w:ascii="Times New Roman" w:hAnsi="Times New Roman" w:eastAsia="宋体" w:cs="Times New Roman"/>
                      <w:color w:val="auto"/>
                      <w:sz w:val="24"/>
                      <w:szCs w:val="24"/>
                      <w:highlight w:val="none"/>
                    </w:rPr>
                    <w:t>工程</w:t>
                  </w: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kern w:val="2"/>
                      <w:sz w:val="24"/>
                      <w:szCs w:val="24"/>
                      <w:highlight w:val="none"/>
                      <w:lang w:val="en-US" w:eastAsia="zh-CN" w:bidi="ar"/>
                    </w:rPr>
                    <w:t>生产厂房</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砖混钢结构厂房1</w:t>
                  </w:r>
                  <w:r>
                    <w:rPr>
                      <w:rFonts w:hint="eastAsia" w:ascii="Times New Roman" w:hAnsi="Times New Roman" w:eastAsia="宋体" w:cs="Times New Roman"/>
                      <w:color w:val="auto"/>
                      <w:kern w:val="2"/>
                      <w:sz w:val="24"/>
                      <w:szCs w:val="24"/>
                      <w:highlight w:val="none"/>
                      <w:lang w:val="en-US" w:eastAsia="zh-CN" w:bidi="ar"/>
                    </w:rPr>
                    <w:t>座</w:t>
                  </w:r>
                  <w:r>
                    <w:rPr>
                      <w:rFonts w:hint="default" w:ascii="Times New Roman" w:hAnsi="Times New Roman" w:eastAsia="宋体" w:cs="Times New Roman"/>
                      <w:color w:val="auto"/>
                      <w:kern w:val="2"/>
                      <w:sz w:val="24"/>
                      <w:szCs w:val="24"/>
                      <w:highlight w:val="none"/>
                      <w:lang w:val="en-US" w:eastAsia="zh-CN" w:bidi="ar"/>
                    </w:rPr>
                    <w:t>， 1F，高7m，建筑面积1200m</w:t>
                  </w:r>
                  <w:r>
                    <w:rPr>
                      <w:rFonts w:hint="default" w:ascii="Times New Roman" w:hAnsi="Times New Roman" w:eastAsia="宋体" w:cs="Times New Roman"/>
                      <w:color w:val="auto"/>
                      <w:kern w:val="2"/>
                      <w:sz w:val="24"/>
                      <w:szCs w:val="24"/>
                      <w:highlight w:val="none"/>
                      <w:vertAlign w:val="superscript"/>
                      <w:lang w:val="en-US" w:eastAsia="zh-CN" w:bidi="ar"/>
                    </w:rPr>
                    <w:t>2</w:t>
                  </w:r>
                  <w:r>
                    <w:rPr>
                      <w:rFonts w:hint="default" w:ascii="Times New Roman" w:hAnsi="Times New Roman" w:eastAsia="宋体" w:cs="Times New Roman"/>
                      <w:color w:val="auto"/>
                      <w:kern w:val="2"/>
                      <w:sz w:val="24"/>
                      <w:szCs w:val="24"/>
                      <w:highlight w:val="none"/>
                      <w:lang w:val="en-US" w:eastAsia="zh-CN" w:bidi="ar"/>
                    </w:rPr>
                    <w:t>，建设机械设备加工生产线一条，设生产区。钢结构厂房1个。</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kern w:val="2"/>
                      <w:sz w:val="24"/>
                      <w:szCs w:val="24"/>
                      <w:highlight w:val="none"/>
                      <w:lang w:val="en-US" w:eastAsia="zh-CN" w:bidi="ar"/>
                    </w:rPr>
                    <w:t>砖混钢结构厂房1</w:t>
                  </w:r>
                  <w:r>
                    <w:rPr>
                      <w:rFonts w:hint="eastAsia" w:ascii="Times New Roman" w:hAnsi="Times New Roman" w:eastAsia="宋体" w:cs="Times New Roman"/>
                      <w:color w:val="auto"/>
                      <w:kern w:val="2"/>
                      <w:sz w:val="24"/>
                      <w:szCs w:val="24"/>
                      <w:highlight w:val="none"/>
                      <w:lang w:val="en-US" w:eastAsia="zh-CN" w:bidi="ar"/>
                    </w:rPr>
                    <w:t>座</w:t>
                  </w:r>
                  <w:r>
                    <w:rPr>
                      <w:rFonts w:hint="default" w:ascii="Times New Roman" w:hAnsi="Times New Roman" w:eastAsia="宋体" w:cs="Times New Roman"/>
                      <w:color w:val="auto"/>
                      <w:kern w:val="2"/>
                      <w:sz w:val="24"/>
                      <w:szCs w:val="24"/>
                      <w:highlight w:val="none"/>
                      <w:lang w:val="en-US" w:eastAsia="zh-CN" w:bidi="ar"/>
                    </w:rPr>
                    <w:t>， 1F，高7m，建筑面积1200m</w:t>
                  </w:r>
                  <w:r>
                    <w:rPr>
                      <w:rFonts w:hint="default" w:ascii="Times New Roman" w:hAnsi="Times New Roman" w:eastAsia="宋体" w:cs="Times New Roman"/>
                      <w:color w:val="auto"/>
                      <w:kern w:val="2"/>
                      <w:sz w:val="24"/>
                      <w:szCs w:val="24"/>
                      <w:highlight w:val="none"/>
                      <w:vertAlign w:val="superscript"/>
                      <w:lang w:val="en-US" w:eastAsia="zh-CN" w:bidi="ar"/>
                    </w:rPr>
                    <w:t>2</w:t>
                  </w:r>
                  <w:r>
                    <w:rPr>
                      <w:rFonts w:hint="default" w:ascii="Times New Roman" w:hAnsi="Times New Roman" w:eastAsia="宋体" w:cs="Times New Roman"/>
                      <w:color w:val="auto"/>
                      <w:kern w:val="2"/>
                      <w:sz w:val="24"/>
                      <w:szCs w:val="24"/>
                      <w:highlight w:val="none"/>
                      <w:lang w:val="en-US" w:eastAsia="zh-CN" w:bidi="ar"/>
                    </w:rPr>
                    <w:t>，建设机械设备加工生产线一条，设生产区。钢结构厂房1个。</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color w:val="auto"/>
                      <w:sz w:val="24"/>
                      <w:szCs w:val="24"/>
                      <w:highlight w:val="none"/>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vertAlign w:val="baseline"/>
                      <w:lang w:eastAsia="zh-CN"/>
                    </w:rPr>
                    <w:t>辅助工程</w:t>
                  </w: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outlineLvl w:val="0"/>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kern w:val="2"/>
                      <w:sz w:val="24"/>
                      <w:szCs w:val="24"/>
                      <w:highlight w:val="none"/>
                      <w:lang w:val="en-US" w:eastAsia="zh-CN" w:bidi="ar"/>
                    </w:rPr>
                    <w:t>办公区</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kern w:val="2"/>
                      <w:sz w:val="24"/>
                      <w:szCs w:val="24"/>
                      <w:highlight w:val="none"/>
                      <w:lang w:val="en-US" w:eastAsia="zh-CN" w:bidi="ar"/>
                    </w:rPr>
                    <w:t>砖混结构，位于生产车间南侧，1F，层高3.5m，建筑面积为 100m</w:t>
                  </w:r>
                  <w:r>
                    <w:rPr>
                      <w:rFonts w:hint="default" w:ascii="Times New Roman" w:hAnsi="Times New Roman" w:eastAsia="宋体" w:cs="Times New Roman"/>
                      <w:color w:val="auto"/>
                      <w:kern w:val="2"/>
                      <w:sz w:val="24"/>
                      <w:szCs w:val="24"/>
                      <w:highlight w:val="none"/>
                      <w:vertAlign w:val="superscript"/>
                      <w:lang w:val="en-US" w:eastAsia="zh-CN" w:bidi="ar"/>
                    </w:rPr>
                    <w:t>2</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kern w:val="2"/>
                      <w:sz w:val="24"/>
                      <w:szCs w:val="24"/>
                      <w:highlight w:val="none"/>
                      <w:lang w:val="en-US" w:eastAsia="zh-CN" w:bidi="ar"/>
                    </w:rPr>
                    <w:t>砖混结构，位于生产车间南侧，1F，层高3.5m，建筑面积为 100m</w:t>
                  </w:r>
                  <w:r>
                    <w:rPr>
                      <w:rFonts w:hint="default" w:ascii="Times New Roman" w:hAnsi="Times New Roman" w:eastAsia="宋体" w:cs="Times New Roman"/>
                      <w:color w:val="auto"/>
                      <w:kern w:val="2"/>
                      <w:sz w:val="24"/>
                      <w:szCs w:val="24"/>
                      <w:highlight w:val="none"/>
                      <w:vertAlign w:val="superscript"/>
                      <w:lang w:val="en-US" w:eastAsia="zh-CN" w:bidi="ar"/>
                    </w:rPr>
                    <w:t>2</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color w:val="auto"/>
                      <w:sz w:val="24"/>
                      <w:szCs w:val="24"/>
                      <w:highlight w:val="none"/>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4"/>
                      <w:szCs w:val="24"/>
                      <w:highlight w:val="none"/>
                    </w:rPr>
                  </w:pP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kern w:val="2"/>
                      <w:sz w:val="24"/>
                      <w:szCs w:val="24"/>
                      <w:highlight w:val="none"/>
                      <w:lang w:val="en-US" w:eastAsia="zh-CN" w:bidi="ar"/>
                    </w:rPr>
                    <w:t>食堂</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kern w:val="2"/>
                      <w:sz w:val="24"/>
                      <w:szCs w:val="24"/>
                      <w:highlight w:val="none"/>
                      <w:lang w:val="en-US" w:eastAsia="zh-CN" w:bidi="ar"/>
                    </w:rPr>
                    <w:t>新建食堂一座，占地面积约50m</w:t>
                  </w:r>
                  <w:r>
                    <w:rPr>
                      <w:rFonts w:hint="default" w:ascii="Times New Roman" w:hAnsi="Times New Roman" w:eastAsia="宋体" w:cs="Times New Roman"/>
                      <w:color w:val="auto"/>
                      <w:kern w:val="2"/>
                      <w:sz w:val="24"/>
                      <w:szCs w:val="24"/>
                      <w:highlight w:val="none"/>
                      <w:vertAlign w:val="superscript"/>
                      <w:lang w:val="en-US" w:eastAsia="zh-CN" w:bidi="ar"/>
                    </w:rPr>
                    <w:t>2</w:t>
                  </w:r>
                  <w:r>
                    <w:rPr>
                      <w:rFonts w:hint="default" w:ascii="Times New Roman" w:hAnsi="Times New Roman" w:eastAsia="宋体" w:cs="Times New Roman"/>
                      <w:color w:val="auto"/>
                      <w:kern w:val="2"/>
                      <w:sz w:val="24"/>
                      <w:szCs w:val="24"/>
                      <w:highlight w:val="none"/>
                      <w:lang w:val="en-US" w:eastAsia="zh-CN" w:bidi="ar"/>
                    </w:rPr>
                    <w:t>。</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新建食堂一座，占地面积约50m</w:t>
                  </w:r>
                  <w:r>
                    <w:rPr>
                      <w:rFonts w:hint="default" w:ascii="Times New Roman" w:hAnsi="Times New Roman" w:eastAsia="宋体" w:cs="Times New Roman"/>
                      <w:color w:val="auto"/>
                      <w:kern w:val="2"/>
                      <w:sz w:val="24"/>
                      <w:szCs w:val="24"/>
                      <w:highlight w:val="none"/>
                      <w:vertAlign w:val="superscript"/>
                      <w:lang w:val="en-US" w:eastAsia="zh-CN" w:bidi="ar"/>
                    </w:rPr>
                    <w:t>2</w:t>
                  </w:r>
                  <w:r>
                    <w:rPr>
                      <w:rFonts w:hint="default" w:ascii="Times New Roman" w:hAnsi="Times New Roman" w:eastAsia="宋体" w:cs="Times New Roman"/>
                      <w:color w:val="auto"/>
                      <w:kern w:val="2"/>
                      <w:sz w:val="24"/>
                      <w:szCs w:val="24"/>
                      <w:highlight w:val="none"/>
                      <w:lang w:val="en-US" w:eastAsia="zh-CN" w:bidi="ar"/>
                    </w:rPr>
                    <w:t>。</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b w:val="0"/>
                      <w:bCs/>
                      <w:color w:val="auto"/>
                      <w:sz w:val="24"/>
                      <w:szCs w:val="24"/>
                      <w:highlight w:val="none"/>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4"/>
                      <w:szCs w:val="24"/>
                      <w:highlight w:val="none"/>
                    </w:rPr>
                  </w:pP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刷漆房</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1座，密闭建设，单元式幕墙框架刷漆、晾干场所，面积15m</w:t>
                  </w:r>
                  <w:r>
                    <w:rPr>
                      <w:rFonts w:hint="default" w:ascii="Times New Roman" w:hAnsi="Times New Roman" w:eastAsia="宋体" w:cs="Times New Roman"/>
                      <w:color w:val="auto"/>
                      <w:kern w:val="2"/>
                      <w:sz w:val="24"/>
                      <w:szCs w:val="24"/>
                      <w:highlight w:val="none"/>
                      <w:vertAlign w:val="superscript"/>
                      <w:lang w:val="en-US" w:eastAsia="zh-CN" w:bidi="ar"/>
                    </w:rPr>
                    <w:t>2</w:t>
                  </w:r>
                  <w:r>
                    <w:rPr>
                      <w:rFonts w:hint="default" w:ascii="Times New Roman" w:hAnsi="Times New Roman" w:eastAsia="宋体" w:cs="Times New Roman"/>
                      <w:color w:val="auto"/>
                      <w:kern w:val="2"/>
                      <w:sz w:val="24"/>
                      <w:szCs w:val="24"/>
                      <w:highlight w:val="none"/>
                      <w:lang w:val="en-US" w:eastAsia="zh-CN" w:bidi="ar"/>
                    </w:rPr>
                    <w:t>。</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textAlignment w:val="auto"/>
                    <w:outlineLvl w:val="0"/>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1座，密闭建设，单元式幕墙框架刷漆、晾干场所，面积15m</w:t>
                  </w:r>
                  <w:r>
                    <w:rPr>
                      <w:rFonts w:hint="default" w:ascii="Times New Roman" w:hAnsi="Times New Roman" w:eastAsia="宋体" w:cs="Times New Roman"/>
                      <w:color w:val="auto"/>
                      <w:kern w:val="2"/>
                      <w:sz w:val="24"/>
                      <w:szCs w:val="24"/>
                      <w:highlight w:val="none"/>
                      <w:vertAlign w:val="superscript"/>
                      <w:lang w:val="en-US" w:eastAsia="zh-CN" w:bidi="ar"/>
                    </w:rPr>
                    <w:t>2</w:t>
                  </w:r>
                  <w:r>
                    <w:rPr>
                      <w:rFonts w:hint="default" w:ascii="Times New Roman" w:hAnsi="Times New Roman" w:eastAsia="宋体" w:cs="Times New Roman"/>
                      <w:color w:val="auto"/>
                      <w:kern w:val="2"/>
                      <w:sz w:val="24"/>
                      <w:szCs w:val="24"/>
                      <w:highlight w:val="none"/>
                      <w:lang w:val="en-US" w:eastAsia="zh-CN" w:bidi="ar"/>
                    </w:rPr>
                    <w:t>。</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highlight w:val="none"/>
                      <w:vertAlign w:val="baseline"/>
                      <w:lang w:eastAsia="zh-CN"/>
                    </w:rPr>
                  </w:pPr>
                  <w:r>
                    <w:rPr>
                      <w:rFonts w:hint="default" w:ascii="Times New Roman" w:hAnsi="Times New Roman" w:eastAsia="宋体" w:cs="Times New Roman"/>
                      <w:b w:val="0"/>
                      <w:bCs/>
                      <w:color w:val="auto"/>
                      <w:sz w:val="24"/>
                      <w:szCs w:val="24"/>
                      <w:highlight w:val="none"/>
                      <w:vertAlign w:val="baseline"/>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公用</w:t>
                  </w:r>
                  <w:r>
                    <w:rPr>
                      <w:rFonts w:hint="default" w:ascii="Times New Roman" w:hAnsi="Times New Roman" w:eastAsia="宋体" w:cs="Times New Roman"/>
                      <w:color w:val="auto"/>
                      <w:sz w:val="24"/>
                      <w:szCs w:val="24"/>
                      <w:highlight w:val="none"/>
                      <w:lang w:eastAsia="zh-CN"/>
                    </w:rPr>
                    <w:t>工程</w:t>
                  </w: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给水</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snapToGrid w:val="0"/>
                      <w:color w:val="auto"/>
                      <w:kern w:val="2"/>
                      <w:sz w:val="24"/>
                      <w:szCs w:val="24"/>
                      <w:highlight w:val="none"/>
                      <w:lang w:val="en-US" w:eastAsia="zh-CN" w:bidi="ar"/>
                    </w:rPr>
                    <w:t>市政供水管网供给。由租赁厂区供水网提供，满足本项目职工生活用水需求。</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snapToGrid w:val="0"/>
                      <w:color w:val="auto"/>
                      <w:kern w:val="2"/>
                      <w:sz w:val="24"/>
                      <w:szCs w:val="24"/>
                      <w:highlight w:val="none"/>
                      <w:lang w:val="en-US" w:eastAsia="zh-CN" w:bidi="ar"/>
                    </w:rPr>
                    <w:t>市政供水管网供给。由租赁厂区供水网提供，满足本项目职工生活用水需求。</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default" w:ascii="Times New Roman" w:hAnsi="Times New Roman" w:cs="Times New Roman"/>
                      <w:color w:val="auto"/>
                      <w:sz w:val="24"/>
                      <w:szCs w:val="24"/>
                      <w:highlight w:val="none"/>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4"/>
                      <w:szCs w:val="24"/>
                      <w:highlight w:val="none"/>
                    </w:rPr>
                  </w:pP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排水</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snapToGrid w:val="0"/>
                      <w:color w:val="auto"/>
                      <w:sz w:val="24"/>
                      <w:szCs w:val="24"/>
                      <w:highlight w:val="none"/>
                      <w:lang w:val="en-US"/>
                    </w:rPr>
                  </w:pPr>
                  <w:r>
                    <w:rPr>
                      <w:rFonts w:hint="default" w:ascii="Times New Roman" w:hAnsi="Times New Roman" w:eastAsia="宋体" w:cs="Times New Roman"/>
                      <w:snapToGrid w:val="0"/>
                      <w:color w:val="auto"/>
                      <w:kern w:val="2"/>
                      <w:sz w:val="24"/>
                      <w:szCs w:val="24"/>
                      <w:highlight w:val="none"/>
                      <w:lang w:val="en-US" w:eastAsia="zh-CN" w:bidi="ar"/>
                    </w:rPr>
                    <w:t>生活污水依托租赁厂区化粪池处理后，排入污水管网；</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snapToGrid w:val="0"/>
                      <w:color w:val="auto"/>
                      <w:kern w:val="2"/>
                      <w:sz w:val="24"/>
                      <w:szCs w:val="24"/>
                      <w:highlight w:val="none"/>
                      <w:lang w:val="en-US" w:eastAsia="zh-CN" w:bidi="ar"/>
                    </w:rPr>
                    <w:t>雨水直接排入厂区雨水管网。</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snapToGrid w:val="0"/>
                      <w:color w:val="auto"/>
                      <w:sz w:val="24"/>
                      <w:szCs w:val="24"/>
                      <w:highlight w:val="none"/>
                      <w:lang w:val="en-US"/>
                    </w:rPr>
                  </w:pPr>
                  <w:r>
                    <w:rPr>
                      <w:rFonts w:hint="default" w:ascii="Times New Roman" w:hAnsi="Times New Roman" w:eastAsia="宋体" w:cs="Times New Roman"/>
                      <w:snapToGrid w:val="0"/>
                      <w:color w:val="auto"/>
                      <w:kern w:val="2"/>
                      <w:sz w:val="24"/>
                      <w:szCs w:val="24"/>
                      <w:highlight w:val="none"/>
                      <w:lang w:val="en-US" w:eastAsia="zh-CN" w:bidi="ar"/>
                    </w:rPr>
                    <w:t>生活污水依托租赁厂区化粪池处理后，排入污水管网；</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snapToGrid w:val="0"/>
                      <w:color w:val="auto"/>
                      <w:kern w:val="2"/>
                      <w:sz w:val="24"/>
                      <w:szCs w:val="24"/>
                      <w:highlight w:val="none"/>
                      <w:lang w:val="en-US" w:eastAsia="zh-CN" w:bidi="ar"/>
                    </w:rPr>
                    <w:t>雨水直接排入厂区雨水管网。</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default" w:ascii="Times New Roman" w:hAnsi="Times New Roman" w:cs="Times New Roman"/>
                      <w:color w:val="auto"/>
                      <w:sz w:val="24"/>
                      <w:szCs w:val="24"/>
                      <w:highlight w:val="none"/>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4"/>
                      <w:szCs w:val="24"/>
                      <w:highlight w:val="none"/>
                    </w:rPr>
                  </w:pP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供电</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snapToGrid w:val="0"/>
                      <w:color w:val="auto"/>
                      <w:kern w:val="2"/>
                      <w:sz w:val="24"/>
                      <w:szCs w:val="24"/>
                      <w:highlight w:val="none"/>
                      <w:lang w:val="en-US" w:eastAsia="zh-CN" w:bidi="ar"/>
                    </w:rPr>
                    <w:t>供电依托租赁厂区供电网。</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snapToGrid w:val="0"/>
                      <w:color w:val="auto"/>
                      <w:kern w:val="2"/>
                      <w:sz w:val="24"/>
                      <w:szCs w:val="24"/>
                      <w:highlight w:val="none"/>
                      <w:lang w:val="en-US" w:eastAsia="zh-CN" w:bidi="ar"/>
                    </w:rPr>
                    <w:t>供电依托租赁厂区供电网。</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default" w:ascii="Times New Roman" w:hAnsi="Times New Roman" w:cs="Times New Roman"/>
                      <w:color w:val="auto"/>
                      <w:sz w:val="24"/>
                      <w:szCs w:val="24"/>
                      <w:highlight w:val="none"/>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28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4"/>
                      <w:szCs w:val="24"/>
                      <w:highlight w:val="none"/>
                    </w:rPr>
                  </w:pPr>
                </w:p>
              </w:tc>
              <w:tc>
                <w:tcPr>
                  <w:tcW w:w="18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供暖</w:t>
                  </w:r>
                </w:p>
              </w:tc>
              <w:tc>
                <w:tcPr>
                  <w:tcW w:w="446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snapToGrid w:val="0"/>
                      <w:color w:val="auto"/>
                      <w:kern w:val="2"/>
                      <w:sz w:val="24"/>
                      <w:szCs w:val="24"/>
                      <w:highlight w:val="none"/>
                      <w:lang w:val="en-US" w:eastAsia="zh-CN" w:bidi="ar"/>
                    </w:rPr>
                    <w:t>办公室采用分体式空调。</w:t>
                  </w:r>
                </w:p>
              </w:tc>
              <w:tc>
                <w:tcPr>
                  <w:tcW w:w="44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snapToGrid w:val="0"/>
                      <w:color w:val="auto"/>
                      <w:kern w:val="2"/>
                      <w:sz w:val="24"/>
                      <w:szCs w:val="24"/>
                      <w:highlight w:val="none"/>
                      <w:lang w:val="en-US" w:eastAsia="zh-CN" w:bidi="ar"/>
                    </w:rPr>
                    <w:t>办公室采用分体式空调。</w:t>
                  </w:r>
                </w:p>
              </w:tc>
              <w:tc>
                <w:tcPr>
                  <w:tcW w:w="25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highlight w:val="none"/>
                      <w:vertAlign w:val="baseline"/>
                      <w:lang w:val="en-US" w:eastAsia="zh-CN"/>
                    </w:rPr>
                  </w:pPr>
                  <w:r>
                    <w:rPr>
                      <w:rFonts w:hint="default" w:ascii="Times New Roman" w:hAnsi="Times New Roman" w:eastAsia="宋体" w:cs="Times New Roman"/>
                      <w:b w:val="0"/>
                      <w:bCs/>
                      <w:color w:val="auto"/>
                      <w:sz w:val="24"/>
                      <w:szCs w:val="24"/>
                      <w:highlight w:val="none"/>
                      <w:vertAlign w:val="baseline"/>
                      <w:lang w:eastAsia="zh-CN"/>
                    </w:rPr>
                    <w:t>一致</w:t>
                  </w:r>
                </w:p>
              </w:tc>
            </w:tr>
          </w:tbl>
          <w:p>
            <w:pPr>
              <w:pStyle w:val="9"/>
              <w:keepNext w:val="0"/>
              <w:keepLines w:val="0"/>
              <w:pageBreakBefore w:val="0"/>
              <w:widowControl w:val="0"/>
              <w:suppressLineNumbers w:val="0"/>
              <w:tabs>
                <w:tab w:val="left" w:pos="6495"/>
              </w:tabs>
              <w:kinsoku/>
              <w:wordWrap/>
              <w:overflowPunct/>
              <w:topLinePunct w:val="0"/>
              <w:autoSpaceDE/>
              <w:autoSpaceDN/>
              <w:bidi w:val="0"/>
              <w:spacing w:before="0" w:beforeAutospacing="0" w:after="0" w:afterAutospacing="0" w:line="360" w:lineRule="auto"/>
              <w:ind w:left="0" w:right="0" w:rightChars="0"/>
              <w:jc w:val="both"/>
              <w:textAlignment w:val="auto"/>
              <w:outlineLvl w:val="9"/>
              <w:rPr>
                <w:rFonts w:hint="default" w:ascii="Times New Roman" w:hAnsi="Times New Roman" w:eastAsia="宋体" w:cs="Times New Roman"/>
                <w:color w:val="auto"/>
                <w:kern w:val="0"/>
                <w:sz w:val="24"/>
                <w:szCs w:val="24"/>
                <w:highlight w:val="none"/>
                <w:lang w:eastAsia="zh-CN"/>
              </w:rPr>
            </w:pPr>
          </w:p>
        </w:tc>
      </w:tr>
    </w:tbl>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lang w:eastAsia="zh-CN"/>
        </w:rPr>
        <w:t>续</w:t>
      </w:r>
      <w:r>
        <w:rPr>
          <w:rFonts w:hint="default" w:ascii="Times New Roman" w:hAnsi="Times New Roman" w:eastAsia="仿宋_GB2312" w:cs="Times New Roman"/>
          <w:b/>
          <w:color w:val="auto"/>
          <w:sz w:val="24"/>
          <w:szCs w:val="24"/>
          <w:highlight w:val="none"/>
        </w:rPr>
        <w:t>表二</w:t>
      </w:r>
    </w:p>
    <w:tbl>
      <w:tblPr>
        <w:tblStyle w:val="26"/>
        <w:tblW w:w="1478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713" w:hRule="atLeast"/>
          <w:jc w:val="center"/>
        </w:trPr>
        <w:tc>
          <w:tcPr>
            <w:tcW w:w="14786" w:type="dxa"/>
            <w:tcBorders>
              <w:tl2br w:val="nil"/>
              <w:tr2bl w:val="nil"/>
            </w:tcBorders>
            <w:vAlign w:val="top"/>
          </w:tcPr>
          <w:p>
            <w:pPr>
              <w:pStyle w:val="9"/>
              <w:keepNext w:val="0"/>
              <w:keepLines w:val="0"/>
              <w:pageBreakBefore w:val="0"/>
              <w:widowControl w:val="0"/>
              <w:suppressLineNumbers w:val="0"/>
              <w:tabs>
                <w:tab w:val="left" w:pos="6495"/>
              </w:tabs>
              <w:kinsoku/>
              <w:wordWrap/>
              <w:overflowPunct/>
              <w:topLinePunct w:val="0"/>
              <w:autoSpaceDE/>
              <w:autoSpaceDN/>
              <w:bidi w:val="0"/>
              <w:adjustRightInd w:val="0"/>
              <w:snapToGrid w:val="0"/>
              <w:spacing w:before="181" w:beforeLines="5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val="en-US" w:eastAsia="zh-CN"/>
              </w:rPr>
              <w:t>续</w:t>
            </w:r>
            <w:r>
              <w:rPr>
                <w:rFonts w:hint="default" w:ascii="Times New Roman" w:hAnsi="Times New Roman" w:eastAsia="宋体" w:cs="Times New Roman"/>
                <w:color w:val="auto"/>
                <w:kern w:val="0"/>
                <w:sz w:val="24"/>
                <w:szCs w:val="24"/>
                <w:highlight w:val="none"/>
                <w:lang w:val="en-US" w:eastAsia="zh-CN"/>
              </w:rPr>
              <w:t>表</w:t>
            </w:r>
            <w:r>
              <w:rPr>
                <w:rFonts w:hint="default" w:ascii="Times New Roman" w:hAnsi="Times New Roman"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lang w:val="en-US" w:eastAsia="zh-CN"/>
              </w:rPr>
              <w:t xml:space="preserve">    工程组成及主要建设内容一览表</w:t>
            </w:r>
          </w:p>
          <w:tbl>
            <w:tblPr>
              <w:tblStyle w:val="27"/>
              <w:tblW w:w="14629"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230"/>
              <w:gridCol w:w="4874"/>
              <w:gridCol w:w="4710"/>
              <w:gridCol w:w="25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250"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工程名称</w:t>
                  </w:r>
                </w:p>
              </w:tc>
              <w:tc>
                <w:tcPr>
                  <w:tcW w:w="1230"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工段名称</w:t>
                  </w:r>
                </w:p>
              </w:tc>
              <w:tc>
                <w:tcPr>
                  <w:tcW w:w="4874"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eastAsia="zh-CN"/>
                    </w:rPr>
                    <w:t>环评阶段建设规模与内容</w:t>
                  </w:r>
                </w:p>
              </w:tc>
              <w:tc>
                <w:tcPr>
                  <w:tcW w:w="4710"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eastAsia="zh-CN"/>
                    </w:rPr>
                    <w:t xml:space="preserve"> 目前实际建设规模与内容 </w:t>
                  </w:r>
                </w:p>
              </w:tc>
              <w:tc>
                <w:tcPr>
                  <w:tcW w:w="2565"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eastAsia="zh-CN"/>
                    </w:rPr>
                    <w:t>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250"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vertAlign w:val="baseline"/>
                      <w:lang w:eastAsia="zh-CN"/>
                    </w:rPr>
                    <w:t>环保工程</w:t>
                  </w:r>
                </w:p>
              </w:tc>
              <w:tc>
                <w:tcPr>
                  <w:tcW w:w="12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
                    </w:rPr>
                    <w:t>污水处理系统</w:t>
                  </w:r>
                </w:p>
              </w:tc>
              <w:tc>
                <w:tcPr>
                  <w:tcW w:w="48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val="0"/>
                      <w:color w:val="auto"/>
                      <w:kern w:val="2"/>
                      <w:sz w:val="24"/>
                      <w:szCs w:val="24"/>
                      <w:highlight w:val="none"/>
                      <w:lang w:val="en-US" w:eastAsia="zh-CN" w:bidi="ar"/>
                    </w:rPr>
                    <w:t>食堂废水经油水分离器处理后与生活污水依托租赁厂区化粪池处理后，排入污水管网，最终排入朝阳污水处理厂。</w:t>
                  </w:r>
                </w:p>
              </w:tc>
              <w:tc>
                <w:tcPr>
                  <w:tcW w:w="47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snapToGrid w:val="0"/>
                      <w:color w:val="auto"/>
                      <w:kern w:val="2"/>
                      <w:sz w:val="24"/>
                      <w:szCs w:val="24"/>
                      <w:highlight w:val="none"/>
                      <w:lang w:val="en-US" w:eastAsia="zh-CN" w:bidi="ar"/>
                    </w:rPr>
                    <w:t>食堂废水经油水分离器处理后与生活污水依托租赁厂区化粪池处理后，排入污水管网，最终排入朝阳污水处理厂。</w:t>
                  </w:r>
                </w:p>
              </w:tc>
              <w:tc>
                <w:tcPr>
                  <w:tcW w:w="2565"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highlight w:val="none"/>
                      <w:vertAlign w:val="baseline"/>
                      <w:lang w:eastAsia="zh-CN"/>
                    </w:rPr>
                  </w:pPr>
                  <w:r>
                    <w:rPr>
                      <w:rFonts w:hint="default" w:ascii="Times New Roman" w:hAnsi="Times New Roman" w:cs="Times New Roman"/>
                      <w:color w:val="auto"/>
                      <w:sz w:val="24"/>
                      <w:szCs w:val="24"/>
                      <w:highlight w:val="none"/>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250"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lang w:eastAsia="zh-CN"/>
                    </w:rPr>
                  </w:pPr>
                </w:p>
              </w:tc>
              <w:tc>
                <w:tcPr>
                  <w:tcW w:w="12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废气处理系统</w:t>
                  </w:r>
                </w:p>
              </w:tc>
              <w:tc>
                <w:tcPr>
                  <w:tcW w:w="48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color w:val="auto"/>
                      <w:sz w:val="24"/>
                      <w:szCs w:val="24"/>
                      <w:highlight w:val="none"/>
                      <w:lang w:val="en-US"/>
                    </w:rPr>
                  </w:pPr>
                  <w:r>
                    <w:rPr>
                      <w:rFonts w:hint="default" w:ascii="Times New Roman" w:hAnsi="Times New Roman" w:eastAsia="宋体" w:cs="Times New Roman"/>
                      <w:color w:val="auto"/>
                      <w:kern w:val="2"/>
                      <w:sz w:val="24"/>
                      <w:szCs w:val="24"/>
                      <w:highlight w:val="none"/>
                      <w:lang w:val="en-US" w:eastAsia="zh-CN" w:bidi="ar"/>
                    </w:rPr>
                    <w:t>焊接烟尘设</w:t>
                  </w:r>
                  <w:r>
                    <w:rPr>
                      <w:rFonts w:hint="eastAsia" w:ascii="Times New Roman" w:hAnsi="Times New Roman" w:eastAsia="宋体" w:cs="Times New Roman"/>
                      <w:color w:val="auto"/>
                      <w:kern w:val="2"/>
                      <w:sz w:val="24"/>
                      <w:szCs w:val="24"/>
                      <w:highlight w:val="none"/>
                      <w:lang w:val="en-US" w:eastAsia="zh-CN" w:bidi="ar"/>
                    </w:rPr>
                    <w:t>4套</w:t>
                  </w:r>
                  <w:r>
                    <w:rPr>
                      <w:rFonts w:hint="default" w:ascii="Times New Roman" w:hAnsi="Times New Roman" w:eastAsia="宋体" w:cs="Times New Roman"/>
                      <w:color w:val="auto"/>
                      <w:kern w:val="2"/>
                      <w:sz w:val="24"/>
                      <w:szCs w:val="24"/>
                      <w:highlight w:val="none"/>
                      <w:lang w:val="en-US" w:eastAsia="zh-CN" w:bidi="ar"/>
                    </w:rPr>
                    <w:t>移动式烟尘净化器处理；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color w:val="auto"/>
                      <w:sz w:val="24"/>
                      <w:szCs w:val="24"/>
                      <w:highlight w:val="none"/>
                      <w:lang w:val="en-US"/>
                    </w:rPr>
                  </w:pPr>
                  <w:r>
                    <w:rPr>
                      <w:rFonts w:hint="default" w:ascii="Times New Roman" w:hAnsi="Times New Roman" w:eastAsia="宋体" w:cs="Times New Roman"/>
                      <w:color w:val="auto"/>
                      <w:kern w:val="2"/>
                      <w:sz w:val="24"/>
                      <w:szCs w:val="24"/>
                      <w:highlight w:val="none"/>
                      <w:lang w:val="en-US" w:eastAsia="zh-CN" w:bidi="ar"/>
                    </w:rPr>
                    <w:t>刷漆产生的挥发性有机物（</w:t>
                  </w:r>
                  <w:r>
                    <w:rPr>
                      <w:rFonts w:hint="eastAsia" w:ascii="Times New Roman" w:hAnsi="Times New Roman" w:eastAsia="宋体" w:cs="Times New Roman"/>
                      <w:color w:val="auto"/>
                      <w:kern w:val="2"/>
                      <w:sz w:val="24"/>
                      <w:szCs w:val="24"/>
                      <w:highlight w:val="none"/>
                      <w:lang w:val="en-US" w:eastAsia="zh-CN" w:bidi="ar"/>
                    </w:rPr>
                    <w:t>苯</w:t>
                  </w:r>
                  <w:r>
                    <w:rPr>
                      <w:rFonts w:hint="default" w:ascii="Times New Roman" w:hAnsi="Times New Roman" w:eastAsia="宋体" w:cs="Times New Roman"/>
                      <w:color w:val="auto"/>
                      <w:kern w:val="2"/>
                      <w:sz w:val="24"/>
                      <w:szCs w:val="24"/>
                      <w:highlight w:val="none"/>
                      <w:lang w:val="en-US" w:eastAsia="zh-CN" w:bidi="ar"/>
                    </w:rPr>
                    <w:t>、</w:t>
                  </w:r>
                  <w:r>
                    <w:rPr>
                      <w:rFonts w:hint="eastAsia" w:ascii="Times New Roman" w:hAnsi="Times New Roman" w:eastAsia="宋体" w:cs="Times New Roman"/>
                      <w:color w:val="auto"/>
                      <w:kern w:val="2"/>
                      <w:sz w:val="24"/>
                      <w:szCs w:val="24"/>
                      <w:highlight w:val="none"/>
                      <w:lang w:val="en-US" w:eastAsia="zh-CN" w:bidi="ar"/>
                    </w:rPr>
                    <w:t>甲苯、</w:t>
                  </w:r>
                  <w:r>
                    <w:rPr>
                      <w:rFonts w:hint="default" w:ascii="Times New Roman" w:hAnsi="Times New Roman" w:eastAsia="宋体" w:cs="Times New Roman"/>
                      <w:color w:val="auto"/>
                      <w:kern w:val="2"/>
                      <w:sz w:val="24"/>
                      <w:szCs w:val="24"/>
                      <w:highlight w:val="none"/>
                      <w:lang w:val="en-US" w:eastAsia="zh-CN" w:bidi="ar"/>
                    </w:rPr>
                    <w:t>二甲苯、非甲烷总烃）设集气罩收集后，经UV光解设备+活性炭吸附后引至15m高排气筒排放；</w:t>
                  </w:r>
                </w:p>
                <w:p>
                  <w:pPr>
                    <w:pStyle w:val="10"/>
                    <w:keepNext w:val="0"/>
                    <w:keepLines w:val="0"/>
                    <w:pageBreakBefore w:val="0"/>
                    <w:widowControl/>
                    <w:kinsoku/>
                    <w:wordWrap/>
                    <w:overflowPunct/>
                    <w:topLinePunct w:val="0"/>
                    <w:autoSpaceDE/>
                    <w:autoSpaceDN/>
                    <w:bidi w:val="0"/>
                    <w:snapToGrid/>
                    <w:spacing w:before="0" w:beforeAutospacing="0" w:after="0" w:afterAutospacing="0" w:line="240" w:lineRule="auto"/>
                    <w:ind w:left="0" w:leftChars="0" w:right="0"/>
                    <w:textAlignment w:val="auto"/>
                    <w:rPr>
                      <w:rFonts w:hint="default" w:ascii="Times New Roman" w:hAnsi="Times New Roman"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厂房设</w:t>
                  </w:r>
                  <w:r>
                    <w:rPr>
                      <w:rFonts w:hint="default" w:ascii="Times New Roman" w:hAnsi="Times New Roman" w:cs="Times New Roman"/>
                      <w:color w:val="auto"/>
                      <w:sz w:val="24"/>
                      <w:szCs w:val="24"/>
                      <w:highlight w:val="none"/>
                      <w:lang w:val="en-US"/>
                    </w:rPr>
                    <w:t>3</w:t>
                  </w:r>
                  <w:r>
                    <w:rPr>
                      <w:rFonts w:hint="default" w:ascii="Times New Roman" w:hAnsi="Times New Roman" w:eastAsia="宋体" w:cs="Times New Roman"/>
                      <w:color w:val="auto"/>
                      <w:sz w:val="24"/>
                      <w:szCs w:val="24"/>
                      <w:highlight w:val="none"/>
                    </w:rPr>
                    <w:t>个排气扇通风；</w:t>
                  </w:r>
                </w:p>
                <w:p>
                  <w:pPr>
                    <w:pStyle w:val="10"/>
                    <w:keepNext w:val="0"/>
                    <w:keepLines w:val="0"/>
                    <w:pageBreakBefore w:val="0"/>
                    <w:widowControl/>
                    <w:kinsoku/>
                    <w:wordWrap/>
                    <w:overflowPunct/>
                    <w:topLinePunct w:val="0"/>
                    <w:autoSpaceDE/>
                    <w:autoSpaceDN/>
                    <w:bidi w:val="0"/>
                    <w:snapToGrid/>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食堂油烟设油烟净化器处理。</w:t>
                  </w:r>
                </w:p>
              </w:tc>
              <w:tc>
                <w:tcPr>
                  <w:tcW w:w="47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color w:val="auto"/>
                      <w:sz w:val="24"/>
                      <w:szCs w:val="24"/>
                      <w:highlight w:val="none"/>
                      <w:lang w:val="en-US"/>
                    </w:rPr>
                  </w:pPr>
                  <w:r>
                    <w:rPr>
                      <w:rFonts w:hint="default" w:ascii="Times New Roman" w:hAnsi="Times New Roman" w:eastAsia="宋体" w:cs="Times New Roman"/>
                      <w:color w:val="auto"/>
                      <w:kern w:val="2"/>
                      <w:sz w:val="24"/>
                      <w:szCs w:val="24"/>
                      <w:highlight w:val="none"/>
                      <w:lang w:val="en-US" w:eastAsia="zh-CN" w:bidi="ar"/>
                    </w:rPr>
                    <w:t>焊接烟尘设</w:t>
                  </w:r>
                  <w:r>
                    <w:rPr>
                      <w:rFonts w:hint="eastAsia" w:ascii="Times New Roman" w:hAnsi="Times New Roman" w:eastAsia="宋体" w:cs="Times New Roman"/>
                      <w:color w:val="auto"/>
                      <w:kern w:val="2"/>
                      <w:sz w:val="24"/>
                      <w:szCs w:val="24"/>
                      <w:highlight w:val="none"/>
                      <w:lang w:val="en-US" w:eastAsia="zh-CN" w:bidi="ar"/>
                    </w:rPr>
                    <w:t>6套</w:t>
                  </w:r>
                  <w:r>
                    <w:rPr>
                      <w:rFonts w:hint="default" w:ascii="Times New Roman" w:hAnsi="Times New Roman" w:eastAsia="宋体" w:cs="Times New Roman"/>
                      <w:color w:val="auto"/>
                      <w:kern w:val="2"/>
                      <w:sz w:val="24"/>
                      <w:szCs w:val="24"/>
                      <w:highlight w:val="none"/>
                      <w:lang w:val="en-US" w:eastAsia="zh-CN" w:bidi="ar"/>
                    </w:rPr>
                    <w:t>移动式烟尘净化器处理；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color w:val="auto"/>
                      <w:sz w:val="24"/>
                      <w:szCs w:val="24"/>
                      <w:highlight w:val="none"/>
                      <w:lang w:val="en-US"/>
                    </w:rPr>
                  </w:pPr>
                  <w:r>
                    <w:rPr>
                      <w:rFonts w:hint="default" w:ascii="Times New Roman" w:hAnsi="Times New Roman" w:eastAsia="宋体" w:cs="Times New Roman"/>
                      <w:color w:val="auto"/>
                      <w:kern w:val="2"/>
                      <w:sz w:val="24"/>
                      <w:szCs w:val="24"/>
                      <w:highlight w:val="none"/>
                      <w:lang w:val="en-US" w:eastAsia="zh-CN" w:bidi="ar"/>
                    </w:rPr>
                    <w:t>刷漆产生的挥发性有机物（</w:t>
                  </w:r>
                  <w:r>
                    <w:rPr>
                      <w:rFonts w:hint="eastAsia" w:ascii="Times New Roman" w:hAnsi="Times New Roman" w:eastAsia="宋体" w:cs="Times New Roman"/>
                      <w:color w:val="auto"/>
                      <w:kern w:val="2"/>
                      <w:sz w:val="24"/>
                      <w:szCs w:val="24"/>
                      <w:highlight w:val="none"/>
                      <w:lang w:val="en-US" w:eastAsia="zh-CN" w:bidi="ar"/>
                    </w:rPr>
                    <w:t>苯</w:t>
                  </w:r>
                  <w:r>
                    <w:rPr>
                      <w:rFonts w:hint="default" w:ascii="Times New Roman" w:hAnsi="Times New Roman" w:eastAsia="宋体" w:cs="Times New Roman"/>
                      <w:color w:val="auto"/>
                      <w:kern w:val="2"/>
                      <w:sz w:val="24"/>
                      <w:szCs w:val="24"/>
                      <w:highlight w:val="none"/>
                      <w:lang w:val="en-US" w:eastAsia="zh-CN" w:bidi="ar"/>
                    </w:rPr>
                    <w:t>、</w:t>
                  </w:r>
                  <w:r>
                    <w:rPr>
                      <w:rFonts w:hint="eastAsia" w:ascii="Times New Roman" w:hAnsi="Times New Roman" w:eastAsia="宋体" w:cs="Times New Roman"/>
                      <w:color w:val="auto"/>
                      <w:kern w:val="2"/>
                      <w:sz w:val="24"/>
                      <w:szCs w:val="24"/>
                      <w:highlight w:val="none"/>
                      <w:lang w:val="en-US" w:eastAsia="zh-CN" w:bidi="ar"/>
                    </w:rPr>
                    <w:t>甲苯、</w:t>
                  </w:r>
                  <w:r>
                    <w:rPr>
                      <w:rFonts w:hint="default" w:ascii="Times New Roman" w:hAnsi="Times New Roman" w:eastAsia="宋体" w:cs="Times New Roman"/>
                      <w:color w:val="auto"/>
                      <w:kern w:val="2"/>
                      <w:sz w:val="24"/>
                      <w:szCs w:val="24"/>
                      <w:highlight w:val="none"/>
                      <w:lang w:val="en-US" w:eastAsia="zh-CN" w:bidi="ar"/>
                    </w:rPr>
                    <w:t>二甲苯、非甲烷总烃）设集气罩收集后，经</w:t>
                  </w:r>
                  <w:r>
                    <w:rPr>
                      <w:rFonts w:hint="eastAsia" w:ascii="Times New Roman" w:hAnsi="Times New Roman" w:cs="Times New Roman"/>
                      <w:color w:val="auto"/>
                      <w:sz w:val="24"/>
                      <w:szCs w:val="24"/>
                      <w:highlight w:val="none"/>
                      <w:lang w:val="en-US" w:eastAsia="zh-CN"/>
                    </w:rPr>
                    <w:t>活性炭吸附和UV光氧催化</w:t>
                  </w:r>
                  <w:r>
                    <w:rPr>
                      <w:rFonts w:hint="default" w:ascii="Times New Roman" w:hAnsi="Times New Roman" w:eastAsia="宋体" w:cs="Times New Roman"/>
                      <w:color w:val="auto"/>
                      <w:kern w:val="2"/>
                      <w:sz w:val="24"/>
                      <w:szCs w:val="24"/>
                      <w:highlight w:val="none"/>
                      <w:lang w:val="en-US" w:eastAsia="zh-CN" w:bidi="ar"/>
                    </w:rPr>
                    <w:t>后引至15m高排气筒排放；</w:t>
                  </w:r>
                </w:p>
                <w:p>
                  <w:pPr>
                    <w:pStyle w:val="10"/>
                    <w:keepNext w:val="0"/>
                    <w:keepLines w:val="0"/>
                    <w:pageBreakBefore w:val="0"/>
                    <w:widowControl/>
                    <w:kinsoku/>
                    <w:wordWrap/>
                    <w:overflowPunct/>
                    <w:topLinePunct w:val="0"/>
                    <w:autoSpaceDE/>
                    <w:autoSpaceDN/>
                    <w:bidi w:val="0"/>
                    <w:snapToGrid/>
                    <w:spacing w:before="0" w:beforeAutospacing="0" w:after="0" w:afterAutospacing="0" w:line="240" w:lineRule="auto"/>
                    <w:ind w:left="0" w:leftChars="0" w:right="0"/>
                    <w:textAlignment w:val="auto"/>
                    <w:rPr>
                      <w:rFonts w:hint="default" w:ascii="Times New Roman" w:hAnsi="Times New Roman"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厂房设</w:t>
                  </w:r>
                  <w:r>
                    <w:rPr>
                      <w:rFonts w:hint="default" w:ascii="Times New Roman" w:hAnsi="Times New Roman" w:cs="Times New Roman"/>
                      <w:color w:val="auto"/>
                      <w:sz w:val="24"/>
                      <w:szCs w:val="24"/>
                      <w:highlight w:val="none"/>
                      <w:lang w:val="en-US"/>
                    </w:rPr>
                    <w:t>3</w:t>
                  </w:r>
                  <w:r>
                    <w:rPr>
                      <w:rFonts w:hint="default" w:ascii="Times New Roman" w:hAnsi="Times New Roman" w:eastAsia="宋体" w:cs="Times New Roman"/>
                      <w:color w:val="auto"/>
                      <w:sz w:val="24"/>
                      <w:szCs w:val="24"/>
                      <w:highlight w:val="none"/>
                    </w:rPr>
                    <w:t>个排气扇通风；</w:t>
                  </w:r>
                </w:p>
                <w:p>
                  <w:pPr>
                    <w:pStyle w:val="10"/>
                    <w:keepNext w:val="0"/>
                    <w:keepLines w:val="0"/>
                    <w:pageBreakBefore w:val="0"/>
                    <w:widowControl/>
                    <w:kinsoku/>
                    <w:wordWrap/>
                    <w:overflowPunct/>
                    <w:topLinePunct w:val="0"/>
                    <w:autoSpaceDE/>
                    <w:autoSpaceDN/>
                    <w:bidi w:val="0"/>
                    <w:snapToGrid/>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食堂油烟设油烟净化器处理。</w:t>
                  </w:r>
                </w:p>
              </w:tc>
              <w:tc>
                <w:tcPr>
                  <w:tcW w:w="2565"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highlight w:val="none"/>
                      <w:vertAlign w:val="baseline"/>
                      <w:lang w:eastAsia="zh-CN"/>
                    </w:rPr>
                  </w:pPr>
                  <w:r>
                    <w:rPr>
                      <w:rFonts w:hint="eastAsia" w:ascii="Times New Roman" w:hAnsi="Times New Roman" w:cs="Times New Roman"/>
                      <w:color w:val="auto"/>
                      <w:sz w:val="24"/>
                      <w:szCs w:val="24"/>
                      <w:highlight w:val="none"/>
                      <w:lang w:val="en-US" w:eastAsia="zh-CN"/>
                    </w:rPr>
                    <w:t>不</w:t>
                  </w:r>
                  <w:r>
                    <w:rPr>
                      <w:rFonts w:hint="default" w:ascii="Times New Roman" w:hAnsi="Times New Roman" w:cs="Times New Roman"/>
                      <w:color w:val="auto"/>
                      <w:sz w:val="24"/>
                      <w:szCs w:val="24"/>
                      <w:highlight w:val="none"/>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250"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lang w:eastAsia="zh-CN"/>
                    </w:rPr>
                  </w:pPr>
                </w:p>
              </w:tc>
              <w:tc>
                <w:tcPr>
                  <w:tcW w:w="12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
                    </w:rPr>
                    <w:t>噪声治理</w:t>
                  </w:r>
                </w:p>
              </w:tc>
              <w:tc>
                <w:tcPr>
                  <w:tcW w:w="48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val="0"/>
                      <w:color w:val="auto"/>
                      <w:kern w:val="2"/>
                      <w:sz w:val="24"/>
                      <w:szCs w:val="24"/>
                      <w:highlight w:val="none"/>
                      <w:lang w:val="en-US" w:eastAsia="zh-CN" w:bidi="ar"/>
                    </w:rPr>
                    <w:t>选用低噪声设备、减振等措施。</w:t>
                  </w:r>
                </w:p>
              </w:tc>
              <w:tc>
                <w:tcPr>
                  <w:tcW w:w="47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snapToGrid w:val="0"/>
                      <w:color w:val="auto"/>
                      <w:kern w:val="2"/>
                      <w:sz w:val="24"/>
                      <w:szCs w:val="24"/>
                      <w:highlight w:val="none"/>
                      <w:lang w:val="en-US" w:eastAsia="zh-CN" w:bidi="ar"/>
                    </w:rPr>
                    <w:t>选用低噪声设备、减振等措施。</w:t>
                  </w:r>
                </w:p>
              </w:tc>
              <w:tc>
                <w:tcPr>
                  <w:tcW w:w="2565"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4"/>
                      <w:szCs w:val="24"/>
                      <w:highlight w:val="none"/>
                      <w:vertAlign w:val="baseline"/>
                      <w:lang w:eastAsia="zh-CN"/>
                    </w:rPr>
                  </w:pPr>
                  <w:r>
                    <w:rPr>
                      <w:rFonts w:hint="default" w:ascii="Times New Roman" w:hAnsi="Times New Roman" w:cs="Times New Roman"/>
                      <w:color w:val="auto"/>
                      <w:sz w:val="24"/>
                      <w:szCs w:val="24"/>
                      <w:highlight w:val="none"/>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250" w:type="dxa"/>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vertAlign w:val="baseline"/>
                    </w:rPr>
                  </w:pPr>
                </w:p>
              </w:tc>
              <w:tc>
                <w:tcPr>
                  <w:tcW w:w="12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kern w:val="2"/>
                      <w:sz w:val="24"/>
                      <w:szCs w:val="24"/>
                      <w:highlight w:val="none"/>
                      <w:lang w:val="en-US" w:eastAsia="zh-CN" w:bidi="ar"/>
                    </w:rPr>
                    <w:t>固废处置</w:t>
                  </w:r>
                </w:p>
              </w:tc>
              <w:tc>
                <w:tcPr>
                  <w:tcW w:w="487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snapToGrid w:val="0"/>
                      <w:color w:val="auto"/>
                      <w:sz w:val="24"/>
                      <w:szCs w:val="24"/>
                      <w:highlight w:val="none"/>
                      <w:lang w:val="en-US"/>
                    </w:rPr>
                  </w:pPr>
                  <w:r>
                    <w:rPr>
                      <w:rFonts w:hint="default" w:ascii="Times New Roman" w:hAnsi="Times New Roman" w:eastAsia="宋体" w:cs="Times New Roman"/>
                      <w:snapToGrid w:val="0"/>
                      <w:color w:val="auto"/>
                      <w:kern w:val="2"/>
                      <w:sz w:val="24"/>
                      <w:szCs w:val="24"/>
                      <w:highlight w:val="none"/>
                      <w:lang w:val="en-US" w:eastAsia="zh-CN" w:bidi="ar"/>
                    </w:rPr>
                    <w:t>设生活垃圾收集桶，用于生活垃圾的收集；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snapToGrid w:val="0"/>
                      <w:color w:val="auto"/>
                      <w:sz w:val="24"/>
                      <w:szCs w:val="24"/>
                      <w:highlight w:val="none"/>
                      <w:lang w:val="en-US"/>
                    </w:rPr>
                  </w:pPr>
                  <w:r>
                    <w:rPr>
                      <w:rFonts w:hint="default" w:ascii="Times New Roman" w:hAnsi="Times New Roman" w:eastAsia="宋体" w:cs="Times New Roman"/>
                      <w:snapToGrid w:val="0"/>
                      <w:color w:val="auto"/>
                      <w:kern w:val="2"/>
                      <w:sz w:val="24"/>
                      <w:szCs w:val="24"/>
                      <w:highlight w:val="none"/>
                      <w:lang w:val="en-US" w:eastAsia="zh-CN" w:bidi="ar"/>
                    </w:rPr>
                    <w:t>生产产生的边角料和焊渣经收集后于厂房内生产废物暂存区暂存，集中定期外售；</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snapToGrid w:val="0"/>
                      <w:color w:val="auto"/>
                      <w:kern w:val="2"/>
                      <w:sz w:val="24"/>
                      <w:szCs w:val="24"/>
                      <w:highlight w:val="none"/>
                      <w:lang w:val="en-US" w:eastAsia="zh-CN" w:bidi="ar"/>
                    </w:rPr>
                    <w:t>厂房内设危险废物暂存间，生产过程产生的废漆桶、废活性炭在危险废物暂存间分类存放，交有资质单位拉运处置。</w:t>
                  </w:r>
                </w:p>
              </w:tc>
              <w:tc>
                <w:tcPr>
                  <w:tcW w:w="47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snapToGrid w:val="0"/>
                      <w:color w:val="auto"/>
                      <w:sz w:val="24"/>
                      <w:szCs w:val="24"/>
                      <w:highlight w:val="none"/>
                      <w:lang w:val="en-US"/>
                    </w:rPr>
                  </w:pPr>
                  <w:r>
                    <w:rPr>
                      <w:rFonts w:hint="default" w:ascii="Times New Roman" w:hAnsi="Times New Roman" w:eastAsia="宋体" w:cs="Times New Roman"/>
                      <w:snapToGrid w:val="0"/>
                      <w:color w:val="auto"/>
                      <w:kern w:val="2"/>
                      <w:sz w:val="24"/>
                      <w:szCs w:val="24"/>
                      <w:highlight w:val="none"/>
                      <w:lang w:val="en-US" w:eastAsia="zh-CN" w:bidi="ar"/>
                    </w:rPr>
                    <w:t>设生活垃圾收集桶，用于生活垃圾的收集；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snapToGrid w:val="0"/>
                      <w:color w:val="auto"/>
                      <w:kern w:val="2"/>
                      <w:sz w:val="24"/>
                      <w:szCs w:val="24"/>
                      <w:highlight w:val="none"/>
                      <w:lang w:val="en-US" w:eastAsia="zh-CN" w:bidi="ar"/>
                    </w:rPr>
                    <w:t>生产产生的边角料和焊渣经收集后于厂房内生产废物暂存区暂存，集中定期外售；废油脂交由咸阳鑫宇环保油脂有限公司处置；厂房</w:t>
                  </w:r>
                  <w:r>
                    <w:rPr>
                      <w:rFonts w:hint="eastAsia" w:ascii="Times New Roman" w:hAnsi="Times New Roman" w:eastAsia="宋体" w:cs="Times New Roman"/>
                      <w:snapToGrid w:val="0"/>
                      <w:color w:val="auto"/>
                      <w:kern w:val="2"/>
                      <w:sz w:val="24"/>
                      <w:szCs w:val="24"/>
                      <w:highlight w:val="none"/>
                      <w:lang w:val="en-US" w:eastAsia="zh-CN" w:bidi="ar"/>
                    </w:rPr>
                    <w:t>外西南角</w:t>
                  </w:r>
                  <w:r>
                    <w:rPr>
                      <w:rFonts w:hint="default" w:ascii="Times New Roman" w:hAnsi="Times New Roman" w:eastAsia="宋体" w:cs="Times New Roman"/>
                      <w:snapToGrid w:val="0"/>
                      <w:color w:val="auto"/>
                      <w:kern w:val="2"/>
                      <w:sz w:val="24"/>
                      <w:szCs w:val="24"/>
                      <w:highlight w:val="none"/>
                      <w:lang w:val="en-US" w:eastAsia="zh-CN" w:bidi="ar"/>
                    </w:rPr>
                    <w:t>设危险废物暂存间，生产过程产生的废漆桶、</w:t>
                  </w:r>
                  <w:r>
                    <w:rPr>
                      <w:rFonts w:hint="default" w:ascii="Times New Roman" w:hAnsi="Times New Roman" w:eastAsia="宋体" w:cs="Times New Roman"/>
                      <w:color w:val="auto"/>
                      <w:sz w:val="24"/>
                      <w:szCs w:val="24"/>
                      <w:highlight w:val="none"/>
                      <w:lang w:eastAsia="zh-CN"/>
                    </w:rPr>
                    <w:t>UV灯管</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napToGrid w:val="0"/>
                      <w:color w:val="auto"/>
                      <w:kern w:val="2"/>
                      <w:sz w:val="24"/>
                      <w:szCs w:val="24"/>
                      <w:highlight w:val="none"/>
                      <w:lang w:val="en-US" w:eastAsia="zh-CN" w:bidi="ar"/>
                    </w:rPr>
                    <w:t>废活性炭在危险废物暂存间分类存放，交陕西明瑞资源再生有限公司处置。</w:t>
                  </w:r>
                </w:p>
              </w:tc>
              <w:tc>
                <w:tcPr>
                  <w:tcW w:w="2565" w:type="dxa"/>
                  <w:tcBorders>
                    <w:tl2br w:val="nil"/>
                    <w:tr2bl w:val="nil"/>
                  </w:tcBorders>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不</w:t>
                  </w:r>
                  <w:r>
                    <w:rPr>
                      <w:rFonts w:hint="default" w:ascii="Times New Roman" w:hAnsi="Times New Roman" w:cs="Times New Roman"/>
                      <w:color w:val="auto"/>
                      <w:sz w:val="24"/>
                      <w:szCs w:val="24"/>
                      <w:highlight w:val="none"/>
                    </w:rPr>
                    <w:t>一致</w:t>
                  </w:r>
                </w:p>
              </w:tc>
            </w:tr>
          </w:tbl>
          <w:p>
            <w:pPr>
              <w:pStyle w:val="9"/>
              <w:keepNext w:val="0"/>
              <w:keepLines w:val="0"/>
              <w:pageBreakBefore w:val="0"/>
              <w:widowControl w:val="0"/>
              <w:suppressLineNumbers w:val="0"/>
              <w:tabs>
                <w:tab w:val="left" w:pos="6495"/>
              </w:tabs>
              <w:kinsoku/>
              <w:wordWrap/>
              <w:overflowPunct/>
              <w:topLinePunct w:val="0"/>
              <w:autoSpaceDE/>
              <w:autoSpaceDN/>
              <w:bidi w:val="0"/>
              <w:spacing w:before="0" w:beforeAutospacing="0" w:after="0" w:afterAutospacing="0" w:line="360" w:lineRule="auto"/>
              <w:ind w:left="0" w:right="0" w:rightChars="0"/>
              <w:jc w:val="both"/>
              <w:textAlignment w:val="auto"/>
              <w:outlineLvl w:val="9"/>
              <w:rPr>
                <w:rFonts w:hint="default" w:ascii="Times New Roman" w:hAnsi="Times New Roman" w:eastAsia="宋体" w:cs="Times New Roman"/>
                <w:color w:val="auto"/>
                <w:kern w:val="0"/>
                <w:sz w:val="24"/>
                <w:szCs w:val="24"/>
                <w:highlight w:val="none"/>
                <w:lang w:eastAsia="zh-CN"/>
              </w:rPr>
            </w:pPr>
          </w:p>
        </w:tc>
      </w:tr>
    </w:tbl>
    <w:p>
      <w:pPr>
        <w:spacing w:line="360" w:lineRule="auto"/>
        <w:rPr>
          <w:rFonts w:hint="default" w:ascii="Times New Roman" w:hAnsi="Times New Roman" w:eastAsia="仿宋_GB2312" w:cs="Times New Roman"/>
          <w:color w:val="auto"/>
          <w:sz w:val="24"/>
          <w:szCs w:val="24"/>
          <w:highlight w:val="none"/>
        </w:rPr>
        <w:sectPr>
          <w:pgSz w:w="16838" w:h="11906" w:orient="landscape"/>
          <w:pgMar w:top="1800" w:right="1440" w:bottom="1800" w:left="1440" w:header="1134" w:footer="1134"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lang w:eastAsia="zh-CN"/>
        </w:rPr>
        <w:t>续</w:t>
      </w: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eastAsia="zh-CN"/>
        </w:rPr>
        <w:t>二</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92" w:hRule="atLeast"/>
          <w:jc w:val="center"/>
        </w:trPr>
        <w:tc>
          <w:tcPr>
            <w:tcW w:w="8924" w:type="dxa"/>
            <w:vAlign w:val="top"/>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原辅材料消耗及水平衡：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2.4主要能源消耗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本项目主要能源消耗</w:t>
            </w:r>
            <w:r>
              <w:rPr>
                <w:rFonts w:hint="default" w:ascii="Times New Roman" w:hAnsi="Times New Roman" w:eastAsia="宋体" w:cs="Times New Roman"/>
                <w:color w:val="auto"/>
                <w:sz w:val="24"/>
                <w:szCs w:val="24"/>
                <w:highlight w:val="none"/>
              </w:rPr>
              <w:t>组成表见</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表</w:t>
            </w:r>
            <w:r>
              <w:rPr>
                <w:rFonts w:hint="default" w:ascii="Times New Roman" w:hAnsi="Times New Roman" w:eastAsia="宋体" w:cs="Times New Roman"/>
                <w:color w:val="auto"/>
                <w:sz w:val="24"/>
                <w:szCs w:val="24"/>
                <w:highlight w:val="none"/>
                <w:lang w:val="en-US" w:eastAsia="zh-CN"/>
              </w:rPr>
              <w:t>2-2                       本项目原辅材料一览表</w:t>
            </w:r>
          </w:p>
          <w:tbl>
            <w:tblPr>
              <w:tblStyle w:val="27"/>
              <w:tblW w:w="853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800"/>
              <w:gridCol w:w="1005"/>
              <w:gridCol w:w="1485"/>
              <w:gridCol w:w="1155"/>
              <w:gridCol w:w="23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2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bidi="ar"/>
                    </w:rPr>
                    <w:t>序号</w:t>
                  </w:r>
                </w:p>
              </w:tc>
              <w:tc>
                <w:tcPr>
                  <w:tcW w:w="180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lang w:val="en-US" w:eastAsia="zh-CN" w:bidi="ar"/>
                    </w:rPr>
                    <w:t>材料名称</w:t>
                  </w:r>
                </w:p>
              </w:tc>
              <w:tc>
                <w:tcPr>
                  <w:tcW w:w="100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lang w:val="en-US" w:eastAsia="zh-CN" w:bidi="ar"/>
                    </w:rPr>
                    <w:t>单位</w:t>
                  </w:r>
                </w:p>
              </w:tc>
              <w:tc>
                <w:tcPr>
                  <w:tcW w:w="148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lang w:val="en-US" w:eastAsia="zh-CN" w:bidi="ar"/>
                    </w:rPr>
                    <w:t>消耗量</w:t>
                  </w:r>
                </w:p>
              </w:tc>
              <w:tc>
                <w:tcPr>
                  <w:tcW w:w="11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bidi="ar"/>
                    </w:rPr>
                    <w:t>来源</w:t>
                  </w:r>
                </w:p>
              </w:tc>
              <w:tc>
                <w:tcPr>
                  <w:tcW w:w="236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val="0"/>
                      <w:color w:val="auto"/>
                      <w:kern w:val="2"/>
                      <w:sz w:val="21"/>
                      <w:szCs w:val="21"/>
                      <w:highlight w:val="none"/>
                      <w:lang w:val="en-US" w:eastAsia="zh-CN" w:bidi="ar"/>
                    </w:rPr>
                  </w:pPr>
                  <w:r>
                    <w:rPr>
                      <w:rFonts w:hint="eastAsia" w:ascii="Times New Roman" w:hAnsi="Times New Roman" w:eastAsia="宋体" w:cs="Times New Roman"/>
                      <w:b/>
                      <w:bCs w:val="0"/>
                      <w:color w:val="auto"/>
                      <w:kern w:val="2"/>
                      <w:sz w:val="21"/>
                      <w:szCs w:val="21"/>
                      <w:highlight w:val="none"/>
                      <w:lang w:val="en-US" w:eastAsia="zh-CN"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2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1</w:t>
                  </w:r>
                </w:p>
              </w:tc>
              <w:tc>
                <w:tcPr>
                  <w:tcW w:w="180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
                    </w:rPr>
                    <w:t>6m镀锌</w:t>
                  </w:r>
                  <w:r>
                    <w:rPr>
                      <w:rFonts w:hint="default" w:ascii="Times New Roman" w:hAnsi="Times New Roman" w:eastAsia="宋体" w:cs="Times New Roman"/>
                      <w:color w:val="auto"/>
                      <w:kern w:val="2"/>
                      <w:sz w:val="21"/>
                      <w:szCs w:val="21"/>
                      <w:highlight w:val="none"/>
                      <w:lang w:val="en-US" w:eastAsia="zh-CN" w:bidi="ar"/>
                    </w:rPr>
                    <w:t>80*60*4mm方钢</w:t>
                  </w:r>
                </w:p>
              </w:tc>
              <w:tc>
                <w:tcPr>
                  <w:tcW w:w="100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
                    </w:rPr>
                    <w:t>t/a</w:t>
                  </w:r>
                </w:p>
              </w:tc>
              <w:tc>
                <w:tcPr>
                  <w:tcW w:w="148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100</w:t>
                  </w:r>
                </w:p>
              </w:tc>
              <w:tc>
                <w:tcPr>
                  <w:tcW w:w="11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外购</w:t>
                  </w:r>
                </w:p>
              </w:tc>
              <w:tc>
                <w:tcPr>
                  <w:tcW w:w="236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2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2</w:t>
                  </w:r>
                </w:p>
              </w:tc>
              <w:tc>
                <w:tcPr>
                  <w:tcW w:w="180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
                    </w:rPr>
                    <w:t>6m镀锌</w:t>
                  </w:r>
                  <w:r>
                    <w:rPr>
                      <w:rFonts w:hint="default" w:ascii="Times New Roman" w:hAnsi="Times New Roman" w:eastAsia="宋体" w:cs="Times New Roman"/>
                      <w:color w:val="auto"/>
                      <w:kern w:val="2"/>
                      <w:sz w:val="21"/>
                      <w:szCs w:val="21"/>
                      <w:highlight w:val="none"/>
                      <w:lang w:val="en-US" w:eastAsia="zh-CN" w:bidi="ar"/>
                    </w:rPr>
                    <w:t>50*50*4mm角钢</w:t>
                  </w:r>
                </w:p>
              </w:tc>
              <w:tc>
                <w:tcPr>
                  <w:tcW w:w="100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
                    </w:rPr>
                    <w:t>t/a</w:t>
                  </w:r>
                </w:p>
              </w:tc>
              <w:tc>
                <w:tcPr>
                  <w:tcW w:w="148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100</w:t>
                  </w:r>
                </w:p>
              </w:tc>
              <w:tc>
                <w:tcPr>
                  <w:tcW w:w="11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外购</w:t>
                  </w:r>
                </w:p>
              </w:tc>
              <w:tc>
                <w:tcPr>
                  <w:tcW w:w="236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2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3</w:t>
                  </w:r>
                </w:p>
              </w:tc>
              <w:tc>
                <w:tcPr>
                  <w:tcW w:w="180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焊条</w:t>
                  </w:r>
                </w:p>
              </w:tc>
              <w:tc>
                <w:tcPr>
                  <w:tcW w:w="100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kg</w:t>
                  </w:r>
                  <w:r>
                    <w:rPr>
                      <w:rFonts w:hint="eastAsia" w:ascii="Times New Roman" w:hAnsi="Times New Roman" w:eastAsia="宋体" w:cs="Times New Roman"/>
                      <w:color w:val="auto"/>
                      <w:kern w:val="2"/>
                      <w:sz w:val="21"/>
                      <w:szCs w:val="21"/>
                      <w:highlight w:val="none"/>
                      <w:lang w:val="en-US" w:eastAsia="zh-CN" w:bidi="ar"/>
                    </w:rPr>
                    <w:t>/a</w:t>
                  </w:r>
                </w:p>
              </w:tc>
              <w:tc>
                <w:tcPr>
                  <w:tcW w:w="148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1000</w:t>
                  </w:r>
                </w:p>
              </w:tc>
              <w:tc>
                <w:tcPr>
                  <w:tcW w:w="11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外购</w:t>
                  </w:r>
                </w:p>
              </w:tc>
              <w:tc>
                <w:tcPr>
                  <w:tcW w:w="236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both"/>
                    <w:rPr>
                      <w:rFonts w:hint="eastAsia" w:ascii="Times New Roman" w:hAnsi="Times New Roman" w:eastAsia="宋体" w:cs="Times New Roman"/>
                      <w:color w:val="auto"/>
                      <w:kern w:val="2"/>
                      <w:sz w:val="21"/>
                      <w:szCs w:val="21"/>
                      <w:highlight w:val="none"/>
                      <w:lang w:val="en-US" w:eastAsia="zh-CN" w:bidi="ar"/>
                    </w:rPr>
                  </w:pPr>
                  <w:r>
                    <w:rPr>
                      <w:rFonts w:hint="eastAsia" w:ascii="Arial" w:hAnsi="Arial" w:eastAsia="宋体" w:cs="Arial"/>
                      <w:i w:val="0"/>
                      <w:caps w:val="0"/>
                      <w:color w:val="auto"/>
                      <w:spacing w:val="0"/>
                      <w:sz w:val="21"/>
                      <w:szCs w:val="21"/>
                      <w:u w:val="none"/>
                      <w:lang w:val="en-US" w:eastAsia="zh-CN"/>
                    </w:rPr>
                    <w:t>主要有</w:t>
                  </w:r>
                  <w:r>
                    <w:rPr>
                      <w:rFonts w:hint="eastAsia" w:ascii="Arial" w:hAnsi="Arial" w:eastAsia="宋体" w:cs="Arial"/>
                      <w:i w:val="0"/>
                      <w:caps w:val="0"/>
                      <w:color w:val="auto"/>
                      <w:spacing w:val="0"/>
                      <w:sz w:val="21"/>
                      <w:szCs w:val="21"/>
                      <w:u w:val="none"/>
                    </w:rPr>
                    <w:t>锰、硅、铬、镍等成分</w:t>
                  </w:r>
                  <w:r>
                    <w:rPr>
                      <w:rFonts w:hint="eastAsia" w:ascii="Arial" w:hAnsi="Arial" w:eastAsia="宋体" w:cs="Arial"/>
                      <w:i w:val="0"/>
                      <w:caps w:val="0"/>
                      <w:color w:val="auto"/>
                      <w:spacing w:val="0"/>
                      <w:sz w:val="21"/>
                      <w:szCs w:val="21"/>
                      <w:u w:val="none"/>
                      <w:lang w:val="en-US" w:eastAsia="zh-CN"/>
                    </w:rPr>
                    <w:t>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2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4</w:t>
                  </w:r>
                </w:p>
              </w:tc>
              <w:tc>
                <w:tcPr>
                  <w:tcW w:w="180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氩气</w:t>
                  </w:r>
                </w:p>
              </w:tc>
              <w:tc>
                <w:tcPr>
                  <w:tcW w:w="100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瓶</w:t>
                  </w:r>
                  <w:r>
                    <w:rPr>
                      <w:rFonts w:hint="eastAsia" w:ascii="Times New Roman" w:hAnsi="Times New Roman" w:eastAsia="宋体" w:cs="Times New Roman"/>
                      <w:color w:val="auto"/>
                      <w:kern w:val="2"/>
                      <w:sz w:val="21"/>
                      <w:szCs w:val="21"/>
                      <w:highlight w:val="none"/>
                      <w:lang w:val="en-US" w:eastAsia="zh-CN" w:bidi="ar"/>
                    </w:rPr>
                    <w:t>/a</w:t>
                  </w:r>
                </w:p>
              </w:tc>
              <w:tc>
                <w:tcPr>
                  <w:tcW w:w="148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1</w:t>
                  </w:r>
                </w:p>
              </w:tc>
              <w:tc>
                <w:tcPr>
                  <w:tcW w:w="11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外购</w:t>
                  </w:r>
                </w:p>
              </w:tc>
              <w:tc>
                <w:tcPr>
                  <w:tcW w:w="236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2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5</w:t>
                  </w:r>
                </w:p>
              </w:tc>
              <w:tc>
                <w:tcPr>
                  <w:tcW w:w="180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环氧富锌底漆</w:t>
                  </w:r>
                </w:p>
              </w:tc>
              <w:tc>
                <w:tcPr>
                  <w:tcW w:w="100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kg</w:t>
                  </w:r>
                  <w:r>
                    <w:rPr>
                      <w:rFonts w:hint="eastAsia" w:ascii="Times New Roman" w:hAnsi="Times New Roman" w:eastAsia="宋体" w:cs="Times New Roman"/>
                      <w:color w:val="auto"/>
                      <w:kern w:val="2"/>
                      <w:sz w:val="21"/>
                      <w:szCs w:val="21"/>
                      <w:highlight w:val="none"/>
                      <w:lang w:val="en-US" w:eastAsia="zh-CN" w:bidi="ar"/>
                    </w:rPr>
                    <w:t>/a</w:t>
                  </w:r>
                </w:p>
              </w:tc>
              <w:tc>
                <w:tcPr>
                  <w:tcW w:w="148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200（20kg/桶）</w:t>
                  </w:r>
                </w:p>
              </w:tc>
              <w:tc>
                <w:tcPr>
                  <w:tcW w:w="11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外购</w:t>
                  </w:r>
                </w:p>
              </w:tc>
              <w:tc>
                <w:tcPr>
                  <w:tcW w:w="236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both"/>
                    <w:rPr>
                      <w:rFonts w:hint="eastAsia"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由环氧树脂为基料配以锌粉、助剂、聚酰胺</w:t>
                  </w:r>
                  <w:r>
                    <w:rPr>
                      <w:rFonts w:hint="eastAsia" w:ascii="Times New Roman" w:hAnsi="Times New Roman" w:eastAsia="宋体" w:cs="Times New Roman"/>
                      <w:color w:val="auto"/>
                      <w:kern w:val="2"/>
                      <w:sz w:val="21"/>
                      <w:szCs w:val="21"/>
                      <w:highlight w:val="none"/>
                      <w:lang w:val="en-US" w:eastAsia="zh-CN" w:bidi="ar"/>
                    </w:rPr>
                    <w:t>等成分</w:t>
                  </w:r>
                  <w:r>
                    <w:rPr>
                      <w:rFonts w:hint="default" w:ascii="Arial" w:hAnsi="Arial" w:eastAsia="宋体" w:cs="Arial"/>
                      <w:i w:val="0"/>
                      <w:caps w:val="0"/>
                      <w:color w:val="auto"/>
                      <w:spacing w:val="0"/>
                      <w:sz w:val="21"/>
                      <w:szCs w:val="21"/>
                      <w:shd w:val="clear" w:fill="FFFFFF"/>
                    </w:rPr>
                    <w:t>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2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6</w:t>
                  </w:r>
                </w:p>
              </w:tc>
              <w:tc>
                <w:tcPr>
                  <w:tcW w:w="180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稀释剂</w:t>
                  </w:r>
                </w:p>
              </w:tc>
              <w:tc>
                <w:tcPr>
                  <w:tcW w:w="100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仿宋" w:cs="Times New Roman"/>
                      <w:color w:val="auto"/>
                      <w:kern w:val="2"/>
                      <w:sz w:val="21"/>
                      <w:szCs w:val="21"/>
                      <w:highlight w:val="none"/>
                      <w:lang w:val="en-US" w:eastAsia="zh-CN" w:bidi="ar"/>
                    </w:rPr>
                    <w:t>kg</w:t>
                  </w:r>
                  <w:r>
                    <w:rPr>
                      <w:rFonts w:hint="eastAsia" w:ascii="Times New Roman" w:hAnsi="Times New Roman" w:eastAsia="宋体" w:cs="Times New Roman"/>
                      <w:color w:val="auto"/>
                      <w:kern w:val="2"/>
                      <w:sz w:val="21"/>
                      <w:szCs w:val="21"/>
                      <w:highlight w:val="none"/>
                      <w:lang w:val="en-US" w:eastAsia="zh-CN" w:bidi="ar"/>
                    </w:rPr>
                    <w:t>/a</w:t>
                  </w:r>
                </w:p>
              </w:tc>
              <w:tc>
                <w:tcPr>
                  <w:tcW w:w="148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70（15kg/桶）</w:t>
                  </w:r>
                </w:p>
              </w:tc>
              <w:tc>
                <w:tcPr>
                  <w:tcW w:w="11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外购</w:t>
                  </w:r>
                </w:p>
              </w:tc>
              <w:tc>
                <w:tcPr>
                  <w:tcW w:w="236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2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7</w:t>
                  </w:r>
                </w:p>
              </w:tc>
              <w:tc>
                <w:tcPr>
                  <w:tcW w:w="180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石板</w:t>
                  </w:r>
                </w:p>
              </w:tc>
              <w:tc>
                <w:tcPr>
                  <w:tcW w:w="100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
                    </w:rPr>
                    <w:t>m</w:t>
                  </w:r>
                  <w:r>
                    <w:rPr>
                      <w:rFonts w:hint="default" w:ascii="Times New Roman" w:hAnsi="Times New Roman" w:eastAsia="仿宋" w:cs="Times New Roman"/>
                      <w:color w:val="auto"/>
                      <w:kern w:val="2"/>
                      <w:sz w:val="21"/>
                      <w:szCs w:val="21"/>
                      <w:highlight w:val="none"/>
                      <w:vertAlign w:val="superscript"/>
                      <w:lang w:val="en-US" w:eastAsia="zh-CN" w:bidi="ar"/>
                    </w:rPr>
                    <w:t>2</w:t>
                  </w:r>
                  <w:r>
                    <w:rPr>
                      <w:rFonts w:hint="eastAsia" w:ascii="Times New Roman" w:hAnsi="Times New Roman" w:eastAsia="宋体" w:cs="Times New Roman"/>
                      <w:color w:val="auto"/>
                      <w:kern w:val="2"/>
                      <w:sz w:val="21"/>
                      <w:szCs w:val="21"/>
                      <w:highlight w:val="none"/>
                      <w:lang w:val="en-US" w:eastAsia="zh-CN" w:bidi="ar"/>
                    </w:rPr>
                    <w:t>/a</w:t>
                  </w:r>
                </w:p>
              </w:tc>
              <w:tc>
                <w:tcPr>
                  <w:tcW w:w="148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5000</w:t>
                  </w:r>
                </w:p>
              </w:tc>
              <w:tc>
                <w:tcPr>
                  <w:tcW w:w="11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外购</w:t>
                  </w:r>
                </w:p>
              </w:tc>
              <w:tc>
                <w:tcPr>
                  <w:tcW w:w="236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26"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8</w:t>
                  </w:r>
                </w:p>
              </w:tc>
              <w:tc>
                <w:tcPr>
                  <w:tcW w:w="180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防火棉</w:t>
                  </w:r>
                </w:p>
              </w:tc>
              <w:tc>
                <w:tcPr>
                  <w:tcW w:w="100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
                    </w:rPr>
                    <w:t>m</w:t>
                  </w:r>
                  <w:r>
                    <w:rPr>
                      <w:rFonts w:hint="default" w:ascii="Times New Roman" w:hAnsi="Times New Roman" w:eastAsia="仿宋" w:cs="Times New Roman"/>
                      <w:color w:val="auto"/>
                      <w:kern w:val="2"/>
                      <w:sz w:val="21"/>
                      <w:szCs w:val="21"/>
                      <w:highlight w:val="none"/>
                      <w:vertAlign w:val="superscript"/>
                      <w:lang w:val="en-US" w:eastAsia="zh-CN" w:bidi="ar"/>
                    </w:rPr>
                    <w:t>3</w:t>
                  </w:r>
                  <w:r>
                    <w:rPr>
                      <w:rFonts w:hint="eastAsia" w:ascii="Times New Roman" w:hAnsi="Times New Roman" w:eastAsia="宋体" w:cs="Times New Roman"/>
                      <w:color w:val="auto"/>
                      <w:kern w:val="2"/>
                      <w:sz w:val="21"/>
                      <w:szCs w:val="21"/>
                      <w:highlight w:val="none"/>
                      <w:lang w:val="en-US" w:eastAsia="zh-CN" w:bidi="ar"/>
                    </w:rPr>
                    <w:t>/a</w:t>
                  </w:r>
                </w:p>
              </w:tc>
              <w:tc>
                <w:tcPr>
                  <w:tcW w:w="148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400</w:t>
                  </w:r>
                </w:p>
              </w:tc>
              <w:tc>
                <w:tcPr>
                  <w:tcW w:w="1155"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外购</w:t>
                  </w:r>
                </w:p>
              </w:tc>
              <w:tc>
                <w:tcPr>
                  <w:tcW w:w="2360"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w:t>
                  </w:r>
                </w:p>
              </w:tc>
            </w:tr>
          </w:tbl>
          <w:p>
            <w:pPr>
              <w:keepNext w:val="0"/>
              <w:keepLines w:val="0"/>
              <w:suppressLineNumbers w:val="0"/>
              <w:spacing w:before="0" w:beforeAutospacing="0" w:after="0" w:afterAutospacing="0" w:line="360" w:lineRule="exact"/>
              <w:ind w:left="0" w:right="0"/>
              <w:rPr>
                <w:rFonts w:hint="default" w:ascii="Times New Roman" w:hAnsi="Times New Roman" w:eastAsia="仿宋_GB2312"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2.5项目水平衡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本项目职工人数20人，年工作320天，每天工作8小时</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本项目水平衡见图2-1。</w:t>
            </w:r>
          </w:p>
          <w:p>
            <w:pPr>
              <w:pStyle w:val="2"/>
              <w:keepNext w:val="0"/>
              <w:keepLines w:val="0"/>
              <w:suppressLineNumbers w:val="0"/>
              <w:spacing w:before="0" w:beforeAutospacing="0" w:after="0" w:afterAutospacing="0"/>
              <w:ind w:left="0" w:right="0"/>
              <w:rPr>
                <w:rFonts w:hint="default"/>
                <w:color w:val="auto"/>
                <w:highlight w:val="none"/>
                <w:lang w:val="en-US" w:eastAsia="zh-CN"/>
              </w:rPr>
            </w:pPr>
            <w:r>
              <w:rPr>
                <w:rFonts w:hint="default"/>
                <w:color w:val="auto"/>
                <w:sz w:val="24"/>
                <w:highlight w:val="none"/>
              </w:rPr>
              <mc:AlternateContent>
                <mc:Choice Requires="wps">
                  <w:drawing>
                    <wp:anchor distT="0" distB="0" distL="114300" distR="114300" simplePos="0" relativeHeight="106127360" behindDoc="0" locked="0" layoutInCell="1" allowOverlap="1">
                      <wp:simplePos x="0" y="0"/>
                      <wp:positionH relativeFrom="column">
                        <wp:posOffset>1793875</wp:posOffset>
                      </wp:positionH>
                      <wp:positionV relativeFrom="paragraph">
                        <wp:posOffset>83185</wp:posOffset>
                      </wp:positionV>
                      <wp:extent cx="876300" cy="333375"/>
                      <wp:effectExtent l="0" t="0" r="0" b="0"/>
                      <wp:wrapNone/>
                      <wp:docPr id="50" name="矩形 50"/>
                      <wp:cNvGraphicFramePr/>
                      <a:graphic xmlns:a="http://schemas.openxmlformats.org/drawingml/2006/main">
                        <a:graphicData uri="http://schemas.microsoft.com/office/word/2010/wordprocessingShape">
                          <wps:wsp>
                            <wps:cNvSpPr/>
                            <wps:spPr>
                              <a:xfrm>
                                <a:off x="0" y="0"/>
                                <a:ext cx="876300"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lang w:val="en-US" w:eastAsia="zh-CN"/>
                                    </w:rPr>
                                    <w:t>消耗</w:t>
                                  </w:r>
                                  <w:r>
                                    <w:rPr>
                                      <w:rFonts w:hint="eastAsia" w:ascii="Times New Roman" w:hAnsi="Times New Roman" w:cs="Times New Roman"/>
                                      <w:lang w:val="en-US" w:eastAsia="zh-CN"/>
                                    </w:rPr>
                                    <w:t>0.4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25pt;margin-top:6.55pt;height:26.25pt;width:69pt;z-index:106127360;v-text-anchor:middle;mso-width-relative:page;mso-height-relative:page;" filled="f" stroked="f" coordsize="21600,21600" o:gfxdata="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&#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3bNrY1gAAAAkBAAAPAAAAAAAAAAEAIAAAACIAAABk&#10;cnMvZG93bnJldi54bWxQSwECFAAUAAAACACHTuJANoidQ0ECAABgBAAADgAAAAAAAAABACAAAAAl&#10;AQAAZHJzL2Uyb0RvYy54bWxQSwUGAAAAAAYABgBZAQAA2A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lang w:val="en-US" w:eastAsia="zh-CN"/>
                              </w:rPr>
                            </w:pPr>
                            <w:r>
                              <w:rPr>
                                <w:rFonts w:hint="eastAsia"/>
                                <w:lang w:val="en-US" w:eastAsia="zh-CN"/>
                              </w:rPr>
                              <w:t>消耗</w:t>
                            </w:r>
                            <w:r>
                              <w:rPr>
                                <w:rFonts w:hint="eastAsia" w:ascii="Times New Roman" w:hAnsi="Times New Roman" w:cs="Times New Roman"/>
                                <w:lang w:val="en-US" w:eastAsia="zh-CN"/>
                              </w:rPr>
                              <w:t>0.4</w:t>
                            </w:r>
                          </w:p>
                        </w:txbxContent>
                      </v:textbox>
                    </v:rect>
                  </w:pict>
                </mc:Fallback>
              </mc:AlternateContent>
            </w: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auto"/>
                <w:sz w:val="24"/>
                <w:szCs w:val="24"/>
                <w:highlight w:val="none"/>
                <w:lang w:val="en-US" w:eastAsia="zh-CN"/>
              </w:rPr>
            </w:pPr>
            <w:r>
              <w:rPr>
                <w:rFonts w:hint="default"/>
                <w:color w:val="auto"/>
                <w:sz w:val="24"/>
                <w:highlight w:val="none"/>
              </w:rPr>
              <mc:AlternateContent>
                <mc:Choice Requires="wps">
                  <w:drawing>
                    <wp:anchor distT="0" distB="0" distL="114300" distR="114300" simplePos="0" relativeHeight="347501568" behindDoc="0" locked="0" layoutInCell="1" allowOverlap="1">
                      <wp:simplePos x="0" y="0"/>
                      <wp:positionH relativeFrom="column">
                        <wp:posOffset>1536700</wp:posOffset>
                      </wp:positionH>
                      <wp:positionV relativeFrom="paragraph">
                        <wp:posOffset>205105</wp:posOffset>
                      </wp:positionV>
                      <wp:extent cx="400050" cy="211455"/>
                      <wp:effectExtent l="2540" t="3810" r="16510" b="13335"/>
                      <wp:wrapNone/>
                      <wp:docPr id="49" name="直接箭头连接符 49"/>
                      <wp:cNvGraphicFramePr/>
                      <a:graphic xmlns:a="http://schemas.openxmlformats.org/drawingml/2006/main">
                        <a:graphicData uri="http://schemas.microsoft.com/office/word/2010/wordprocessingShape">
                          <wps:wsp>
                            <wps:cNvCnPr>
                              <a:stCxn id="42" idx="0"/>
                            </wps:cNvCnPr>
                            <wps:spPr>
                              <a:xfrm flipV="1">
                                <a:off x="2552065" y="6112510"/>
                                <a:ext cx="400050" cy="21145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1pt;margin-top:16.15pt;height:16.65pt;width:31.5pt;z-index:347501568;mso-width-relative:page;mso-height-relative:page;" filled="f" stroked="t" coordsize="21600,21600" o:gfxdata="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81F59gAAAAJAQAADwAAAAAAAAABACAA&#10;AAAiAAAAZHJzL2Rvd25yZXYueG1sUEsBAhQAFAAAAAgAh07iQNMDUkMNAgAA0gMAAA4AAAAAAAAA&#10;AQAgAAAAJwEAAGRycy9lMm9Eb2MueG1sUEsFBgAAAAAGAAYAWQEAAKYFAAAAAA==&#10;">
                      <v:fill on="f" focussize="0,0"/>
                      <v:stroke weight="0.5pt" color="#000000 [3213]" miterlimit="8" joinstyle="miter" dashstyle="dash" endarrow="open"/>
                      <v:imagedata o:title=""/>
                      <o:lock v:ext="edit" aspectratio="f"/>
                    </v:shape>
                  </w:pict>
                </mc:Fallback>
              </mc:AlternateContent>
            </w: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auto"/>
                <w:sz w:val="24"/>
                <w:szCs w:val="24"/>
                <w:highlight w:val="none"/>
                <w:lang w:val="en-US" w:eastAsia="zh-CN"/>
              </w:rPr>
            </w:pPr>
            <w:r>
              <w:rPr>
                <w:rFonts w:hint="default"/>
                <w:color w:val="auto"/>
                <w:sz w:val="24"/>
                <w:highlight w:val="none"/>
              </w:rPr>
              <mc:AlternateContent>
                <mc:Choice Requires="wps">
                  <w:drawing>
                    <wp:anchor distT="0" distB="0" distL="114300" distR="114300" simplePos="0" relativeHeight="2952845312" behindDoc="0" locked="0" layoutInCell="1" allowOverlap="1">
                      <wp:simplePos x="0" y="0"/>
                      <wp:positionH relativeFrom="column">
                        <wp:posOffset>3365500</wp:posOffset>
                      </wp:positionH>
                      <wp:positionV relativeFrom="paragraph">
                        <wp:posOffset>111760</wp:posOffset>
                      </wp:positionV>
                      <wp:extent cx="619760" cy="333375"/>
                      <wp:effectExtent l="0" t="0" r="0" b="0"/>
                      <wp:wrapNone/>
                      <wp:docPr id="4" name="矩形 4"/>
                      <wp:cNvGraphicFramePr/>
                      <a:graphic xmlns:a="http://schemas.openxmlformats.org/drawingml/2006/main">
                        <a:graphicData uri="http://schemas.microsoft.com/office/word/2010/wordprocessingShape">
                          <wps:wsp>
                            <wps:cNvSpPr/>
                            <wps:spPr>
                              <a:xfrm>
                                <a:off x="0" y="0"/>
                                <a:ext cx="619760"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pt;margin-top:8.8pt;height:26.25pt;width:48.8pt;z-index:-1342121984;v-text-anchor:middle;mso-width-relative:page;mso-height-relative:page;" filled="f" stroked="f" coordsize="21600,21600" o:gfxdata="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&#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HDTI1gAAAAkBAAAPAAAAAAAAAAEAIAAAACIAAABk&#10;cnMvZG93bnJldi54bWxQSwECFAAUAAAACACHTuJAGt6jfkECAABeBAAADgAAAAAAAAABACAAAAAl&#10;AQAAZHJzL2Uyb0RvYy54bWxQSwUGAAAAAAYABgBZAQAA2A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1.6</w:t>
                            </w:r>
                          </w:p>
                        </w:txbxContent>
                      </v:textbox>
                    </v:rect>
                  </w:pict>
                </mc:Fallback>
              </mc:AlternateContent>
            </w:r>
            <w:r>
              <w:rPr>
                <w:rFonts w:hint="default"/>
                <w:color w:val="auto"/>
                <w:sz w:val="24"/>
                <w:highlight w:val="none"/>
              </w:rPr>
              <mc:AlternateContent>
                <mc:Choice Requires="wps">
                  <w:drawing>
                    <wp:anchor distT="0" distB="0" distL="114300" distR="114300" simplePos="0" relativeHeight="4159719424" behindDoc="0" locked="0" layoutInCell="1" allowOverlap="1">
                      <wp:simplePos x="0" y="0"/>
                      <wp:positionH relativeFrom="column">
                        <wp:posOffset>1946275</wp:posOffset>
                      </wp:positionH>
                      <wp:positionV relativeFrom="paragraph">
                        <wp:posOffset>102235</wp:posOffset>
                      </wp:positionV>
                      <wp:extent cx="619760" cy="333375"/>
                      <wp:effectExtent l="0" t="0" r="0" b="0"/>
                      <wp:wrapNone/>
                      <wp:docPr id="3" name="矩形 3"/>
                      <wp:cNvGraphicFramePr/>
                      <a:graphic xmlns:a="http://schemas.openxmlformats.org/drawingml/2006/main">
                        <a:graphicData uri="http://schemas.microsoft.com/office/word/2010/wordprocessingShape">
                          <wps:wsp>
                            <wps:cNvSpPr/>
                            <wps:spPr>
                              <a:xfrm>
                                <a:off x="0" y="0"/>
                                <a:ext cx="619760"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25pt;margin-top:8.05pt;height:26.25pt;width:48.8pt;z-index:-135247872;v-text-anchor:middle;mso-width-relative:page;mso-height-relative:page;" filled="f" stroked="f" coordsize="21600,21600" o:gfxdata="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92rePWAAAACQEAAA8AAAAAAAAAAQAgAAAAIgAA&#10;AGRycy9kb3ducmV2LnhtbFBLAQIUABQAAAAIAIdO4kDax+HVQwIAAF4EAAAOAAAAAAAAAAEAIAAA&#10;ACUBAABkcnMvZTJvRG9jLnhtbFBLBQYAAAAABgAGAFkBAADa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1.6</w:t>
                            </w:r>
                          </w:p>
                        </w:txbxContent>
                      </v:textbox>
                    </v:rect>
                  </w:pict>
                </mc:Fallback>
              </mc:AlternateContent>
            </w:r>
            <w:r>
              <w:rPr>
                <w:rFonts w:hint="default"/>
                <w:color w:val="auto"/>
                <w:sz w:val="24"/>
                <w:highlight w:val="none"/>
              </w:rPr>
              <mc:AlternateContent>
                <mc:Choice Requires="wps">
                  <w:drawing>
                    <wp:anchor distT="0" distB="0" distL="114300" distR="114300" simplePos="0" relativeHeight="2132923392" behindDoc="0" locked="0" layoutInCell="1" allowOverlap="1">
                      <wp:simplePos x="0" y="0"/>
                      <wp:positionH relativeFrom="column">
                        <wp:posOffset>346075</wp:posOffset>
                      </wp:positionH>
                      <wp:positionV relativeFrom="paragraph">
                        <wp:posOffset>64135</wp:posOffset>
                      </wp:positionV>
                      <wp:extent cx="619760" cy="333375"/>
                      <wp:effectExtent l="0" t="0" r="0" b="0"/>
                      <wp:wrapNone/>
                      <wp:docPr id="2" name="矩形 2"/>
                      <wp:cNvGraphicFramePr/>
                      <a:graphic xmlns:a="http://schemas.openxmlformats.org/drawingml/2006/main">
                        <a:graphicData uri="http://schemas.microsoft.com/office/word/2010/wordprocessingShape">
                          <wps:wsp>
                            <wps:cNvSpPr/>
                            <wps:spPr>
                              <a:xfrm>
                                <a:off x="0" y="0"/>
                                <a:ext cx="619760"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5pt;margin-top:5.05pt;height:26.25pt;width:48.8pt;z-index:2132923392;v-text-anchor:middle;mso-width-relative:page;mso-height-relative:page;" filled="f" stroked="f" coordsize="21600,21600" o:gfxdata="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&#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NTW81gAAAAgBAAAPAAAAAAAAAAEAIAAAACIAAABk&#10;cnMvZG93bnJldi54bWxQSwECFAAUAAAACACHTuJAmq9M7UECAABeBAAADgAAAAAAAAABACAAAAAl&#10;AQAAZHJzL2Uyb0RvYy54bWxQSwUGAAAAAAYABgBZAQAA2A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w:t>
                            </w:r>
                          </w:p>
                        </w:txbxContent>
                      </v:textbox>
                    </v:rect>
                  </w:pict>
                </mc:Fallback>
              </mc:AlternateContent>
            </w:r>
            <w:r>
              <w:rPr>
                <w:rFonts w:hint="default"/>
                <w:color w:val="auto"/>
                <w:sz w:val="24"/>
                <w:highlight w:val="none"/>
              </w:rPr>
              <mc:AlternateContent>
                <mc:Choice Requires="wps">
                  <w:drawing>
                    <wp:anchor distT="0" distB="0" distL="114300" distR="114300" simplePos="0" relativeHeight="347500544" behindDoc="0" locked="0" layoutInCell="1" allowOverlap="1">
                      <wp:simplePos x="0" y="0"/>
                      <wp:positionH relativeFrom="column">
                        <wp:posOffset>4022725</wp:posOffset>
                      </wp:positionH>
                      <wp:positionV relativeFrom="paragraph">
                        <wp:posOffset>168910</wp:posOffset>
                      </wp:positionV>
                      <wp:extent cx="1152525" cy="333375"/>
                      <wp:effectExtent l="6350" t="6350" r="22225" b="22225"/>
                      <wp:wrapNone/>
                      <wp:docPr id="48" name="矩形 48"/>
                      <wp:cNvGraphicFramePr/>
                      <a:graphic xmlns:a="http://schemas.openxmlformats.org/drawingml/2006/main">
                        <a:graphicData uri="http://schemas.microsoft.com/office/word/2010/wordprocessingShape">
                          <wps:wsp>
                            <wps:cNvSpPr/>
                            <wps:spPr>
                              <a:xfrm>
                                <a:off x="0" y="0"/>
                                <a:ext cx="1152525" cy="33337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pPr>
                                    <w:rPr>
                                      <w:rFonts w:hint="eastAsia"/>
                                      <w:lang w:val="en-US" w:eastAsia="zh-CN"/>
                                    </w:rPr>
                                  </w:pPr>
                                  <w:r>
                                    <w:rPr>
                                      <w:rFonts w:hint="eastAsia"/>
                                      <w:lang w:val="en-US" w:eastAsia="zh-CN"/>
                                    </w:rPr>
                                    <w:t>朝阳污水处理厂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75pt;margin-top:13.3pt;height:26.25pt;width:90.75pt;z-index:347500544;v-text-anchor:middle;mso-width-relative:page;mso-height-relative:page;" filled="f" stroked="t" coordsize="21600,21600" o:gfxdata="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HaQsdgAAAAJAQAA&#10;DwAAAAAAAAABACAAAAAiAAAAZHJzL2Rvd25yZXYueG1sUEsBAhQAFAAAAAgAh07iQJSaI5lSAgAA&#10;igQAAA4AAAAAAAAAAQAgAAAAJwEAAGRycy9lMm9Eb2MueG1sUEsFBgAAAAAGAAYAWQEAAOsFAAAA&#10;AA==&#10;">
                      <v:fill on="f" focussize="0,0"/>
                      <v:stroke weight="1pt" color="#000000 [3213]" miterlimit="8" joinstyle="miter"/>
                      <v:imagedata o:title=""/>
                      <o:lock v:ext="edit" aspectratio="f"/>
                      <v:textbox>
                        <w:txbxContent>
                          <w:p>
                            <w:pPr>
                              <w:rPr>
                                <w:rFonts w:hint="eastAsia"/>
                                <w:lang w:val="en-US" w:eastAsia="zh-CN"/>
                              </w:rPr>
                            </w:pPr>
                            <w:r>
                              <w:rPr>
                                <w:rFonts w:hint="eastAsia"/>
                                <w:lang w:val="en-US" w:eastAsia="zh-CN"/>
                              </w:rPr>
                              <w:t>朝阳污水处理厂</w:t>
                            </w:r>
                          </w:p>
                        </w:txbxContent>
                      </v:textbox>
                    </v:rect>
                  </w:pict>
                </mc:Fallback>
              </mc:AlternateContent>
            </w:r>
            <w:r>
              <w:rPr>
                <w:rFonts w:hint="default"/>
                <w:color w:val="auto"/>
                <w:sz w:val="24"/>
                <w:highlight w:val="none"/>
              </w:rPr>
              <mc:AlternateContent>
                <mc:Choice Requires="wps">
                  <w:drawing>
                    <wp:anchor distT="0" distB="0" distL="114300" distR="114300" simplePos="0" relativeHeight="2857047040" behindDoc="0" locked="0" layoutInCell="1" allowOverlap="1">
                      <wp:simplePos x="0" y="0"/>
                      <wp:positionH relativeFrom="column">
                        <wp:posOffset>2593975</wp:posOffset>
                      </wp:positionH>
                      <wp:positionV relativeFrom="paragraph">
                        <wp:posOffset>187960</wp:posOffset>
                      </wp:positionV>
                      <wp:extent cx="742950" cy="333375"/>
                      <wp:effectExtent l="6350" t="6350" r="12700" b="22225"/>
                      <wp:wrapNone/>
                      <wp:docPr id="46" name="矩形 46"/>
                      <wp:cNvGraphicFramePr/>
                      <a:graphic xmlns:a="http://schemas.openxmlformats.org/drawingml/2006/main">
                        <a:graphicData uri="http://schemas.microsoft.com/office/word/2010/wordprocessingShape">
                          <wps:wsp>
                            <wps:cNvSpPr/>
                            <wps:spPr>
                              <a:xfrm>
                                <a:off x="0" y="0"/>
                                <a:ext cx="742950" cy="33337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4.25pt;margin-top:14.8pt;height:26.25pt;width:58.5pt;z-index:-1437920256;v-text-anchor:middle;mso-width-relative:page;mso-height-relative:page;" filled="f" stroked="t" coordsize="21600,21600" o:gfxdata="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jWbYJ2AAAAAkBAAAP&#10;AAAAAAAAAAEAIAAAACIAAABkcnMvZG93bnJldi54bWxQSwECFAAUAAAACACHTuJAzuyzdlECAACJ&#10;BAAADgAAAAAAAAABACAAAAAnAQAAZHJzL2Uyb0RvYy54bWxQSwUGAAAAAAYABgBZAQAA6gUAAAAA&#10;">
                      <v:fill on="f" focussize="0,0"/>
                      <v:stroke weight="1pt" color="#000000 [3213]" miterlimit="8" joinstyle="miter"/>
                      <v:imagedata o:title=""/>
                      <o:lock v:ext="edit" aspectratio="f"/>
                      <v:textbox>
                        <w:txbxContent>
                          <w:p>
                            <w:pPr>
                              <w:jc w:val="center"/>
                              <w:rPr>
                                <w:rFonts w:hint="eastAsia" w:eastAsiaTheme="minorEastAsia"/>
                                <w:lang w:val="en-US" w:eastAsia="zh-CN"/>
                              </w:rPr>
                            </w:pPr>
                            <w:r>
                              <w:rPr>
                                <w:rFonts w:hint="eastAsia"/>
                                <w:lang w:val="en-US" w:eastAsia="zh-CN"/>
                              </w:rPr>
                              <w:t>化粪池</w:t>
                            </w:r>
                          </w:p>
                        </w:txbxContent>
                      </v:textbox>
                    </v:rect>
                  </w:pict>
                </mc:Fallback>
              </mc:AlternateContent>
            </w:r>
            <w:r>
              <w:rPr>
                <w:rFonts w:hint="default"/>
                <w:color w:val="auto"/>
                <w:sz w:val="24"/>
                <w:highlight w:val="none"/>
              </w:rPr>
              <mc:AlternateContent>
                <mc:Choice Requires="wps">
                  <w:drawing>
                    <wp:anchor distT="0" distB="0" distL="114300" distR="114300" simplePos="0" relativeHeight="3098421248" behindDoc="0" locked="0" layoutInCell="1" allowOverlap="1">
                      <wp:simplePos x="0" y="0"/>
                      <wp:positionH relativeFrom="column">
                        <wp:posOffset>1165225</wp:posOffset>
                      </wp:positionH>
                      <wp:positionV relativeFrom="paragraph">
                        <wp:posOffset>187960</wp:posOffset>
                      </wp:positionV>
                      <wp:extent cx="742950" cy="333375"/>
                      <wp:effectExtent l="6350" t="6350" r="12700" b="22225"/>
                      <wp:wrapNone/>
                      <wp:docPr id="42" name="矩形 42"/>
                      <wp:cNvGraphicFramePr/>
                      <a:graphic xmlns:a="http://schemas.openxmlformats.org/drawingml/2006/main">
                        <a:graphicData uri="http://schemas.microsoft.com/office/word/2010/wordprocessingShape">
                          <wps:wsp>
                            <wps:cNvSpPr/>
                            <wps:spPr>
                              <a:xfrm>
                                <a:off x="2599690" y="6371590"/>
                                <a:ext cx="742950" cy="33337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75pt;margin-top:14.8pt;height:26.25pt;width:58.5pt;z-index:-1196546048;v-text-anchor:middle;mso-width-relative:page;mso-height-relative:page;" filled="f" stroked="t" coordsize="21600,21600" o:gfxdata="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nf2&#10;PdcAAAAJAQAADwAAAAAAAAABACAAAAAiAAAAZHJzL2Rvd25yZXYueG1sUEsBAhQAFAAAAAgAh07i&#10;QDTgMNNcAgAAlQQAAA4AAAAAAAAAAQAgAAAAJgEAAGRycy9lMm9Eb2MueG1sUEsFBgAAAAAGAAYA&#10;WQEAAPQFAAAAAA==&#10;">
                      <v:fill on="f" focussize="0,0"/>
                      <v:stroke weight="1pt" color="#000000 [3213]" miterlimit="8" joinstyle="miter"/>
                      <v:imagedata o:title=""/>
                      <o:lock v:ext="edit" aspectratio="f"/>
                      <v:textbox>
                        <w:txbxContent>
                          <w:p>
                            <w:pPr>
                              <w:jc w:val="center"/>
                              <w:rPr>
                                <w:rFonts w:hint="eastAsia" w:eastAsiaTheme="minorEastAsia"/>
                                <w:lang w:val="en-US" w:eastAsia="zh-CN"/>
                              </w:rPr>
                            </w:pPr>
                            <w:r>
                              <w:rPr>
                                <w:rFonts w:hint="eastAsia"/>
                                <w:lang w:val="en-US" w:eastAsia="zh-CN"/>
                              </w:rPr>
                              <w:t>生活用水</w:t>
                            </w:r>
                          </w:p>
                        </w:txbxContent>
                      </v:textbox>
                    </v:rect>
                  </w:pict>
                </mc:Fallback>
              </mc:AlternateContent>
            </w: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auto"/>
                <w:sz w:val="24"/>
                <w:szCs w:val="24"/>
                <w:highlight w:val="none"/>
                <w:lang w:val="en-US" w:eastAsia="zh-CN"/>
              </w:rPr>
            </w:pPr>
            <w:r>
              <w:rPr>
                <w:rFonts w:hint="default"/>
                <w:color w:val="auto"/>
                <w:sz w:val="24"/>
                <w:highlight w:val="none"/>
              </w:rPr>
              <mc:AlternateContent>
                <mc:Choice Requires="wps">
                  <w:drawing>
                    <wp:anchor distT="0" distB="0" distL="114300" distR="114300" simplePos="0" relativeHeight="2615671808" behindDoc="0" locked="0" layoutInCell="1" allowOverlap="1">
                      <wp:simplePos x="0" y="0"/>
                      <wp:positionH relativeFrom="column">
                        <wp:posOffset>3346450</wp:posOffset>
                      </wp:positionH>
                      <wp:positionV relativeFrom="paragraph">
                        <wp:posOffset>121285</wp:posOffset>
                      </wp:positionV>
                      <wp:extent cx="685800" cy="0"/>
                      <wp:effectExtent l="0" t="48895" r="0" b="65405"/>
                      <wp:wrapNone/>
                      <wp:docPr id="47" name="直接箭头连接符 47"/>
                      <wp:cNvGraphicFramePr/>
                      <a:graphic xmlns:a="http://schemas.openxmlformats.org/drawingml/2006/main">
                        <a:graphicData uri="http://schemas.microsoft.com/office/word/2010/wordprocessingShape">
                          <wps:wsp>
                            <wps:cNvCnPr/>
                            <wps:spPr>
                              <a:xfrm>
                                <a:off x="0" y="0"/>
                                <a:ext cx="685800"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5pt;margin-top:9.55pt;height:0pt;width:54pt;z-index:-1679295488;mso-width-relative:page;mso-height-relative:page;" filled="f" stroked="t" coordsize="21600,21600" o:gfxdata="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XBIetYA&#10;AAAJAQAADwAAAAAAAAABACAAAAAiAAAAZHJzL2Rvd25yZXYueG1sUEsBAhQAFAAAAAgAh07iQMqG&#10;7ADoAQAAkQMAAA4AAAAAAAAAAQAgAAAAJQEAAGRycy9lMm9Eb2MueG1sUEsFBgAAAAAGAAYAWQEA&#10;AH8FAAAAAA==&#10;">
                      <v:fill on="f" focussize="0,0"/>
                      <v:stroke weight="0.25pt" color="#000000 [3213]" miterlimit="8" joinstyle="miter" endarrow="open"/>
                      <v:imagedata o:title=""/>
                      <o:lock v:ext="edit" aspectratio="f"/>
                    </v:shape>
                  </w:pict>
                </mc:Fallback>
              </mc:AlternateContent>
            </w:r>
            <w:r>
              <w:rPr>
                <w:rFonts w:hint="default"/>
                <w:color w:val="auto"/>
                <w:sz w:val="24"/>
                <w:highlight w:val="none"/>
              </w:rPr>
              <mc:AlternateContent>
                <mc:Choice Requires="wps">
                  <w:drawing>
                    <wp:anchor distT="0" distB="0" distL="114300" distR="114300" simplePos="0" relativeHeight="830251008" behindDoc="0" locked="0" layoutInCell="1" allowOverlap="1">
                      <wp:simplePos x="0" y="0"/>
                      <wp:positionH relativeFrom="column">
                        <wp:posOffset>1917700</wp:posOffset>
                      </wp:positionH>
                      <wp:positionV relativeFrom="paragraph">
                        <wp:posOffset>121285</wp:posOffset>
                      </wp:positionV>
                      <wp:extent cx="685800" cy="0"/>
                      <wp:effectExtent l="0" t="48895" r="0" b="65405"/>
                      <wp:wrapNone/>
                      <wp:docPr id="44" name="直接箭头连接符 44"/>
                      <wp:cNvGraphicFramePr/>
                      <a:graphic xmlns:a="http://schemas.openxmlformats.org/drawingml/2006/main">
                        <a:graphicData uri="http://schemas.microsoft.com/office/word/2010/wordprocessingShape">
                          <wps:wsp>
                            <wps:cNvCnPr/>
                            <wps:spPr>
                              <a:xfrm>
                                <a:off x="0" y="0"/>
                                <a:ext cx="685800"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pt;margin-top:9.55pt;height:0pt;width:54pt;z-index:830251008;mso-width-relative:page;mso-height-relative:page;" filled="f" stroked="t" coordsize="21600,21600" o:gfxdata="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6hE3Q1QAA&#10;AAkBAAAPAAAAAAAAAAEAIAAAACIAAABkcnMvZG93bnJldi54bWxQSwECFAAUAAAACACHTuJA+b6Y&#10;q+gBAACRAwAADgAAAAAAAAABACAAAAAkAQAAZHJzL2Uyb0RvYy54bWxQSwUGAAAAAAYABgBZAQAA&#10;fgUAAAAA&#10;">
                      <v:fill on="f" focussize="0,0"/>
                      <v:stroke weight="0.25pt" color="#000000 [3213]" miterlimit="8" joinstyle="miter" endarrow="open"/>
                      <v:imagedata o:title=""/>
                      <o:lock v:ext="edit" aspectratio="f"/>
                    </v:shape>
                  </w:pict>
                </mc:Fallback>
              </mc:AlternateContent>
            </w:r>
            <w:r>
              <w:rPr>
                <w:rFonts w:hint="default"/>
                <w:color w:val="auto"/>
                <w:sz w:val="24"/>
                <w:highlight w:val="none"/>
              </w:rPr>
              <mc:AlternateContent>
                <mc:Choice Requires="wps">
                  <w:drawing>
                    <wp:anchor distT="0" distB="0" distL="114300" distR="114300" simplePos="0" relativeHeight="830252032" behindDoc="0" locked="0" layoutInCell="1" allowOverlap="1">
                      <wp:simplePos x="0" y="0"/>
                      <wp:positionH relativeFrom="column">
                        <wp:posOffset>374650</wp:posOffset>
                      </wp:positionH>
                      <wp:positionV relativeFrom="paragraph">
                        <wp:posOffset>140335</wp:posOffset>
                      </wp:positionV>
                      <wp:extent cx="647700" cy="333375"/>
                      <wp:effectExtent l="0" t="0" r="0" b="0"/>
                      <wp:wrapNone/>
                      <wp:docPr id="45" name="矩形 45"/>
                      <wp:cNvGraphicFramePr/>
                      <a:graphic xmlns:a="http://schemas.openxmlformats.org/drawingml/2006/main">
                        <a:graphicData uri="http://schemas.microsoft.com/office/word/2010/wordprocessingShape">
                          <wps:wsp>
                            <wps:cNvSpPr/>
                            <wps:spPr>
                              <a:xfrm>
                                <a:off x="1656715" y="6066790"/>
                                <a:ext cx="647700" cy="3333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11.05pt;height:26.25pt;width:51pt;z-index:830252032;v-text-anchor:middle;mso-width-relative:page;mso-height-relative:page;" filled="f" stroked="f" coordsize="21600,21600" o:gfxdata="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Z/3CfWAAAACAEAAA8AAAAA&#10;AAAAAQAgAAAAIgAAAGRycy9kb3ducmV2LnhtbFBLAQIUABQAAAAIAIdO4kDJcyMETwIAAGwEAAAO&#10;AAAAAAAAAAEAIAAAACUBAABkcnMvZTJvRG9jLnhtbFBLBQYAAAAABgAGAFkBAADmBQAAAAA=&#10;">
                      <v:fill on="f" focussize="0,0"/>
                      <v:stroke on="f" weight="1pt" miterlimit="8" joinstyle="miter"/>
                      <v:imagedata o:title=""/>
                      <o:lock v:ext="edit" aspectratio="f"/>
                      <v:textbox>
                        <w:txbxContent>
                          <w:p>
                            <w:pPr>
                              <w:jc w:val="center"/>
                              <w:rPr>
                                <w:rFonts w:hint="eastAsia" w:eastAsiaTheme="minorEastAsia"/>
                                <w:lang w:val="en-US" w:eastAsia="zh-CN"/>
                              </w:rPr>
                            </w:pPr>
                            <w:r>
                              <w:rPr>
                                <w:rFonts w:hint="eastAsia"/>
                                <w:lang w:val="en-US" w:eastAsia="zh-CN"/>
                              </w:rPr>
                              <w:t>新鲜水</w:t>
                            </w:r>
                          </w:p>
                        </w:txbxContent>
                      </v:textbox>
                    </v:rect>
                  </w:pict>
                </mc:Fallback>
              </mc:AlternateContent>
            </w:r>
            <w:r>
              <w:rPr>
                <w:rFonts w:hint="default"/>
                <w:color w:val="auto"/>
                <w:sz w:val="24"/>
                <w:highlight w:val="none"/>
              </w:rPr>
              <mc:AlternateContent>
                <mc:Choice Requires="wps">
                  <w:drawing>
                    <wp:anchor distT="0" distB="0" distL="114300" distR="114300" simplePos="0" relativeHeight="3098422272" behindDoc="0" locked="0" layoutInCell="1" allowOverlap="1">
                      <wp:simplePos x="0" y="0"/>
                      <wp:positionH relativeFrom="column">
                        <wp:posOffset>269875</wp:posOffset>
                      </wp:positionH>
                      <wp:positionV relativeFrom="paragraph">
                        <wp:posOffset>121285</wp:posOffset>
                      </wp:positionV>
                      <wp:extent cx="895350" cy="0"/>
                      <wp:effectExtent l="0" t="48895" r="0" b="65405"/>
                      <wp:wrapNone/>
                      <wp:docPr id="43" name="直接箭头连接符 43"/>
                      <wp:cNvGraphicFramePr/>
                      <a:graphic xmlns:a="http://schemas.openxmlformats.org/drawingml/2006/main">
                        <a:graphicData uri="http://schemas.microsoft.com/office/word/2010/wordprocessingShape">
                          <wps:wsp>
                            <wps:cNvCnPr/>
                            <wps:spPr>
                              <a:xfrm>
                                <a:off x="1399540" y="6495415"/>
                                <a:ext cx="895350"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25pt;margin-top:9.55pt;height:0pt;width:70.5pt;z-index:-1196545024;mso-width-relative:page;mso-height-relative:page;" filled="f" stroked="t" coordsize="21600,21600" o:gfxdata="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QPFvNQAAAAIAQAADwAAAAAAAAABACAAAAAiAAAAZHJzL2Rvd25yZXYueG1sUEsBAhQA&#10;FAAAAAgAh07iQCPfln32AQAAnQMAAA4AAAAAAAAAAQAgAAAAIwEAAGRycy9lMm9Eb2MueG1sUEsF&#10;BgAAAAAGAAYAWQEAAIsFAAAAAA==&#10;">
                      <v:fill on="f" focussize="0,0"/>
                      <v:stroke weight="0.25pt" color="#000000 [3213]" miterlimit="8" joinstyle="miter" endarrow="open"/>
                      <v:imagedata o:title=""/>
                      <o:lock v:ext="edit" aspectratio="f"/>
                    </v:shape>
                  </w:pict>
                </mc:Fallback>
              </mc:AlternateContent>
            </w: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auto"/>
                <w:sz w:val="24"/>
                <w:szCs w:val="24"/>
                <w:highlight w:val="none"/>
                <w:lang w:val="en-US" w:eastAsia="zh-CN"/>
              </w:rPr>
            </w:pP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auto"/>
                <w:sz w:val="24"/>
                <w:szCs w:val="24"/>
                <w:highlight w:val="none"/>
                <w:lang w:val="en-US" w:eastAsia="zh-CN"/>
              </w:rPr>
            </w:pPr>
          </w:p>
          <w:p>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auto"/>
                <w:sz w:val="24"/>
                <w:szCs w:val="24"/>
                <w:highlight w:val="none"/>
                <w:lang w:val="en-US" w:eastAsia="zh-CN"/>
              </w:rPr>
            </w:pPr>
          </w:p>
          <w:p>
            <w:pPr>
              <w:keepNext w:val="0"/>
              <w:keepLines w:val="0"/>
              <w:suppressLineNumbers w:val="0"/>
              <w:spacing w:before="0" w:beforeAutospacing="0" w:after="0" w:afterAutospacing="0" w:line="360" w:lineRule="exact"/>
              <w:ind w:left="0" w:right="0"/>
              <w:jc w:val="center"/>
              <w:rPr>
                <w:rFonts w:hint="default" w:ascii="Times New Roman" w:hAnsi="Times New Roman" w:eastAsia="仿宋_GB2312" w:cs="Times New Roman"/>
                <w:color w:val="auto"/>
                <w:sz w:val="24"/>
                <w:szCs w:val="24"/>
                <w:highlight w:val="none"/>
                <w:lang w:val="en-US"/>
              </w:rPr>
            </w:pPr>
            <w:r>
              <w:rPr>
                <w:rFonts w:hint="default" w:ascii="Times New Roman" w:hAnsi="Times New Roman" w:cs="Times New Roman"/>
                <w:color w:val="auto"/>
                <w:kern w:val="0"/>
                <w:sz w:val="24"/>
                <w:szCs w:val="24"/>
                <w:highlight w:val="none"/>
                <w:lang w:val="en-US" w:eastAsia="zh-CN"/>
              </w:rPr>
              <w:t xml:space="preserve">图2-1  </w:t>
            </w:r>
            <w:r>
              <w:rPr>
                <w:rFonts w:hint="default" w:ascii="Times New Roman" w:hAnsi="Times New Roman" w:eastAsia="宋体" w:cs="Times New Roman"/>
                <w:color w:val="auto"/>
                <w:kern w:val="2"/>
                <w:sz w:val="24"/>
                <w:szCs w:val="24"/>
                <w:highlight w:val="none"/>
                <w:lang w:val="en-US" w:eastAsia="zh-CN" w:bidi="ar-SA"/>
              </w:rPr>
              <w:t>水平衡图    单位m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d</w:t>
            </w:r>
          </w:p>
        </w:tc>
      </w:tr>
    </w:tbl>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lang w:eastAsia="zh-CN"/>
        </w:rPr>
        <w:t>续</w:t>
      </w: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eastAsia="zh-CN"/>
        </w:rPr>
        <w:t>二</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65" w:hRule="atLeast"/>
          <w:jc w:val="center"/>
        </w:trPr>
        <w:tc>
          <w:tcPr>
            <w:tcW w:w="892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81" w:beforeLines="50" w:beforeAutospacing="0" w:after="0" w:afterAutospacing="0" w:line="360" w:lineRule="auto"/>
              <w:ind w:left="0" w:right="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主要工艺流程及产物环节（附处理工艺流程图，标出产污节点）</w:t>
            </w:r>
          </w:p>
          <w:p>
            <w:pPr>
              <w:keepNext w:val="0"/>
              <w:keepLines w:val="0"/>
              <w:pageBreakBefore w:val="0"/>
              <w:widowControl w:val="0"/>
              <w:suppressLineNumbers w:val="0"/>
              <w:tabs>
                <w:tab w:val="left" w:pos="1242"/>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2.6</w:t>
            </w:r>
            <w:r>
              <w:rPr>
                <w:rFonts w:hint="default" w:ascii="Times New Roman" w:hAnsi="Times New Roman" w:cs="Times New Roman"/>
                <w:color w:val="auto"/>
                <w:sz w:val="24"/>
                <w:szCs w:val="24"/>
                <w:highlight w:val="none"/>
                <w:lang w:eastAsia="zh-CN"/>
              </w:rPr>
              <w:t>主要工艺流程及产污节点详见图</w:t>
            </w:r>
            <w:r>
              <w:rPr>
                <w:rFonts w:hint="default" w:ascii="Times New Roman" w:hAnsi="Times New Roman" w:cs="Times New Roman"/>
                <w:color w:val="auto"/>
                <w:sz w:val="24"/>
                <w:szCs w:val="24"/>
                <w:highlight w:val="none"/>
                <w:lang w:val="en-US" w:eastAsia="zh-CN"/>
              </w:rPr>
              <w:t>2-2</w:t>
            </w:r>
          </w:p>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drawing>
                <wp:inline distT="0" distB="0" distL="114300" distR="114300">
                  <wp:extent cx="5522595" cy="2689225"/>
                  <wp:effectExtent l="0" t="0" r="1905" b="15875"/>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2"/>
                          <a:stretch>
                            <a:fillRect/>
                          </a:stretch>
                        </pic:blipFill>
                        <pic:spPr>
                          <a:xfrm>
                            <a:off x="0" y="0"/>
                            <a:ext cx="5522595" cy="2689225"/>
                          </a:xfrm>
                          <a:prstGeom prst="rect">
                            <a:avLst/>
                          </a:prstGeom>
                        </pic:spPr>
                      </pic:pic>
                    </a:graphicData>
                  </a:graphic>
                </wp:inline>
              </w:drawing>
            </w:r>
          </w:p>
          <w:p>
            <w:pPr>
              <w:pStyle w:val="2"/>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pPr>
              <w:keepNext w:val="0"/>
              <w:keepLines w:val="0"/>
              <w:suppressLineNumbers w:val="0"/>
              <w:spacing w:before="0" w:beforeAutospacing="0" w:after="0" w:afterAutospacing="0" w:line="360" w:lineRule="auto"/>
              <w:ind w:left="0" w:right="0"/>
              <w:jc w:val="center"/>
              <w:rPr>
                <w:rFonts w:hint="default" w:ascii="Times New Roman" w:hAnsi="Times New Roman" w:eastAsia="仿宋_GB2312" w:cs="Times New Roman"/>
                <w:color w:val="auto"/>
                <w:sz w:val="24"/>
                <w:szCs w:val="24"/>
                <w:highlight w:val="none"/>
              </w:rPr>
            </w:pPr>
            <w:r>
              <w:rPr>
                <w:rFonts w:hint="default" w:ascii="Times New Roman" w:hAnsi="Times New Roman" w:cs="Times New Roman"/>
                <w:color w:val="auto"/>
                <w:sz w:val="24"/>
                <w:szCs w:val="24"/>
                <w:highlight w:val="none"/>
                <w:lang w:eastAsia="zh-CN"/>
              </w:rPr>
              <w:t>图</w:t>
            </w:r>
            <w:r>
              <w:rPr>
                <w:rFonts w:hint="default" w:ascii="Times New Roman" w:hAnsi="Times New Roman" w:cs="Times New Roman"/>
                <w:color w:val="auto"/>
                <w:sz w:val="24"/>
                <w:szCs w:val="24"/>
                <w:highlight w:val="none"/>
                <w:lang w:val="en-US" w:eastAsia="zh-CN"/>
              </w:rPr>
              <w:t>2-2</w:t>
            </w:r>
            <w:r>
              <w:rPr>
                <w:rFonts w:hint="default" w:ascii="Times New Roman" w:hAnsi="Times New Roman" w:cs="Times New Roman"/>
                <w:color w:val="auto"/>
                <w:sz w:val="24"/>
                <w:szCs w:val="24"/>
                <w:highlight w:val="none"/>
                <w:lang w:eastAsia="zh-CN"/>
              </w:rPr>
              <w:t xml:space="preserve"> 项目</w:t>
            </w:r>
            <w:r>
              <w:rPr>
                <w:rFonts w:hint="default" w:ascii="Times New Roman" w:hAnsi="Times New Roman" w:cs="Times New Roman"/>
                <w:color w:val="auto"/>
                <w:sz w:val="24"/>
                <w:szCs w:val="24"/>
                <w:highlight w:val="none"/>
                <w:lang w:val="en-US" w:eastAsia="zh-CN"/>
              </w:rPr>
              <w:t>生产</w:t>
            </w:r>
            <w:r>
              <w:rPr>
                <w:rFonts w:hint="default" w:ascii="Times New Roman" w:hAnsi="Times New Roman" w:cs="Times New Roman"/>
                <w:color w:val="auto"/>
                <w:sz w:val="24"/>
                <w:szCs w:val="24"/>
                <w:highlight w:val="none"/>
                <w:lang w:eastAsia="zh-CN"/>
              </w:rPr>
              <w:t>工艺及产污环节图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25" w:hRule="atLeast"/>
          <w:jc w:val="center"/>
        </w:trPr>
        <w:tc>
          <w:tcPr>
            <w:tcW w:w="892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81" w:beforeLines="5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rPr>
            </w:pPr>
            <w:bookmarkStart w:id="0" w:name="_Toc14716"/>
            <w:r>
              <w:rPr>
                <w:rFonts w:hint="default" w:ascii="Times New Roman" w:hAnsi="Times New Roman" w:eastAsia="宋体"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变更情况</w:t>
            </w:r>
            <w:bookmarkEnd w:id="0"/>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根据《环境影响评价法》第二十四条第一款规定：“建设项目的环境影响评价文件经审批后，建设项目的性质、规模、地点、采用的生产工艺或者防治污染、防止生态破坏的措施发生重大变动的，建设单位应当重新报批建设项目的环境影响评价文件。主要变更内容见表2-3</w:t>
            </w:r>
            <w:r>
              <w:rPr>
                <w:rFonts w:hint="eastAsia" w:ascii="Times New Roman" w:hAnsi="Times New Roman" w:cs="Times New Roman"/>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_GB2312" w:cs="Times New Roman"/>
                <w:color w:val="auto"/>
                <w:sz w:val="24"/>
                <w:szCs w:val="24"/>
                <w:highlight w:val="none"/>
              </w:rPr>
            </w:pPr>
          </w:p>
        </w:tc>
      </w:tr>
    </w:tbl>
    <w:p>
      <w:pPr>
        <w:spacing w:after="0" w:afterLines="0" w:line="360" w:lineRule="auto"/>
        <w:rPr>
          <w:rFonts w:hint="default" w:ascii="Times New Roman" w:hAnsi="Times New Roman" w:eastAsia="仿宋_GB2312" w:cs="Times New Roman"/>
          <w:b/>
          <w:color w:val="auto"/>
          <w:sz w:val="24"/>
          <w:szCs w:val="24"/>
          <w:highlight w:val="none"/>
        </w:rPr>
        <w:sectPr>
          <w:pgSz w:w="11906" w:h="16838"/>
          <w:pgMar w:top="1440" w:right="1800" w:bottom="1440" w:left="1800" w:header="1134" w:footer="1134"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lang w:eastAsia="zh-CN"/>
        </w:rPr>
        <w:t>续</w:t>
      </w:r>
      <w:r>
        <w:rPr>
          <w:rFonts w:hint="default" w:ascii="Times New Roman" w:hAnsi="Times New Roman" w:eastAsia="仿宋_GB2312" w:cs="Times New Roman"/>
          <w:b/>
          <w:color w:val="auto"/>
          <w:sz w:val="24"/>
          <w:szCs w:val="24"/>
          <w:highlight w:val="none"/>
        </w:rPr>
        <w:t>表二</w:t>
      </w:r>
    </w:p>
    <w:tbl>
      <w:tblPr>
        <w:tblStyle w:val="26"/>
        <w:tblW w:w="1417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575" w:hRule="atLeast"/>
          <w:jc w:val="center"/>
        </w:trPr>
        <w:tc>
          <w:tcPr>
            <w:tcW w:w="1417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81" w:beforeLines="50" w:beforeAutospacing="0" w:after="0" w:afterAutospacing="0" w:line="360" w:lineRule="auto"/>
              <w:ind w:left="0" w:right="0"/>
              <w:jc w:val="center"/>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表2-3  主要变更内容汇总表</w:t>
            </w:r>
          </w:p>
          <w:tbl>
            <w:tblPr>
              <w:tblStyle w:val="26"/>
              <w:tblW w:w="13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572"/>
              <w:gridCol w:w="5355"/>
              <w:gridCol w:w="4455"/>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572"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w:t>
                  </w:r>
                </w:p>
              </w:tc>
              <w:tc>
                <w:tcPr>
                  <w:tcW w:w="9810" w:type="dxa"/>
                  <w:gridSpan w:val="2"/>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主要建设内容</w:t>
                  </w:r>
                </w:p>
              </w:tc>
              <w:tc>
                <w:tcPr>
                  <w:tcW w:w="1836"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72"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3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环评及批复要求</w:t>
                  </w:r>
                </w:p>
              </w:tc>
              <w:tc>
                <w:tcPr>
                  <w:tcW w:w="44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实际建设</w:t>
                  </w:r>
                </w:p>
              </w:tc>
              <w:tc>
                <w:tcPr>
                  <w:tcW w:w="183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72"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性质</w:t>
                  </w:r>
                </w:p>
              </w:tc>
              <w:tc>
                <w:tcPr>
                  <w:tcW w:w="53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新建</w:t>
                  </w:r>
                </w:p>
              </w:tc>
              <w:tc>
                <w:tcPr>
                  <w:tcW w:w="44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新建</w:t>
                  </w:r>
                </w:p>
              </w:tc>
              <w:tc>
                <w:tcPr>
                  <w:tcW w:w="183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7" w:hRule="atLeast"/>
                <w:jc w:val="center"/>
              </w:trPr>
              <w:tc>
                <w:tcPr>
                  <w:tcW w:w="73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72"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规模</w:t>
                  </w:r>
                </w:p>
              </w:tc>
              <w:tc>
                <w:tcPr>
                  <w:tcW w:w="53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本</w:t>
                  </w:r>
                  <w:r>
                    <w:rPr>
                      <w:rFonts w:hint="eastAsia" w:ascii="Times New Roman" w:hAnsi="Times New Roman" w:eastAsia="宋体" w:cs="Times New Roman"/>
                      <w:color w:val="auto"/>
                      <w:kern w:val="2"/>
                      <w:sz w:val="21"/>
                      <w:szCs w:val="21"/>
                      <w:highlight w:val="none"/>
                      <w:lang w:val="en-US" w:eastAsia="zh-CN" w:bidi="ar"/>
                    </w:rPr>
                    <w:t>项目</w:t>
                  </w:r>
                  <w:r>
                    <w:rPr>
                      <w:rFonts w:hint="eastAsia" w:ascii="Times New Roman" w:hAnsi="Times New Roman" w:eastAsia="宋体" w:cs="Times New Roman"/>
                      <w:color w:val="auto"/>
                      <w:spacing w:val="-4"/>
                      <w:kern w:val="2"/>
                      <w:sz w:val="21"/>
                      <w:szCs w:val="21"/>
                      <w:highlight w:val="none"/>
                      <w:lang w:val="en-US" w:eastAsia="zh-CN" w:bidi="ar"/>
                    </w:rPr>
                    <w:t>租赁陕西警力保安器械厂</w:t>
                  </w:r>
                  <w:r>
                    <w:rPr>
                      <w:rFonts w:hint="default" w:ascii="Times New Roman" w:hAnsi="Times New Roman" w:eastAsia="宋体" w:cs="Times New Roman"/>
                      <w:color w:val="auto"/>
                      <w:spacing w:val="-4"/>
                      <w:kern w:val="2"/>
                      <w:sz w:val="21"/>
                      <w:szCs w:val="21"/>
                      <w:highlight w:val="none"/>
                      <w:lang w:val="en-US" w:eastAsia="zh-CN" w:bidi="ar"/>
                    </w:rPr>
                    <w:t>1600m</w:t>
                  </w:r>
                  <w:r>
                    <w:rPr>
                      <w:rFonts w:hint="default" w:ascii="Times New Roman" w:hAnsi="Times New Roman" w:eastAsia="宋体" w:cs="Times New Roman"/>
                      <w:color w:val="auto"/>
                      <w:spacing w:val="-4"/>
                      <w:kern w:val="2"/>
                      <w:sz w:val="21"/>
                      <w:szCs w:val="21"/>
                      <w:highlight w:val="none"/>
                      <w:vertAlign w:val="superscript"/>
                      <w:lang w:val="en-US" w:eastAsia="zh-CN" w:bidi="ar"/>
                    </w:rPr>
                    <w:t>2</w:t>
                  </w:r>
                  <w:r>
                    <w:rPr>
                      <w:rFonts w:hint="eastAsia" w:ascii="Times New Roman" w:hAnsi="Times New Roman" w:eastAsia="宋体" w:cs="Times New Roman"/>
                      <w:color w:val="auto"/>
                      <w:spacing w:val="-4"/>
                      <w:kern w:val="2"/>
                      <w:sz w:val="21"/>
                      <w:szCs w:val="21"/>
                      <w:highlight w:val="none"/>
                      <w:lang w:val="en-US" w:eastAsia="zh-CN" w:bidi="ar"/>
                    </w:rPr>
                    <w:t>砖混厂房</w:t>
                  </w:r>
                  <w:r>
                    <w:rPr>
                      <w:rFonts w:hint="default" w:ascii="Times New Roman" w:hAnsi="Times New Roman" w:eastAsia="宋体" w:cs="Times New Roman"/>
                      <w:color w:val="auto"/>
                      <w:sz w:val="21"/>
                      <w:szCs w:val="21"/>
                      <w:highlight w:val="none"/>
                    </w:rPr>
                    <w:t>。主要建设内容包括</w:t>
                  </w:r>
                  <w:r>
                    <w:rPr>
                      <w:rFonts w:hint="eastAsia" w:ascii="Times New Roman" w:hAnsi="Times New Roman" w:eastAsia="宋体" w:cs="Times New Roman"/>
                      <w:color w:val="auto"/>
                      <w:sz w:val="21"/>
                      <w:szCs w:val="21"/>
                      <w:highlight w:val="none"/>
                      <w:lang w:val="en-US" w:eastAsia="zh-CN"/>
                    </w:rPr>
                    <w:t>生产厂房、刷漆房、办公区、食堂</w:t>
                  </w:r>
                  <w:r>
                    <w:rPr>
                      <w:rFonts w:hint="default" w:ascii="Times New Roman" w:hAnsi="Times New Roman" w:eastAsia="宋体" w:cs="Times New Roman"/>
                      <w:color w:val="auto"/>
                      <w:sz w:val="21"/>
                      <w:szCs w:val="21"/>
                      <w:highlight w:val="none"/>
                      <w:lang w:val="en-US" w:eastAsia="zh-CN"/>
                    </w:rPr>
                    <w:t>等</w:t>
                  </w:r>
                  <w:r>
                    <w:rPr>
                      <w:rFonts w:hint="eastAsia" w:ascii="Times New Roman" w:hAnsi="Times New Roman" w:eastAsia="宋体" w:cs="Times New Roman"/>
                      <w:color w:val="auto"/>
                      <w:sz w:val="21"/>
                      <w:szCs w:val="21"/>
                      <w:highlight w:val="none"/>
                      <w:lang w:val="en-US" w:eastAsia="zh-CN"/>
                    </w:rPr>
                    <w:t>。年产单元式幕墙框架1350件。</w:t>
                  </w:r>
                </w:p>
              </w:tc>
              <w:tc>
                <w:tcPr>
                  <w:tcW w:w="44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本</w:t>
                  </w:r>
                  <w:r>
                    <w:rPr>
                      <w:rFonts w:hint="eastAsia" w:ascii="Times New Roman" w:hAnsi="Times New Roman" w:eastAsia="宋体" w:cs="Times New Roman"/>
                      <w:color w:val="auto"/>
                      <w:kern w:val="2"/>
                      <w:sz w:val="21"/>
                      <w:szCs w:val="21"/>
                      <w:highlight w:val="none"/>
                      <w:lang w:val="en-US" w:eastAsia="zh-CN" w:bidi="ar"/>
                    </w:rPr>
                    <w:t>项目</w:t>
                  </w:r>
                  <w:r>
                    <w:rPr>
                      <w:rFonts w:hint="eastAsia" w:ascii="Times New Roman" w:hAnsi="Times New Roman" w:eastAsia="宋体" w:cs="Times New Roman"/>
                      <w:color w:val="auto"/>
                      <w:spacing w:val="-4"/>
                      <w:kern w:val="2"/>
                      <w:sz w:val="21"/>
                      <w:szCs w:val="21"/>
                      <w:highlight w:val="none"/>
                      <w:lang w:val="en-US" w:eastAsia="zh-CN" w:bidi="ar"/>
                    </w:rPr>
                    <w:t>租赁陕西警力保安器械厂</w:t>
                  </w:r>
                  <w:r>
                    <w:rPr>
                      <w:rFonts w:hint="default" w:ascii="Times New Roman" w:hAnsi="Times New Roman" w:eastAsia="宋体" w:cs="Times New Roman"/>
                      <w:color w:val="auto"/>
                      <w:spacing w:val="-4"/>
                      <w:kern w:val="2"/>
                      <w:sz w:val="21"/>
                      <w:szCs w:val="21"/>
                      <w:highlight w:val="none"/>
                      <w:lang w:val="en-US" w:eastAsia="zh-CN" w:bidi="ar"/>
                    </w:rPr>
                    <w:t>1600m</w:t>
                  </w:r>
                  <w:r>
                    <w:rPr>
                      <w:rFonts w:hint="default" w:ascii="Times New Roman" w:hAnsi="Times New Roman" w:eastAsia="宋体" w:cs="Times New Roman"/>
                      <w:color w:val="auto"/>
                      <w:spacing w:val="-4"/>
                      <w:kern w:val="2"/>
                      <w:sz w:val="21"/>
                      <w:szCs w:val="21"/>
                      <w:highlight w:val="none"/>
                      <w:vertAlign w:val="superscript"/>
                      <w:lang w:val="en-US" w:eastAsia="zh-CN" w:bidi="ar"/>
                    </w:rPr>
                    <w:t>2</w:t>
                  </w:r>
                  <w:r>
                    <w:rPr>
                      <w:rFonts w:hint="eastAsia" w:ascii="Times New Roman" w:hAnsi="Times New Roman" w:eastAsia="宋体" w:cs="Times New Roman"/>
                      <w:color w:val="auto"/>
                      <w:spacing w:val="-4"/>
                      <w:kern w:val="2"/>
                      <w:sz w:val="21"/>
                      <w:szCs w:val="21"/>
                      <w:highlight w:val="none"/>
                      <w:lang w:val="en-US" w:eastAsia="zh-CN" w:bidi="ar"/>
                    </w:rPr>
                    <w:t>砖混厂房</w:t>
                  </w:r>
                  <w:r>
                    <w:rPr>
                      <w:rFonts w:hint="default" w:ascii="Times New Roman" w:hAnsi="Times New Roman" w:eastAsia="宋体" w:cs="Times New Roman"/>
                      <w:color w:val="auto"/>
                      <w:sz w:val="21"/>
                      <w:szCs w:val="21"/>
                      <w:highlight w:val="none"/>
                    </w:rPr>
                    <w:t>。主要建设内容包括</w:t>
                  </w:r>
                  <w:r>
                    <w:rPr>
                      <w:rFonts w:hint="eastAsia" w:ascii="Times New Roman" w:hAnsi="Times New Roman" w:eastAsia="宋体" w:cs="Times New Roman"/>
                      <w:color w:val="auto"/>
                      <w:sz w:val="21"/>
                      <w:szCs w:val="21"/>
                      <w:highlight w:val="none"/>
                      <w:lang w:val="en-US" w:eastAsia="zh-CN"/>
                    </w:rPr>
                    <w:t>生产厂房、刷漆房、办公区、食堂</w:t>
                  </w:r>
                  <w:r>
                    <w:rPr>
                      <w:rFonts w:hint="default" w:ascii="Times New Roman" w:hAnsi="Times New Roman" w:eastAsia="宋体" w:cs="Times New Roman"/>
                      <w:color w:val="auto"/>
                      <w:sz w:val="21"/>
                      <w:szCs w:val="21"/>
                      <w:highlight w:val="none"/>
                      <w:lang w:val="en-US" w:eastAsia="zh-CN"/>
                    </w:rPr>
                    <w:t>等</w:t>
                  </w:r>
                  <w:r>
                    <w:rPr>
                      <w:rFonts w:hint="eastAsia" w:ascii="Times New Roman" w:hAnsi="Times New Roman" w:eastAsia="宋体" w:cs="Times New Roman"/>
                      <w:color w:val="auto"/>
                      <w:sz w:val="21"/>
                      <w:szCs w:val="21"/>
                      <w:highlight w:val="none"/>
                      <w:lang w:val="en-US" w:eastAsia="zh-CN"/>
                    </w:rPr>
                    <w:t>。年产单元式幕墙框架1350件。</w:t>
                  </w:r>
                </w:p>
              </w:tc>
              <w:tc>
                <w:tcPr>
                  <w:tcW w:w="183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3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p>
              </w:tc>
              <w:tc>
                <w:tcPr>
                  <w:tcW w:w="15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地点</w:t>
                  </w:r>
                </w:p>
              </w:tc>
              <w:tc>
                <w:tcPr>
                  <w:tcW w:w="535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陕西省西咸新区秦汉新城朝阳七路二号</w:t>
                  </w:r>
                </w:p>
              </w:tc>
              <w:tc>
                <w:tcPr>
                  <w:tcW w:w="445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陕西省西咸新区秦汉新城朝阳七路二号</w:t>
                  </w:r>
                </w:p>
              </w:tc>
              <w:tc>
                <w:tcPr>
                  <w:tcW w:w="183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73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5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生产工艺</w:t>
                  </w:r>
                </w:p>
              </w:tc>
              <w:tc>
                <w:tcPr>
                  <w:tcW w:w="535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eastAsia="zh-CN"/>
                    </w:rPr>
                    <w:t>将外购的角钢和方管进行切割、打孔、焊接、在焊缝处、刷漆，再和石板、防火棉组装成最终产品</w:t>
                  </w:r>
                </w:p>
              </w:tc>
              <w:tc>
                <w:tcPr>
                  <w:tcW w:w="445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outlineLvl w:val="9"/>
                    <w:rPr>
                      <w:rFonts w:hint="default" w:ascii="Times New Roman" w:hAnsi="Times New Roman" w:eastAsia="宋体" w:cs="Times New Roman"/>
                      <w:color w:val="auto"/>
                      <w:sz w:val="21"/>
                      <w:szCs w:val="21"/>
                      <w:highlight w:val="none"/>
                      <w:lang w:eastAsia="zh-CN"/>
                    </w:rPr>
                  </w:pPr>
                  <w:r>
                    <w:rPr>
                      <w:rFonts w:hint="eastAsia"/>
                      <w:color w:val="auto"/>
                      <w:sz w:val="21"/>
                      <w:szCs w:val="21"/>
                      <w:highlight w:val="none"/>
                      <w:lang w:eastAsia="zh-CN"/>
                    </w:rPr>
                    <w:t>将外购的角钢和方管进行切割、打孔、焊接、在焊缝处、刷漆，再和石板、防火棉组装成最终产品</w:t>
                  </w:r>
                </w:p>
              </w:tc>
              <w:tc>
                <w:tcPr>
                  <w:tcW w:w="183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6" w:hRule="atLeast"/>
                <w:jc w:val="center"/>
              </w:trPr>
              <w:tc>
                <w:tcPr>
                  <w:tcW w:w="73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57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污染防治措施</w:t>
                  </w:r>
                </w:p>
              </w:tc>
              <w:tc>
                <w:tcPr>
                  <w:tcW w:w="5355"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废水：</w:t>
                  </w:r>
                  <w:r>
                    <w:rPr>
                      <w:rFonts w:hint="default" w:ascii="Times New Roman" w:hAnsi="Times New Roman" w:cs="Times New Roman"/>
                      <w:color w:val="auto"/>
                      <w:sz w:val="21"/>
                      <w:szCs w:val="21"/>
                      <w:highlight w:val="none"/>
                    </w:rPr>
                    <w:t>该项目无生产废水产生，生活污水依托厂区化粪池预处理达标后，排入市政污水管网，最终进入朝阳污水处理厂</w:t>
                  </w:r>
                  <w:r>
                    <w:rPr>
                      <w:rFonts w:hint="default" w:ascii="Times New Roman" w:hAnsi="Times New Roman" w:eastAsia="宋体" w:cs="Times New Roman"/>
                      <w:color w:val="auto"/>
                      <w:kern w:val="2"/>
                      <w:sz w:val="21"/>
                      <w:szCs w:val="21"/>
                      <w:highlight w:val="none"/>
                      <w:lang w:val="en-US" w:eastAsia="zh-CN" w:bidi="ar-SA"/>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废气：焊接烟尘</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4套移动式烟尘净化器收集处理后达标排放；项目刷漆、晾干过程须在密闭的刷漆房内进行，有机物废气通过集气罩收集，经处理符合《挥发性有机物排放控制标准》（DB61/T1061-2017）后排放。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4455" w:type="dxa"/>
                  <w:tcBorders>
                    <w:tl2br w:val="nil"/>
                    <w:tr2bl w:val="nil"/>
                  </w:tcBorders>
                  <w:vAlign w:val="center"/>
                </w:tcPr>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废水：</w:t>
                  </w:r>
                  <w:r>
                    <w:rPr>
                      <w:rFonts w:hint="eastAsia" w:ascii="Times New Roman" w:hAnsi="Times New Roman" w:eastAsia="宋体" w:cs="Times New Roman"/>
                      <w:color w:val="auto"/>
                      <w:kern w:val="2"/>
                      <w:sz w:val="21"/>
                      <w:szCs w:val="21"/>
                      <w:highlight w:val="none"/>
                      <w:lang w:val="en-US" w:eastAsia="zh-CN" w:bidi="ar-SA"/>
                    </w:rPr>
                    <w:t>生活污水包括食堂废水，食堂废水经隔油池处理后和其他生活污水一起经化粪池处理后排入市政污水管网，最终进入朝阳污水处理厂。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废气：刷漆产生的有组织挥发性有机物苯、甲苯、二甲苯、非甲烷总烃经集气罩收集后通过活性炭吸附和UV光氧催化处理，经1根15m高排气筒排放。焊接烟尘经6台移动式焊烟净化器处理后无组织排放。食堂油烟经1台油烟净化器处理后，经1根直径300mm，高15m排气筒排放。</w:t>
                  </w:r>
                </w:p>
              </w:tc>
              <w:tc>
                <w:tcPr>
                  <w:tcW w:w="183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olor w:val="auto"/>
                      <w:highlight w:val="none"/>
                      <w:lang w:val="en-US" w:eastAsia="zh-CN"/>
                    </w:rPr>
                  </w:pPr>
                  <w:r>
                    <w:rPr>
                      <w:rFonts w:hint="default" w:ascii="Times New Roman" w:hAnsi="Times New Roman" w:cs="Times New Roman"/>
                      <w:color w:val="auto"/>
                      <w:highlight w:val="none"/>
                      <w:lang w:val="en-US" w:eastAsia="zh-CN"/>
                    </w:rPr>
                    <w:t>1、</w:t>
                  </w:r>
                  <w:r>
                    <w:rPr>
                      <w:rFonts w:hint="eastAsia"/>
                      <w:color w:val="auto"/>
                      <w:highlight w:val="none"/>
                      <w:lang w:val="en-US" w:eastAsia="zh-CN"/>
                    </w:rPr>
                    <w:t>废水：无变化</w:t>
                  </w:r>
                </w:p>
                <w:p>
                  <w:pPr>
                    <w:pStyle w:val="2"/>
                    <w:keepNext w:val="0"/>
                    <w:keepLines w:val="0"/>
                    <w:suppressLineNumbers w:val="0"/>
                    <w:spacing w:before="0" w:beforeAutospacing="0" w:after="0" w:afterAutospacing="0"/>
                    <w:ind w:left="0" w:leftChars="0" w:right="0" w:firstLine="0" w:firstLineChars="0"/>
                    <w:rPr>
                      <w:rFonts w:hint="default"/>
                      <w:color w:val="auto"/>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2、废气：有组织挥发性有机物通过活性炭吸附和UV光氧催化处理，经1根15m高排气筒排放。</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default" w:ascii="Times New Roman" w:hAnsi="Times New Roman" w:eastAsia="宋体" w:cs="Times New Roman"/>
                <w:color w:val="auto"/>
                <w:sz w:val="24"/>
                <w:szCs w:val="24"/>
                <w:highlight w:val="none"/>
              </w:rPr>
            </w:pPr>
          </w:p>
        </w:tc>
      </w:tr>
    </w:tbl>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lang w:eastAsia="zh-CN"/>
        </w:rPr>
        <w:t>续</w:t>
      </w:r>
      <w:r>
        <w:rPr>
          <w:rFonts w:hint="default" w:ascii="Times New Roman" w:hAnsi="Times New Roman" w:eastAsia="仿宋_GB2312" w:cs="Times New Roman"/>
          <w:b/>
          <w:color w:val="auto"/>
          <w:sz w:val="24"/>
          <w:szCs w:val="24"/>
          <w:highlight w:val="none"/>
        </w:rPr>
        <w:t>表二</w:t>
      </w:r>
    </w:p>
    <w:tbl>
      <w:tblPr>
        <w:tblStyle w:val="26"/>
        <w:tblW w:w="1417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538" w:hRule="atLeast"/>
          <w:jc w:val="center"/>
        </w:trPr>
        <w:tc>
          <w:tcPr>
            <w:tcW w:w="1417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81" w:beforeLines="50" w:beforeAutospacing="0" w:after="0" w:afterAutospacing="0" w:line="360" w:lineRule="auto"/>
              <w:ind w:left="0" w:right="0"/>
              <w:jc w:val="center"/>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续表2-3  主要变更内容汇总表</w:t>
            </w:r>
          </w:p>
          <w:tbl>
            <w:tblPr>
              <w:tblStyle w:val="26"/>
              <w:tblW w:w="13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741"/>
              <w:gridCol w:w="4612"/>
              <w:gridCol w:w="4215"/>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674" w:type="dxa"/>
                  <w:vMerge w:val="restart"/>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741" w:type="dxa"/>
                  <w:vMerge w:val="restart"/>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w:t>
                  </w:r>
                </w:p>
              </w:tc>
              <w:tc>
                <w:tcPr>
                  <w:tcW w:w="8827" w:type="dxa"/>
                  <w:gridSpan w:val="2"/>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主要建设内容</w:t>
                  </w:r>
                </w:p>
              </w:tc>
              <w:tc>
                <w:tcPr>
                  <w:tcW w:w="2706" w:type="dxa"/>
                  <w:vMerge w:val="restart"/>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674" w:type="dxa"/>
                  <w:vMerge w:val="continue"/>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rPr>
                  </w:pPr>
                </w:p>
              </w:tc>
              <w:tc>
                <w:tcPr>
                  <w:tcW w:w="1741" w:type="dxa"/>
                  <w:vMerge w:val="continue"/>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rPr>
                  </w:pPr>
                </w:p>
              </w:tc>
              <w:tc>
                <w:tcPr>
                  <w:tcW w:w="4612"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环评及批复要求</w:t>
                  </w:r>
                </w:p>
              </w:tc>
              <w:tc>
                <w:tcPr>
                  <w:tcW w:w="4215"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实际建设</w:t>
                  </w:r>
                </w:p>
              </w:tc>
              <w:tc>
                <w:tcPr>
                  <w:tcW w:w="2706" w:type="dxa"/>
                  <w:vMerge w:val="continue"/>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8" w:hRule="atLeast"/>
                <w:jc w:val="center"/>
              </w:trPr>
              <w:tc>
                <w:tcPr>
                  <w:tcW w:w="674"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74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污染防治措施</w:t>
                  </w:r>
                </w:p>
              </w:tc>
              <w:tc>
                <w:tcPr>
                  <w:tcW w:w="461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color w:val="auto"/>
                      <w:sz w:val="21"/>
                      <w:szCs w:val="21"/>
                      <w:highlight w:val="none"/>
                      <w:lang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噪声：一是通过合理布局，选用低噪设备，设备均设置室内，采用基础减震、隔声等措施减少噪声的产生；二是加强职工环保意识教育，提倡文明生产，防止人为噪声产生。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固体废物主要为废边角料、钢屑、焊渣、生活垃圾、废油脂、废活性炭、油漆废包装桶。废边角料、钢屑、焊渣外售处置；生活垃圾统一收集，交由环卫清运；废油脂交由有资质单位处置；废活性炭、油漆废包装桶属危险废物，须按危废管理要求，及时交由有资质的单位处理。</w:t>
                  </w:r>
                </w:p>
              </w:tc>
              <w:tc>
                <w:tcPr>
                  <w:tcW w:w="42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3、噪声：</w:t>
                  </w:r>
                  <w:r>
                    <w:rPr>
                      <w:rFonts w:hint="eastAsia" w:ascii="Times New Roman" w:hAnsi="Times New Roman" w:eastAsia="宋体" w:cs="Times New Roman"/>
                      <w:color w:val="auto"/>
                      <w:kern w:val="2"/>
                      <w:sz w:val="21"/>
                      <w:szCs w:val="21"/>
                      <w:highlight w:val="none"/>
                      <w:lang w:val="en-US" w:eastAsia="zh-CN" w:bidi="ar-SA"/>
                    </w:rPr>
                    <w:t>本项目</w:t>
                  </w:r>
                  <w:r>
                    <w:rPr>
                      <w:rFonts w:hint="default" w:ascii="Times New Roman" w:hAnsi="Times New Roman" w:eastAsia="宋体" w:cs="Times New Roman"/>
                      <w:color w:val="auto"/>
                      <w:kern w:val="2"/>
                      <w:sz w:val="21"/>
                      <w:szCs w:val="21"/>
                      <w:highlight w:val="none"/>
                      <w:lang w:val="en-US" w:eastAsia="zh-CN" w:bidi="ar-SA"/>
                    </w:rPr>
                    <w:t>选用低噪</w:t>
                  </w:r>
                  <w:r>
                    <w:rPr>
                      <w:rFonts w:hint="eastAsia" w:ascii="Times New Roman" w:hAnsi="Times New Roman" w:eastAsia="宋体" w:cs="Times New Roman"/>
                      <w:color w:val="auto"/>
                      <w:kern w:val="2"/>
                      <w:sz w:val="21"/>
                      <w:szCs w:val="21"/>
                      <w:highlight w:val="none"/>
                      <w:lang w:val="en-US" w:eastAsia="zh-CN" w:bidi="ar-SA"/>
                    </w:rPr>
                    <w:t>声</w:t>
                  </w:r>
                  <w:r>
                    <w:rPr>
                      <w:rFonts w:hint="default" w:ascii="Times New Roman" w:hAnsi="Times New Roman" w:eastAsia="宋体" w:cs="Times New Roman"/>
                      <w:color w:val="auto"/>
                      <w:kern w:val="2"/>
                      <w:sz w:val="21"/>
                      <w:szCs w:val="21"/>
                      <w:highlight w:val="none"/>
                      <w:lang w:val="en-US" w:eastAsia="zh-CN" w:bidi="ar-SA"/>
                    </w:rPr>
                    <w:t>设备，设备均设置室内，采用隔声等措施减少噪声的产生</w:t>
                  </w:r>
                  <w:r>
                    <w:rPr>
                      <w:rFonts w:hint="eastAsia" w:ascii="Times New Roman" w:hAnsi="Times New Roman" w:eastAsia="宋体" w:cs="Times New Roman"/>
                      <w:color w:val="auto"/>
                      <w:kern w:val="2"/>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4、固体废物：固体废物主要为废边角料、钢屑、焊渣、生活垃圾、废油脂、废活性炭、油漆废包装桶。废边角料、钢屑、焊渣外售处置；生活垃圾统一收集，交由环卫清运；废油脂交由咸阳鑫宇环保油脂有限公司处置；废活性炭、UV灯管</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油漆废包装桶属危险废物，交由陕西明瑞资源再生有限公司处理</w:t>
                  </w:r>
                  <w:r>
                    <w:rPr>
                      <w:rFonts w:hint="eastAsia" w:ascii="Times New Roman" w:hAnsi="Times New Roman" w:eastAsia="宋体" w:cs="Times New Roman"/>
                      <w:color w:val="auto"/>
                      <w:sz w:val="21"/>
                      <w:szCs w:val="21"/>
                      <w:highlight w:val="none"/>
                      <w:lang w:eastAsia="zh-CN"/>
                    </w:rPr>
                    <w:t>。</w:t>
                  </w:r>
                </w:p>
              </w:tc>
              <w:tc>
                <w:tcPr>
                  <w:tcW w:w="270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无变动</w:t>
                  </w:r>
                </w:p>
              </w:tc>
            </w:tr>
          </w:tbl>
          <w:p>
            <w:pPr>
              <w:keepNext w:val="0"/>
              <w:keepLines w:val="0"/>
              <w:pageBreakBefore w:val="0"/>
              <w:widowControl w:val="0"/>
              <w:suppressLineNumbers w:val="0"/>
              <w:kinsoku/>
              <w:wordWrap/>
              <w:overflowPunct/>
              <w:topLinePunct w:val="0"/>
              <w:autoSpaceDE/>
              <w:autoSpaceDN/>
              <w:bidi w:val="0"/>
              <w:adjustRightInd/>
              <w:snapToGrid/>
              <w:spacing w:before="73" w:beforeLines="2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本项目部分变更未引起污染源增加，环保设施及措施未发生重大变更，变更部分</w:t>
            </w:r>
            <w:r>
              <w:rPr>
                <w:rFonts w:hint="default" w:ascii="Times New Roman" w:hAnsi="Times New Roman" w:eastAsia="宋体" w:cs="Times New Roman"/>
                <w:color w:val="auto"/>
                <w:sz w:val="24"/>
                <w:szCs w:val="24"/>
                <w:highlight w:val="none"/>
                <w:lang w:val="en-US" w:eastAsia="zh-CN"/>
              </w:rPr>
              <w:t>减轻了对</w:t>
            </w:r>
            <w:r>
              <w:rPr>
                <w:rFonts w:hint="default" w:ascii="Times New Roman" w:hAnsi="Times New Roman" w:eastAsia="宋体" w:cs="Times New Roman"/>
                <w:color w:val="auto"/>
                <w:sz w:val="24"/>
                <w:szCs w:val="24"/>
                <w:highlight w:val="none"/>
              </w:rPr>
              <w:t>周边环境</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污染，也能够保证污染物达标排放，不属于重大变更</w:t>
            </w:r>
            <w:r>
              <w:rPr>
                <w:rFonts w:hint="default" w:ascii="Times New Roman" w:hAnsi="Times New Roman" w:eastAsia="宋体" w:cs="Times New Roman"/>
                <w:color w:val="auto"/>
                <w:sz w:val="24"/>
                <w:szCs w:val="24"/>
                <w:highlight w:val="none"/>
                <w:lang w:eastAsia="zh-CN"/>
              </w:rPr>
              <w:t>。</w:t>
            </w:r>
          </w:p>
        </w:tc>
      </w:tr>
    </w:tbl>
    <w:p>
      <w:pPr>
        <w:spacing w:after="0" w:afterLines="0" w:line="360" w:lineRule="auto"/>
        <w:rPr>
          <w:rFonts w:hint="default" w:ascii="Times New Roman" w:hAnsi="Times New Roman" w:eastAsia="仿宋_GB2312" w:cs="Times New Roman"/>
          <w:b/>
          <w:color w:val="auto"/>
          <w:sz w:val="24"/>
          <w:szCs w:val="24"/>
          <w:highlight w:val="none"/>
        </w:rPr>
        <w:sectPr>
          <w:pgSz w:w="16838" w:h="11906" w:orient="landscape"/>
          <w:pgMar w:top="1800" w:right="1440" w:bottom="1800" w:left="1440" w:header="1134" w:footer="1134"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表三</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09" w:hRule="atLeast"/>
          <w:jc w:val="center"/>
        </w:trPr>
        <w:tc>
          <w:tcPr>
            <w:tcW w:w="892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81" w:beforeLines="50" w:beforeAutospacing="0" w:after="0" w:afterAutospacing="0" w:line="360" w:lineRule="auto"/>
              <w:ind w:left="0" w:right="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主要污染源、污染物处理和排放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3.1</w:t>
            </w:r>
            <w:r>
              <w:rPr>
                <w:rFonts w:hint="default" w:ascii="Times New Roman" w:hAnsi="Times New Roman" w:cs="Times New Roman"/>
                <w:color w:val="auto"/>
                <w:sz w:val="24"/>
                <w:szCs w:val="24"/>
                <w:highlight w:val="none"/>
              </w:rPr>
              <w:t>固体废物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eastAsia="zh-CN"/>
              </w:rPr>
              <w:t>固体废物主要为废边角料、钢屑、焊渣、生活垃圾、废油脂、废活性炭、</w:t>
            </w:r>
            <w:r>
              <w:rPr>
                <w:rFonts w:hint="eastAsia" w:ascii="Times New Roman" w:hAnsi="Times New Roman" w:eastAsia="宋体" w:cs="Times New Roman"/>
                <w:color w:val="auto"/>
                <w:sz w:val="24"/>
                <w:szCs w:val="24"/>
                <w:highlight w:val="none"/>
                <w:lang w:val="en-US" w:eastAsia="zh-CN"/>
              </w:rPr>
              <w:t>UV灯管、</w:t>
            </w:r>
            <w:r>
              <w:rPr>
                <w:rFonts w:hint="default" w:ascii="Times New Roman" w:hAnsi="Times New Roman" w:eastAsia="宋体" w:cs="Times New Roman"/>
                <w:color w:val="auto"/>
                <w:sz w:val="24"/>
                <w:szCs w:val="24"/>
                <w:highlight w:val="none"/>
                <w:lang w:eastAsia="zh-CN"/>
              </w:rPr>
              <w:t>油漆废包装桶</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废边角料、钢屑、焊渣外售处置；</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生活垃圾统一收集，交由环卫清运；</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废油脂交由有资质单位处置；</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废活性炭、UV灯管</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油漆废包装桶属危险废物，交由陕西明瑞资源再生有限公司处理。</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表3-2   项目固体废物情况</w:t>
            </w:r>
          </w:p>
          <w:tbl>
            <w:tblPr>
              <w:tblStyle w:val="27"/>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433"/>
              <w:gridCol w:w="1657"/>
              <w:gridCol w:w="1365"/>
              <w:gridCol w:w="234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名称</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产生环节</w:t>
                  </w:r>
                </w:p>
              </w:tc>
              <w:tc>
                <w:tcPr>
                  <w:tcW w:w="1365"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产量（t/a）</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利用处置方式</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生活垃圾</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职工生活</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1.8</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收集后交环卫部门定期拉运</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433"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废油脂</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职工</w:t>
                  </w:r>
                  <w:r>
                    <w:rPr>
                      <w:rFonts w:hint="default" w:ascii="Times New Roman" w:hAnsi="Times New Roman" w:cs="Times New Roman"/>
                      <w:color w:val="auto"/>
                      <w:sz w:val="21"/>
                      <w:szCs w:val="21"/>
                      <w:highlight w:val="none"/>
                      <w:vertAlign w:val="baseline"/>
                      <w:lang w:val="en-US" w:eastAsia="zh-CN"/>
                    </w:rPr>
                    <w:t>食堂</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0.2</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交由</w:t>
                  </w:r>
                  <w:r>
                    <w:rPr>
                      <w:rFonts w:hint="eastAsia" w:ascii="Times New Roman" w:hAnsi="Times New Roman" w:cs="Times New Roman"/>
                      <w:color w:val="auto"/>
                      <w:sz w:val="21"/>
                      <w:szCs w:val="21"/>
                      <w:highlight w:val="none"/>
                      <w:lang w:val="en-US" w:eastAsia="zh-CN"/>
                    </w:rPr>
                    <w:t>咸阳鑫宇环保油脂有限公司</w:t>
                  </w:r>
                  <w:r>
                    <w:rPr>
                      <w:rFonts w:hint="default" w:ascii="Times New Roman" w:hAnsi="Times New Roman" w:cs="Times New Roman"/>
                      <w:color w:val="auto"/>
                      <w:sz w:val="21"/>
                      <w:szCs w:val="21"/>
                      <w:highlight w:val="none"/>
                      <w:lang w:val="en-US" w:eastAsia="zh-CN"/>
                    </w:rPr>
                    <w:t>处置</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废边角料、</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钢屑</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切割或钻孔</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2</w:t>
                  </w:r>
                </w:p>
              </w:tc>
              <w:tc>
                <w:tcPr>
                  <w:tcW w:w="2340"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vertAlign w:val="baseline"/>
                      <w:lang w:val="en-US" w:eastAsia="zh-CN"/>
                    </w:rPr>
                    <w:t>出售</w:t>
                  </w:r>
                </w:p>
              </w:tc>
              <w:tc>
                <w:tcPr>
                  <w:tcW w:w="1134"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焊渣</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焊接</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0.13</w:t>
                  </w:r>
                </w:p>
              </w:tc>
              <w:tc>
                <w:tcPr>
                  <w:tcW w:w="2340"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lang w:val="en-US" w:eastAsia="zh-CN"/>
                    </w:rPr>
                  </w:pPr>
                </w:p>
              </w:tc>
              <w:tc>
                <w:tcPr>
                  <w:tcW w:w="1134"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废漆桶</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刷漆</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15个/a</w:t>
                  </w:r>
                </w:p>
              </w:tc>
              <w:tc>
                <w:tcPr>
                  <w:tcW w:w="2340"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交由</w:t>
                  </w:r>
                  <w:r>
                    <w:rPr>
                      <w:rFonts w:hint="eastAsia" w:ascii="Times New Roman" w:hAnsi="Times New Roman" w:eastAsia="宋体" w:cs="Times New Roman"/>
                      <w:color w:val="auto"/>
                      <w:sz w:val="21"/>
                      <w:szCs w:val="21"/>
                      <w:highlight w:val="none"/>
                      <w:lang w:val="en-US" w:eastAsia="zh-CN"/>
                    </w:rPr>
                    <w:t>陕西明瑞资源再生有限公司</w:t>
                  </w:r>
                  <w:r>
                    <w:rPr>
                      <w:rFonts w:hint="default" w:ascii="Times New Roman" w:hAnsi="Times New Roman" w:cs="Times New Roman"/>
                      <w:color w:val="auto"/>
                      <w:sz w:val="21"/>
                      <w:szCs w:val="21"/>
                      <w:highlight w:val="none"/>
                      <w:vertAlign w:val="baseline"/>
                      <w:lang w:val="en-US" w:eastAsia="zh-CN"/>
                    </w:rPr>
                    <w:t>处理</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UV灯管</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有机废气处理</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0.008</w:t>
                  </w:r>
                </w:p>
              </w:tc>
              <w:tc>
                <w:tcPr>
                  <w:tcW w:w="2340"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半年更换一次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废活性炭</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有机废气处理</w:t>
                  </w:r>
                </w:p>
              </w:tc>
              <w:tc>
                <w:tcPr>
                  <w:tcW w:w="1365" w:type="dxa"/>
                  <w:noWrap w:val="0"/>
                  <w:vAlign w:val="center"/>
                </w:tcPr>
                <w:p>
                  <w:pPr>
                    <w:pStyle w:val="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4</w:t>
                  </w:r>
                </w:p>
              </w:tc>
              <w:tc>
                <w:tcPr>
                  <w:tcW w:w="2340"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半年更换一次</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cs="Times New Roman" w:eastAsiaTheme="minorEastAsia"/>
                <w:color w:val="auto"/>
                <w:sz w:val="24"/>
                <w:szCs w:val="24"/>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0" w:afterLines="0" w:line="240" w:lineRule="auto"/>
        <w:textAlignment w:val="auto"/>
        <w:outlineLvl w:val="9"/>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表四</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69"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4.1 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lang w:eastAsia="zh-CN"/>
              </w:rPr>
              <w:t>环境空气影响分析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该项目运营期产生的焊接烟尘通过移动式焊接烟尘净化器处理后可满足《大气污染物综合排放标准》（GB162797-1996）表2“二级标准”；刷漆产生的挥发性有机物（苯、二甲苯、非甲烷总烃）经过集气罩收集后和活性炭吸附，通过1根15m高排气筒排放，可满足《挥发性有机物排放控制标准》（DB61/T1061-2017）中表面涂装标准；食堂油烟产通过油烟净化装置处理后，经排气筒排放，其油烟排放量为1.92kg/a，油烟排放浓度为0.8mg/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 达到食堂油烟执行GB18483-2001《饮食业油烟排放标准》浓度＜2 mg/m</w:t>
            </w:r>
            <w:r>
              <w:rPr>
                <w:rFonts w:hint="default" w:ascii="Times New Roman" w:hAnsi="Times New Roman" w:cs="Times New Roman" w:eastAsiaTheme="minorEastAsia"/>
                <w:color w:val="auto"/>
                <w:sz w:val="24"/>
                <w:szCs w:val="24"/>
                <w:highlight w:val="none"/>
                <w:vertAlign w:val="superscript"/>
                <w:lang w:eastAsia="zh-CN"/>
              </w:rPr>
              <w:t>3</w:t>
            </w:r>
            <w:r>
              <w:rPr>
                <w:rFonts w:hint="default" w:ascii="Times New Roman" w:hAnsi="Times New Roman" w:cs="Times New Roman" w:eastAsiaTheme="minorEastAsia"/>
                <w:color w:val="auto"/>
                <w:sz w:val="24"/>
                <w:szCs w:val="24"/>
                <w:highlight w:val="none"/>
                <w:lang w:eastAsia="zh-CN"/>
              </w:rPr>
              <w:t>标准排放。项目大气污染物在采取措施后对周围环境影响很小。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lang w:eastAsia="zh-CN"/>
              </w:rPr>
              <w:t>水环境影响分析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本项目不产生生产废水；食堂废水经油水分离器处理后与员工的生活污水依托厂区化粪池处理，排入厂区污水管网，最终排入朝阳污水处理厂。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lang w:eastAsia="zh-CN"/>
              </w:rPr>
              <w:t>声环境影响分析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项目生产区位于室内，设备每日运行8h（昼间生产），生产设备等安装隔声减振垫，同时经过墙壁和门窗的阻隔，项目厂界噪声均能达到《工业企业厂界环境噪声排放标准》（GB12348-2008）2类标准。运营期噪声对周围环境影响很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lang w:eastAsia="zh-CN"/>
              </w:rPr>
              <w:t>固废影响分析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该项目运营期产生的废边角料、钢屑和焊渣经收集后外卖回收利用；生活垃圾分类袋装收集，由环卫部门定期清运；食堂产生的废油脂，交由废油脂回收单位妥善处置；废活性炭、废油漆桶设为废暂存间收集后，交有资质单位拉运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通过采取以上措施后，项目固体废物对周围环境影响不大。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lang w:eastAsia="zh-CN"/>
              </w:rPr>
              <w:t>总量控制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根据“十三五”主要污染物总量控制规划编制技术指南有关规定，“十三五”期间国家对COD、氨氮、SO</w:t>
            </w:r>
            <w:r>
              <w:rPr>
                <w:rFonts w:hint="default" w:ascii="Times New Roman" w:hAnsi="Times New Roman" w:cs="Times New Roman" w:eastAsiaTheme="minorEastAsia"/>
                <w:color w:val="auto"/>
                <w:sz w:val="24"/>
                <w:szCs w:val="24"/>
                <w:highlight w:val="none"/>
                <w:vertAlign w:val="subscript"/>
                <w:lang w:eastAsia="zh-CN"/>
              </w:rPr>
              <w:t>2</w:t>
            </w:r>
            <w:r>
              <w:rPr>
                <w:rFonts w:hint="default" w:ascii="Times New Roman" w:hAnsi="Times New Roman" w:cs="Times New Roman" w:eastAsiaTheme="minorEastAsia"/>
                <w:color w:val="auto"/>
                <w:sz w:val="24"/>
                <w:szCs w:val="24"/>
                <w:highlight w:val="none"/>
                <w:lang w:eastAsia="zh-CN"/>
              </w:rPr>
              <w:t>、NOx及挥发性有机物,五种污染物排放实行总量控制和计划管理。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p>
        </w:tc>
      </w:tr>
    </w:tbl>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lang w:eastAsia="zh-CN"/>
        </w:rPr>
        <w:t>续</w:t>
      </w:r>
      <w:r>
        <w:rPr>
          <w:rFonts w:hint="default" w:ascii="Times New Roman" w:hAnsi="Times New Roman" w:eastAsia="仿宋_GB2312" w:cs="Times New Roman"/>
          <w:b/>
          <w:color w:val="auto"/>
          <w:sz w:val="24"/>
          <w:szCs w:val="24"/>
          <w:highlight w:val="none"/>
        </w:rPr>
        <w:t>表四</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44" w:hRule="atLeast"/>
          <w:jc w:val="center"/>
        </w:trPr>
        <w:tc>
          <w:tcPr>
            <w:tcW w:w="892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本项目运营期间外排废水仅为生活污水，生活污水依托化厂区化粪池处理后，排入污水管网，最终排入朝阳污水处理厂，总量控制指标COD为0.07t/a、氨氮为0.008t/a、挥发性有机物为0.0165t/a。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lang w:eastAsia="zh-CN"/>
              </w:rPr>
              <w:t>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eastAsia="zh-CN"/>
              </w:rPr>
              <w:t>本项目的建设符合国家产业政策，与当地的环境功能区划也是相符的；采取相应措施后，排放的污染物可以做到达标排放，对周围环境的影响在可承受范围之内，从满足环境质量目标要求分析，该建设项目可行。</w:t>
            </w:r>
          </w:p>
        </w:tc>
      </w:tr>
    </w:tbl>
    <w:p>
      <w:pPr>
        <w:spacing w:line="360" w:lineRule="auto"/>
        <w:rPr>
          <w:rFonts w:hint="default" w:ascii="Times New Roman" w:hAnsi="Times New Roman" w:eastAsia="仿宋_GB2312" w:cs="Times New Roman"/>
          <w:color w:val="auto"/>
          <w:sz w:val="24"/>
          <w:szCs w:val="24"/>
          <w:highlight w:val="none"/>
        </w:rPr>
        <w:sectPr>
          <w:pgSz w:w="11906" w:h="16838"/>
          <w:pgMar w:top="1440" w:right="1800" w:bottom="1440" w:left="1800" w:header="1134" w:footer="1134"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lang w:eastAsia="zh-CN"/>
        </w:rPr>
        <w:t>续</w:t>
      </w:r>
      <w:r>
        <w:rPr>
          <w:rFonts w:hint="default" w:ascii="Times New Roman" w:hAnsi="Times New Roman" w:eastAsia="仿宋_GB2312" w:cs="Times New Roman"/>
          <w:b/>
          <w:color w:val="auto"/>
          <w:sz w:val="24"/>
          <w:szCs w:val="24"/>
          <w:highlight w:val="none"/>
        </w:rPr>
        <w:t>表四</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54" w:hRule="atLeast"/>
          <w:jc w:val="center"/>
        </w:trPr>
        <w:tc>
          <w:tcPr>
            <w:tcW w:w="892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81" w:beforeLines="5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4.2 环境影响报告表批复主要结论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一</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项目在设计、施工及运营中，必须认真落实“报告表”中所提出的各项污染防治措施，严格执行建设项目环境保护“三同时”制度要求，确保各类污染物稳定达标排放</w:t>
            </w:r>
            <w:r>
              <w:rPr>
                <w:rFonts w:hint="default" w:ascii="Times New Roman" w:hAnsi="Times New Roman" w:cs="Times New Roman"/>
                <w:color w:val="auto"/>
                <w:sz w:val="24"/>
                <w:szCs w:val="24"/>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（二）强化大气治理措施。焊接烟尘设置移动式焊接烟尘净化器收集处理后达标排放；项目刷漆、晾</w:t>
            </w:r>
            <w:r>
              <w:rPr>
                <w:rFonts w:hint="default" w:ascii="Times New Roman" w:hAnsi="Times New Roman" w:cs="Times New Roman"/>
                <w:color w:val="auto"/>
                <w:sz w:val="24"/>
                <w:szCs w:val="24"/>
                <w:highlight w:val="none"/>
                <w:lang w:val="en-US" w:eastAsia="zh-CN"/>
              </w:rPr>
              <w:t>干</w:t>
            </w:r>
            <w:r>
              <w:rPr>
                <w:rFonts w:hint="default" w:ascii="Times New Roman" w:hAnsi="Times New Roman" w:cs="Times New Roman"/>
                <w:color w:val="auto"/>
                <w:sz w:val="24"/>
                <w:szCs w:val="24"/>
                <w:highlight w:val="none"/>
              </w:rPr>
              <w:t>过程须在密闭的刷漆房内进行，有机物废气通过集气罩收集，经处理符合《挥发性有机物排放控制标准》（DB61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T1061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2017）后排放</w:t>
            </w:r>
            <w:r>
              <w:rPr>
                <w:rFonts w:hint="default" w:ascii="Times New Roman" w:hAnsi="Times New Roman" w:cs="Times New Roman"/>
                <w:color w:val="auto"/>
                <w:sz w:val="24"/>
                <w:szCs w:val="24"/>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（三）落实废水处理措施。该项目无生产废水产生，生活污水依托厂区化粪池预处理达标后，排入市政污水管网，最终进入朝阳污水处理厂</w:t>
            </w:r>
            <w:r>
              <w:rPr>
                <w:rFonts w:hint="default" w:ascii="Times New Roman" w:hAnsi="Times New Roman" w:cs="Times New Roman"/>
                <w:color w:val="auto"/>
                <w:sz w:val="24"/>
                <w:szCs w:val="24"/>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（四）完善噪声污染防治措施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一是通过合理布局，选用低噪设备，设备均设置室内，采用基础减震、隔声等措施减少噪声的产生；二是加强职工环保意识教育，提倡文明生产，防止人为噪声产生</w:t>
            </w:r>
            <w:r>
              <w:rPr>
                <w:rFonts w:hint="default" w:ascii="Times New Roman" w:hAnsi="Times New Roman" w:cs="Times New Roman"/>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（五）加强固体废物管理。固体废物主要为废边角料、钢屑、</w:t>
            </w:r>
            <w:r>
              <w:rPr>
                <w:rFonts w:hint="default" w:ascii="Times New Roman" w:hAnsi="Times New Roman" w:cs="Times New Roman"/>
                <w:color w:val="auto"/>
                <w:sz w:val="24"/>
                <w:szCs w:val="24"/>
                <w:highlight w:val="none"/>
                <w:lang w:val="en-US" w:eastAsia="zh-CN"/>
              </w:rPr>
              <w:t>焊</w:t>
            </w:r>
            <w:r>
              <w:rPr>
                <w:rFonts w:hint="default" w:ascii="Times New Roman" w:hAnsi="Times New Roman" w:cs="Times New Roman"/>
                <w:color w:val="auto"/>
                <w:sz w:val="24"/>
                <w:szCs w:val="24"/>
                <w:highlight w:val="none"/>
              </w:rPr>
              <w:t>渣、生活垃圾、废油脂、废活性炭、油漆废包装桶。废边角料、钢屑、焊渣外售处置；生活垃圾统一收集，交由环卫清运；废油脂交由有资质单位处置；废活性炭、油漆废包装桶属危险废物，须按危废管理要求，及时交由有资质的单位处理</w:t>
            </w:r>
            <w:r>
              <w:rPr>
                <w:rFonts w:hint="default" w:ascii="Times New Roman" w:hAnsi="Times New Roman" w:eastAsia="宋体" w:cs="Times New Roman"/>
                <w:b w:val="0"/>
                <w:bCs w:val="0"/>
                <w:color w:val="auto"/>
                <w:sz w:val="24"/>
                <w:szCs w:val="24"/>
                <w:highlight w:val="none"/>
              </w:rPr>
              <w:t>。</w:t>
            </w:r>
          </w:p>
        </w:tc>
      </w:tr>
    </w:tbl>
    <w:p>
      <w:pPr>
        <w:spacing w:line="360" w:lineRule="auto"/>
        <w:rPr>
          <w:rFonts w:hint="default" w:ascii="Times New Roman" w:hAnsi="Times New Roman" w:eastAsia="仿宋_GB2312" w:cs="Times New Roman"/>
          <w:color w:val="auto"/>
          <w:sz w:val="24"/>
          <w:szCs w:val="24"/>
          <w:highlight w:val="none"/>
        </w:rPr>
        <w:sectPr>
          <w:pgSz w:w="11906" w:h="16838"/>
          <w:pgMar w:top="1440" w:right="1800" w:bottom="1440" w:left="1800" w:header="1134" w:footer="1134"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表五</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3296"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验收监测内容：</w:t>
            </w:r>
          </w:p>
          <w:p>
            <w:pPr>
              <w:pStyle w:val="9"/>
              <w:keepNext w:val="0"/>
              <w:keepLines w:val="0"/>
              <w:pageBreakBefore w:val="0"/>
              <w:widowControl w:val="0"/>
              <w:suppressLineNumbers w:val="0"/>
              <w:kinsoku/>
              <w:wordWrap/>
              <w:overflowPunct/>
              <w:topLinePunct w:val="0"/>
              <w:autoSpaceDE/>
              <w:autoSpaceDN/>
              <w:bidi w:val="0"/>
              <w:adjustRightInd w:val="0"/>
              <w:snapToGrid w:val="0"/>
              <w:spacing w:before="157"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5.1固体废物检查内容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固体废弃物的调查内容主要包括：调查固体废弃物的处置方式、产生量</w:t>
            </w:r>
            <w:r>
              <w:rPr>
                <w:rFonts w:hint="default" w:ascii="Times New Roman" w:hAnsi="Times New Roman" w:eastAsia="宋体" w:cs="Times New Roman"/>
                <w:color w:val="auto"/>
                <w:sz w:val="24"/>
                <w:szCs w:val="24"/>
                <w:highlight w:val="none"/>
                <w:lang w:val="en-US" w:eastAsia="zh-CN"/>
              </w:rPr>
              <w:t>。</w:t>
            </w:r>
          </w:p>
        </w:tc>
      </w:tr>
    </w:tbl>
    <w:p>
      <w:pPr>
        <w:spacing w:after="0" w:afterLines="0" w:line="360" w:lineRule="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val="en-US" w:eastAsia="zh-CN"/>
        </w:rPr>
        <w:t>六</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22"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验收监测期间生产工况记录：</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本次验收监测期间，环保设施一直运转正常。</w:t>
            </w:r>
            <w:r>
              <w:rPr>
                <w:rFonts w:hint="eastAsia" w:ascii="Times New Roman" w:hAnsi="Times New Roman" w:cs="Times New Roman"/>
                <w:color w:val="auto"/>
                <w:kern w:val="2"/>
                <w:sz w:val="24"/>
                <w:szCs w:val="24"/>
                <w:highlight w:val="none"/>
                <w:lang w:val="en-US" w:eastAsia="zh-CN" w:bidi="ar-SA"/>
              </w:rPr>
              <w:t>年生产320天</w:t>
            </w:r>
            <w:r>
              <w:rPr>
                <w:rFonts w:hint="default" w:ascii="Times New Roman" w:hAnsi="Times New Roman" w:cs="Times New Roman"/>
                <w:color w:val="auto"/>
                <w:kern w:val="2"/>
                <w:sz w:val="24"/>
                <w:szCs w:val="24"/>
                <w:highlight w:val="none"/>
                <w:lang w:val="en-US" w:eastAsia="zh-CN" w:bidi="ar-SA"/>
              </w:rPr>
              <w:t>生产负荷情况见下表：</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表6-1   验收期间工况监测</w:t>
            </w:r>
          </w:p>
          <w:tbl>
            <w:tblPr>
              <w:tblStyle w:val="27"/>
              <w:tblW w:w="8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159"/>
              <w:gridCol w:w="1740"/>
              <w:gridCol w:w="2221"/>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131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rPr>
                    <w:t>产品</w:t>
                  </w:r>
                </w:p>
              </w:tc>
              <w:tc>
                <w:tcPr>
                  <w:tcW w:w="215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日期</w:t>
                  </w:r>
                </w:p>
              </w:tc>
              <w:tc>
                <w:tcPr>
                  <w:tcW w:w="174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rPr>
                    <w:t>设计生产能力</w:t>
                  </w:r>
                </w:p>
              </w:tc>
              <w:tc>
                <w:tcPr>
                  <w:tcW w:w="222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rPr>
                    <w:t>监测期间生产能力</w:t>
                  </w:r>
                </w:p>
              </w:tc>
              <w:tc>
                <w:tcPr>
                  <w:tcW w:w="125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rPr>
                    <w:t>负荷（</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19"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lang w:eastAsia="zh-CN"/>
                    </w:rPr>
                    <w:t>单元式幕墙框架</w:t>
                  </w:r>
                </w:p>
              </w:tc>
              <w:tc>
                <w:tcPr>
                  <w:tcW w:w="21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w:t>
                  </w:r>
                  <w:r>
                    <w:rPr>
                      <w:rFonts w:hint="eastAsia" w:ascii="Times New Roman" w:hAnsi="Times New Roman" w:cs="Times New Roman"/>
                      <w:color w:val="auto"/>
                      <w:sz w:val="21"/>
                      <w:szCs w:val="21"/>
                      <w:highlight w:val="none"/>
                      <w:vertAlign w:val="baseline"/>
                      <w:lang w:val="en-US" w:eastAsia="zh-CN"/>
                    </w:rPr>
                    <w:t>9</w:t>
                  </w:r>
                  <w:r>
                    <w:rPr>
                      <w:rFonts w:hint="default" w:ascii="Times New Roman" w:hAnsi="Times New Roman" w:cs="Times New Roman"/>
                      <w:color w:val="auto"/>
                      <w:sz w:val="21"/>
                      <w:szCs w:val="21"/>
                      <w:highlight w:val="none"/>
                      <w:vertAlign w:val="baseline"/>
                      <w:lang w:val="en-US" w:eastAsia="zh-CN"/>
                    </w:rPr>
                    <w:t>年</w:t>
                  </w:r>
                  <w:r>
                    <w:rPr>
                      <w:rFonts w:hint="eastAsia" w:ascii="Times New Roman" w:hAnsi="Times New Roman" w:cs="Times New Roman"/>
                      <w:color w:val="auto"/>
                      <w:sz w:val="21"/>
                      <w:szCs w:val="21"/>
                      <w:highlight w:val="none"/>
                      <w:vertAlign w:val="baseline"/>
                      <w:lang w:val="en-US" w:eastAsia="zh-CN"/>
                    </w:rPr>
                    <w:t>5</w:t>
                  </w:r>
                  <w:r>
                    <w:rPr>
                      <w:rFonts w:hint="default" w:ascii="Times New Roman" w:hAnsi="Times New Roman" w:cs="Times New Roman"/>
                      <w:color w:val="auto"/>
                      <w:sz w:val="21"/>
                      <w:szCs w:val="21"/>
                      <w:highlight w:val="none"/>
                      <w:vertAlign w:val="baseline"/>
                      <w:lang w:val="en-US" w:eastAsia="zh-CN"/>
                    </w:rPr>
                    <w:t>月</w:t>
                  </w:r>
                  <w:r>
                    <w:rPr>
                      <w:rFonts w:hint="eastAsia" w:ascii="Times New Roman" w:hAnsi="Times New Roman" w:cs="Times New Roman"/>
                      <w:color w:val="auto"/>
                      <w:sz w:val="21"/>
                      <w:szCs w:val="21"/>
                      <w:highlight w:val="none"/>
                      <w:vertAlign w:val="baseline"/>
                      <w:lang w:val="en-US" w:eastAsia="zh-CN"/>
                    </w:rPr>
                    <w:t>8</w:t>
                  </w:r>
                  <w:r>
                    <w:rPr>
                      <w:rFonts w:hint="default" w:ascii="Times New Roman" w:hAnsi="Times New Roman" w:cs="Times New Roman"/>
                      <w:color w:val="auto"/>
                      <w:sz w:val="21"/>
                      <w:szCs w:val="21"/>
                      <w:highlight w:val="none"/>
                      <w:vertAlign w:val="baseline"/>
                      <w:lang w:val="en-US" w:eastAsia="zh-CN"/>
                    </w:rPr>
                    <w:t>日</w:t>
                  </w:r>
                </w:p>
              </w:tc>
              <w:tc>
                <w:tcPr>
                  <w:tcW w:w="1740"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sz w:val="21"/>
                      <w:szCs w:val="21"/>
                      <w:highlight w:val="none"/>
                      <w:vertAlign w:val="baseline"/>
                      <w:lang w:eastAsia="zh-CN"/>
                    </w:rPr>
                  </w:pPr>
                  <w:r>
                    <w:rPr>
                      <w:rFonts w:hint="eastAsia" w:ascii="Times New Roman" w:hAnsi="Times New Roman" w:cs="Times New Roman"/>
                      <w:color w:val="auto"/>
                      <w:sz w:val="21"/>
                      <w:szCs w:val="21"/>
                      <w:highlight w:val="none"/>
                      <w:vertAlign w:val="baseline"/>
                      <w:lang w:val="en-US" w:eastAsia="zh-CN"/>
                    </w:rPr>
                    <w:t>4件/d</w:t>
                  </w:r>
                </w:p>
              </w:tc>
              <w:tc>
                <w:tcPr>
                  <w:tcW w:w="222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4件/d</w:t>
                  </w:r>
                </w:p>
              </w:tc>
              <w:tc>
                <w:tcPr>
                  <w:tcW w:w="12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19"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eastAsia="zh-CN"/>
                    </w:rPr>
                  </w:pPr>
                </w:p>
              </w:tc>
              <w:tc>
                <w:tcPr>
                  <w:tcW w:w="21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w:t>
                  </w:r>
                  <w:r>
                    <w:rPr>
                      <w:rFonts w:hint="eastAsia" w:ascii="Times New Roman" w:hAnsi="Times New Roman" w:cs="Times New Roman"/>
                      <w:color w:val="auto"/>
                      <w:sz w:val="21"/>
                      <w:szCs w:val="21"/>
                      <w:highlight w:val="none"/>
                      <w:vertAlign w:val="baseline"/>
                      <w:lang w:val="en-US" w:eastAsia="zh-CN"/>
                    </w:rPr>
                    <w:t>9</w:t>
                  </w:r>
                  <w:r>
                    <w:rPr>
                      <w:rFonts w:hint="default" w:ascii="Times New Roman" w:hAnsi="Times New Roman" w:cs="Times New Roman"/>
                      <w:color w:val="auto"/>
                      <w:sz w:val="21"/>
                      <w:szCs w:val="21"/>
                      <w:highlight w:val="none"/>
                      <w:vertAlign w:val="baseline"/>
                      <w:lang w:val="en-US" w:eastAsia="zh-CN"/>
                    </w:rPr>
                    <w:t>年</w:t>
                  </w:r>
                  <w:r>
                    <w:rPr>
                      <w:rFonts w:hint="eastAsia" w:ascii="Times New Roman" w:hAnsi="Times New Roman" w:cs="Times New Roman"/>
                      <w:color w:val="auto"/>
                      <w:sz w:val="21"/>
                      <w:szCs w:val="21"/>
                      <w:highlight w:val="none"/>
                      <w:vertAlign w:val="baseline"/>
                      <w:lang w:val="en-US" w:eastAsia="zh-CN"/>
                    </w:rPr>
                    <w:t>5</w:t>
                  </w:r>
                  <w:r>
                    <w:rPr>
                      <w:rFonts w:hint="default" w:ascii="Times New Roman" w:hAnsi="Times New Roman" w:cs="Times New Roman"/>
                      <w:color w:val="auto"/>
                      <w:sz w:val="21"/>
                      <w:szCs w:val="21"/>
                      <w:highlight w:val="none"/>
                      <w:vertAlign w:val="baseline"/>
                      <w:lang w:val="en-US" w:eastAsia="zh-CN"/>
                    </w:rPr>
                    <w:t>月</w:t>
                  </w:r>
                  <w:r>
                    <w:rPr>
                      <w:rFonts w:hint="eastAsia" w:ascii="Times New Roman" w:hAnsi="Times New Roman" w:cs="Times New Roman"/>
                      <w:color w:val="auto"/>
                      <w:sz w:val="21"/>
                      <w:szCs w:val="21"/>
                      <w:highlight w:val="none"/>
                      <w:vertAlign w:val="baseline"/>
                      <w:lang w:val="en-US" w:eastAsia="zh-CN"/>
                    </w:rPr>
                    <w:t>9</w:t>
                  </w:r>
                  <w:r>
                    <w:rPr>
                      <w:rFonts w:hint="default" w:ascii="Times New Roman" w:hAnsi="Times New Roman" w:cs="Times New Roman"/>
                      <w:color w:val="auto"/>
                      <w:sz w:val="21"/>
                      <w:szCs w:val="21"/>
                      <w:highlight w:val="none"/>
                      <w:vertAlign w:val="baseline"/>
                      <w:lang w:val="en-US" w:eastAsia="zh-CN"/>
                    </w:rPr>
                    <w:t>日</w:t>
                  </w:r>
                </w:p>
              </w:tc>
              <w:tc>
                <w:tcPr>
                  <w:tcW w:w="1740" w:type="dxa"/>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vertAlign w:val="baseline"/>
                      <w:lang w:val="en-US" w:eastAsia="zh-CN"/>
                    </w:rPr>
                  </w:pPr>
                </w:p>
              </w:tc>
              <w:tc>
                <w:tcPr>
                  <w:tcW w:w="222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highlight w:val="none"/>
                      <w:vertAlign w:val="baseline"/>
                      <w:lang w:val="en-US" w:eastAsia="zh-CN"/>
                    </w:rPr>
                    <w:t>件/d</w:t>
                  </w:r>
                </w:p>
              </w:tc>
              <w:tc>
                <w:tcPr>
                  <w:tcW w:w="125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100</w:t>
                  </w:r>
                </w:p>
              </w:tc>
            </w:tr>
          </w:tbl>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077"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szCs w:val="24"/>
                <w:highlight w:val="none"/>
              </w:rPr>
              <w:t>验收监测结果：</w:t>
            </w:r>
            <w:r>
              <w:rPr>
                <w:rFonts w:hint="default" w:ascii="Times New Roman" w:hAnsi="Times New Roman" w:cs="Times New Roman"/>
                <w:color w:val="auto"/>
                <w:sz w:val="24"/>
                <w:szCs w:val="24"/>
                <w:highlight w:val="none"/>
                <w:lang w:val="en-US" w:eastAsia="zh-CN"/>
              </w:rPr>
              <w:t xml:space="preserve"> </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表6-2                             项目固体废物情况</w:t>
            </w:r>
          </w:p>
          <w:tbl>
            <w:tblPr>
              <w:tblStyle w:val="27"/>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433"/>
              <w:gridCol w:w="1657"/>
              <w:gridCol w:w="1365"/>
              <w:gridCol w:w="234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名称</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产生环节</w:t>
                  </w:r>
                </w:p>
              </w:tc>
              <w:tc>
                <w:tcPr>
                  <w:tcW w:w="1365"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产量（t/a）</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利用处置方式</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生活垃圾</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职工生活</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1.8</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收集后交环卫部门定期拉运</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433"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废油脂</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职工</w:t>
                  </w:r>
                  <w:r>
                    <w:rPr>
                      <w:rFonts w:hint="default" w:ascii="Times New Roman" w:hAnsi="Times New Roman" w:cs="Times New Roman"/>
                      <w:color w:val="auto"/>
                      <w:sz w:val="21"/>
                      <w:szCs w:val="21"/>
                      <w:highlight w:val="none"/>
                      <w:vertAlign w:val="baseline"/>
                      <w:lang w:val="en-US" w:eastAsia="zh-CN"/>
                    </w:rPr>
                    <w:t>食堂</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0.2</w:t>
                  </w:r>
                </w:p>
              </w:tc>
              <w:tc>
                <w:tcPr>
                  <w:tcW w:w="2340"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交由</w:t>
                  </w:r>
                  <w:r>
                    <w:rPr>
                      <w:rFonts w:hint="eastAsia" w:ascii="Times New Roman" w:hAnsi="Times New Roman" w:cs="Times New Roman"/>
                      <w:color w:val="auto"/>
                      <w:sz w:val="21"/>
                      <w:szCs w:val="21"/>
                      <w:highlight w:val="none"/>
                      <w:lang w:val="en-US" w:eastAsia="zh-CN"/>
                    </w:rPr>
                    <w:t>咸阳鑫宇环保油脂有限公司</w:t>
                  </w:r>
                  <w:r>
                    <w:rPr>
                      <w:rFonts w:hint="default" w:ascii="Times New Roman" w:hAnsi="Times New Roman" w:cs="Times New Roman"/>
                      <w:color w:val="auto"/>
                      <w:sz w:val="21"/>
                      <w:szCs w:val="21"/>
                      <w:highlight w:val="none"/>
                      <w:lang w:val="en-US" w:eastAsia="zh-CN"/>
                    </w:rPr>
                    <w:t>处置</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废边角料、</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钢屑</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切割或钻孔</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2</w:t>
                  </w:r>
                </w:p>
              </w:tc>
              <w:tc>
                <w:tcPr>
                  <w:tcW w:w="2340"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vertAlign w:val="baseline"/>
                      <w:lang w:val="en-US" w:eastAsia="zh-CN"/>
                    </w:rPr>
                    <w:t>出售</w:t>
                  </w:r>
                </w:p>
              </w:tc>
              <w:tc>
                <w:tcPr>
                  <w:tcW w:w="1134"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焊渣</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焊接</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0.13</w:t>
                  </w:r>
                </w:p>
              </w:tc>
              <w:tc>
                <w:tcPr>
                  <w:tcW w:w="2340"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lang w:val="en-US" w:eastAsia="zh-CN"/>
                    </w:rPr>
                  </w:pPr>
                </w:p>
              </w:tc>
              <w:tc>
                <w:tcPr>
                  <w:tcW w:w="1134"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废漆桶</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刷漆</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15个/a</w:t>
                  </w:r>
                </w:p>
              </w:tc>
              <w:tc>
                <w:tcPr>
                  <w:tcW w:w="2340" w:type="dxa"/>
                  <w:vMerge w:val="restart"/>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交由</w:t>
                  </w:r>
                  <w:r>
                    <w:rPr>
                      <w:rFonts w:hint="eastAsia" w:ascii="Times New Roman" w:hAnsi="Times New Roman" w:eastAsia="宋体" w:cs="Times New Roman"/>
                      <w:color w:val="auto"/>
                      <w:sz w:val="21"/>
                      <w:szCs w:val="21"/>
                      <w:highlight w:val="none"/>
                      <w:lang w:val="en-US" w:eastAsia="zh-CN"/>
                    </w:rPr>
                    <w:t>陕西明瑞资源再生有限公司</w:t>
                  </w:r>
                  <w:r>
                    <w:rPr>
                      <w:rFonts w:hint="default" w:ascii="Times New Roman" w:hAnsi="Times New Roman" w:cs="Times New Roman"/>
                      <w:color w:val="auto"/>
                      <w:sz w:val="21"/>
                      <w:szCs w:val="21"/>
                      <w:highlight w:val="none"/>
                      <w:vertAlign w:val="baseline"/>
                      <w:lang w:val="en-US" w:eastAsia="zh-CN"/>
                    </w:rPr>
                    <w:t>处理</w:t>
                  </w: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UV灯管</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有机废气处理</w:t>
                  </w:r>
                </w:p>
              </w:tc>
              <w:tc>
                <w:tcPr>
                  <w:tcW w:w="1365" w:type="dxa"/>
                  <w:noWrap w:val="0"/>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eastAsiaTheme="minorEastAsia"/>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0.008</w:t>
                  </w:r>
                </w:p>
              </w:tc>
              <w:tc>
                <w:tcPr>
                  <w:tcW w:w="2340"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半年更换一次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79"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433"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废活性炭</w:t>
                  </w:r>
                </w:p>
              </w:tc>
              <w:tc>
                <w:tcPr>
                  <w:tcW w:w="1657"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有机废气处理</w:t>
                  </w:r>
                </w:p>
              </w:tc>
              <w:tc>
                <w:tcPr>
                  <w:tcW w:w="1365" w:type="dxa"/>
                  <w:noWrap w:val="0"/>
                  <w:vAlign w:val="center"/>
                </w:tcPr>
                <w:p>
                  <w:pPr>
                    <w:pStyle w:val="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4</w:t>
                  </w:r>
                </w:p>
              </w:tc>
              <w:tc>
                <w:tcPr>
                  <w:tcW w:w="2340" w:type="dxa"/>
                  <w:vMerge w:val="continue"/>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highlight w:val="none"/>
                      <w:vertAlign w:val="baseline"/>
                      <w:lang w:val="en-US" w:eastAsia="zh-CN"/>
                    </w:rPr>
                  </w:pPr>
                </w:p>
              </w:tc>
              <w:tc>
                <w:tcPr>
                  <w:tcW w:w="1134" w:type="dxa"/>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半年更换一次</w:t>
                  </w:r>
                </w:p>
              </w:tc>
            </w:tr>
          </w:tbl>
          <w:p>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lang w:val="en-US" w:eastAsia="zh-CN"/>
              </w:rPr>
            </w:pPr>
          </w:p>
          <w:p>
            <w:pPr>
              <w:pStyle w:val="2"/>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bl>
    <w:p>
      <w:pPr>
        <w:spacing w:after="0" w:afterLines="0" w:line="360" w:lineRule="auto"/>
        <w:rPr>
          <w:rFonts w:hint="default" w:ascii="Times New Roman" w:hAnsi="Times New Roman" w:eastAsia="仿宋_GB2312" w:cs="Times New Roman"/>
          <w:b/>
          <w:color w:val="auto"/>
          <w:sz w:val="24"/>
          <w:szCs w:val="24"/>
          <w:highlight w:val="none"/>
        </w:rPr>
        <w:sectPr>
          <w:pgSz w:w="11906" w:h="16838"/>
          <w:pgMar w:top="1440" w:right="1800" w:bottom="1440" w:left="1800" w:header="1134" w:footer="1134"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val="en-US" w:eastAsia="zh-CN"/>
        </w:rPr>
        <w:t>七</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39" w:hRule="atLeast"/>
          <w:jc w:val="center"/>
        </w:trPr>
        <w:tc>
          <w:tcPr>
            <w:tcW w:w="892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62" w:beforeLines="20" w:beforeAutospacing="0" w:after="0" w:afterAutospacing="0" w:line="460" w:lineRule="exact"/>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环保检查结果：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7.1项目执行国家建设项目环境管理制度情况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陕西金工装饰幕墙有限公司西咸新区分公司金属制品加工厂项目根据有关建设项目法律法规，委托环境影响评价单位陕西企科环境技术有限公司进行了该建设项目环境影响评价，编制了《陕西金工装饰幕墙有限公司西咸新区分公司金属制品加工厂项目环境影响报告表》，并按规定完成了相关报批手续，在项目的施工建设中能按照要求同步进行配套环保设施的施工建设，在项目试生产期间，建成的各项环保设施与主体设施同时投入了运行，运行情况基本正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（1）危废暂存间管理制度：</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kern w:val="2"/>
                <w:sz w:val="24"/>
                <w:szCs w:val="24"/>
                <w:highlight w:val="none"/>
                <w:lang w:val="en-US" w:eastAsia="zh-CN" w:bidi="ar-SA"/>
              </w:rPr>
              <w:t>危废暂存间必须派专人管理，其他人未经允许不得进入内；</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kern w:val="2"/>
                <w:sz w:val="24"/>
                <w:szCs w:val="24"/>
                <w:highlight w:val="none"/>
                <w:lang w:val="en-US" w:eastAsia="zh-CN" w:bidi="ar-SA"/>
              </w:rPr>
              <w:t>危险废物暂存间不得存放除危险废物以外的其他废弃物</w:t>
            </w:r>
            <w:r>
              <w:rPr>
                <w:rFonts w:hint="eastAsia" w:ascii="Times New Roman" w:hAnsi="Times New Roman" w:eastAsia="宋体" w:cs="Times New Roman"/>
                <w:color w:val="auto"/>
                <w:kern w:val="2"/>
                <w:sz w:val="24"/>
                <w:szCs w:val="24"/>
                <w:highlight w:val="none"/>
                <w:lang w:val="en-US" w:eastAsia="zh-CN" w:bidi="ar-SA"/>
              </w:rPr>
              <w:t>；</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③</w:t>
            </w:r>
            <w:r>
              <w:rPr>
                <w:rFonts w:hint="eastAsia" w:ascii="Times New Roman" w:hAnsi="Times New Roman" w:eastAsia="宋体" w:cs="Times New Roman"/>
                <w:color w:val="auto"/>
                <w:kern w:val="2"/>
                <w:sz w:val="24"/>
                <w:szCs w:val="24"/>
                <w:highlight w:val="none"/>
                <w:lang w:val="en-US" w:eastAsia="zh-CN" w:bidi="ar-SA"/>
              </w:rPr>
              <w:t>不同类别的危险废物应分别堆放，并在存放区分别标明危险废物名称，不得混放；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kern w:val="2"/>
                <w:sz w:val="24"/>
                <w:szCs w:val="24"/>
                <w:highlight w:val="none"/>
                <w:lang w:val="en-US" w:eastAsia="zh-CN" w:bidi="ar-SA"/>
              </w:rPr>
              <w:t>危废间管理人员须作好危险废物情况的记录，记录上须注明危险废物的名称、来源、数量、入库日期、废物出库日期及接收单位名称</w:t>
            </w:r>
            <w:r>
              <w:rPr>
                <w:rFonts w:hint="eastAsia" w:ascii="Times New Roman" w:hAnsi="Times New Roman" w:eastAsia="宋体" w:cs="Times New Roman"/>
                <w:color w:val="auto"/>
                <w:kern w:val="2"/>
                <w:sz w:val="24"/>
                <w:szCs w:val="24"/>
                <w:highlight w:val="none"/>
                <w:lang w:val="en-US" w:eastAsia="zh-CN" w:bidi="ar-SA"/>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kern w:val="2"/>
                <w:sz w:val="24"/>
                <w:szCs w:val="24"/>
                <w:highlight w:val="none"/>
                <w:lang w:val="en-US" w:eastAsia="zh-CN" w:bidi="ar-SA"/>
              </w:rPr>
              <w:t>危险废物暂存间管理人员必须定期对危险废物包装及贮存设施进行检查，发现破损，应及时采取措施清理更换</w:t>
            </w:r>
            <w:r>
              <w:rPr>
                <w:rFonts w:hint="eastAsia"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kern w:val="2"/>
                <w:sz w:val="24"/>
                <w:szCs w:val="24"/>
                <w:highlight w:val="none"/>
                <w:lang w:val="en-US" w:eastAsia="zh-CN" w:bidi="ar-SA"/>
              </w:rPr>
              <w:t>危险废物暂存间内所有警示标识应确保无损坏、丢失等情况，管理人应及时上报</w:t>
            </w:r>
            <w:r>
              <w:rPr>
                <w:rFonts w:hint="eastAsia"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固废管理制度</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lang w:val="en-US" w:eastAsia="zh-CN"/>
              </w:rPr>
              <w:t>生产固废、边角料等应设置固定存放点，贴标识等；</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outlineLvl w:val="9"/>
              <w:rPr>
                <w:rFonts w:hint="eastAsia" w:ascii="Times New Roman" w:hAnsi="Times New Roman" w:eastAsia="仿宋_GB2312"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生活垃圾分类回收，已设置不可回收、可回收2个垃圾桶，及时交由环卫部门清运。</w:t>
            </w:r>
          </w:p>
        </w:tc>
      </w:tr>
    </w:tbl>
    <w:p>
      <w:pPr>
        <w:pStyle w:val="2"/>
        <w:rPr>
          <w:rFonts w:hint="default" w:ascii="Times New Roman" w:hAnsi="Times New Roman" w:cs="Times New Roman"/>
          <w:color w:val="auto"/>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afterLines="0" w:line="360" w:lineRule="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lang w:eastAsia="zh-CN"/>
        </w:rPr>
        <w:t>续</w:t>
      </w: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val="en-US" w:eastAsia="zh-CN"/>
        </w:rPr>
        <w:t>七</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39" w:hRule="atLeast"/>
          <w:jc w:val="center"/>
        </w:trPr>
        <w:tc>
          <w:tcPr>
            <w:tcW w:w="892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62" w:beforeLines="20" w:beforeAutospacing="0" w:after="0" w:afterAutospacing="0" w:line="460" w:lineRule="exact"/>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环保检查结果：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7.2固体废弃物检查结果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固体废物主要为废边角料、钢屑、焊渣、生活垃圾、废油脂、废活性炭、油漆废包装桶。废边角料、钢屑、焊渣外售处置；生活垃圾统一收集，交由环卫清运；废油脂交由</w:t>
            </w:r>
            <w:r>
              <w:rPr>
                <w:rFonts w:hint="eastAsia" w:ascii="Times New Roman" w:hAnsi="Times New Roman" w:cs="Times New Roman"/>
                <w:color w:val="auto"/>
                <w:sz w:val="24"/>
                <w:szCs w:val="24"/>
                <w:highlight w:val="none"/>
                <w:lang w:val="en-US" w:eastAsia="zh-CN"/>
              </w:rPr>
              <w:t>咸阳鑫宇环保油脂有限公司</w:t>
            </w:r>
            <w:r>
              <w:rPr>
                <w:rFonts w:hint="default" w:ascii="Times New Roman" w:hAnsi="Times New Roman" w:eastAsia="宋体" w:cs="Times New Roman"/>
                <w:color w:val="auto"/>
                <w:sz w:val="24"/>
                <w:szCs w:val="24"/>
                <w:highlight w:val="none"/>
                <w:lang w:eastAsia="zh-CN"/>
              </w:rPr>
              <w:t>处置；废活性炭、UV灯管</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油漆废包装桶属危险废物，交由</w:t>
            </w:r>
            <w:r>
              <w:rPr>
                <w:rFonts w:hint="eastAsia" w:ascii="Times New Roman" w:hAnsi="Times New Roman" w:eastAsia="宋体" w:cs="Times New Roman"/>
                <w:color w:val="auto"/>
                <w:sz w:val="24"/>
                <w:szCs w:val="24"/>
                <w:highlight w:val="none"/>
                <w:lang w:val="en-US" w:eastAsia="zh-CN"/>
              </w:rPr>
              <w:t>陕西明瑞资源再生有限公司</w:t>
            </w:r>
            <w:r>
              <w:rPr>
                <w:rFonts w:hint="default" w:ascii="Times New Roman" w:hAnsi="Times New Roman" w:eastAsia="宋体" w:cs="Times New Roman"/>
                <w:color w:val="auto"/>
                <w:sz w:val="24"/>
                <w:szCs w:val="24"/>
                <w:highlight w:val="none"/>
                <w:lang w:eastAsia="zh-CN"/>
              </w:rPr>
              <w:t>处理</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7.3总量控制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eastAsia"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本项目职工人数20人，年工作320天，每天工作8小时</w:t>
            </w:r>
            <w:r>
              <w:rPr>
                <w:rFonts w:hint="eastAsia" w:ascii="Times New Roman" w:hAnsi="Times New Roman" w:eastAsia="宋体" w:cs="Times New Roman"/>
                <w:color w:val="auto"/>
                <w:sz w:val="24"/>
                <w:szCs w:val="24"/>
                <w:highlight w:val="none"/>
                <w:lang w:val="en-US" w:eastAsia="zh-CN"/>
              </w:rPr>
              <w:t>，则生活废水年排放量为512吨</w:t>
            </w:r>
            <w:r>
              <w:rPr>
                <w:rFonts w:hint="eastAsia" w:ascii="Times New Roman" w:hAnsi="Times New Roman" w:eastAsia="宋体" w:cs="Times New Roman"/>
                <w:color w:val="auto"/>
                <w:sz w:val="24"/>
                <w:szCs w:val="24"/>
                <w:highlight w:val="none"/>
                <w:lang w:val="zh-CN" w:eastAsia="zh-CN"/>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表8-1总量控制一览表</w:t>
            </w:r>
          </w:p>
          <w:tbl>
            <w:tblPr>
              <w:tblStyle w:val="27"/>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2177"/>
              <w:gridCol w:w="2177"/>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17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项目</w:t>
                  </w:r>
                </w:p>
              </w:tc>
              <w:tc>
                <w:tcPr>
                  <w:tcW w:w="217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单位</w:t>
                  </w:r>
                </w:p>
              </w:tc>
              <w:tc>
                <w:tcPr>
                  <w:tcW w:w="217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环评及批复要求</w:t>
                  </w:r>
                </w:p>
              </w:tc>
              <w:tc>
                <w:tcPr>
                  <w:tcW w:w="217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17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废水量</w:t>
                  </w:r>
                </w:p>
              </w:tc>
              <w:tc>
                <w:tcPr>
                  <w:tcW w:w="217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t/a</w:t>
                  </w:r>
                </w:p>
              </w:tc>
              <w:tc>
                <w:tcPr>
                  <w:tcW w:w="217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w:t>
                  </w:r>
                </w:p>
              </w:tc>
              <w:tc>
                <w:tcPr>
                  <w:tcW w:w="217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17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COD</w:t>
                  </w:r>
                </w:p>
              </w:tc>
              <w:tc>
                <w:tcPr>
                  <w:tcW w:w="21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t/a</w:t>
                  </w:r>
                </w:p>
              </w:tc>
              <w:tc>
                <w:tcPr>
                  <w:tcW w:w="217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color w:val="000000"/>
                      <w:sz w:val="21"/>
                      <w:szCs w:val="21"/>
                      <w:lang w:val="en-US" w:eastAsia="zh-CN"/>
                    </w:rPr>
                    <w:t>0.07</w:t>
                  </w:r>
                </w:p>
              </w:tc>
              <w:tc>
                <w:tcPr>
                  <w:tcW w:w="217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0.0383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17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氨氮</w:t>
                  </w:r>
                </w:p>
              </w:tc>
              <w:tc>
                <w:tcPr>
                  <w:tcW w:w="21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t/a</w:t>
                  </w:r>
                </w:p>
              </w:tc>
              <w:tc>
                <w:tcPr>
                  <w:tcW w:w="217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color w:val="000000"/>
                      <w:sz w:val="21"/>
                      <w:szCs w:val="21"/>
                      <w:lang w:val="en-US" w:eastAsia="zh-CN"/>
                    </w:rPr>
                    <w:t>0.008</w:t>
                  </w:r>
                </w:p>
              </w:tc>
              <w:tc>
                <w:tcPr>
                  <w:tcW w:w="217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177"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挥发性有机物</w:t>
                  </w:r>
                </w:p>
              </w:tc>
              <w:tc>
                <w:tcPr>
                  <w:tcW w:w="21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t/a</w:t>
                  </w:r>
                </w:p>
              </w:tc>
              <w:tc>
                <w:tcPr>
                  <w:tcW w:w="217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default"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eastAsiaTheme="minorEastAsia"/>
                      <w:kern w:val="2"/>
                      <w:sz w:val="21"/>
                      <w:szCs w:val="21"/>
                      <w:highlight w:val="none"/>
                      <w:vertAlign w:val="baseline"/>
                      <w:lang w:val="en-US" w:eastAsia="zh-CN" w:bidi="ar-SA"/>
                    </w:rPr>
                    <w:t>0.0165</w:t>
                  </w:r>
                </w:p>
              </w:tc>
              <w:tc>
                <w:tcPr>
                  <w:tcW w:w="217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default" w:ascii="Times New Roman" w:hAnsi="Times New Roman" w:cs="Times New Roman" w:eastAsiaTheme="minorEastAsia"/>
                      <w:kern w:val="2"/>
                      <w:sz w:val="21"/>
                      <w:szCs w:val="21"/>
                      <w:highlight w:val="none"/>
                      <w:vertAlign w:val="baseline"/>
                      <w:lang w:val="en-US" w:eastAsia="zh-CN" w:bidi="ar-SA"/>
                    </w:rPr>
                  </w:pPr>
                  <w:r>
                    <w:rPr>
                      <w:rFonts w:hint="eastAsia" w:ascii="Times New Roman" w:hAnsi="Times New Roman" w:cs="Times New Roman"/>
                      <w:kern w:val="2"/>
                      <w:sz w:val="21"/>
                      <w:szCs w:val="21"/>
                      <w:highlight w:val="none"/>
                      <w:vertAlign w:val="baseline"/>
                      <w:lang w:val="en-US" w:eastAsia="zh-CN" w:bidi="ar-SA"/>
                    </w:rPr>
                    <w:t>0.04762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kern w:val="2"/>
                <w:sz w:val="24"/>
                <w:szCs w:val="24"/>
                <w:highlight w:val="none"/>
                <w:lang w:val="en-US" w:eastAsia="zh-CN" w:bidi="ar-SA"/>
              </w:rPr>
              <w:t>因本项目环评预测环氧富锌底漆采用的是国标，含锌量是70%，挥发性有机物含量是30%。本项目实际生产过程中使用的是市场普通的环氧富锌底漆，含锌量在30%左右，挥发性有机物含量在70%，则</w:t>
            </w:r>
            <w:r>
              <w:rPr>
                <w:rFonts w:hint="eastAsia" w:ascii="Times New Roman" w:hAnsi="Times New Roman" w:eastAsia="宋体" w:cs="Times New Roman"/>
                <w:color w:val="auto"/>
                <w:sz w:val="24"/>
                <w:szCs w:val="24"/>
                <w:highlight w:val="none"/>
                <w:lang w:val="en-US" w:eastAsia="zh-CN"/>
              </w:rPr>
              <w:t>挥发性有机物实际产生量、排放量大于环评中预测值</w:t>
            </w:r>
            <w:r>
              <w:rPr>
                <w:rFonts w:hint="eastAsia" w:ascii="Times New Roman" w:hAnsi="Times New Roman" w:eastAsia="宋体" w:cs="Times New Roman"/>
                <w:color w:val="auto"/>
                <w:sz w:val="24"/>
                <w:szCs w:val="24"/>
                <w:highlight w:val="none"/>
                <w:lang w:val="zh-CN"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环评批复及实际建设落实情况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环评批复及实际建设落实情况详见表7-1。</w:t>
            </w:r>
          </w:p>
        </w:tc>
      </w:tr>
    </w:tbl>
    <w:p>
      <w:pPr>
        <w:rPr>
          <w:rFonts w:hint="default"/>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afterLines="0" w:line="360" w:lineRule="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lang w:eastAsia="zh-CN"/>
        </w:rPr>
        <w:t>续</w:t>
      </w: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val="en-US" w:eastAsia="zh-CN"/>
        </w:rPr>
        <w:t>七</w:t>
      </w:r>
    </w:p>
    <w:tbl>
      <w:tblPr>
        <w:tblStyle w:val="26"/>
        <w:tblW w:w="146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02" w:hRule="atLeast"/>
          <w:jc w:val="center"/>
        </w:trPr>
        <w:tc>
          <w:tcPr>
            <w:tcW w:w="14677"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 xml:space="preserve">   环评结论、批复及建设落实情况</w:t>
            </w:r>
          </w:p>
          <w:tbl>
            <w:tblPr>
              <w:tblStyle w:val="26"/>
              <w:tblW w:w="1437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4283"/>
              <w:gridCol w:w="4012"/>
              <w:gridCol w:w="3840"/>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7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分类</w:t>
                  </w:r>
                </w:p>
              </w:tc>
              <w:tc>
                <w:tcPr>
                  <w:tcW w:w="428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环评报告要求</w:t>
                  </w:r>
                </w:p>
              </w:tc>
              <w:tc>
                <w:tcPr>
                  <w:tcW w:w="401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环评批复要求</w:t>
                  </w:r>
                </w:p>
              </w:tc>
              <w:tc>
                <w:tcPr>
                  <w:tcW w:w="384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实际建设情况</w:t>
                  </w:r>
                </w:p>
              </w:tc>
              <w:tc>
                <w:tcPr>
                  <w:tcW w:w="106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1" w:hRule="atLeast"/>
                <w:jc w:val="center"/>
              </w:trPr>
              <w:tc>
                <w:tcPr>
                  <w:tcW w:w="117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固体废</w:t>
                  </w:r>
                  <w:r>
                    <w:rPr>
                      <w:rFonts w:hint="default" w:ascii="Times New Roman" w:hAnsi="Times New Roman" w:eastAsia="宋体" w:cs="Times New Roman"/>
                      <w:color w:val="auto"/>
                      <w:sz w:val="24"/>
                      <w:szCs w:val="24"/>
                      <w:highlight w:val="none"/>
                    </w:rPr>
                    <w:br w:type="textWrapping"/>
                  </w:r>
                  <w:r>
                    <w:rPr>
                      <w:rFonts w:hint="default" w:ascii="Times New Roman" w:hAnsi="Times New Roman" w:eastAsia="宋体" w:cs="Times New Roman"/>
                      <w:color w:val="auto"/>
                      <w:sz w:val="24"/>
                      <w:szCs w:val="24"/>
                      <w:highlight w:val="none"/>
                    </w:rPr>
                    <w:t>物的处</w:t>
                  </w:r>
                  <w:r>
                    <w:rPr>
                      <w:rFonts w:hint="default" w:ascii="Times New Roman" w:hAnsi="Times New Roman" w:eastAsia="宋体" w:cs="Times New Roman"/>
                      <w:color w:val="auto"/>
                      <w:sz w:val="24"/>
                      <w:szCs w:val="24"/>
                      <w:highlight w:val="none"/>
                    </w:rPr>
                    <w:br w:type="textWrapping"/>
                  </w:r>
                  <w:r>
                    <w:rPr>
                      <w:rFonts w:hint="default" w:ascii="Times New Roman" w:hAnsi="Times New Roman" w:eastAsia="宋体" w:cs="Times New Roman"/>
                      <w:color w:val="auto"/>
                      <w:sz w:val="24"/>
                      <w:szCs w:val="24"/>
                      <w:highlight w:val="none"/>
                    </w:rPr>
                    <w:t>理措施</w:t>
                  </w:r>
                </w:p>
              </w:tc>
              <w:tc>
                <w:tcPr>
                  <w:tcW w:w="428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该项目运营期产生的废边角料、钢屑和焊渣经收集后外卖回收利用；生活垃圾分类袋装收集，由环卫部门定期清运；食堂产生的废油脂，交由废油脂回收单位妥善处置；废活性炭、废油漆桶设为废暂存间收集后，交有资质单位拉运处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通过采取以上措施后，项目固体废物对周围环境影响不大</w:t>
                  </w:r>
                  <w:r>
                    <w:rPr>
                      <w:rFonts w:hint="eastAsia" w:ascii="Times New Roman" w:hAnsi="Times New Roman" w:eastAsia="宋体" w:cs="Times New Roman"/>
                      <w:color w:val="auto"/>
                      <w:kern w:val="2"/>
                      <w:sz w:val="24"/>
                      <w:szCs w:val="24"/>
                      <w:highlight w:val="none"/>
                      <w:lang w:val="en-US" w:eastAsia="zh-CN" w:bidi="ar-SA"/>
                    </w:rPr>
                    <w:t>。</w:t>
                  </w:r>
                </w:p>
              </w:tc>
              <w:tc>
                <w:tcPr>
                  <w:tcW w:w="4012"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加强固体废物管理。固体废物主要为废边角料、钢屑、焊渣、生活垃圾、废油脂、废活性炭、油漆废包装桶。废边角料、钢屑、焊渣外售处置；生活垃圾统一收集，交由环卫清运；废油脂交由有资质单位处置；废活性炭、油漆废包装桶属危险废物，须按危废管理要求，及时交由有资质的单位处理</w:t>
                  </w:r>
                  <w:r>
                    <w:rPr>
                      <w:rFonts w:hint="eastAsia" w:ascii="Times New Roman" w:hAnsi="Times New Roman" w:eastAsia="宋体" w:cs="Times New Roman"/>
                      <w:color w:val="auto"/>
                      <w:sz w:val="24"/>
                      <w:szCs w:val="24"/>
                      <w:highlight w:val="none"/>
                      <w:lang w:val="en-US" w:eastAsia="zh-CN"/>
                    </w:rPr>
                    <w:t>。</w:t>
                  </w:r>
                </w:p>
              </w:tc>
              <w:tc>
                <w:tcPr>
                  <w:tcW w:w="38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固体废物主要为废边角料、钢屑、焊渣、生活垃圾、废油脂、废活性炭、油漆废包装桶。废边角料、钢屑、焊渣外售处置；生活垃圾统一收集，交由环卫清运；废油脂交由</w:t>
                  </w:r>
                  <w:r>
                    <w:rPr>
                      <w:rFonts w:hint="eastAsia" w:ascii="Times New Roman" w:hAnsi="Times New Roman" w:cs="Times New Roman"/>
                      <w:color w:val="auto"/>
                      <w:sz w:val="24"/>
                      <w:szCs w:val="24"/>
                      <w:highlight w:val="none"/>
                      <w:lang w:val="en-US" w:eastAsia="zh-CN"/>
                    </w:rPr>
                    <w:t>咸阳鑫宇环保油脂有限公司</w:t>
                  </w:r>
                  <w:r>
                    <w:rPr>
                      <w:rFonts w:hint="default" w:ascii="Times New Roman" w:hAnsi="Times New Roman" w:eastAsia="宋体" w:cs="Times New Roman"/>
                      <w:color w:val="auto"/>
                      <w:sz w:val="24"/>
                      <w:szCs w:val="24"/>
                      <w:highlight w:val="none"/>
                      <w:lang w:eastAsia="zh-CN"/>
                    </w:rPr>
                    <w:t>处置；废活性炭、UV灯管</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油漆废包装桶属危险废物，交由</w:t>
                  </w:r>
                  <w:r>
                    <w:rPr>
                      <w:rFonts w:hint="eastAsia" w:ascii="Times New Roman" w:hAnsi="Times New Roman" w:eastAsia="宋体" w:cs="Times New Roman"/>
                      <w:color w:val="auto"/>
                      <w:sz w:val="24"/>
                      <w:szCs w:val="24"/>
                      <w:highlight w:val="none"/>
                      <w:lang w:val="en-US" w:eastAsia="zh-CN"/>
                    </w:rPr>
                    <w:t>陕西明瑞资源再生有限公司</w:t>
                  </w:r>
                  <w:r>
                    <w:rPr>
                      <w:rFonts w:hint="default" w:ascii="Times New Roman" w:hAnsi="Times New Roman" w:eastAsia="宋体" w:cs="Times New Roman"/>
                      <w:color w:val="auto"/>
                      <w:sz w:val="24"/>
                      <w:szCs w:val="24"/>
                      <w:highlight w:val="none"/>
                      <w:lang w:eastAsia="zh-CN"/>
                    </w:rPr>
                    <w:t>处理</w:t>
                  </w:r>
                </w:p>
              </w:tc>
              <w:tc>
                <w:tcPr>
                  <w:tcW w:w="106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ind w:left="0" w:right="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符合</w:t>
                  </w:r>
                </w:p>
              </w:tc>
            </w:tr>
          </w:tbl>
          <w:p>
            <w:pPr>
              <w:keepNext w:val="0"/>
              <w:keepLines w:val="0"/>
              <w:widowControl w:val="0"/>
              <w:suppressLineNumbers w:val="0"/>
              <w:spacing w:before="62" w:beforeLines="20" w:beforeAutospacing="0" w:after="0" w:afterLines="0" w:afterAutospacing="0" w:line="360" w:lineRule="auto"/>
              <w:ind w:left="0" w:right="0"/>
              <w:jc w:val="both"/>
              <w:rPr>
                <w:rFonts w:hint="default" w:ascii="Times New Roman" w:hAnsi="Times New Roman" w:eastAsia="仿宋_GB2312" w:cs="Times New Roman"/>
                <w:color w:val="auto"/>
                <w:sz w:val="24"/>
                <w:szCs w:val="24"/>
                <w:highlight w:val="none"/>
              </w:rPr>
            </w:pPr>
          </w:p>
        </w:tc>
      </w:tr>
    </w:tbl>
    <w:p>
      <w:pPr>
        <w:spacing w:after="0" w:afterLines="0" w:line="360" w:lineRule="auto"/>
        <w:rPr>
          <w:rFonts w:hint="default" w:ascii="Times New Roman" w:hAnsi="Times New Roman" w:eastAsia="仿宋_GB2312" w:cs="Times New Roman"/>
          <w:b/>
          <w:color w:val="auto"/>
          <w:sz w:val="24"/>
          <w:szCs w:val="24"/>
          <w:highlight w:val="none"/>
        </w:rPr>
        <w:sectPr>
          <w:pgSz w:w="16838" w:h="11906" w:orient="landscape"/>
          <w:pgMar w:top="850" w:right="1440" w:bottom="567" w:left="1440" w:header="737" w:footer="680" w:gutter="0"/>
          <w:pgBorders>
            <w:top w:val="none" w:sz="0" w:space="0"/>
            <w:left w:val="none" w:sz="0" w:space="0"/>
            <w:bottom w:val="none" w:sz="0" w:space="0"/>
            <w:right w:val="none" w:sz="0" w:space="0"/>
          </w:pgBorders>
          <w:pgNumType w:fmt="decimal"/>
          <w:cols w:space="0" w:num="1"/>
          <w:rtlGutter w:val="0"/>
          <w:docGrid w:type="lines" w:linePitch="321" w:charSpace="0"/>
        </w:sectPr>
      </w:pPr>
    </w:p>
    <w:p>
      <w:pPr>
        <w:spacing w:after="0" w:afterLines="0" w:line="360" w:lineRule="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eastAsia="zh-CN"/>
        </w:rPr>
        <w:t>九</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39"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验收监测结论：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8.1固废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eastAsia="zh-CN"/>
              </w:rPr>
              <w:t>固体废物主要为废边角料、钢屑、焊渣、生活垃圾、废油脂、废活性炭、油漆废包装桶</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eastAsia="zh-CN"/>
              </w:rPr>
              <w:t>。废边角料、钢屑、焊渣外售处置；生活垃圾统一收集，交由环卫清运；废油脂交由</w:t>
            </w:r>
            <w:r>
              <w:rPr>
                <w:rFonts w:hint="eastAsia" w:ascii="Times New Roman" w:hAnsi="Times New Roman" w:cs="Times New Roman"/>
                <w:color w:val="auto"/>
                <w:sz w:val="24"/>
                <w:szCs w:val="24"/>
                <w:highlight w:val="none"/>
                <w:lang w:val="en-US" w:eastAsia="zh-CN"/>
              </w:rPr>
              <w:t>咸阳鑫宇环保油脂有限公司</w:t>
            </w:r>
            <w:r>
              <w:rPr>
                <w:rFonts w:hint="default" w:ascii="Times New Roman" w:hAnsi="Times New Roman" w:eastAsia="宋体" w:cs="Times New Roman"/>
                <w:color w:val="auto"/>
                <w:sz w:val="24"/>
                <w:szCs w:val="24"/>
                <w:highlight w:val="none"/>
                <w:lang w:eastAsia="zh-CN"/>
              </w:rPr>
              <w:t>处置；废活性炭、UV灯管</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油漆废包装桶属危险废物，交由</w:t>
            </w:r>
            <w:r>
              <w:rPr>
                <w:rFonts w:hint="eastAsia" w:ascii="Times New Roman" w:hAnsi="Times New Roman" w:eastAsia="宋体" w:cs="Times New Roman"/>
                <w:color w:val="auto"/>
                <w:sz w:val="24"/>
                <w:szCs w:val="24"/>
                <w:highlight w:val="none"/>
                <w:lang w:val="en-US" w:eastAsia="zh-CN"/>
              </w:rPr>
              <w:t>陕西明瑞资源再生有限公司</w:t>
            </w:r>
            <w:r>
              <w:rPr>
                <w:rFonts w:hint="default" w:ascii="Times New Roman" w:hAnsi="Times New Roman" w:eastAsia="宋体" w:cs="Times New Roman"/>
                <w:color w:val="auto"/>
                <w:sz w:val="24"/>
                <w:szCs w:val="24"/>
                <w:highlight w:val="none"/>
                <w:lang w:eastAsia="zh-CN"/>
              </w:rPr>
              <w:t>处理</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i w:val="0"/>
                <w:color w:val="auto"/>
                <w:kern w:val="0"/>
                <w:sz w:val="24"/>
                <w:szCs w:val="24"/>
                <w:highlight w:val="none"/>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宋体" w:cs="Times New Roman"/>
                <w:b/>
                <w:bCs/>
                <w:i w:val="0"/>
                <w:color w:val="auto"/>
                <w:kern w:val="0"/>
                <w:sz w:val="24"/>
                <w:szCs w:val="24"/>
                <w:highlight w:val="none"/>
                <w:lang w:val="en-US" w:eastAsia="zh-CN" w:bidi="ar"/>
              </w:rPr>
              <w:t>综上所述：该项目经过实际监测，各项环保设施能够按照环境影响评价的要求建设，并且污染物排放结果均符合相应的环境排放标准，符合验收条件</w:t>
            </w:r>
            <w:r>
              <w:rPr>
                <w:rFonts w:hint="eastAsia" w:ascii="Times New Roman" w:hAnsi="Times New Roman" w:eastAsia="宋体" w:cs="Times New Roman"/>
                <w:b/>
                <w:bCs/>
                <w:i w:val="0"/>
                <w:color w:val="auto"/>
                <w:kern w:val="0"/>
                <w:sz w:val="24"/>
                <w:szCs w:val="24"/>
                <w:highlight w:val="none"/>
                <w:lang w:val="en-US" w:eastAsia="zh-CN" w:bidi="ar"/>
              </w:rPr>
              <w:t>。</w:t>
            </w:r>
          </w:p>
        </w:tc>
      </w:tr>
    </w:tbl>
    <w:p>
      <w:pPr>
        <w:spacing w:after="0" w:afterLines="0" w:line="360" w:lineRule="auto"/>
        <w:rPr>
          <w:rFonts w:hint="default" w:ascii="Times New Roman" w:hAnsi="Times New Roman" w:eastAsia="仿宋_GB2312" w:cs="Times New Roman"/>
          <w:b/>
          <w:color w:val="auto"/>
          <w:sz w:val="24"/>
          <w:szCs w:val="24"/>
          <w:highlight w:val="none"/>
          <w:lang w:eastAsia="zh-CN"/>
        </w:rPr>
      </w:pPr>
      <w:r>
        <w:rPr>
          <w:rFonts w:hint="default" w:ascii="Times New Roman" w:hAnsi="Times New Roman" w:eastAsia="仿宋_GB2312" w:cs="Times New Roman"/>
          <w:b/>
          <w:color w:val="auto"/>
          <w:sz w:val="24"/>
          <w:szCs w:val="24"/>
          <w:highlight w:val="none"/>
        </w:rPr>
        <w:t>表</w:t>
      </w:r>
      <w:r>
        <w:rPr>
          <w:rFonts w:hint="default" w:ascii="Times New Roman" w:hAnsi="Times New Roman" w:eastAsia="仿宋_GB2312" w:cs="Times New Roman"/>
          <w:b/>
          <w:color w:val="auto"/>
          <w:sz w:val="24"/>
          <w:szCs w:val="24"/>
          <w:highlight w:val="none"/>
          <w:lang w:eastAsia="zh-CN"/>
        </w:rPr>
        <w:t>十</w:t>
      </w:r>
    </w:p>
    <w:tbl>
      <w:tblPr>
        <w:tblStyle w:val="26"/>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39" w:hRule="atLeast"/>
          <w:jc w:val="center"/>
        </w:trPr>
        <w:tc>
          <w:tcPr>
            <w:tcW w:w="8924" w:type="dxa"/>
            <w:vAlign w:val="top"/>
          </w:tcPr>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w:t>
            </w:r>
            <w:r>
              <w:rPr>
                <w:rFonts w:hint="default" w:ascii="Times New Roman" w:hAnsi="Times New Roman" w:eastAsia="宋体" w:cs="Times New Roman"/>
                <w:color w:val="auto"/>
                <w:sz w:val="24"/>
                <w:szCs w:val="24"/>
                <w:highlight w:val="none"/>
                <w:lang w:eastAsia="zh-CN"/>
              </w:rPr>
              <w:t>图</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建设项目地理位置图</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平面布置图；</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现场图；</w:t>
            </w:r>
          </w:p>
          <w:p>
            <w:pPr>
              <w:keepNext w:val="0"/>
              <w:keepLines w:val="0"/>
              <w:suppressLineNumbers w:val="0"/>
              <w:spacing w:before="62" w:beforeLines="20" w:beforeAutospacing="0" w:after="0" w:afterAutospacing="0" w:line="360" w:lineRule="auto"/>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w:t>
            </w:r>
            <w:r>
              <w:rPr>
                <w:rFonts w:hint="default" w:ascii="Times New Roman" w:hAnsi="Times New Roman" w:eastAsia="宋体" w:cs="Times New Roman"/>
                <w:color w:val="auto"/>
                <w:sz w:val="24"/>
                <w:szCs w:val="24"/>
                <w:highlight w:val="none"/>
                <w:lang w:eastAsia="zh-CN"/>
              </w:rPr>
              <w:t>件</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验收清单；</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eastAsia="仿宋_GB2312" w:cs="Times New Roman"/>
                <w:color w:val="auto"/>
                <w:sz w:val="24"/>
                <w:szCs w:val="24"/>
                <w:highlight w:val="none"/>
                <w:lang w:val="en-US"/>
              </w:rPr>
            </w:pPr>
            <w:r>
              <w:rPr>
                <w:rFonts w:hint="default" w:ascii="Times New Roman" w:hAnsi="Times New Roman" w:cs="Times New Roman"/>
                <w:color w:val="auto"/>
                <w:sz w:val="24"/>
                <w:szCs w:val="24"/>
                <w:highlight w:val="none"/>
              </w:rPr>
              <w:t>建设项目环境影响评价报告表的批复</w:t>
            </w:r>
            <w:r>
              <w:rPr>
                <w:rFonts w:hint="default" w:ascii="Times New Roman" w:hAnsi="Times New Roman" w:cs="Times New Roman"/>
                <w:color w:val="auto"/>
                <w:sz w:val="24"/>
                <w:szCs w:val="24"/>
                <w:highlight w:val="none"/>
                <w:lang w:eastAsia="zh-CN"/>
              </w:rPr>
              <w:t>；</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eastAsia="仿宋_GB2312"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废油脂回收协议；</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eastAsia="仿宋_GB2312" w:cs="Times New Roman"/>
                <w:color w:val="auto"/>
                <w:sz w:val="24"/>
                <w:szCs w:val="24"/>
                <w:highlight w:val="none"/>
                <w:lang w:val="en-US"/>
              </w:rPr>
            </w:pPr>
            <w:r>
              <w:rPr>
                <w:rFonts w:hint="eastAsia" w:ascii="Times New Roman" w:hAnsi="Times New Roman" w:cs="Times New Roman"/>
                <w:color w:val="auto"/>
                <w:sz w:val="24"/>
                <w:szCs w:val="24"/>
                <w:highlight w:val="none"/>
                <w:lang w:val="en-US" w:eastAsia="zh-CN"/>
              </w:rPr>
              <w:t>危废协议；</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eastAsia="仿宋_GB2312" w:cs="Times New Roman"/>
                <w:color w:val="auto"/>
                <w:sz w:val="24"/>
                <w:szCs w:val="24"/>
                <w:highlight w:val="none"/>
                <w:lang w:val="en-US"/>
              </w:rPr>
            </w:pPr>
            <w:r>
              <w:rPr>
                <w:rFonts w:hint="eastAsia" w:ascii="Times New Roman" w:hAnsi="Times New Roman" w:cs="Times New Roman"/>
                <w:color w:val="auto"/>
                <w:sz w:val="24"/>
                <w:szCs w:val="24"/>
                <w:highlight w:val="none"/>
                <w:lang w:val="en-US" w:eastAsia="zh-CN"/>
              </w:rPr>
              <w:t>危废回收单位资质</w:t>
            </w:r>
            <w:r>
              <w:rPr>
                <w:rFonts w:hint="default" w:ascii="Times New Roman" w:hAnsi="Times New Roman" w:cs="Times New Roman"/>
                <w:color w:val="auto"/>
                <w:sz w:val="24"/>
                <w:szCs w:val="24"/>
                <w:highlight w:val="none"/>
                <w:lang w:val="en-US" w:eastAsia="zh-CN"/>
              </w:rPr>
              <w:t>。</w:t>
            </w: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auto"/>
                <w:sz w:val="24"/>
                <w:szCs w:val="24"/>
                <w:highlight w:val="none"/>
              </w:rPr>
            </w:pP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auto"/>
                <w:sz w:val="24"/>
                <w:szCs w:val="24"/>
                <w:highlight w:val="none"/>
              </w:rPr>
            </w:pP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auto"/>
                <w:sz w:val="24"/>
                <w:szCs w:val="24"/>
                <w:highlight w:val="none"/>
              </w:rPr>
            </w:pP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auto"/>
                <w:sz w:val="24"/>
                <w:szCs w:val="24"/>
                <w:highlight w:val="none"/>
              </w:rPr>
            </w:pP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auto"/>
                <w:sz w:val="24"/>
                <w:szCs w:val="24"/>
                <w:highlight w:val="none"/>
              </w:rPr>
            </w:pPr>
          </w:p>
          <w:p>
            <w:pPr>
              <w:keepNext w:val="0"/>
              <w:keepLines w:val="0"/>
              <w:suppressLineNumbers w:val="0"/>
              <w:spacing w:before="62" w:beforeLines="20" w:beforeAutospacing="0" w:after="0" w:afterAutospacing="0" w:line="360" w:lineRule="auto"/>
              <w:ind w:left="0" w:right="0"/>
              <w:rPr>
                <w:rFonts w:hint="default" w:ascii="Times New Roman" w:hAnsi="Times New Roman" w:eastAsia="仿宋_GB2312" w:cs="Times New Roman"/>
                <w:color w:val="auto"/>
                <w:sz w:val="24"/>
                <w:szCs w:val="24"/>
                <w:highlight w:val="none"/>
              </w:rPr>
            </w:pPr>
          </w:p>
          <w:p>
            <w:pPr>
              <w:keepNext w:val="0"/>
              <w:keepLines w:val="0"/>
              <w:widowControl w:val="0"/>
              <w:suppressLineNumbers w:val="0"/>
              <w:spacing w:before="62" w:beforeLines="20" w:beforeAutospacing="0" w:after="0" w:afterLines="0" w:afterAutospacing="0" w:line="360" w:lineRule="auto"/>
              <w:ind w:left="0" w:right="0"/>
              <w:jc w:val="both"/>
              <w:rPr>
                <w:rFonts w:hint="default" w:ascii="Times New Roman" w:hAnsi="Times New Roman" w:eastAsia="仿宋_GB2312" w:cs="Times New Roman"/>
                <w:color w:val="auto"/>
                <w:sz w:val="24"/>
                <w:szCs w:val="24"/>
                <w:highlight w:val="none"/>
              </w:rPr>
            </w:pPr>
          </w:p>
        </w:tc>
      </w:tr>
    </w:tbl>
    <w:p>
      <w:pPr>
        <w:rPr>
          <w:rFonts w:hint="default" w:ascii="Times New Roman" w:hAnsi="Times New Roman" w:cs="Times New Roman"/>
          <w:color w:val="auto"/>
          <w:highlight w:val="none"/>
        </w:rPr>
        <w:sectPr>
          <w:pgSz w:w="11906" w:h="16838"/>
          <w:pgMar w:top="1440" w:right="1800" w:bottom="1440" w:left="1800" w:header="1134" w:footer="1134" w:gutter="0"/>
          <w:pgBorders>
            <w:top w:val="none" w:sz="0" w:space="0"/>
            <w:left w:val="none" w:sz="0" w:space="0"/>
            <w:bottom w:val="none" w:sz="0" w:space="0"/>
            <w:right w:val="none" w:sz="0" w:space="0"/>
          </w:pgBorders>
          <w:pgNumType w:fmt="decimal"/>
          <w:cols w:space="0" w:num="1"/>
          <w:rtlGutter w:val="0"/>
          <w:docGrid w:type="lines" w:linePitch="312" w:charSpace="0"/>
        </w:sectPr>
      </w:pPr>
    </w:p>
    <w:p>
      <w:pPr>
        <w:spacing w:after="0" w:afterLines="0" w:line="300" w:lineRule="exact"/>
        <w:jc w:val="center"/>
        <w:rPr>
          <w:rFonts w:eastAsia="黑体"/>
          <w:b/>
          <w:color w:val="auto"/>
          <w:sz w:val="21"/>
          <w:szCs w:val="21"/>
          <w:highlight w:val="none"/>
        </w:rPr>
      </w:pPr>
      <w:bookmarkStart w:id="1" w:name="_Toc193191700"/>
      <w:bookmarkStart w:id="2" w:name="_Toc294092674"/>
      <w:bookmarkStart w:id="3" w:name="_Toc188086718"/>
      <w:r>
        <w:rPr>
          <w:rFonts w:eastAsia="黑体"/>
          <w:b/>
          <w:color w:val="auto"/>
          <w:sz w:val="21"/>
          <w:szCs w:val="21"/>
          <w:highlight w:val="none"/>
        </w:rPr>
        <w:t>建设项目竣工环境保护</w:t>
      </w:r>
      <w:r>
        <w:rPr>
          <w:rFonts w:hint="eastAsia" w:eastAsia="黑体"/>
          <w:b/>
          <w:color w:val="auto"/>
          <w:sz w:val="21"/>
          <w:szCs w:val="21"/>
          <w:highlight w:val="none"/>
        </w:rPr>
        <w:t>“</w:t>
      </w:r>
      <w:r>
        <w:rPr>
          <w:rFonts w:eastAsia="黑体"/>
          <w:b/>
          <w:color w:val="auto"/>
          <w:sz w:val="21"/>
          <w:szCs w:val="21"/>
          <w:highlight w:val="none"/>
        </w:rPr>
        <w:t>三同时</w:t>
      </w:r>
      <w:r>
        <w:rPr>
          <w:rFonts w:hint="eastAsia" w:eastAsia="黑体"/>
          <w:b/>
          <w:color w:val="auto"/>
          <w:sz w:val="21"/>
          <w:szCs w:val="21"/>
          <w:highlight w:val="none"/>
        </w:rPr>
        <w:t>”</w:t>
      </w:r>
      <w:r>
        <w:rPr>
          <w:rFonts w:eastAsia="黑体"/>
          <w:b/>
          <w:color w:val="auto"/>
          <w:sz w:val="21"/>
          <w:szCs w:val="21"/>
          <w:highlight w:val="none"/>
        </w:rPr>
        <w:t>验收登记表</w:t>
      </w:r>
    </w:p>
    <w:p>
      <w:pPr>
        <w:spacing w:after="0" w:afterLines="0" w:line="300" w:lineRule="exact"/>
        <w:jc w:val="center"/>
        <w:rPr>
          <w:rFonts w:eastAsia="黑体"/>
          <w:b/>
          <w:color w:val="auto"/>
          <w:sz w:val="21"/>
          <w:szCs w:val="21"/>
          <w:highlight w:val="none"/>
        </w:rPr>
      </w:pPr>
    </w:p>
    <w:p>
      <w:pPr>
        <w:spacing w:after="0" w:afterLines="0"/>
        <w:rPr>
          <w:rFonts w:ascii="宋体" w:hAnsi="宋体" w:eastAsia="宋体"/>
          <w:b/>
          <w:color w:val="auto"/>
          <w:sz w:val="21"/>
          <w:szCs w:val="21"/>
          <w:highlight w:val="none"/>
        </w:rPr>
      </w:pPr>
      <w:r>
        <w:rPr>
          <w:rFonts w:ascii="宋体" w:hAnsi="宋体" w:eastAsia="宋体"/>
          <w:b/>
          <w:color w:val="auto"/>
          <w:sz w:val="21"/>
          <w:szCs w:val="21"/>
          <w:highlight w:val="none"/>
        </w:rPr>
        <w:t>填表单位（盖章）</w:t>
      </w:r>
      <w:r>
        <w:rPr>
          <w:rFonts w:ascii="宋体" w:hAnsi="宋体" w:eastAsia="宋体"/>
          <w:b/>
          <w:color w:val="auto"/>
          <w:kern w:val="2"/>
          <w:sz w:val="21"/>
          <w:szCs w:val="21"/>
          <w:highlight w:val="none"/>
        </w:rPr>
        <w:t>：</w:t>
      </w:r>
      <w:r>
        <w:rPr>
          <w:rFonts w:hint="eastAsia" w:ascii="宋体" w:hAnsi="宋体" w:eastAsia="宋体"/>
          <w:b/>
          <w:color w:val="auto"/>
          <w:kern w:val="2"/>
          <w:sz w:val="21"/>
          <w:szCs w:val="21"/>
          <w:highlight w:val="none"/>
          <w:lang w:eastAsia="zh-CN"/>
        </w:rPr>
        <w:t>陕西金工装饰幕墙有限公司西咸新区分公司</w:t>
      </w:r>
      <w:r>
        <w:rPr>
          <w:rFonts w:ascii="宋体" w:hAnsi="宋体" w:eastAsia="宋体"/>
          <w:b/>
          <w:color w:val="auto"/>
          <w:sz w:val="21"/>
          <w:szCs w:val="21"/>
          <w:highlight w:val="none"/>
        </w:rPr>
        <w:t xml:space="preserve">        </w:t>
      </w:r>
      <w:r>
        <w:rPr>
          <w:rFonts w:hint="eastAsia" w:ascii="宋体" w:hAnsi="宋体" w:eastAsia="宋体"/>
          <w:b/>
          <w:color w:val="auto"/>
          <w:sz w:val="21"/>
          <w:szCs w:val="21"/>
          <w:highlight w:val="none"/>
          <w:lang w:val="en-US" w:eastAsia="zh-CN"/>
        </w:rPr>
        <w:t xml:space="preserve">      </w:t>
      </w:r>
      <w:r>
        <w:rPr>
          <w:rFonts w:ascii="宋体" w:hAnsi="宋体" w:eastAsia="宋体"/>
          <w:b/>
          <w:color w:val="auto"/>
          <w:sz w:val="21"/>
          <w:szCs w:val="21"/>
          <w:highlight w:val="none"/>
        </w:rPr>
        <w:t>填表人（签字）：                        项目经办人（签字）：</w:t>
      </w:r>
    </w:p>
    <w:tbl>
      <w:tblPr>
        <w:tblStyle w:val="26"/>
        <w:tblW w:w="158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658"/>
        <w:gridCol w:w="335"/>
        <w:gridCol w:w="511"/>
        <w:gridCol w:w="588"/>
        <w:gridCol w:w="426"/>
        <w:gridCol w:w="870"/>
        <w:gridCol w:w="1095"/>
        <w:gridCol w:w="1395"/>
        <w:gridCol w:w="1160"/>
        <w:gridCol w:w="625"/>
        <w:gridCol w:w="619"/>
        <w:gridCol w:w="1102"/>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restart"/>
            <w:tcMar>
              <w:left w:w="57" w:type="dxa"/>
              <w:right w:w="57" w:type="dxa"/>
            </w:tcMar>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113" w:right="113"/>
              <w:jc w:val="center"/>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建设项目</w:t>
            </w: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项目名称</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eastAsia="zh-CN"/>
              </w:rPr>
            </w:pPr>
            <w:r>
              <w:rPr>
                <w:rFonts w:hint="eastAsia" w:ascii="宋体" w:hAnsi="宋体" w:eastAsia="宋体" w:cs="宋体"/>
                <w:color w:val="auto"/>
                <w:kern w:val="2"/>
                <w:sz w:val="16"/>
                <w:szCs w:val="16"/>
                <w:highlight w:val="none"/>
                <w:lang w:eastAsia="zh-CN"/>
              </w:rPr>
              <w:t>金属制品加工厂项目</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项目代码</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2018-611204-41-03-054246</w:t>
            </w:r>
          </w:p>
        </w:tc>
        <w:tc>
          <w:tcPr>
            <w:tcW w:w="1785"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建设地点</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eastAsia="zh-CN"/>
              </w:rPr>
            </w:pPr>
            <w:r>
              <w:rPr>
                <w:rFonts w:hint="eastAsia" w:ascii="宋体" w:hAnsi="宋体" w:eastAsia="宋体" w:cs="宋体"/>
                <w:color w:val="auto"/>
                <w:kern w:val="2"/>
                <w:sz w:val="16"/>
                <w:szCs w:val="16"/>
                <w:highlight w:val="none"/>
                <w:lang w:eastAsia="zh-CN"/>
              </w:rPr>
              <w:t>陕西省西咸新区秦汉新城朝阳七路二号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行业类别（分类管理名录）</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rPr>
            </w:pPr>
            <w:r>
              <w:rPr>
                <w:rFonts w:hint="eastAsia" w:ascii="宋体" w:hAnsi="宋体" w:eastAsia="宋体" w:cs="宋体"/>
                <w:color w:val="auto"/>
                <w:kern w:val="2"/>
                <w:sz w:val="16"/>
                <w:szCs w:val="16"/>
                <w:highlight w:val="none"/>
                <w:lang w:val="en-US"/>
              </w:rPr>
              <w:t>C3311 金属结构制造</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建设性质</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lang w:eastAsia="zh-CN"/>
              </w:rPr>
              <w:t>☑</w:t>
            </w:r>
            <w:r>
              <w:rPr>
                <w:rFonts w:hint="eastAsia" w:ascii="宋体" w:hAnsi="宋体" w:eastAsia="宋体" w:cs="宋体"/>
                <w:b/>
                <w:color w:val="auto"/>
                <w:kern w:val="2"/>
                <w:sz w:val="16"/>
                <w:szCs w:val="16"/>
                <w:highlight w:val="none"/>
              </w:rPr>
              <w:t xml:space="preserve">新建  </w:t>
            </w:r>
            <w:r>
              <w:rPr>
                <w:rFonts w:hint="eastAsia" w:ascii="宋体" w:hAnsi="宋体" w:eastAsia="宋体" w:cs="宋体"/>
                <w:b/>
                <w:color w:val="auto"/>
                <w:kern w:val="2"/>
                <w:sz w:val="16"/>
                <w:szCs w:val="16"/>
                <w:highlight w:val="none"/>
                <w:lang w:eastAsia="zh-CN"/>
              </w:rPr>
              <w:t>□</w:t>
            </w:r>
            <w:r>
              <w:rPr>
                <w:rFonts w:hint="eastAsia" w:ascii="宋体" w:hAnsi="宋体" w:eastAsia="宋体" w:cs="宋体"/>
                <w:b/>
                <w:color w:val="auto"/>
                <w:kern w:val="2"/>
                <w:sz w:val="16"/>
                <w:szCs w:val="16"/>
                <w:highlight w:val="none"/>
              </w:rPr>
              <w:t xml:space="preserve"> 改扩建  □技术改造</w:t>
            </w:r>
          </w:p>
        </w:tc>
        <w:tc>
          <w:tcPr>
            <w:tcW w:w="1785"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项目厂区中心经度/纬度</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default" w:ascii="Times New Roman" w:hAnsi="Times New Roman" w:eastAsia="宋体" w:cs="Times New Roman"/>
                <w:color w:val="auto"/>
                <w:kern w:val="2"/>
                <w:sz w:val="16"/>
                <w:szCs w:val="16"/>
                <w:highlight w:val="none"/>
              </w:rPr>
            </w:pPr>
            <w:r>
              <w:rPr>
                <w:rFonts w:hint="default" w:ascii="Times New Roman" w:hAnsi="Times New Roman" w:eastAsia="宋体" w:cs="Times New Roman"/>
                <w:color w:val="auto"/>
                <w:kern w:val="2"/>
                <w:sz w:val="16"/>
                <w:szCs w:val="16"/>
                <w:highlight w:val="none"/>
              </w:rPr>
              <w:t xml:space="preserve">北纬N34°37′52.63″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r>
              <w:rPr>
                <w:rFonts w:hint="default" w:ascii="Times New Roman" w:hAnsi="Times New Roman" w:eastAsia="宋体" w:cs="Times New Roman"/>
                <w:color w:val="auto"/>
                <w:kern w:val="2"/>
                <w:sz w:val="16"/>
                <w:szCs w:val="16"/>
                <w:highlight w:val="none"/>
              </w:rPr>
              <w:t>东经E108°79′64.47″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设计生产能力</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年产单元式幕墙框架1350件/a</w:t>
            </w:r>
          </w:p>
        </w:tc>
        <w:tc>
          <w:tcPr>
            <w:tcW w:w="1860" w:type="dxa"/>
            <w:gridSpan w:val="4"/>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实际生产能力</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auto"/>
                <w:kern w:val="2"/>
                <w:sz w:val="16"/>
                <w:szCs w:val="16"/>
                <w:highlight w:val="none"/>
              </w:rPr>
            </w:pPr>
            <w:r>
              <w:rPr>
                <w:rFonts w:hint="eastAsia" w:ascii="宋体" w:hAnsi="宋体" w:eastAsia="宋体" w:cs="宋体"/>
                <w:color w:val="auto"/>
                <w:kern w:val="2"/>
                <w:sz w:val="16"/>
                <w:szCs w:val="16"/>
                <w:highlight w:val="none"/>
                <w:lang w:val="en-US" w:eastAsia="zh-CN"/>
              </w:rPr>
              <w:t>年产单元式幕墙框架1350件/a</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环评单位</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eastAsia="zh-CN"/>
              </w:rPr>
            </w:pPr>
            <w:r>
              <w:rPr>
                <w:rFonts w:hint="eastAsia" w:ascii="宋体" w:hAnsi="宋体" w:eastAsia="宋体" w:cs="宋体"/>
                <w:color w:val="auto"/>
                <w:kern w:val="2"/>
                <w:sz w:val="16"/>
                <w:szCs w:val="16"/>
                <w:highlight w:val="none"/>
                <w:lang w:eastAsia="zh-CN"/>
              </w:rPr>
              <w:t>陕西企科环境技术有限公司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环评文件审批机关</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eastAsia="zh-CN"/>
              </w:rPr>
            </w:pPr>
            <w:r>
              <w:rPr>
                <w:rFonts w:hint="eastAsia" w:ascii="宋体" w:hAnsi="宋体" w:eastAsia="宋体" w:cs="宋体"/>
                <w:color w:val="auto"/>
                <w:kern w:val="2"/>
                <w:sz w:val="16"/>
                <w:szCs w:val="16"/>
                <w:highlight w:val="none"/>
                <w:lang w:eastAsia="zh-CN"/>
              </w:rPr>
              <w:t>秦汉新城行政审批与政务服务局</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审批文号</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r>
              <w:rPr>
                <w:rFonts w:hint="eastAsia" w:ascii="宋体" w:hAnsi="宋体" w:eastAsia="宋体" w:cs="宋体"/>
                <w:color w:val="auto"/>
                <w:kern w:val="2"/>
                <w:sz w:val="16"/>
                <w:szCs w:val="16"/>
                <w:highlight w:val="none"/>
              </w:rPr>
              <w:t>秦汉审服准【2018】112号</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环评文件类型</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开工日期</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2018.12</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竣工日期</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2019.05</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排污许可证申领时间</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环保设施设计单位</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auto"/>
                <w:sz w:val="16"/>
                <w:szCs w:val="16"/>
                <w:highlight w:val="none"/>
                <w:lang w:val="en-US" w:eastAsia="zh-CN"/>
              </w:rPr>
            </w:pPr>
            <w:r>
              <w:rPr>
                <w:rFonts w:hint="eastAsia" w:ascii="宋体" w:hAnsi="宋体" w:eastAsia="宋体" w:cs="宋体"/>
                <w:color w:val="auto"/>
                <w:kern w:val="2"/>
                <w:sz w:val="16"/>
                <w:szCs w:val="16"/>
                <w:highlight w:val="none"/>
                <w:lang w:val="en-US" w:eastAsia="zh-CN"/>
              </w:rPr>
              <w:t>济南金马涂装设备有限公司</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sz w:val="16"/>
                <w:szCs w:val="16"/>
                <w:highlight w:val="none"/>
              </w:rPr>
            </w:pPr>
            <w:r>
              <w:rPr>
                <w:rFonts w:hint="eastAsia" w:ascii="宋体" w:hAnsi="宋体" w:eastAsia="宋体" w:cs="宋体"/>
                <w:b/>
                <w:color w:val="auto"/>
                <w:sz w:val="16"/>
                <w:szCs w:val="16"/>
                <w:highlight w:val="none"/>
              </w:rPr>
              <w:t>环保设施施工单位</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济南金马涂装设备有限公司</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本工程排污许可证编号</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验收单位</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auto"/>
                <w:kern w:val="2"/>
                <w:sz w:val="16"/>
                <w:szCs w:val="16"/>
                <w:highlight w:val="none"/>
              </w:rPr>
            </w:pPr>
            <w:r>
              <w:rPr>
                <w:rFonts w:hint="eastAsia" w:ascii="宋体" w:hAnsi="宋体" w:eastAsia="宋体" w:cs="宋体"/>
                <w:color w:val="auto"/>
                <w:kern w:val="2"/>
                <w:sz w:val="16"/>
                <w:szCs w:val="16"/>
                <w:highlight w:val="none"/>
                <w:lang w:eastAsia="zh-CN"/>
              </w:rPr>
              <w:t>陕西省西咸新区秦汉新城环境保护局</w:t>
            </w:r>
            <w:r>
              <w:rPr>
                <w:rFonts w:hint="eastAsia" w:ascii="宋体" w:hAnsi="宋体" w:eastAsia="宋体" w:cs="宋体"/>
                <w:b/>
                <w:color w:val="auto"/>
                <w:kern w:val="2"/>
                <w:sz w:val="16"/>
                <w:szCs w:val="16"/>
                <w:highlight w:val="none"/>
              </w:rPr>
              <w:t xml:space="preserve"> </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环保设施监测单位</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eastAsia="zh-CN"/>
              </w:rPr>
            </w:pPr>
            <w:r>
              <w:rPr>
                <w:rFonts w:hint="eastAsia" w:ascii="宋体" w:hAnsi="宋体" w:eastAsia="宋体" w:cs="宋体"/>
                <w:color w:val="auto"/>
                <w:kern w:val="2"/>
                <w:sz w:val="16"/>
                <w:szCs w:val="16"/>
                <w:highlight w:val="none"/>
                <w:lang w:eastAsia="zh-CN"/>
              </w:rPr>
              <w:t>陕西标研环境能源检测咨询有限公司</w:t>
            </w:r>
          </w:p>
        </w:tc>
        <w:tc>
          <w:tcPr>
            <w:tcW w:w="1785"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验收监测时工况</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投资总概算（万元）</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auto"/>
                <w:kern w:val="2"/>
                <w:sz w:val="16"/>
                <w:szCs w:val="16"/>
                <w:highlight w:val="none"/>
                <w:lang w:val="en-US" w:eastAsia="zh-CN"/>
              </w:rPr>
            </w:pPr>
            <w:r>
              <w:rPr>
                <w:rFonts w:hint="eastAsia" w:ascii="宋体" w:hAnsi="宋体" w:eastAsia="宋体" w:cs="宋体"/>
                <w:b/>
                <w:color w:val="auto"/>
                <w:kern w:val="2"/>
                <w:sz w:val="16"/>
                <w:szCs w:val="16"/>
                <w:highlight w:val="none"/>
                <w:lang w:val="en-US" w:eastAsia="zh-CN"/>
              </w:rPr>
              <w:t>110</w:t>
            </w:r>
          </w:p>
        </w:tc>
        <w:tc>
          <w:tcPr>
            <w:tcW w:w="1860" w:type="dxa"/>
            <w:gridSpan w:val="4"/>
            <w:tcMar>
              <w:left w:w="57" w:type="dxa"/>
              <w:right w:w="57" w:type="dxa"/>
            </w:tcMar>
            <w:vAlign w:val="center"/>
          </w:tcPr>
          <w:p>
            <w:pPr>
              <w:keepNext w:val="0"/>
              <w:keepLines w:val="0"/>
              <w:pageBreakBefore w:val="0"/>
              <w:widowControl w:val="0"/>
              <w:suppressLineNumbers w:val="0"/>
              <w:tabs>
                <w:tab w:val="left" w:pos="690"/>
              </w:tabs>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环保投资总概算（万元）</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auto"/>
                <w:kern w:val="2"/>
                <w:sz w:val="16"/>
                <w:szCs w:val="16"/>
                <w:highlight w:val="none"/>
                <w:lang w:val="en-US" w:eastAsia="zh-CN"/>
              </w:rPr>
            </w:pPr>
            <w:r>
              <w:rPr>
                <w:rFonts w:hint="eastAsia" w:ascii="宋体" w:hAnsi="宋体" w:eastAsia="宋体" w:cs="宋体"/>
                <w:b/>
                <w:color w:val="auto"/>
                <w:kern w:val="2"/>
                <w:sz w:val="16"/>
                <w:szCs w:val="16"/>
                <w:highlight w:val="none"/>
                <w:lang w:val="en-US" w:eastAsia="zh-CN"/>
              </w:rPr>
              <w:t>20.7</w:t>
            </w:r>
          </w:p>
        </w:tc>
        <w:tc>
          <w:tcPr>
            <w:tcW w:w="1785" w:type="dxa"/>
            <w:gridSpan w:val="2"/>
            <w:tcMar>
              <w:left w:w="57" w:type="dxa"/>
              <w:right w:w="57" w:type="dxa"/>
            </w:tcMar>
            <w:vAlign w:val="center"/>
          </w:tcPr>
          <w:p>
            <w:pPr>
              <w:keepNext w:val="0"/>
              <w:keepLines w:val="0"/>
              <w:pageBreakBefore w:val="0"/>
              <w:widowControl w:val="0"/>
              <w:suppressLineNumbers w:val="0"/>
              <w:tabs>
                <w:tab w:val="left" w:pos="690"/>
              </w:tabs>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所占比例（%）</w:t>
            </w:r>
          </w:p>
        </w:tc>
        <w:tc>
          <w:tcPr>
            <w:tcW w:w="2515" w:type="dxa"/>
            <w:gridSpan w:val="3"/>
            <w:tcMar>
              <w:left w:w="57" w:type="dxa"/>
              <w:right w:w="57" w:type="dxa"/>
            </w:tcMar>
            <w:vAlign w:val="center"/>
          </w:tcPr>
          <w:p>
            <w:pPr>
              <w:keepNext w:val="0"/>
              <w:keepLines w:val="0"/>
              <w:pageBreakBefore w:val="0"/>
              <w:widowControl w:val="0"/>
              <w:suppressLineNumbers w:val="0"/>
              <w:tabs>
                <w:tab w:val="left" w:pos="690"/>
              </w:tabs>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18.82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964" w:type="dxa"/>
            <w:gridSpan w:val="3"/>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实际总投资</w:t>
            </w:r>
          </w:p>
        </w:tc>
        <w:tc>
          <w:tcPr>
            <w:tcW w:w="3962"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b/>
                <w:color w:val="auto"/>
                <w:kern w:val="2"/>
                <w:sz w:val="16"/>
                <w:szCs w:val="16"/>
                <w:highlight w:val="none"/>
                <w:lang w:val="en-US" w:eastAsia="zh-CN"/>
              </w:rPr>
              <w:t>135</w:t>
            </w:r>
          </w:p>
        </w:tc>
        <w:tc>
          <w:tcPr>
            <w:tcW w:w="1860"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30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实际环保投资（万元）</w:t>
            </w:r>
          </w:p>
        </w:tc>
        <w:tc>
          <w:tcPr>
            <w:tcW w:w="3360"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b/>
                <w:color w:val="auto"/>
                <w:kern w:val="2"/>
                <w:sz w:val="16"/>
                <w:szCs w:val="16"/>
                <w:highlight w:val="none"/>
                <w:lang w:val="en-US" w:eastAsia="zh-CN"/>
              </w:rPr>
              <w:t>26.3</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所占比例（%）</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19.48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废水治理（万元）</w:t>
            </w:r>
          </w:p>
        </w:tc>
        <w:tc>
          <w:tcPr>
            <w:tcW w:w="828"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5</w:t>
            </w: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废气治理（万元）</w:t>
            </w: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12.6</w:t>
            </w:r>
          </w:p>
        </w:tc>
        <w:tc>
          <w:tcPr>
            <w:tcW w:w="150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噪声治理（万元）</w:t>
            </w:r>
          </w:p>
        </w:tc>
        <w:tc>
          <w:tcPr>
            <w:tcW w:w="58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5</w:t>
            </w:r>
          </w:p>
        </w:tc>
        <w:tc>
          <w:tcPr>
            <w:tcW w:w="2391"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固体废物治理（万元）</w:t>
            </w:r>
          </w:p>
        </w:tc>
        <w:tc>
          <w:tcPr>
            <w:tcW w:w="1395"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2.7</w:t>
            </w:r>
          </w:p>
        </w:tc>
        <w:tc>
          <w:tcPr>
            <w:tcW w:w="1785"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绿化及生态（万元）</w:t>
            </w:r>
          </w:p>
        </w:tc>
        <w:tc>
          <w:tcPr>
            <w:tcW w:w="61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1</w:t>
            </w: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其他（万元）</w:t>
            </w:r>
          </w:p>
        </w:tc>
        <w:tc>
          <w:tcPr>
            <w:tcW w:w="794"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430" w:type="dxa"/>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96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新增废水处理设施能力</w:t>
            </w:r>
          </w:p>
        </w:tc>
        <w:tc>
          <w:tcPr>
            <w:tcW w:w="5396" w:type="dxa"/>
            <w:gridSpan w:val="7"/>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w:t>
            </w:r>
          </w:p>
        </w:tc>
        <w:tc>
          <w:tcPr>
            <w:tcW w:w="2391" w:type="dxa"/>
            <w:gridSpan w:val="3"/>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新增废气处理设施能力</w:t>
            </w:r>
          </w:p>
        </w:tc>
        <w:tc>
          <w:tcPr>
            <w:tcW w:w="1395"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w:t>
            </w:r>
          </w:p>
        </w:tc>
        <w:tc>
          <w:tcPr>
            <w:tcW w:w="1785"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年平均工作时</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2560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394" w:type="dxa"/>
            <w:gridSpan w:val="4"/>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运营单位</w:t>
            </w:r>
          </w:p>
        </w:tc>
        <w:tc>
          <w:tcPr>
            <w:tcW w:w="3304"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eastAsia="zh-CN"/>
              </w:rPr>
            </w:pPr>
            <w:r>
              <w:rPr>
                <w:rFonts w:hint="eastAsia" w:ascii="宋体" w:hAnsi="宋体" w:eastAsia="宋体" w:cs="宋体"/>
                <w:color w:val="auto"/>
                <w:kern w:val="2"/>
                <w:sz w:val="16"/>
                <w:szCs w:val="16"/>
                <w:highlight w:val="none"/>
                <w:lang w:eastAsia="zh-CN"/>
              </w:rPr>
              <w:t>陕西金工装饰幕墙有限公司西咸新区分公司</w:t>
            </w:r>
          </w:p>
        </w:tc>
        <w:tc>
          <w:tcPr>
            <w:tcW w:w="3388" w:type="dxa"/>
            <w:gridSpan w:val="6"/>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运营单位社会统一信用代码（或组织机构代码）</w:t>
            </w:r>
          </w:p>
        </w:tc>
        <w:tc>
          <w:tcPr>
            <w:tcW w:w="2490"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91611103MA6TKBNY8F</w:t>
            </w:r>
          </w:p>
        </w:tc>
        <w:tc>
          <w:tcPr>
            <w:tcW w:w="1785"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验收时间</w:t>
            </w:r>
          </w:p>
        </w:tc>
        <w:tc>
          <w:tcPr>
            <w:tcW w:w="2515" w:type="dxa"/>
            <w:gridSpan w:val="3"/>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2019.05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restart"/>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spacing w:val="20"/>
                <w:kern w:val="2"/>
                <w:sz w:val="16"/>
                <w:szCs w:val="16"/>
                <w:highlight w:val="none"/>
              </w:rPr>
            </w:pPr>
            <w:r>
              <w:rPr>
                <w:rFonts w:hint="eastAsia" w:ascii="宋体" w:hAnsi="宋体" w:eastAsia="宋体" w:cs="宋体"/>
                <w:b/>
                <w:color w:val="auto"/>
                <w:spacing w:val="20"/>
                <w:kern w:val="2"/>
                <w:sz w:val="16"/>
                <w:szCs w:val="16"/>
                <w:highlight w:val="none"/>
              </w:rPr>
              <w:t>污染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spacing w:val="20"/>
                <w:kern w:val="2"/>
                <w:sz w:val="16"/>
                <w:szCs w:val="16"/>
                <w:highlight w:val="none"/>
              </w:rPr>
            </w:pPr>
            <w:r>
              <w:rPr>
                <w:rFonts w:hint="eastAsia" w:ascii="宋体" w:hAnsi="宋体" w:eastAsia="宋体" w:cs="宋体"/>
                <w:b/>
                <w:color w:val="auto"/>
                <w:spacing w:val="20"/>
                <w:kern w:val="2"/>
                <w:sz w:val="16"/>
                <w:szCs w:val="16"/>
                <w:highlight w:val="none"/>
              </w:rPr>
              <w:t>物排</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spacing w:val="20"/>
                <w:kern w:val="2"/>
                <w:sz w:val="16"/>
                <w:szCs w:val="16"/>
                <w:highlight w:val="none"/>
              </w:rPr>
            </w:pPr>
            <w:r>
              <w:rPr>
                <w:rFonts w:hint="eastAsia" w:ascii="宋体" w:hAnsi="宋体" w:eastAsia="宋体" w:cs="宋体"/>
                <w:b/>
                <w:color w:val="auto"/>
                <w:spacing w:val="20"/>
                <w:kern w:val="2"/>
                <w:sz w:val="16"/>
                <w:szCs w:val="16"/>
                <w:highlight w:val="none"/>
              </w:rPr>
              <w:t>放达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spacing w:val="20"/>
                <w:kern w:val="2"/>
                <w:sz w:val="16"/>
                <w:szCs w:val="16"/>
                <w:highlight w:val="none"/>
              </w:rPr>
            </w:pPr>
            <w:r>
              <w:rPr>
                <w:rFonts w:hint="eastAsia" w:ascii="宋体" w:hAnsi="宋体" w:eastAsia="宋体" w:cs="宋体"/>
                <w:b/>
                <w:color w:val="auto"/>
                <w:spacing w:val="20"/>
                <w:kern w:val="2"/>
                <w:sz w:val="16"/>
                <w:szCs w:val="16"/>
                <w:highlight w:val="none"/>
              </w:rPr>
              <w:t>标与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spacing w:val="20"/>
                <w:kern w:val="2"/>
                <w:sz w:val="16"/>
                <w:szCs w:val="16"/>
                <w:highlight w:val="none"/>
              </w:rPr>
            </w:pPr>
            <w:r>
              <w:rPr>
                <w:rFonts w:hint="eastAsia" w:ascii="宋体" w:hAnsi="宋体" w:eastAsia="宋体" w:cs="宋体"/>
                <w:b/>
                <w:color w:val="auto"/>
                <w:spacing w:val="20"/>
                <w:kern w:val="2"/>
                <w:sz w:val="16"/>
                <w:szCs w:val="16"/>
                <w:highlight w:val="none"/>
              </w:rPr>
              <w:t>总量</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spacing w:val="20"/>
                <w:kern w:val="2"/>
                <w:sz w:val="16"/>
                <w:szCs w:val="16"/>
                <w:highlight w:val="none"/>
              </w:rPr>
            </w:pPr>
            <w:r>
              <w:rPr>
                <w:rFonts w:hint="eastAsia" w:ascii="宋体" w:hAnsi="宋体" w:eastAsia="宋体" w:cs="宋体"/>
                <w:b/>
                <w:color w:val="auto"/>
                <w:spacing w:val="20"/>
                <w:kern w:val="2"/>
                <w:sz w:val="16"/>
                <w:szCs w:val="16"/>
                <w:highlight w:val="none"/>
              </w:rPr>
              <w:t>控制（工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spacing w:val="20"/>
                <w:kern w:val="2"/>
                <w:sz w:val="16"/>
                <w:szCs w:val="16"/>
                <w:highlight w:val="none"/>
              </w:rPr>
            </w:pPr>
            <w:r>
              <w:rPr>
                <w:rFonts w:hint="eastAsia" w:ascii="宋体" w:hAnsi="宋体" w:eastAsia="宋体" w:cs="宋体"/>
                <w:b/>
                <w:color w:val="auto"/>
                <w:spacing w:val="20"/>
                <w:kern w:val="2"/>
                <w:sz w:val="16"/>
                <w:szCs w:val="16"/>
                <w:highlight w:val="none"/>
              </w:rPr>
              <w:t>业建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spacing w:val="20"/>
                <w:kern w:val="2"/>
                <w:sz w:val="16"/>
                <w:szCs w:val="16"/>
                <w:highlight w:val="none"/>
              </w:rPr>
            </w:pPr>
            <w:r>
              <w:rPr>
                <w:rFonts w:hint="eastAsia" w:ascii="宋体" w:hAnsi="宋体" w:eastAsia="宋体" w:cs="宋体"/>
                <w:b/>
                <w:color w:val="auto"/>
                <w:spacing w:val="20"/>
                <w:kern w:val="2"/>
                <w:sz w:val="16"/>
                <w:szCs w:val="16"/>
                <w:highlight w:val="none"/>
              </w:rPr>
              <w:t>设项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spacing w:val="20"/>
                <w:kern w:val="2"/>
                <w:sz w:val="16"/>
                <w:szCs w:val="16"/>
                <w:highlight w:val="none"/>
              </w:rPr>
            </w:pPr>
            <w:r>
              <w:rPr>
                <w:rFonts w:hint="eastAsia" w:ascii="宋体" w:hAnsi="宋体" w:eastAsia="宋体" w:cs="宋体"/>
                <w:b/>
                <w:color w:val="auto"/>
                <w:spacing w:val="20"/>
                <w:kern w:val="2"/>
                <w:sz w:val="16"/>
                <w:szCs w:val="16"/>
                <w:highlight w:val="none"/>
              </w:rPr>
              <w:t>目详填）</w:t>
            </w: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污染物</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原有排</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放量(1)</w:t>
            </w: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本期工程实际排放浓度(2)</w:t>
            </w: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本期工程允许排放浓度(3)</w:t>
            </w: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本期工程产生量(4)</w:t>
            </w: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本期工程自身削减量(5)</w:t>
            </w: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本期工程实际排放量(6)</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本期工程核定排放总量(7)</w:t>
            </w: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本期工程“以新带老”削减量(8)</w:t>
            </w: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全厂实际排放总量(9)</w:t>
            </w: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全厂核定排放总量(10)</w:t>
            </w: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区域平衡替代削减量(11)</w:t>
            </w: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废水</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0.0512</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化学需氧量</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75</w:t>
            </w: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500</w:t>
            </w: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0.0383</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氨氮</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12.6</w:t>
            </w: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w:t>
            </w: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0.0064</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石油类</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废气</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suppressLineNumbers w:val="0"/>
              <w:snapToGrid w:val="0"/>
              <w:spacing w:before="0" w:beforeAutospacing="0" w:after="0" w:afterAutospacing="0" w:line="260" w:lineRule="atLeast"/>
              <w:ind w:left="0" w:right="0"/>
              <w:jc w:val="center"/>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auto"/>
                <w:kern w:val="2"/>
                <w:sz w:val="16"/>
                <w:szCs w:val="16"/>
                <w:highlight w:val="none"/>
                <w:lang w:eastAsia="zh-CN"/>
              </w:rPr>
            </w:pPr>
            <w:r>
              <w:rPr>
                <w:rFonts w:hint="eastAsia" w:ascii="宋体" w:hAnsi="宋体" w:eastAsia="宋体" w:cs="宋体"/>
                <w:b/>
                <w:color w:val="auto"/>
                <w:kern w:val="2"/>
                <w:sz w:val="16"/>
                <w:szCs w:val="16"/>
                <w:highlight w:val="none"/>
                <w:lang w:val="en-US" w:eastAsia="zh-CN"/>
              </w:rPr>
              <w:t>非甲烷总烃</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2.61</w:t>
            </w: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50</w:t>
            </w: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0.04762</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suppressLineNumbers w:val="0"/>
              <w:snapToGrid w:val="0"/>
              <w:spacing w:before="0" w:beforeAutospacing="0" w:after="0" w:afterAutospacing="0" w:line="260" w:lineRule="atLeast"/>
              <w:ind w:left="0" w:right="0"/>
              <w:jc w:val="center"/>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烟尘</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suppressLineNumbers w:val="0"/>
              <w:snapToGrid w:val="0"/>
              <w:spacing w:before="0" w:beforeAutospacing="0" w:after="0" w:afterAutospacing="0" w:line="260" w:lineRule="atLeast"/>
              <w:ind w:left="0" w:right="0"/>
              <w:jc w:val="center"/>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rPr>
              <w:t>工业粉尘</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auto"/>
                <w:kern w:val="2"/>
                <w:sz w:val="16"/>
                <w:szCs w:val="16"/>
                <w:highlight w:val="none"/>
                <w:lang w:eastAsia="zh-CN"/>
              </w:rPr>
            </w:pPr>
            <w:r>
              <w:rPr>
                <w:rFonts w:hint="eastAsia" w:ascii="宋体" w:hAnsi="宋体" w:eastAsia="宋体" w:cs="宋体"/>
                <w:b/>
                <w:color w:val="auto"/>
                <w:kern w:val="2"/>
                <w:sz w:val="16"/>
                <w:szCs w:val="16"/>
                <w:highlight w:val="none"/>
                <w:lang w:val="en-US" w:eastAsia="zh-CN"/>
              </w:rPr>
              <w:t>生活垃圾</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r>
              <w:rPr>
                <w:rFonts w:hint="eastAsia" w:ascii="宋体" w:hAnsi="宋体" w:eastAsia="宋体" w:cs="宋体"/>
                <w:color w:val="auto"/>
                <w:kern w:val="2"/>
                <w:sz w:val="16"/>
                <w:szCs w:val="16"/>
                <w:highlight w:val="none"/>
                <w:lang w:val="en-US" w:eastAsia="zh-CN"/>
              </w:rPr>
              <w:t>0.00018</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textAlignment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7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b/>
                <w:color w:val="auto"/>
                <w:kern w:val="2"/>
                <w:sz w:val="16"/>
                <w:szCs w:val="16"/>
                <w:highlight w:val="none"/>
              </w:rPr>
            </w:pPr>
            <w:r>
              <w:rPr>
                <w:rFonts w:hint="eastAsia" w:ascii="宋体" w:hAnsi="宋体" w:eastAsia="宋体" w:cs="宋体"/>
                <w:b/>
                <w:color w:val="auto"/>
                <w:kern w:val="2"/>
                <w:sz w:val="16"/>
                <w:szCs w:val="16"/>
                <w:highlight w:val="none"/>
                <w:lang w:val="en-US" w:eastAsia="zh-CN"/>
              </w:rPr>
              <w:t>危险废物</w:t>
            </w: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lang w:val="en-US" w:eastAsia="zh-CN"/>
              </w:rPr>
            </w:pPr>
            <w:r>
              <w:rPr>
                <w:rFonts w:hint="eastAsia" w:ascii="宋体" w:hAnsi="宋体" w:eastAsia="宋体" w:cs="宋体"/>
                <w:color w:val="auto"/>
                <w:kern w:val="2"/>
                <w:sz w:val="16"/>
                <w:szCs w:val="16"/>
                <w:highlight w:val="none"/>
                <w:lang w:val="en-US" w:eastAsia="zh-CN"/>
              </w:rPr>
              <w:t>0.0000423</w:t>
            </w: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099" w:type="dxa"/>
            <w:vMerge w:val="restart"/>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both"/>
              <w:outlineLvl w:val="9"/>
              <w:rPr>
                <w:rFonts w:hint="eastAsia" w:ascii="宋体" w:hAnsi="宋体" w:eastAsia="宋体" w:cs="宋体"/>
                <w:color w:val="auto"/>
                <w:kern w:val="2"/>
                <w:sz w:val="16"/>
                <w:szCs w:val="16"/>
                <w:highlight w:val="none"/>
              </w:rPr>
            </w:pPr>
            <w:r>
              <w:rPr>
                <w:rFonts w:hint="eastAsia" w:ascii="宋体" w:hAnsi="宋体" w:eastAsia="宋体" w:cs="宋体"/>
                <w:b/>
                <w:color w:val="auto"/>
                <w:kern w:val="2"/>
                <w:sz w:val="16"/>
                <w:szCs w:val="16"/>
                <w:highlight w:val="none"/>
              </w:rPr>
              <w:t>与项目有关的其他特征污染物</w:t>
            </w:r>
          </w:p>
        </w:tc>
        <w:tc>
          <w:tcPr>
            <w:tcW w:w="6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099" w:type="dxa"/>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p>
        </w:tc>
        <w:tc>
          <w:tcPr>
            <w:tcW w:w="6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828"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993"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96"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60"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98" w:type="dxa"/>
            <w:gridSpan w:val="2"/>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1099" w:type="dxa"/>
            <w:vMerge w:val="continue"/>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b/>
                <w:color w:val="auto"/>
                <w:kern w:val="2"/>
                <w:sz w:val="16"/>
                <w:szCs w:val="16"/>
                <w:highlight w:val="none"/>
              </w:rPr>
            </w:pPr>
          </w:p>
        </w:tc>
        <w:tc>
          <w:tcPr>
            <w:tcW w:w="69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outlineLvl w:val="9"/>
              <w:rPr>
                <w:rFonts w:hint="eastAsia" w:ascii="宋体" w:hAnsi="宋体" w:eastAsia="宋体" w:cs="宋体"/>
                <w:color w:val="auto"/>
                <w:kern w:val="2"/>
                <w:sz w:val="16"/>
                <w:szCs w:val="16"/>
                <w:highlight w:val="none"/>
              </w:rPr>
            </w:pPr>
          </w:p>
        </w:tc>
        <w:tc>
          <w:tcPr>
            <w:tcW w:w="828"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79"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7"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993"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9"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96"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095"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395"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60"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244" w:type="dxa"/>
            <w:gridSpan w:val="2"/>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1102"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c>
          <w:tcPr>
            <w:tcW w:w="794" w:type="dxa"/>
            <w:tcMar>
              <w:left w:w="57" w:type="dxa"/>
              <w:right w:w="57" w:type="dxa"/>
            </w:tcMar>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Lines="0" w:afterAutospacing="0"/>
              <w:ind w:left="0" w:right="0"/>
              <w:jc w:val="center"/>
              <w:outlineLvl w:val="9"/>
              <w:rPr>
                <w:rFonts w:hint="eastAsia" w:ascii="宋体" w:hAnsi="宋体" w:eastAsia="宋体" w:cs="宋体"/>
                <w:color w:val="auto"/>
                <w:kern w:val="2"/>
                <w:sz w:val="16"/>
                <w:szCs w:val="16"/>
                <w:highlight w:val="none"/>
              </w:rPr>
            </w:pPr>
          </w:p>
        </w:tc>
      </w:tr>
    </w:tbl>
    <w:p>
      <w:pPr>
        <w:spacing w:after="0" w:afterLines="0"/>
        <w:rPr>
          <w:color w:val="auto"/>
          <w:sz w:val="15"/>
          <w:szCs w:val="15"/>
          <w:highlight w:val="none"/>
        </w:rPr>
      </w:pPr>
      <w:r>
        <w:rPr>
          <w:b/>
          <w:color w:val="auto"/>
          <w:sz w:val="15"/>
          <w:szCs w:val="15"/>
          <w:highlight w:val="none"/>
        </w:rPr>
        <w:t>注</w:t>
      </w:r>
      <w:r>
        <w:rPr>
          <w:color w:val="auto"/>
          <w:sz w:val="15"/>
          <w:szCs w:val="15"/>
          <w:highlight w:val="none"/>
        </w:rPr>
        <w:t>：1、</w:t>
      </w:r>
      <w:r>
        <w:rPr>
          <w:color w:val="auto"/>
          <w:spacing w:val="-4"/>
          <w:sz w:val="15"/>
          <w:szCs w:val="15"/>
          <w:highlight w:val="none"/>
        </w:rPr>
        <w:t>排放增减量：（+）表示增加，（-）表示减少。2、(12)=(6)-(8)-(11)，（9）= (4)-(5)-(8)- (11) +（1）。3、计量单位：废水排放量——万吨/年；废气排放量——万标立方米/年；工业固体废物排放</w:t>
      </w:r>
      <w:r>
        <w:rPr>
          <w:color w:val="auto"/>
          <w:sz w:val="15"/>
          <w:szCs w:val="15"/>
          <w:highlight w:val="none"/>
        </w:rPr>
        <w:t>量——万吨/年；水污染物排放浓度——毫克/升</w:t>
      </w:r>
    </w:p>
    <w:p>
      <w:pPr>
        <w:rPr>
          <w:color w:val="auto"/>
          <w:sz w:val="15"/>
          <w:szCs w:val="15"/>
          <w:highlight w:val="none"/>
        </w:rPr>
        <w:sectPr>
          <w:footerReference r:id="rId6" w:type="default"/>
          <w:footerReference r:id="rId7" w:type="even"/>
          <w:pgSz w:w="16840" w:h="11907" w:orient="landscape"/>
          <w:pgMar w:top="1531" w:right="1304" w:bottom="1531" w:left="1304" w:header="284" w:footer="851" w:gutter="0"/>
          <w:pgBorders>
            <w:top w:val="none" w:sz="0" w:space="0"/>
            <w:left w:val="none" w:sz="0" w:space="0"/>
            <w:bottom w:val="none" w:sz="0" w:space="0"/>
            <w:right w:val="none" w:sz="0" w:space="0"/>
          </w:pgBorders>
          <w:cols w:space="720" w:num="1"/>
          <w:docGrid w:linePitch="285"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both"/>
        <w:textAlignment w:val="auto"/>
        <w:outlineLvl w:val="9"/>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附图1</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项目地理位置图</w:t>
      </w:r>
    </w:p>
    <w:p>
      <w:pPr>
        <w:pStyle w:val="2"/>
        <w:ind w:left="0" w:leftChars="0" w:firstLine="0" w:firstLineChars="0"/>
        <w:jc w:val="center"/>
        <w:rPr>
          <w:rFonts w:hint="default" w:ascii="Times New Roman" w:hAnsi="Times New Roman" w:cs="Times New Roman"/>
          <w:color w:val="auto"/>
          <w:highlight w:val="none"/>
        </w:rPr>
        <w:sectPr>
          <w:footerReference r:id="rId8" w:type="default"/>
          <w:pgSz w:w="16838" w:h="11906" w:orient="landscape"/>
          <w:pgMar w:top="1417" w:right="1440" w:bottom="1417" w:left="1440"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cs="Times New Roman"/>
          <w:b/>
          <w:color w:val="auto"/>
          <w:sz w:val="24"/>
          <w:highlight w:val="none"/>
        </w:rPr>
        <mc:AlternateContent>
          <mc:Choice Requires="wps">
            <w:drawing>
              <wp:anchor distT="0" distB="0" distL="114300" distR="114300" simplePos="0" relativeHeight="251692032" behindDoc="0" locked="0" layoutInCell="1" allowOverlap="1">
                <wp:simplePos x="0" y="0"/>
                <wp:positionH relativeFrom="column">
                  <wp:posOffset>7867650</wp:posOffset>
                </wp:positionH>
                <wp:positionV relativeFrom="paragraph">
                  <wp:posOffset>92075</wp:posOffset>
                </wp:positionV>
                <wp:extent cx="914400" cy="824865"/>
                <wp:effectExtent l="12700" t="0" r="25400" b="19685"/>
                <wp:wrapNone/>
                <wp:docPr id="9" name="文本框 9"/>
                <wp:cNvGraphicFramePr/>
                <a:graphic xmlns:a="http://schemas.openxmlformats.org/drawingml/2006/main">
                  <a:graphicData uri="http://schemas.microsoft.com/office/word/2010/wordprocessingShape">
                    <wps:wsp>
                      <wps:cNvSpPr txBox="1"/>
                      <wps:spPr>
                        <a:xfrm>
                          <a:off x="0" y="0"/>
                          <a:ext cx="914400" cy="824865"/>
                        </a:xfrm>
                        <a:prstGeom prst="rect">
                          <a:avLst/>
                        </a:prstGeom>
                        <a:solidFill>
                          <a:srgbClr val="FFFFFF"/>
                        </a:solidFill>
                        <a:ln w="25400" cap="flat" cmpd="sng">
                          <a:solidFill>
                            <a:srgbClr val="000000"/>
                          </a:solidFill>
                          <a:prstDash val="solid"/>
                          <a:miter/>
                          <a:headEnd type="none" w="med" len="med"/>
                          <a:tailEnd type="none" w="med" len="med"/>
                        </a:ln>
                      </wps:spPr>
                      <wps:txbx>
                        <w:txbxContent>
                          <w:p>
                            <w:pPr>
                              <w:jc w:val="center"/>
                            </w:pPr>
                            <w:r>
                              <w:drawing>
                                <wp:inline distT="0" distB="0" distL="114300" distR="114300">
                                  <wp:extent cx="647700" cy="639445"/>
                                  <wp:effectExtent l="0" t="0" r="0"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647700" cy="639445"/>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619.5pt;margin-top:7.25pt;height:64.95pt;width:72pt;z-index:251692032;mso-width-relative:page;mso-height-relative:page;" fillcolor="#FFFFFF" filled="t" stroked="t" coordsize="21600,21600" o:gfxdata="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dmD4/XAAAADAEAAA8AAAAAAAAAAQAgAAAAIgAAAGRycy9kb3ducmV2LnhtbFBLAQIUABQAAAAI&#10;AIdO4kAC6D517gEAAOgDAAAOAAAAAAAAAAEAIAAAACYBAABkcnMvZTJvRG9jLnhtbFBLBQYAAAAA&#10;BgAGAFkBAACGBQAAAAA=&#10;">
                <v:fill on="t" focussize="0,0"/>
                <v:stroke weight="2pt" color="#000000" joinstyle="miter"/>
                <v:imagedata o:title=""/>
                <o:lock v:ext="edit" aspectratio="f"/>
                <v:textbox>
                  <w:txbxContent>
                    <w:p>
                      <w:pPr>
                        <w:jc w:val="center"/>
                      </w:pPr>
                      <w:r>
                        <w:drawing>
                          <wp:inline distT="0" distB="0" distL="114300" distR="114300">
                            <wp:extent cx="647700" cy="639445"/>
                            <wp:effectExtent l="0" t="0" r="0"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647700" cy="639445"/>
                                    </a:xfrm>
                                    <a:prstGeom prst="rect">
                                      <a:avLst/>
                                    </a:prstGeom>
                                    <a:noFill/>
                                    <a:ln w="9525">
                                      <a:noFill/>
                                    </a:ln>
                                  </pic:spPr>
                                </pic:pic>
                              </a:graphicData>
                            </a:graphic>
                          </wp:inline>
                        </w:drawing>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91008" behindDoc="0" locked="0" layoutInCell="1" allowOverlap="1">
                <wp:simplePos x="0" y="0"/>
                <wp:positionH relativeFrom="column">
                  <wp:posOffset>3878580</wp:posOffset>
                </wp:positionH>
                <wp:positionV relativeFrom="paragraph">
                  <wp:posOffset>2169795</wp:posOffset>
                </wp:positionV>
                <wp:extent cx="642620" cy="297815"/>
                <wp:effectExtent l="4445" t="5080" r="19685" b="78105"/>
                <wp:wrapNone/>
                <wp:docPr id="5" name="矩形标注 5"/>
                <wp:cNvGraphicFramePr/>
                <a:graphic xmlns:a="http://schemas.openxmlformats.org/drawingml/2006/main">
                  <a:graphicData uri="http://schemas.microsoft.com/office/word/2010/wordprocessingShape">
                    <wps:wsp>
                      <wps:cNvSpPr/>
                      <wps:spPr>
                        <a:xfrm>
                          <a:off x="0" y="0"/>
                          <a:ext cx="642620" cy="29781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项目地</w:t>
                            </w:r>
                          </w:p>
                        </w:txbxContent>
                      </wps:txbx>
                      <wps:bodyPr upright="1"/>
                    </wps:wsp>
                  </a:graphicData>
                </a:graphic>
              </wp:anchor>
            </w:drawing>
          </mc:Choice>
          <mc:Fallback>
            <w:pict>
              <v:shape id="_x0000_s1026" o:spid="_x0000_s1026" o:spt="61" type="#_x0000_t61" style="position:absolute;left:0pt;margin-left:305.4pt;margin-top:170.85pt;height:23.45pt;width:50.6pt;z-index:251691008;mso-width-relative:page;mso-height-relative:page;" fillcolor="#FFFFFF" filled="t" stroked="t" coordsize="21600,21600" o:gfxdata="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kok6HXAAAA&#10;CwEAAA8AAAAAAAAAAQAgAAAAIgAAAGRycy9kb3ducmV2LnhtbFBLAQIUABQAAAAIAIdO4kDOtW/t&#10;HgIAAD4EAAAOAAAAAAAAAAEAIAAAACYBAABkcnMvZTJvRG9jLnhtbFBLBQYAAAAABgAGAFkBAAC2&#10;BQAAAAA=&#10;" adj="1350,25920">
                <v:fill on="t" focussize="0,0"/>
                <v:stroke color="#000000" joinstyle="miter"/>
                <v:imagedata o:title=""/>
                <o:lock v:ext="edit" aspectratio="f"/>
                <v:textbox>
                  <w:txbxContent>
                    <w:p>
                      <w:pPr>
                        <w:rPr>
                          <w:rFonts w:hint="eastAsia" w:eastAsia="宋体"/>
                          <w:lang w:eastAsia="zh-CN"/>
                        </w:rPr>
                      </w:pPr>
                      <w:r>
                        <w:rPr>
                          <w:rFonts w:hint="eastAsia"/>
                          <w:lang w:eastAsia="zh-CN"/>
                        </w:rPr>
                        <w:t>项目地</w:t>
                      </w:r>
                    </w:p>
                  </w:txbxContent>
                </v:textbox>
              </v:shape>
            </w:pict>
          </mc:Fallback>
        </mc:AlternateContent>
      </w:r>
      <w:bookmarkEnd w:id="1"/>
      <w:bookmarkEnd w:id="2"/>
      <w:bookmarkEnd w:id="3"/>
      <w:r>
        <w:rPr>
          <w:color w:val="auto"/>
          <w:highlight w:val="none"/>
        </w:rPr>
        <w:drawing>
          <wp:inline distT="0" distB="0" distL="114300" distR="114300">
            <wp:extent cx="8803005" cy="5360035"/>
            <wp:effectExtent l="0" t="0" r="17145" b="1206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4"/>
                    <a:stretch>
                      <a:fillRect/>
                    </a:stretch>
                  </pic:blipFill>
                  <pic:spPr>
                    <a:xfrm>
                      <a:off x="0" y="0"/>
                      <a:ext cx="8803005" cy="53600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both"/>
        <w:textAlignment w:val="auto"/>
        <w:outlineLvl w:val="9"/>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附图</w:t>
      </w: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平面布置图</w:t>
      </w:r>
    </w:p>
    <w:p>
      <w:pPr>
        <w:pStyle w:val="2"/>
        <w:jc w:val="center"/>
        <w:rPr>
          <w:rFonts w:hint="default" w:ascii="Times New Roman" w:hAnsi="Times New Roman" w:cs="Times New Roman"/>
          <w:b/>
          <w:bCs/>
          <w:color w:val="auto"/>
          <w:highlight w:val="none"/>
          <w:lang w:val="en-US" w:eastAsia="zh-CN"/>
        </w:rPr>
      </w:pPr>
      <w:r>
        <w:rPr>
          <w:color w:val="auto"/>
          <w:sz w:val="21"/>
        </w:rPr>
        <mc:AlternateContent>
          <mc:Choice Requires="wps">
            <w:drawing>
              <wp:anchor distT="0" distB="0" distL="114300" distR="114300" simplePos="0" relativeHeight="4159721472" behindDoc="0" locked="0" layoutInCell="1" allowOverlap="1">
                <wp:simplePos x="0" y="0"/>
                <wp:positionH relativeFrom="column">
                  <wp:posOffset>8694420</wp:posOffset>
                </wp:positionH>
                <wp:positionV relativeFrom="paragraph">
                  <wp:posOffset>22860</wp:posOffset>
                </wp:positionV>
                <wp:extent cx="485775" cy="353060"/>
                <wp:effectExtent l="0" t="0" r="0" b="0"/>
                <wp:wrapNone/>
                <wp:docPr id="7" name="矩形 7"/>
                <wp:cNvGraphicFramePr/>
                <a:graphic xmlns:a="http://schemas.openxmlformats.org/drawingml/2006/main">
                  <a:graphicData uri="http://schemas.microsoft.com/office/word/2010/wordprocessingShape">
                    <wps:wsp>
                      <wps:cNvSpPr/>
                      <wps:spPr>
                        <a:xfrm>
                          <a:off x="0" y="0"/>
                          <a:ext cx="485775" cy="353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default" w:ascii="Times New Roman" w:hAnsi="Times New Roman" w:eastAsiaTheme="minorEastAsia"/>
                                <w:color w:val="auto"/>
                                <w:sz w:val="24"/>
                                <w:highlight w:val="none"/>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4.6pt;margin-top:1.8pt;height:27.8pt;width:38.25pt;z-index:-135245824;v-text-anchor:middle;mso-width-relative:page;mso-height-relative:page;" filled="f" stroked="f" coordsize="21600,21600" o:gfxdata="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Ons+3XAAAACgEAAA8AAAAAAAAAAQAgAAAA&#10;IgAAAGRycy9kb3ducmV2LnhtbFBLAQIUABQAAAAIAIdO4kB7+tK5RQIAAF4EAAAOAAAAAAAAAAEA&#10;IAAAACYBAABkcnMvZTJvRG9jLnhtbFBLBQYAAAAABgAGAFkBAADdBQAAAAA=&#10;">
                <v:fill on="f" focussize="0,0"/>
                <v:stroke on="f" weight="1pt" miterlimit="8" joinstyle="miter"/>
                <v:imagedata o:title=""/>
                <o:lock v:ext="edit" aspectratio="f"/>
                <v:textbox>
                  <w:txbxContent>
                    <w:p>
                      <w:pPr>
                        <w:jc w:val="center"/>
                      </w:pPr>
                      <w:r>
                        <w:rPr>
                          <w:rFonts w:hint="default" w:ascii="Times New Roman" w:hAnsi="Times New Roman" w:eastAsiaTheme="minorEastAsia"/>
                          <w:color w:val="auto"/>
                          <w:sz w:val="24"/>
                          <w:highlight w:val="none"/>
                        </w:rPr>
                        <w:t>N</w:t>
                      </w:r>
                    </w:p>
                  </w:txbxContent>
                </v:textbox>
              </v:rect>
            </w:pict>
          </mc:Fallback>
        </mc:AlternateContent>
      </w:r>
      <w:r>
        <w:rPr>
          <w:rFonts w:hint="default" w:ascii="Times New Roman" w:hAnsi="Times New Roman" w:eastAsiaTheme="minorEastAsia"/>
          <w:color w:val="auto"/>
          <w:sz w:val="24"/>
          <w:highlight w:val="none"/>
        </w:rPr>
        <mc:AlternateContent>
          <mc:Choice Requires="wps">
            <w:drawing>
              <wp:anchor distT="0" distB="0" distL="114300" distR="114300" simplePos="0" relativeHeight="1071626240" behindDoc="0" locked="0" layoutInCell="1" allowOverlap="1">
                <wp:simplePos x="0" y="0"/>
                <wp:positionH relativeFrom="column">
                  <wp:posOffset>8837930</wp:posOffset>
                </wp:positionH>
                <wp:positionV relativeFrom="paragraph">
                  <wp:posOffset>-43815</wp:posOffset>
                </wp:positionV>
                <wp:extent cx="635" cy="584835"/>
                <wp:effectExtent l="38100" t="0" r="37465" b="5715"/>
                <wp:wrapNone/>
                <wp:docPr id="69" name="AutoShape 78"/>
                <wp:cNvGraphicFramePr/>
                <a:graphic xmlns:a="http://schemas.openxmlformats.org/drawingml/2006/main">
                  <a:graphicData uri="http://schemas.microsoft.com/office/word/2010/wordprocessingShape">
                    <wps:wsp>
                      <wps:cNvCnPr>
                        <a:cxnSpLocks noChangeShapeType="1"/>
                      </wps:cNvCnPr>
                      <wps:spPr bwMode="auto">
                        <a:xfrm flipH="1" flipV="1">
                          <a:off x="0" y="0"/>
                          <a:ext cx="635" cy="584835"/>
                        </a:xfrm>
                        <a:prstGeom prst="straightConnector1">
                          <a:avLst/>
                        </a:prstGeom>
                        <a:noFill/>
                        <a:ln w="9525">
                          <a:solidFill>
                            <a:srgbClr val="000000"/>
                          </a:solidFill>
                          <a:round/>
                          <a:tailEnd type="triangle" w="med" len="med"/>
                        </a:ln>
                      </wps:spPr>
                      <wps:bodyPr/>
                    </wps:wsp>
                  </a:graphicData>
                </a:graphic>
              </wp:anchor>
            </w:drawing>
          </mc:Choice>
          <mc:Fallback>
            <w:pict>
              <v:shape id="AutoShape 78" o:spid="_x0000_s1026" o:spt="32" type="#_x0000_t32" style="position:absolute;left:0pt;flip:x y;margin-left:695.9pt;margin-top:-3.45pt;height:46.05pt;width:0.05pt;z-index:1071626240;mso-width-relative:page;mso-height-relative:page;" filled="f" stroked="t" coordsize="21600,21600" o:gfxdata="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qxYP2AAAAAsB&#10;AAAPAAAAAAAAAAEAIAAAACIAAABkcnMvZG93bnJldi54bWxQSwECFAAUAAAACACHTuJAITHYy+IB&#10;AACpAwAADgAAAAAAAAABACAAAAAnAQAAZHJzL2Uyb0RvYy54bWxQSwUGAAAAAAYABgBZAQAAewUA&#10;AAAA&#10;">
                <v:fill on="f" focussize="0,0"/>
                <v:stroke color="#000000" joinstyle="round" endarrow="block"/>
                <v:imagedata o:title=""/>
                <o:lock v:ext="edit" aspectratio="f"/>
              </v:shape>
            </w:pict>
          </mc:Fallback>
        </mc:AlternateContent>
      </w:r>
    </w:p>
    <w:p>
      <w:p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drawing>
          <wp:inline distT="0" distB="0" distL="114300" distR="114300">
            <wp:extent cx="8908415" cy="4991100"/>
            <wp:effectExtent l="0" t="0" r="6985" b="0"/>
            <wp:docPr id="22" name="图片 22" descr="加工厂平面布置图102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加工厂平面布置图1022-Model"/>
                    <pic:cNvPicPr>
                      <a:picLocks noChangeAspect="1"/>
                    </pic:cNvPicPr>
                  </pic:nvPicPr>
                  <pic:blipFill>
                    <a:blip r:embed="rId15"/>
                    <a:srcRect t="25328" b="26156"/>
                    <a:stretch>
                      <a:fillRect/>
                    </a:stretch>
                  </pic:blipFill>
                  <pic:spPr>
                    <a:xfrm>
                      <a:off x="0" y="0"/>
                      <a:ext cx="8908415" cy="4991100"/>
                    </a:xfrm>
                    <a:prstGeom prst="rect">
                      <a:avLst/>
                    </a:prstGeom>
                  </pic:spPr>
                </pic:pic>
              </a:graphicData>
            </a:graphic>
          </wp:inline>
        </w:drawing>
      </w:r>
    </w:p>
    <w:p>
      <w:pPr>
        <w:pStyle w:val="2"/>
        <w:ind w:left="0" w:leftChars="0" w:firstLine="0" w:firstLineChars="0"/>
        <w:jc w:val="center"/>
        <w:rPr>
          <w:rFonts w:hint="default"/>
          <w:color w:val="auto"/>
          <w:highlight w:val="none"/>
          <w:lang w:val="en-US" w:eastAsia="zh-CN"/>
        </w:rPr>
        <w:sectPr>
          <w:pgSz w:w="16838" w:h="11906" w:orient="landscape"/>
          <w:pgMar w:top="1417" w:right="1440" w:bottom="1417" w:left="1440"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both"/>
        <w:textAlignment w:val="auto"/>
        <w:outlineLvl w:val="9"/>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附图</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：现场图</w:t>
      </w:r>
    </w:p>
    <w:p>
      <w:pPr>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5388610" cy="3705860"/>
            <wp:effectExtent l="0" t="0" r="2540" b="8890"/>
            <wp:docPr id="75" name="图片 75" descr="1a27859714ccfb5530f974cb66b0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a27859714ccfb5530f974cb66b023b"/>
                    <pic:cNvPicPr>
                      <a:picLocks noChangeAspect="1"/>
                    </pic:cNvPicPr>
                  </pic:nvPicPr>
                  <pic:blipFill>
                    <a:blip r:embed="rId16"/>
                    <a:stretch>
                      <a:fillRect/>
                    </a:stretch>
                  </pic:blipFill>
                  <pic:spPr>
                    <a:xfrm>
                      <a:off x="0" y="0"/>
                      <a:ext cx="5388610" cy="3705860"/>
                    </a:xfrm>
                    <a:prstGeom prst="rect">
                      <a:avLst/>
                    </a:prstGeom>
                  </pic:spPr>
                </pic:pic>
              </a:graphicData>
            </a:graphic>
          </wp:inline>
        </w:drawing>
      </w:r>
    </w:p>
    <w:p>
      <w:pPr>
        <w:jc w:val="center"/>
        <w:rPr>
          <w:rFonts w:hint="eastAsia"/>
          <w:color w:val="auto"/>
          <w:sz w:val="24"/>
          <w:szCs w:val="24"/>
          <w:highlight w:val="none"/>
          <w:lang w:val="en-US" w:eastAsia="zh-CN"/>
        </w:rPr>
      </w:pPr>
    </w:p>
    <w:p>
      <w:pPr>
        <w:jc w:val="center"/>
        <w:rPr>
          <w:rFonts w:hint="eastAsia"/>
          <w:color w:val="auto"/>
          <w:sz w:val="24"/>
          <w:szCs w:val="24"/>
          <w:highlight w:val="none"/>
          <w:lang w:val="en-US" w:eastAsia="zh-CN"/>
        </w:rPr>
      </w:pPr>
      <w:r>
        <w:rPr>
          <w:rFonts w:hint="eastAsia"/>
          <w:color w:val="auto"/>
          <w:sz w:val="24"/>
          <w:szCs w:val="24"/>
          <w:highlight w:val="none"/>
          <w:lang w:val="en-US" w:eastAsia="zh-CN"/>
        </w:rPr>
        <w:t>垃圾存放处</w:t>
      </w:r>
    </w:p>
    <w:p>
      <w:pPr>
        <w:pStyle w:val="2"/>
        <w:rPr>
          <w:rFonts w:hint="eastAsia"/>
          <w:color w:val="auto"/>
          <w:sz w:val="24"/>
          <w:szCs w:val="24"/>
          <w:highlight w:val="none"/>
          <w:lang w:val="en-US" w:eastAsia="zh-CN"/>
        </w:rPr>
      </w:pPr>
    </w:p>
    <w:p>
      <w:pPr>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5397500" cy="2675255"/>
            <wp:effectExtent l="0" t="0" r="12700" b="10795"/>
            <wp:docPr id="74" name="图片 74" descr="bc5307a1f7466c7732ef3976036e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bc5307a1f7466c7732ef3976036e8bd"/>
                    <pic:cNvPicPr>
                      <a:picLocks noChangeAspect="1"/>
                    </pic:cNvPicPr>
                  </pic:nvPicPr>
                  <pic:blipFill>
                    <a:blip r:embed="rId17"/>
                    <a:srcRect t="15118"/>
                    <a:stretch>
                      <a:fillRect/>
                    </a:stretch>
                  </pic:blipFill>
                  <pic:spPr>
                    <a:xfrm>
                      <a:off x="0" y="0"/>
                      <a:ext cx="5397500" cy="2675255"/>
                    </a:xfrm>
                    <a:prstGeom prst="rect">
                      <a:avLst/>
                    </a:prstGeom>
                  </pic:spPr>
                </pic:pic>
              </a:graphicData>
            </a:graphic>
          </wp:inline>
        </w:drawing>
      </w:r>
    </w:p>
    <w:p>
      <w:pPr>
        <w:pStyle w:val="2"/>
        <w:jc w:val="center"/>
        <w:rPr>
          <w:rFonts w:hint="eastAsia"/>
          <w:color w:val="auto"/>
          <w:highlight w:val="none"/>
          <w:lang w:val="en-US" w:eastAsia="zh-CN"/>
        </w:rPr>
      </w:pPr>
    </w:p>
    <w:p>
      <w:pPr>
        <w:pStyle w:val="2"/>
        <w:jc w:val="center"/>
        <w:rPr>
          <w:rFonts w:hint="eastAsia"/>
          <w:color w:val="auto"/>
          <w:highlight w:val="none"/>
          <w:lang w:val="en-US" w:eastAsia="zh-CN"/>
        </w:rPr>
        <w:sectPr>
          <w:pgSz w:w="11906" w:h="16838"/>
          <w:pgMar w:top="1440" w:right="1417" w:bottom="1440" w:left="1417"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color w:val="auto"/>
          <w:highlight w:val="none"/>
          <w:lang w:val="en-US" w:eastAsia="zh-CN"/>
        </w:rPr>
        <w:t>危废间</w:t>
      </w:r>
    </w:p>
    <w:p>
      <w:pPr>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2940685" cy="3559810"/>
            <wp:effectExtent l="0" t="0" r="12065" b="2540"/>
            <wp:docPr id="16" name="图片 16" descr="ca0ea54c1a6f3ef8dae29f967cdb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a0ea54c1a6f3ef8dae29f967cdb42d"/>
                    <pic:cNvPicPr>
                      <a:picLocks noChangeAspect="1"/>
                    </pic:cNvPicPr>
                  </pic:nvPicPr>
                  <pic:blipFill>
                    <a:blip r:embed="rId18"/>
                    <a:srcRect b="3249"/>
                    <a:stretch>
                      <a:fillRect/>
                    </a:stretch>
                  </pic:blipFill>
                  <pic:spPr>
                    <a:xfrm>
                      <a:off x="0" y="0"/>
                      <a:ext cx="2940685" cy="3559810"/>
                    </a:xfrm>
                    <a:prstGeom prst="rect">
                      <a:avLst/>
                    </a:prstGeom>
                  </pic:spPr>
                </pic:pic>
              </a:graphicData>
            </a:graphic>
          </wp:inline>
        </w:drawing>
      </w:r>
      <w:r>
        <w:rPr>
          <w:rFonts w:hint="eastAsia"/>
          <w:color w:val="auto"/>
          <w:highlight w:val="none"/>
          <w:lang w:val="en-US" w:eastAsia="zh-CN"/>
        </w:rPr>
        <w:drawing>
          <wp:inline distT="0" distB="0" distL="114300" distR="114300">
            <wp:extent cx="2683510" cy="3556635"/>
            <wp:effectExtent l="0" t="0" r="2540" b="5715"/>
            <wp:docPr id="17" name="图片 17" descr="1965ca8eabfa7c879b16019b6e45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65ca8eabfa7c879b16019b6e4532f"/>
                    <pic:cNvPicPr>
                      <a:picLocks noChangeAspect="1"/>
                    </pic:cNvPicPr>
                  </pic:nvPicPr>
                  <pic:blipFill>
                    <a:blip r:embed="rId19"/>
                    <a:srcRect b="23359"/>
                    <a:stretch>
                      <a:fillRect/>
                    </a:stretch>
                  </pic:blipFill>
                  <pic:spPr>
                    <a:xfrm>
                      <a:off x="0" y="0"/>
                      <a:ext cx="2683510" cy="3556635"/>
                    </a:xfrm>
                    <a:prstGeom prst="rect">
                      <a:avLst/>
                    </a:prstGeom>
                  </pic:spPr>
                </pic:pic>
              </a:graphicData>
            </a:graphic>
          </wp:inline>
        </w:drawing>
      </w:r>
    </w:p>
    <w:p>
      <w:pPr>
        <w:pStyle w:val="2"/>
        <w:ind w:left="0" w:leftChars="0" w:firstLine="0" w:firstLineChars="0"/>
        <w:jc w:val="right"/>
        <w:rPr>
          <w:rFonts w:hint="eastAsia"/>
          <w:color w:val="auto"/>
          <w:highlight w:val="none"/>
          <w:lang w:val="en-US" w:eastAsia="zh-CN"/>
        </w:rPr>
      </w:pPr>
      <w:r>
        <w:rPr>
          <w:rFonts w:hint="eastAsia"/>
          <w:color w:val="auto"/>
          <w:highlight w:val="none"/>
          <w:lang w:val="en-US" w:eastAsia="zh-CN"/>
        </w:rPr>
        <w:drawing>
          <wp:inline distT="0" distB="0" distL="114300" distR="114300">
            <wp:extent cx="2931795" cy="3880485"/>
            <wp:effectExtent l="0" t="0" r="1905" b="5715"/>
            <wp:docPr id="73" name="图片 73" descr="78e6e0049183ce3c5784aee6375f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78e6e0049183ce3c5784aee6375fabc"/>
                    <pic:cNvPicPr>
                      <a:picLocks noChangeAspect="1"/>
                    </pic:cNvPicPr>
                  </pic:nvPicPr>
                  <pic:blipFill>
                    <a:blip r:embed="rId20"/>
                    <a:stretch>
                      <a:fillRect/>
                    </a:stretch>
                  </pic:blipFill>
                  <pic:spPr>
                    <a:xfrm>
                      <a:off x="0" y="0"/>
                      <a:ext cx="2931795" cy="3880485"/>
                    </a:xfrm>
                    <a:prstGeom prst="rect">
                      <a:avLst/>
                    </a:prstGeom>
                  </pic:spPr>
                </pic:pic>
              </a:graphicData>
            </a:graphic>
          </wp:inline>
        </w:drawing>
      </w:r>
      <w:r>
        <w:rPr>
          <w:rFonts w:hint="eastAsia"/>
          <w:color w:val="auto"/>
          <w:highlight w:val="none"/>
          <w:lang w:val="en-US" w:eastAsia="zh-CN"/>
        </w:rPr>
        <w:drawing>
          <wp:inline distT="0" distB="0" distL="114300" distR="114300">
            <wp:extent cx="2788920" cy="3886835"/>
            <wp:effectExtent l="0" t="0" r="11430" b="18415"/>
            <wp:docPr id="66" name="图片 66" descr="8f0a11254c691caa71a5d2863e74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8f0a11254c691caa71a5d2863e74d78"/>
                    <pic:cNvPicPr>
                      <a:picLocks noChangeAspect="1"/>
                    </pic:cNvPicPr>
                  </pic:nvPicPr>
                  <pic:blipFill>
                    <a:blip r:embed="rId21"/>
                    <a:srcRect l="11410" r="22489"/>
                    <a:stretch>
                      <a:fillRect/>
                    </a:stretch>
                  </pic:blipFill>
                  <pic:spPr>
                    <a:xfrm>
                      <a:off x="0" y="0"/>
                      <a:ext cx="2788920" cy="3886835"/>
                    </a:xfrm>
                    <a:prstGeom prst="rect">
                      <a:avLst/>
                    </a:prstGeom>
                  </pic:spPr>
                </pic:pic>
              </a:graphicData>
            </a:graphic>
          </wp:inline>
        </w:drawing>
      </w:r>
    </w:p>
    <w:p>
      <w:pPr>
        <w:pStyle w:val="2"/>
        <w:jc w:val="center"/>
        <w:rPr>
          <w:rFonts w:hint="eastAsia"/>
          <w:color w:val="auto"/>
          <w:highlight w:val="none"/>
          <w:lang w:val="en-US" w:eastAsia="zh-CN"/>
        </w:rPr>
      </w:pPr>
    </w:p>
    <w:p>
      <w:pPr>
        <w:pStyle w:val="2"/>
        <w:jc w:val="center"/>
        <w:rPr>
          <w:rFonts w:hint="eastAsia"/>
          <w:color w:val="auto"/>
          <w:highlight w:val="none"/>
          <w:lang w:val="en-US" w:eastAsia="zh-CN"/>
        </w:rPr>
        <w:sectPr>
          <w:pgSz w:w="11906" w:h="16838"/>
          <w:pgMar w:top="1440" w:right="1417" w:bottom="1440" w:left="1417" w:header="851"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color w:val="auto"/>
          <w:highlight w:val="none"/>
          <w:lang w:val="en-US" w:eastAsia="zh-CN"/>
        </w:rPr>
        <w:t>危废间</w:t>
      </w:r>
    </w:p>
    <w:p>
      <w:pPr>
        <w:rPr>
          <w:rFonts w:hint="eastAsia"/>
          <w:color w:val="auto"/>
          <w:highlight w:val="none"/>
          <w:lang w:val="en-US" w:eastAsia="zh-CN"/>
        </w:rPr>
      </w:pPr>
    </w:p>
    <w:p>
      <w:pPr>
        <w:spacing w:line="360" w:lineRule="auto"/>
        <w:rPr>
          <w:rFonts w:hint="default" w:ascii="Times New Roman" w:hAnsi="Times New Roman" w:cs="Times New Roman"/>
          <w:color w:val="auto"/>
          <w:sz w:val="28"/>
          <w:highlight w:val="none"/>
        </w:rPr>
      </w:pPr>
      <w:r>
        <w:rPr>
          <w:rFonts w:hint="default" w:ascii="Times New Roman" w:hAnsi="Times New Roman" w:cs="Times New Roman"/>
          <w:b/>
          <w:bCs/>
          <w:color w:val="auto"/>
          <w:highlight w:val="none"/>
          <w:lang w:val="en-US" w:eastAsia="zh-CN"/>
        </w:rPr>
        <w:t>附件1：验收清单</w:t>
      </w:r>
    </w:p>
    <w:p>
      <w:pPr>
        <w:spacing w:line="36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环保设施验收清单</w:t>
      </w:r>
    </w:p>
    <w:tbl>
      <w:tblPr>
        <w:tblStyle w:val="27"/>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500"/>
        <w:gridCol w:w="1359"/>
        <w:gridCol w:w="1200"/>
        <w:gridCol w:w="1085"/>
        <w:gridCol w:w="960"/>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类别</w:t>
            </w: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环保设施</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名称</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位置</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处理规模</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去除</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效率</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数量</w:t>
            </w:r>
          </w:p>
        </w:tc>
        <w:tc>
          <w:tcPr>
            <w:tcW w:w="27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废气</w:t>
            </w: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排气筒</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刷漆房</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15m</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1套</w:t>
            </w:r>
          </w:p>
        </w:tc>
        <w:tc>
          <w:tcPr>
            <w:tcW w:w="27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eastAsia="zh-CN"/>
              </w:rPr>
              <w:t>《挥发性有机物排放控制标准》（DB61/T1061-2017）中表面涂装标准、《大气污染物综合排放标准》（GB162797-1996）表2二级标准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油烟净化器</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职工食堂</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4000m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/h</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eastAsia="zh-CN"/>
              </w:rPr>
              <w:t>≥</w:t>
            </w:r>
            <w:r>
              <w:rPr>
                <w:rFonts w:hint="eastAsia" w:ascii="Times New Roman" w:hAnsi="Times New Roman" w:cs="Times New Roman"/>
                <w:color w:val="auto"/>
                <w:sz w:val="24"/>
                <w:szCs w:val="24"/>
                <w:highlight w:val="none"/>
                <w:vertAlign w:val="baseline"/>
                <w:lang w:val="en-US" w:eastAsia="zh-CN"/>
              </w:rPr>
              <w:t>60%</w:t>
            </w:r>
          </w:p>
        </w:tc>
        <w:tc>
          <w:tcPr>
            <w:tcW w:w="9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r>
              <w:rPr>
                <w:rFonts w:hint="eastAsia" w:ascii="Times New Roman" w:hAnsi="Times New Roman" w:cs="Times New Roman"/>
                <w:color w:val="auto"/>
                <w:sz w:val="24"/>
                <w:szCs w:val="24"/>
                <w:highlight w:val="none"/>
                <w:vertAlign w:val="baseline"/>
                <w:lang w:val="en-US" w:eastAsia="zh-CN"/>
              </w:rPr>
              <w:t>1套</w:t>
            </w:r>
          </w:p>
        </w:tc>
        <w:tc>
          <w:tcPr>
            <w:tcW w:w="2732"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eastAsia="zh-CN"/>
              </w:rPr>
              <w:t>《饮食业油烟排放标准（试行）》</w:t>
            </w:r>
            <w:r>
              <w:rPr>
                <w:rFonts w:hint="eastAsia"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vertAlign w:val="baseline"/>
                <w:lang w:eastAsia="zh-CN"/>
              </w:rPr>
              <w:t>GB18483-2001</w:t>
            </w:r>
            <w:r>
              <w:rPr>
                <w:rFonts w:hint="eastAsia" w:ascii="Times New Roman" w:hAnsi="Times New Roman" w:cs="Times New Roman"/>
                <w:color w:val="auto"/>
                <w:sz w:val="24"/>
                <w:szCs w:val="24"/>
                <w:highlight w:val="none"/>
                <w:vertAlign w:val="baseline"/>
                <w:lang w:eastAsia="zh-CN"/>
              </w:rPr>
              <w:t>）</w:t>
            </w:r>
            <w:r>
              <w:rPr>
                <w:rFonts w:hint="eastAsia" w:ascii="Times New Roman" w:hAnsi="Times New Roman" w:cs="Times New Roman"/>
                <w:color w:val="auto"/>
                <w:sz w:val="24"/>
                <w:szCs w:val="24"/>
                <w:highlight w:val="none"/>
                <w:vertAlign w:val="baseline"/>
                <w:lang w:val="en-US" w:eastAsia="zh-CN"/>
              </w:rPr>
              <w:t>中小型标准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油烟烟囱</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r>
              <w:rPr>
                <w:rFonts w:hint="eastAsia" w:ascii="Times New Roman" w:hAnsi="Times New Roman" w:cs="Times New Roman"/>
                <w:color w:val="auto"/>
                <w:sz w:val="24"/>
                <w:szCs w:val="24"/>
                <w:highlight w:val="none"/>
                <w:vertAlign w:val="baseline"/>
                <w:lang w:val="en-US" w:eastAsia="zh-CN"/>
              </w:rPr>
              <w:t>职工食堂</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15m</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r>
              <w:rPr>
                <w:rFonts w:hint="eastAsia" w:ascii="Times New Roman" w:hAnsi="Times New Roman" w:cs="Times New Roman"/>
                <w:color w:val="auto"/>
                <w:sz w:val="24"/>
                <w:szCs w:val="24"/>
                <w:highlight w:val="none"/>
                <w:vertAlign w:val="baseline"/>
                <w:lang w:val="en-US" w:eastAsia="zh-CN"/>
              </w:rPr>
              <w:t>1套</w:t>
            </w:r>
          </w:p>
        </w:tc>
        <w:tc>
          <w:tcPr>
            <w:tcW w:w="273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移动式焊烟净化器</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4套</w:t>
            </w:r>
          </w:p>
        </w:tc>
        <w:tc>
          <w:tcPr>
            <w:tcW w:w="2732" w:type="dxa"/>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eastAsia="宋体" w:cs="宋体"/>
                <w:color w:val="auto"/>
                <w:kern w:val="2"/>
                <w:sz w:val="24"/>
                <w:szCs w:val="24"/>
                <w:highlight w:val="none"/>
                <w:lang w:val="en-US" w:eastAsia="zh-CN" w:bidi="ar"/>
              </w:rPr>
              <w:t>《大气污染物综合排放标准》（</w:t>
            </w:r>
            <w:r>
              <w:rPr>
                <w:rFonts w:hint="default" w:ascii="Times New Roman" w:hAnsi="Times New Roman" w:eastAsia="宋体" w:cs="Times New Roman"/>
                <w:color w:val="auto"/>
                <w:kern w:val="2"/>
                <w:sz w:val="24"/>
                <w:szCs w:val="24"/>
                <w:highlight w:val="none"/>
                <w:lang w:val="en-US" w:eastAsia="zh-CN" w:bidi="ar"/>
              </w:rPr>
              <w:t>GB162797-1996</w:t>
            </w:r>
            <w:r>
              <w:rPr>
                <w:rFonts w:hint="eastAsia" w:ascii="Times New Roman" w:hAnsi="Times New Roman" w:eastAsia="宋体" w:cs="宋体"/>
                <w:color w:val="auto"/>
                <w:kern w:val="2"/>
                <w:sz w:val="24"/>
                <w:szCs w:val="24"/>
                <w:highlight w:val="none"/>
                <w:lang w:val="en-US" w:eastAsia="zh-CN" w:bidi="ar"/>
              </w:rPr>
              <w:t>）表</w:t>
            </w:r>
            <w:r>
              <w:rPr>
                <w:rFonts w:hint="default" w:ascii="Times New Roman" w:hAnsi="Times New Roman" w:eastAsia="宋体" w:cs="Times New Roman"/>
                <w:color w:val="auto"/>
                <w:kern w:val="2"/>
                <w:sz w:val="24"/>
                <w:szCs w:val="24"/>
                <w:highlight w:val="none"/>
                <w:lang w:val="en-US" w:eastAsia="zh-CN" w:bidi="ar"/>
              </w:rPr>
              <w:t>2</w:t>
            </w:r>
            <w:r>
              <w:rPr>
                <w:rFonts w:hint="eastAsia" w:ascii="Times New Roman" w:hAnsi="Times New Roman" w:eastAsia="宋体" w:cs="宋体"/>
                <w:color w:val="auto"/>
                <w:kern w:val="2"/>
                <w:sz w:val="24"/>
                <w:szCs w:val="24"/>
                <w:highlight w:val="none"/>
                <w:lang w:val="en-US" w:eastAsia="zh-CN" w:bidi="ar"/>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废水</w:t>
            </w: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油水分离器</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职工食堂</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r>
              <w:rPr>
                <w:rFonts w:hint="eastAsia" w:ascii="Times New Roman" w:hAnsi="Times New Roman" w:cs="Times New Roman"/>
                <w:color w:val="auto"/>
                <w:sz w:val="24"/>
                <w:szCs w:val="24"/>
                <w:highlight w:val="none"/>
                <w:vertAlign w:val="baseline"/>
                <w:lang w:val="en-US" w:eastAsia="zh-CN"/>
              </w:rPr>
              <w:t>1套</w:t>
            </w:r>
          </w:p>
        </w:tc>
        <w:tc>
          <w:tcPr>
            <w:tcW w:w="2732"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color w:val="auto"/>
                <w:sz w:val="24"/>
                <w:szCs w:val="24"/>
                <w:highlight w:val="none"/>
                <w:vertAlign w:val="baseline"/>
                <w:lang w:eastAsia="zh-CN"/>
              </w:rPr>
            </w:pPr>
            <w:r>
              <w:rPr>
                <w:rFonts w:hint="default" w:ascii="Times New Roman" w:hAnsi="Times New Roman" w:cs="Times New Roman"/>
                <w:color w:val="auto"/>
                <w:sz w:val="24"/>
                <w:szCs w:val="24"/>
                <w:highlight w:val="none"/>
                <w:vertAlign w:val="baseline"/>
                <w:lang w:eastAsia="zh-CN"/>
              </w:rPr>
              <w:t>《污水综合排放标准》</w:t>
            </w:r>
            <w:r>
              <w:rPr>
                <w:rFonts w:hint="eastAsia"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vertAlign w:val="baseline"/>
                <w:lang w:eastAsia="zh-CN"/>
              </w:rPr>
              <w:t>GB8978-1996</w:t>
            </w:r>
            <w:r>
              <w:rPr>
                <w:rFonts w:hint="eastAsia"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vertAlign w:val="baseline"/>
                <w:lang w:eastAsia="zh-CN"/>
              </w:rPr>
              <w:t>中</w:t>
            </w:r>
            <w:r>
              <w:rPr>
                <w:rFonts w:hint="eastAsia" w:ascii="Times New Roman" w:hAnsi="Times New Roman" w:cs="Times New Roman"/>
                <w:color w:val="auto"/>
                <w:sz w:val="24"/>
                <w:szCs w:val="24"/>
                <w:highlight w:val="none"/>
                <w:vertAlign w:val="baseline"/>
                <w:lang w:val="en-US" w:eastAsia="zh-CN"/>
              </w:rPr>
              <w:t>的</w:t>
            </w:r>
            <w:r>
              <w:rPr>
                <w:rFonts w:hint="default" w:ascii="Times New Roman" w:hAnsi="Times New Roman" w:cs="Times New Roman"/>
                <w:color w:val="auto"/>
                <w:sz w:val="24"/>
                <w:szCs w:val="24"/>
                <w:highlight w:val="none"/>
                <w:vertAlign w:val="baseline"/>
                <w:lang w:eastAsia="zh-CN"/>
              </w:rPr>
              <w:t>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化粪池</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办公生活区</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50m</w:t>
            </w:r>
            <w:r>
              <w:rPr>
                <w:rFonts w:hint="eastAsia" w:ascii="Times New Roman" w:hAnsi="Times New Roman" w:cs="Times New Roman"/>
                <w:color w:val="auto"/>
                <w:sz w:val="24"/>
                <w:szCs w:val="24"/>
                <w:highlight w:val="none"/>
                <w:vertAlign w:val="superscript"/>
                <w:lang w:val="en-US" w:eastAsia="zh-CN"/>
              </w:rPr>
              <w:t>3</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r>
              <w:rPr>
                <w:rFonts w:hint="eastAsia" w:ascii="Times New Roman" w:hAnsi="Times New Roman" w:cs="Times New Roman"/>
                <w:color w:val="auto"/>
                <w:sz w:val="24"/>
                <w:szCs w:val="24"/>
                <w:highlight w:val="none"/>
                <w:vertAlign w:val="baseline"/>
                <w:lang w:val="en-US" w:eastAsia="zh-CN"/>
              </w:rPr>
              <w:t>1套</w:t>
            </w:r>
          </w:p>
        </w:tc>
        <w:tc>
          <w:tcPr>
            <w:tcW w:w="273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w:t>
            </w: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减震、消声、隔声等</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生产厂房</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r>
              <w:rPr>
                <w:rFonts w:hint="eastAsia" w:ascii="Times New Roman" w:hAnsi="Times New Roman" w:cs="Times New Roman"/>
                <w:color w:val="auto"/>
                <w:sz w:val="24"/>
                <w:szCs w:val="24"/>
                <w:highlight w:val="none"/>
                <w:vertAlign w:val="baseline"/>
                <w:lang w:val="en-US" w:eastAsia="zh-CN"/>
              </w:rPr>
              <w:t>若干</w:t>
            </w:r>
          </w:p>
        </w:tc>
        <w:tc>
          <w:tcPr>
            <w:tcW w:w="27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color w:val="auto"/>
                <w:sz w:val="24"/>
                <w:szCs w:val="24"/>
                <w:highlight w:val="none"/>
                <w:vertAlign w:val="baseline"/>
                <w:lang w:eastAsia="zh-CN"/>
              </w:rPr>
            </w:pPr>
            <w:r>
              <w:rPr>
                <w:rFonts w:hint="default" w:ascii="Times New Roman" w:hAnsi="Times New Roman" w:cs="Times New Roman"/>
                <w:color w:val="auto"/>
                <w:sz w:val="24"/>
                <w:szCs w:val="24"/>
                <w:highlight w:val="none"/>
                <w:vertAlign w:val="baseline"/>
                <w:lang w:eastAsia="zh-CN"/>
              </w:rPr>
              <w:t>《工业企业厂界环境噪声排放标准》</w:t>
            </w:r>
            <w:r>
              <w:rPr>
                <w:rFonts w:hint="eastAsia"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vertAlign w:val="baseline"/>
                <w:lang w:eastAsia="zh-CN"/>
              </w:rPr>
              <w:t>GB12348-2008</w:t>
            </w:r>
            <w:r>
              <w:rPr>
                <w:rFonts w:hint="eastAsia"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vertAlign w:val="baseline"/>
                <w:lang w:eastAsia="zh-CN"/>
              </w:rPr>
              <w:t>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固废</w:t>
            </w: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垃圾桶</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厂内</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6.2t/a</w:t>
            </w:r>
          </w:p>
        </w:tc>
        <w:tc>
          <w:tcPr>
            <w:tcW w:w="108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处理效率100%</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5个</w:t>
            </w:r>
          </w:p>
        </w:tc>
        <w:tc>
          <w:tcPr>
            <w:tcW w:w="27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color w:val="auto"/>
                <w:sz w:val="24"/>
                <w:szCs w:val="24"/>
                <w:highlight w:val="none"/>
                <w:vertAlign w:val="baseline"/>
                <w:lang w:eastAsia="zh-CN"/>
              </w:rPr>
            </w:pPr>
            <w:r>
              <w:rPr>
                <w:rFonts w:hint="default" w:ascii="Times New Roman" w:hAnsi="Times New Roman" w:cs="Times New Roman" w:eastAsiaTheme="minorEastAsia"/>
                <w:color w:val="auto"/>
                <w:kern w:val="2"/>
                <w:sz w:val="24"/>
                <w:szCs w:val="24"/>
                <w:highlight w:val="none"/>
                <w:vertAlign w:val="baseline"/>
                <w:lang w:val="en-US" w:eastAsia="zh-CN" w:bidi="ar-SA"/>
              </w:rPr>
              <w:t>《一般工业固体废物贮存、处置场污染控制标准》</w:t>
            </w:r>
            <w:r>
              <w:rPr>
                <w:rFonts w:hint="eastAsia" w:ascii="Times New Roman" w:hAnsi="Times New Roman" w:cs="Times New Roman"/>
                <w:color w:val="auto"/>
                <w:kern w:val="2"/>
                <w:sz w:val="24"/>
                <w:szCs w:val="24"/>
                <w:highlight w:val="none"/>
                <w:vertAlign w:val="baseline"/>
                <w:lang w:val="en-US" w:eastAsia="zh-CN" w:bidi="ar-SA"/>
              </w:rPr>
              <w:t>（</w:t>
            </w:r>
            <w:r>
              <w:rPr>
                <w:rFonts w:hint="default" w:ascii="Times New Roman" w:hAnsi="Times New Roman" w:cs="Times New Roman" w:eastAsiaTheme="minorEastAsia"/>
                <w:color w:val="auto"/>
                <w:kern w:val="2"/>
                <w:sz w:val="24"/>
                <w:szCs w:val="24"/>
                <w:highlight w:val="none"/>
                <w:vertAlign w:val="baseline"/>
                <w:lang w:val="en-US" w:eastAsia="zh-CN" w:bidi="ar-SA"/>
              </w:rPr>
              <w:t>GB18599</w:t>
            </w:r>
            <w:r>
              <w:rPr>
                <w:rFonts w:hint="eastAsia" w:ascii="Times New Roman" w:hAnsi="Times New Roman" w:cs="Times New Roman" w:eastAsiaTheme="minorEastAsia"/>
                <w:color w:val="auto"/>
                <w:kern w:val="2"/>
                <w:sz w:val="24"/>
                <w:szCs w:val="24"/>
                <w:highlight w:val="none"/>
                <w:vertAlign w:val="baseline"/>
                <w:lang w:val="en-US" w:eastAsia="zh-CN" w:bidi="ar-SA"/>
              </w:rPr>
              <w:t>-</w:t>
            </w:r>
            <w:r>
              <w:rPr>
                <w:rFonts w:hint="default" w:ascii="Times New Roman" w:hAnsi="Times New Roman" w:cs="Times New Roman" w:eastAsiaTheme="minorEastAsia"/>
                <w:color w:val="auto"/>
                <w:kern w:val="2"/>
                <w:sz w:val="24"/>
                <w:szCs w:val="24"/>
                <w:highlight w:val="none"/>
                <w:vertAlign w:val="baseline"/>
                <w:lang w:val="en-US" w:eastAsia="zh-CN" w:bidi="ar-SA"/>
              </w:rPr>
              <w:t>2001</w:t>
            </w:r>
            <w:r>
              <w:rPr>
                <w:rFonts w:hint="eastAsia" w:ascii="Times New Roman" w:hAnsi="Times New Roman" w:cs="Times New Roman"/>
                <w:color w:val="auto"/>
                <w:kern w:val="2"/>
                <w:sz w:val="24"/>
                <w:szCs w:val="24"/>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废活性炭收集塑料桶</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危废间</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0.4t/a</w:t>
            </w:r>
          </w:p>
        </w:tc>
        <w:tc>
          <w:tcPr>
            <w:tcW w:w="10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r>
              <w:rPr>
                <w:rFonts w:hint="eastAsia" w:ascii="Times New Roman" w:hAnsi="Times New Roman" w:cs="Times New Roman"/>
                <w:color w:val="auto"/>
                <w:sz w:val="24"/>
                <w:szCs w:val="24"/>
                <w:highlight w:val="none"/>
                <w:vertAlign w:val="baseline"/>
                <w:lang w:val="en-US" w:eastAsia="zh-CN"/>
              </w:rPr>
              <w:t>处理效率100%</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1个</w:t>
            </w:r>
          </w:p>
        </w:tc>
        <w:tc>
          <w:tcPr>
            <w:tcW w:w="2732"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由专业单位回收处置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0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p>
        </w:tc>
        <w:tc>
          <w:tcPr>
            <w:tcW w:w="15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 xml:space="preserve">危废间 </w:t>
            </w:r>
          </w:p>
        </w:tc>
        <w:tc>
          <w:tcPr>
            <w:tcW w:w="135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0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0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eastAsia="zh-CN"/>
              </w:rPr>
            </w:pPr>
            <w:r>
              <w:rPr>
                <w:rFonts w:hint="eastAsia" w:ascii="Times New Roman" w:hAnsi="Times New Roman" w:cs="Times New Roman"/>
                <w:color w:val="auto"/>
                <w:sz w:val="24"/>
                <w:szCs w:val="24"/>
                <w:highlight w:val="none"/>
                <w:vertAlign w:val="baseline"/>
                <w:lang w:val="en-US" w:eastAsia="zh-CN"/>
              </w:rPr>
              <w:t>处理效率100%</w:t>
            </w:r>
          </w:p>
        </w:tc>
        <w:tc>
          <w:tcPr>
            <w:tcW w:w="96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1座</w:t>
            </w:r>
          </w:p>
        </w:tc>
        <w:tc>
          <w:tcPr>
            <w:tcW w:w="273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outlineLvl w:val="9"/>
              <w:rPr>
                <w:rFonts w:hint="default" w:ascii="Times New Roman" w:hAnsi="Times New Roman" w:cs="Times New Roman"/>
                <w:color w:val="auto"/>
                <w:sz w:val="24"/>
                <w:szCs w:val="24"/>
                <w:highlight w:val="none"/>
                <w:vertAlign w:val="baseline"/>
                <w:lang w:val="en-US" w:eastAsia="zh-CN"/>
              </w:rPr>
            </w:pPr>
          </w:p>
        </w:tc>
      </w:tr>
    </w:tbl>
    <w:p>
      <w:pPr>
        <w:pStyle w:val="2"/>
        <w:rPr>
          <w:rFonts w:hint="default"/>
          <w:color w:val="auto"/>
          <w:highlight w:val="none"/>
          <w:lang w:eastAsia="zh-CN"/>
        </w:rPr>
      </w:pPr>
    </w:p>
    <w:p>
      <w:pPr>
        <w:spacing w:line="360" w:lineRule="auto"/>
        <w:rPr>
          <w:rFonts w:hint="default" w:ascii="Times New Roman" w:hAnsi="Times New Roman" w:cs="Times New Roman"/>
          <w:color w:val="auto"/>
          <w:sz w:val="28"/>
          <w:highlight w:val="none"/>
        </w:rPr>
      </w:pPr>
    </w:p>
    <w:p>
      <w:pPr>
        <w:spacing w:line="360" w:lineRule="auto"/>
        <w:rPr>
          <w:rFonts w:hint="default" w:ascii="Times New Roman" w:hAnsi="Times New Roman" w:cs="Times New Roman"/>
          <w:color w:val="auto"/>
          <w:sz w:val="28"/>
          <w:highlight w:val="none"/>
        </w:rPr>
      </w:pPr>
    </w:p>
    <w:p>
      <w:pPr>
        <w:spacing w:line="360" w:lineRule="auto"/>
        <w:rPr>
          <w:rFonts w:hint="default" w:ascii="Times New Roman" w:hAnsi="Times New Roman" w:cs="Times New Roman"/>
          <w:b/>
          <w:bCs/>
          <w:color w:val="auto"/>
          <w:highlight w:val="none"/>
          <w:lang w:val="en-US" w:eastAsia="zh-CN"/>
        </w:rPr>
        <w:sectPr>
          <w:footerReference r:id="rId9" w:type="default"/>
          <w:pgSz w:w="11906" w:h="16838"/>
          <w:pgMar w:top="1134" w:right="1440" w:bottom="1134"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rPr>
          <w:rFonts w:hint="default" w:ascii="Times New Roman" w:hAnsi="Times New Roman" w:cs="Times New Roman"/>
          <w:color w:val="auto"/>
          <w:sz w:val="28"/>
          <w:highlight w:val="none"/>
        </w:rPr>
      </w:pPr>
      <w:r>
        <w:rPr>
          <w:rFonts w:hint="default" w:ascii="Times New Roman" w:hAnsi="Times New Roman" w:cs="Times New Roman"/>
          <w:b/>
          <w:bCs/>
          <w:color w:val="auto"/>
          <w:highlight w:val="none"/>
          <w:lang w:val="en-US" w:eastAsia="zh-CN"/>
        </w:rPr>
        <w:t>附件2：环评批复</w:t>
      </w:r>
    </w:p>
    <w:p>
      <w:pPr>
        <w:pStyle w:val="2"/>
        <w:ind w:left="0" w:leftChars="0" w:firstLine="0" w:firstLineChars="0"/>
        <w:jc w:val="center"/>
        <w:rPr>
          <w:rFonts w:hint="default" w:ascii="Times New Roman" w:hAnsi="Times New Roman" w:eastAsia="宋体" w:cs="Times New Roman"/>
          <w:color w:val="auto"/>
          <w:sz w:val="28"/>
          <w:highlight w:val="none"/>
          <w:lang w:val="en-US" w:eastAsia="zh-CN"/>
        </w:rPr>
      </w:pPr>
    </w:p>
    <w:p>
      <w:pPr>
        <w:pStyle w:val="2"/>
        <w:ind w:left="0" w:leftChars="0" w:firstLine="0" w:firstLineChars="0"/>
        <w:jc w:val="center"/>
        <w:rPr>
          <w:rFonts w:hint="default" w:ascii="Times New Roman" w:hAnsi="Times New Roman" w:eastAsia="宋体" w:cs="Times New Roman"/>
          <w:color w:val="auto"/>
          <w:sz w:val="28"/>
          <w:highlight w:val="none"/>
          <w:lang w:val="en-US" w:eastAsia="zh-CN"/>
        </w:rPr>
        <w:sectPr>
          <w:pgSz w:w="11906" w:h="16838"/>
          <w:pgMar w:top="1134" w:right="1440" w:bottom="1134"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color w:val="auto"/>
          <w:sz w:val="28"/>
          <w:highlight w:val="none"/>
          <w:lang w:val="en-US" w:eastAsia="zh-CN"/>
        </w:rPr>
        <w:drawing>
          <wp:inline distT="0" distB="0" distL="114300" distR="114300">
            <wp:extent cx="5662930" cy="7980680"/>
            <wp:effectExtent l="0" t="0" r="13970" b="1270"/>
            <wp:docPr id="10" name="图片 10" descr="陕西金工装饰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陕西金工装饰批复"/>
                    <pic:cNvPicPr>
                      <a:picLocks noChangeAspect="1"/>
                    </pic:cNvPicPr>
                  </pic:nvPicPr>
                  <pic:blipFill>
                    <a:blip r:embed="rId22"/>
                    <a:stretch>
                      <a:fillRect/>
                    </a:stretch>
                  </pic:blipFill>
                  <pic:spPr>
                    <a:xfrm>
                      <a:off x="0" y="0"/>
                      <a:ext cx="5662930" cy="7980680"/>
                    </a:xfrm>
                    <a:prstGeom prst="rect">
                      <a:avLst/>
                    </a:prstGeom>
                  </pic:spPr>
                </pic:pic>
              </a:graphicData>
            </a:graphic>
          </wp:inline>
        </w:drawing>
      </w:r>
    </w:p>
    <w:p>
      <w:pPr>
        <w:pStyle w:val="2"/>
        <w:ind w:left="0" w:leftChars="0" w:firstLine="0" w:firstLineChars="0"/>
        <w:jc w:val="center"/>
        <w:rPr>
          <w:rFonts w:hint="default" w:ascii="Times New Roman" w:hAnsi="Times New Roman" w:eastAsia="宋体" w:cs="Times New Roman"/>
          <w:color w:val="auto"/>
          <w:sz w:val="28"/>
          <w:highlight w:val="none"/>
          <w:lang w:val="en-US" w:eastAsia="zh-CN"/>
        </w:rPr>
      </w:pPr>
    </w:p>
    <w:p>
      <w:pPr>
        <w:pStyle w:val="2"/>
        <w:ind w:left="0" w:leftChars="0" w:firstLine="0" w:firstLineChars="0"/>
        <w:jc w:val="center"/>
        <w:rPr>
          <w:rFonts w:hint="default" w:ascii="Times New Roman" w:hAnsi="Times New Roman" w:eastAsia="宋体" w:cs="Times New Roman"/>
          <w:color w:val="auto"/>
          <w:sz w:val="28"/>
          <w:highlight w:val="none"/>
          <w:lang w:val="en-US" w:eastAsia="zh-CN"/>
        </w:rPr>
        <w:sectPr>
          <w:pgSz w:w="11906" w:h="16838"/>
          <w:pgMar w:top="1134" w:right="1440" w:bottom="1134"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color w:val="auto"/>
          <w:sz w:val="28"/>
          <w:highlight w:val="none"/>
          <w:lang w:val="en-US" w:eastAsia="zh-CN"/>
        </w:rPr>
        <w:drawing>
          <wp:inline distT="0" distB="0" distL="114300" distR="114300">
            <wp:extent cx="5722620" cy="8437880"/>
            <wp:effectExtent l="0" t="0" r="11430" b="1270"/>
            <wp:docPr id="11" name="图片 11" descr="陕西金工装饰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陕西金工装饰批复1"/>
                    <pic:cNvPicPr>
                      <a:picLocks noChangeAspect="1"/>
                    </pic:cNvPicPr>
                  </pic:nvPicPr>
                  <pic:blipFill>
                    <a:blip r:embed="rId23"/>
                    <a:stretch>
                      <a:fillRect/>
                    </a:stretch>
                  </pic:blipFill>
                  <pic:spPr>
                    <a:xfrm>
                      <a:off x="0" y="0"/>
                      <a:ext cx="5722620" cy="8437880"/>
                    </a:xfrm>
                    <a:prstGeom prst="rect">
                      <a:avLst/>
                    </a:prstGeom>
                  </pic:spPr>
                </pic:pic>
              </a:graphicData>
            </a:graphic>
          </wp:inline>
        </w:drawing>
      </w:r>
    </w:p>
    <w:p>
      <w:pPr>
        <w:pStyle w:val="2"/>
        <w:ind w:left="0" w:leftChars="0" w:firstLine="0" w:firstLineChars="0"/>
        <w:jc w:val="center"/>
        <w:rPr>
          <w:rFonts w:hint="default" w:ascii="Times New Roman" w:hAnsi="Times New Roman" w:eastAsia="宋体" w:cs="Times New Roman"/>
          <w:color w:val="auto"/>
          <w:sz w:val="28"/>
          <w:highlight w:val="none"/>
          <w:lang w:val="en-US" w:eastAsia="zh-CN"/>
        </w:rPr>
      </w:pPr>
    </w:p>
    <w:p>
      <w:pPr>
        <w:pStyle w:val="2"/>
        <w:ind w:left="0" w:leftChars="0" w:firstLine="0" w:firstLineChars="0"/>
        <w:jc w:val="center"/>
        <w:rPr>
          <w:rFonts w:hint="default" w:ascii="Times New Roman" w:hAnsi="Times New Roman" w:eastAsia="宋体" w:cs="Times New Roman"/>
          <w:color w:val="auto"/>
          <w:sz w:val="28"/>
          <w:highlight w:val="none"/>
          <w:lang w:val="en-US" w:eastAsia="zh-CN"/>
        </w:rPr>
        <w:sectPr>
          <w:pgSz w:w="11906" w:h="16838"/>
          <w:pgMar w:top="1134" w:right="1440" w:bottom="1134"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color w:val="auto"/>
          <w:sz w:val="28"/>
          <w:highlight w:val="none"/>
          <w:lang w:val="en-US" w:eastAsia="zh-CN"/>
        </w:rPr>
        <w:drawing>
          <wp:inline distT="0" distB="0" distL="114300" distR="114300">
            <wp:extent cx="5450205" cy="8171180"/>
            <wp:effectExtent l="0" t="0" r="17145" b="1270"/>
            <wp:docPr id="12" name="图片 12" descr="陕西金工装饰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陕西金工装饰批复2"/>
                    <pic:cNvPicPr>
                      <a:picLocks noChangeAspect="1"/>
                    </pic:cNvPicPr>
                  </pic:nvPicPr>
                  <pic:blipFill>
                    <a:blip r:embed="rId24"/>
                    <a:stretch>
                      <a:fillRect/>
                    </a:stretch>
                  </pic:blipFill>
                  <pic:spPr>
                    <a:xfrm>
                      <a:off x="0" y="0"/>
                      <a:ext cx="5450205" cy="8171180"/>
                    </a:xfrm>
                    <a:prstGeom prst="rect">
                      <a:avLst/>
                    </a:prstGeom>
                  </pic:spPr>
                </pic:pic>
              </a:graphicData>
            </a:graphic>
          </wp:inline>
        </w:drawing>
      </w:r>
    </w:p>
    <w:p>
      <w:pPr>
        <w:pStyle w:val="2"/>
        <w:ind w:left="0" w:leftChars="0" w:firstLine="0" w:firstLineChars="0"/>
        <w:jc w:val="left"/>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附件3：废油脂回收协议</w:t>
      </w:r>
    </w:p>
    <w:p>
      <w:pPr>
        <w:rPr>
          <w:rFonts w:hint="default" w:ascii="Times New Roman" w:hAnsi="Times New Roman" w:cs="Times New Roman"/>
          <w:b/>
          <w:bCs/>
          <w:color w:val="auto"/>
          <w:highlight w:val="none"/>
          <w:lang w:val="en-US" w:eastAsia="zh-CN"/>
        </w:rPr>
      </w:pPr>
    </w:p>
    <w:p>
      <w:pPr>
        <w:pStyle w:val="2"/>
        <w:ind w:left="0" w:leftChars="0" w:firstLine="0" w:firstLineChars="0"/>
        <w:jc w:val="center"/>
        <w:rPr>
          <w:rFonts w:hint="eastAsia" w:eastAsiaTheme="minorEastAsia"/>
          <w:color w:val="auto"/>
          <w:highlight w:val="none"/>
          <w:lang w:eastAsia="zh-CN"/>
        </w:rPr>
        <w:sectPr>
          <w:footerReference r:id="rId10" w:type="default"/>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Theme="minorEastAsia"/>
          <w:color w:val="auto"/>
          <w:highlight w:val="none"/>
          <w:lang w:eastAsia="zh-CN"/>
        </w:rPr>
        <w:drawing>
          <wp:inline distT="0" distB="0" distL="114300" distR="114300">
            <wp:extent cx="5829300" cy="8017510"/>
            <wp:effectExtent l="0" t="0" r="0" b="2540"/>
            <wp:docPr id="70" name="图片 70" descr="41ad7959c134221ec2bdde634357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41ad7959c134221ec2bdde63435760f"/>
                    <pic:cNvPicPr>
                      <a:picLocks noChangeAspect="1"/>
                    </pic:cNvPicPr>
                  </pic:nvPicPr>
                  <pic:blipFill>
                    <a:blip r:embed="rId25"/>
                    <a:stretch>
                      <a:fillRect/>
                    </a:stretch>
                  </pic:blipFill>
                  <pic:spPr>
                    <a:xfrm>
                      <a:off x="0" y="0"/>
                      <a:ext cx="5829300" cy="8017510"/>
                    </a:xfrm>
                    <a:prstGeom prst="rect">
                      <a:avLst/>
                    </a:prstGeom>
                  </pic:spPr>
                </pic:pic>
              </a:graphicData>
            </a:graphic>
          </wp:inline>
        </w:drawing>
      </w:r>
    </w:p>
    <w:p>
      <w:pPr>
        <w:jc w:val="center"/>
        <w:rPr>
          <w:rFonts w:hint="default"/>
          <w:color w:val="auto"/>
          <w:highlight w:val="none"/>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color w:val="auto"/>
          <w:highlight w:val="none"/>
          <w:lang w:val="en-US" w:eastAsia="zh-CN"/>
        </w:rPr>
        <w:drawing>
          <wp:inline distT="0" distB="0" distL="114300" distR="114300">
            <wp:extent cx="5829300" cy="8017510"/>
            <wp:effectExtent l="0" t="0" r="0" b="2540"/>
            <wp:docPr id="71" name="图片 71" descr="1d902e36635226cc3518d8139d4e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d902e36635226cc3518d8139d4e8f6"/>
                    <pic:cNvPicPr>
                      <a:picLocks noChangeAspect="1"/>
                    </pic:cNvPicPr>
                  </pic:nvPicPr>
                  <pic:blipFill>
                    <a:blip r:embed="rId26"/>
                    <a:stretch>
                      <a:fillRect/>
                    </a:stretch>
                  </pic:blipFill>
                  <pic:spPr>
                    <a:xfrm>
                      <a:off x="0" y="0"/>
                      <a:ext cx="5829300" cy="8017510"/>
                    </a:xfrm>
                    <a:prstGeom prst="rect">
                      <a:avLst/>
                    </a:prstGeom>
                  </pic:spPr>
                </pic:pic>
              </a:graphicData>
            </a:graphic>
          </wp:inline>
        </w:drawing>
      </w:r>
    </w:p>
    <w:p>
      <w:pPr>
        <w:pStyle w:val="2"/>
        <w:ind w:left="0" w:leftChars="0" w:firstLine="0" w:firstLineChars="0"/>
        <w:rPr>
          <w:color w:val="auto"/>
          <w:highlight w:val="none"/>
        </w:rPr>
      </w:pPr>
    </w:p>
    <w:p>
      <w:pPr>
        <w:pStyle w:val="2"/>
        <w:ind w:left="0" w:leftChars="0" w:firstLine="0" w:firstLineChars="0"/>
        <w:rPr>
          <w:rFonts w:hint="default"/>
          <w:color w:val="auto"/>
          <w:highlight w:val="none"/>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color w:val="auto"/>
          <w:highlight w:val="none"/>
          <w:lang w:val="en-US" w:eastAsia="zh-CN"/>
        </w:rPr>
        <w:drawing>
          <wp:inline distT="0" distB="0" distL="114300" distR="114300">
            <wp:extent cx="5829300" cy="8017510"/>
            <wp:effectExtent l="0" t="0" r="0" b="2540"/>
            <wp:docPr id="72" name="图片 72" descr="d2a1bacd5c44d3b4217a02d7a762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2a1bacd5c44d3b4217a02d7a762fe6"/>
                    <pic:cNvPicPr>
                      <a:picLocks noChangeAspect="1"/>
                    </pic:cNvPicPr>
                  </pic:nvPicPr>
                  <pic:blipFill>
                    <a:blip r:embed="rId27"/>
                    <a:stretch>
                      <a:fillRect/>
                    </a:stretch>
                  </pic:blipFill>
                  <pic:spPr>
                    <a:xfrm>
                      <a:off x="0" y="0"/>
                      <a:ext cx="5829300" cy="8017510"/>
                    </a:xfrm>
                    <a:prstGeom prst="rect">
                      <a:avLst/>
                    </a:prstGeom>
                  </pic:spPr>
                </pic:pic>
              </a:graphicData>
            </a:graphic>
          </wp:inline>
        </w:drawing>
      </w:r>
    </w:p>
    <w:p>
      <w:pPr>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附件4：危废协议</w:t>
      </w:r>
    </w:p>
    <w:p>
      <w:pPr>
        <w:pStyle w:val="2"/>
        <w:rPr>
          <w:rFonts w:hint="eastAsia" w:ascii="Times New Roman" w:hAnsi="Times New Roman" w:cs="Times New Roman"/>
          <w:b/>
          <w:bCs/>
          <w:color w:val="auto"/>
          <w:highlight w:val="none"/>
          <w:lang w:val="en-US" w:eastAsia="zh-CN"/>
        </w:rPr>
      </w:pPr>
    </w:p>
    <w:p>
      <w:pPr>
        <w:jc w:val="center"/>
        <w:rPr>
          <w:rFonts w:hint="eastAsia"/>
          <w:color w:val="auto"/>
          <w:highlight w:val="none"/>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highlight w:val="none"/>
          <w:lang w:val="en-US" w:eastAsia="zh-CN"/>
        </w:rPr>
        <w:drawing>
          <wp:inline distT="0" distB="0" distL="114300" distR="114300">
            <wp:extent cx="5815965" cy="8388985"/>
            <wp:effectExtent l="0" t="0" r="13335" b="12065"/>
            <wp:docPr id="60" name="图片 60" descr="f1d26f61f4a5b7f8fe25e12a3fc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1d26f61f4a5b7f8fe25e12a3fc6764"/>
                    <pic:cNvPicPr>
                      <a:picLocks noChangeAspect="1"/>
                    </pic:cNvPicPr>
                  </pic:nvPicPr>
                  <pic:blipFill>
                    <a:blip r:embed="rId28"/>
                    <a:stretch>
                      <a:fillRect/>
                    </a:stretch>
                  </pic:blipFill>
                  <pic:spPr>
                    <a:xfrm>
                      <a:off x="0" y="0"/>
                      <a:ext cx="5815965" cy="8388985"/>
                    </a:xfrm>
                    <a:prstGeom prst="rect">
                      <a:avLst/>
                    </a:prstGeom>
                  </pic:spPr>
                </pic:pic>
              </a:graphicData>
            </a:graphic>
          </wp:inline>
        </w:drawing>
      </w:r>
    </w:p>
    <w:p>
      <w:pPr>
        <w:pStyle w:val="2"/>
        <w:ind w:left="0" w:leftChars="0" w:firstLine="0" w:firstLineChars="0"/>
        <w:jc w:val="center"/>
        <w:rPr>
          <w:rFonts w:hint="eastAsia"/>
          <w:color w:val="auto"/>
          <w:highlight w:val="none"/>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highlight w:val="none"/>
          <w:lang w:val="en-US" w:eastAsia="zh-CN"/>
        </w:rPr>
        <w:drawing>
          <wp:inline distT="0" distB="0" distL="114300" distR="114300">
            <wp:extent cx="5738495" cy="8900160"/>
            <wp:effectExtent l="0" t="0" r="14605" b="15240"/>
            <wp:docPr id="61" name="图片 61" descr="efa79b0a4cad34d3351ee21c6c31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efa79b0a4cad34d3351ee21c6c31d6e"/>
                    <pic:cNvPicPr>
                      <a:picLocks noChangeAspect="1"/>
                    </pic:cNvPicPr>
                  </pic:nvPicPr>
                  <pic:blipFill>
                    <a:blip r:embed="rId29"/>
                    <a:stretch>
                      <a:fillRect/>
                    </a:stretch>
                  </pic:blipFill>
                  <pic:spPr>
                    <a:xfrm>
                      <a:off x="0" y="0"/>
                      <a:ext cx="5738495" cy="8900160"/>
                    </a:xfrm>
                    <a:prstGeom prst="rect">
                      <a:avLst/>
                    </a:prstGeom>
                  </pic:spPr>
                </pic:pic>
              </a:graphicData>
            </a:graphic>
          </wp:inline>
        </w:drawing>
      </w:r>
    </w:p>
    <w:p>
      <w:pPr>
        <w:jc w:val="center"/>
        <w:rPr>
          <w:rFonts w:hint="eastAsia"/>
          <w:color w:val="auto"/>
          <w:highlight w:val="none"/>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highlight w:val="none"/>
          <w:lang w:val="en-US" w:eastAsia="zh-CN"/>
        </w:rPr>
        <w:drawing>
          <wp:inline distT="0" distB="0" distL="114300" distR="114300">
            <wp:extent cx="5697220" cy="9058275"/>
            <wp:effectExtent l="0" t="0" r="17780" b="9525"/>
            <wp:docPr id="62" name="图片 62" descr="ed4054746294a7bb583a2a1181be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ed4054746294a7bb583a2a1181be61b"/>
                    <pic:cNvPicPr>
                      <a:picLocks noChangeAspect="1"/>
                    </pic:cNvPicPr>
                  </pic:nvPicPr>
                  <pic:blipFill>
                    <a:blip r:embed="rId30"/>
                    <a:stretch>
                      <a:fillRect/>
                    </a:stretch>
                  </pic:blipFill>
                  <pic:spPr>
                    <a:xfrm>
                      <a:off x="0" y="0"/>
                      <a:ext cx="5697220" cy="9058275"/>
                    </a:xfrm>
                    <a:prstGeom prst="rect">
                      <a:avLst/>
                    </a:prstGeom>
                  </pic:spPr>
                </pic:pic>
              </a:graphicData>
            </a:graphic>
          </wp:inline>
        </w:drawing>
      </w:r>
    </w:p>
    <w:p>
      <w:pPr>
        <w:pStyle w:val="2"/>
        <w:ind w:left="0" w:leftChars="0" w:firstLine="0" w:firstLineChars="0"/>
        <w:jc w:val="center"/>
        <w:rPr>
          <w:rFonts w:hint="eastAsia"/>
          <w:color w:val="auto"/>
          <w:highlight w:val="none"/>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highlight w:val="none"/>
          <w:lang w:val="en-US" w:eastAsia="zh-CN"/>
        </w:rPr>
        <w:drawing>
          <wp:inline distT="0" distB="0" distL="114300" distR="114300">
            <wp:extent cx="5718175" cy="8934450"/>
            <wp:effectExtent l="0" t="0" r="15875" b="0"/>
            <wp:docPr id="63" name="图片 63" descr="7152c29013bd8ad2631c8e1d84dd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7152c29013bd8ad2631c8e1d84dde83"/>
                    <pic:cNvPicPr>
                      <a:picLocks noChangeAspect="1"/>
                    </pic:cNvPicPr>
                  </pic:nvPicPr>
                  <pic:blipFill>
                    <a:blip r:embed="rId31"/>
                    <a:stretch>
                      <a:fillRect/>
                    </a:stretch>
                  </pic:blipFill>
                  <pic:spPr>
                    <a:xfrm>
                      <a:off x="0" y="0"/>
                      <a:ext cx="5718175" cy="8934450"/>
                    </a:xfrm>
                    <a:prstGeom prst="rect">
                      <a:avLst/>
                    </a:prstGeom>
                  </pic:spPr>
                </pic:pic>
              </a:graphicData>
            </a:graphic>
          </wp:inline>
        </w:drawing>
      </w:r>
    </w:p>
    <w:p>
      <w:pPr>
        <w:jc w:val="center"/>
        <w:rPr>
          <w:rFonts w:hint="eastAsia"/>
          <w:color w:val="auto"/>
          <w:highlight w:val="none"/>
          <w:lang w:val="en-US" w:eastAsia="zh-CN"/>
        </w:rPr>
      </w:pPr>
    </w:p>
    <w:p>
      <w:pPr>
        <w:jc w:val="center"/>
        <w:rPr>
          <w:rFonts w:hint="eastAsia"/>
          <w:color w:val="auto"/>
          <w:highlight w:val="none"/>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highlight w:val="none"/>
          <w:lang w:val="en-US" w:eastAsia="zh-CN"/>
        </w:rPr>
        <w:drawing>
          <wp:inline distT="0" distB="0" distL="114300" distR="114300">
            <wp:extent cx="5385435" cy="8698230"/>
            <wp:effectExtent l="0" t="0" r="5715" b="7620"/>
            <wp:docPr id="64" name="图片 64" descr="4997726893c5f798a7e77153b200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997726893c5f798a7e77153b20071d"/>
                    <pic:cNvPicPr>
                      <a:picLocks noChangeAspect="1"/>
                    </pic:cNvPicPr>
                  </pic:nvPicPr>
                  <pic:blipFill>
                    <a:blip r:embed="rId32"/>
                    <a:srcRect t="2248"/>
                    <a:stretch>
                      <a:fillRect/>
                    </a:stretch>
                  </pic:blipFill>
                  <pic:spPr>
                    <a:xfrm>
                      <a:off x="0" y="0"/>
                      <a:ext cx="5385435" cy="8698230"/>
                    </a:xfrm>
                    <a:prstGeom prst="rect">
                      <a:avLst/>
                    </a:prstGeom>
                  </pic:spPr>
                </pic:pic>
              </a:graphicData>
            </a:graphic>
          </wp:inline>
        </w:drawing>
      </w:r>
    </w:p>
    <w:p>
      <w:pPr>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附件5：危废回收单位资质</w:t>
      </w:r>
    </w:p>
    <w:p>
      <w:pPr>
        <w:pStyle w:val="2"/>
        <w:ind w:left="0" w:leftChars="0" w:firstLine="0" w:firstLineChars="0"/>
        <w:jc w:val="both"/>
        <w:rPr>
          <w:rFonts w:hint="eastAsia"/>
          <w:color w:val="auto"/>
          <w:highlight w:val="none"/>
          <w:lang w:val="en-US" w:eastAsia="zh-CN"/>
        </w:rPr>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highlight w:val="none"/>
          <w:lang w:val="en-US" w:eastAsia="zh-CN"/>
        </w:rPr>
        <w:drawing>
          <wp:inline distT="0" distB="0" distL="114300" distR="114300">
            <wp:extent cx="5813425" cy="7751445"/>
            <wp:effectExtent l="0" t="0" r="15875" b="1905"/>
            <wp:docPr id="58" name="图片 58" descr="1e5fa02153a04e41585eff846889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e5fa02153a04e41585eff8468896f2"/>
                    <pic:cNvPicPr>
                      <a:picLocks noChangeAspect="1"/>
                    </pic:cNvPicPr>
                  </pic:nvPicPr>
                  <pic:blipFill>
                    <a:blip r:embed="rId33"/>
                    <a:stretch>
                      <a:fillRect/>
                    </a:stretch>
                  </pic:blipFill>
                  <pic:spPr>
                    <a:xfrm>
                      <a:off x="0" y="0"/>
                      <a:ext cx="5813425" cy="7751445"/>
                    </a:xfrm>
                    <a:prstGeom prst="rect">
                      <a:avLst/>
                    </a:prstGeom>
                  </pic:spPr>
                </pic:pic>
              </a:graphicData>
            </a:graphic>
          </wp:inline>
        </w:drawing>
      </w:r>
    </w:p>
    <w:p>
      <w:pPr>
        <w:rPr>
          <w:rFonts w:hint="eastAsia"/>
          <w:color w:val="auto"/>
          <w:highlight w:val="none"/>
          <w:lang w:val="en-US" w:eastAsia="zh-CN"/>
        </w:rPr>
      </w:pPr>
    </w:p>
    <w:p>
      <w:pPr>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5813425" cy="7751445"/>
            <wp:effectExtent l="0" t="0" r="15875" b="1905"/>
            <wp:docPr id="59" name="图片 59" descr="45bf324af94ec5c3db199a6d27b7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45bf324af94ec5c3db199a6d27b7b44"/>
                    <pic:cNvPicPr>
                      <a:picLocks noChangeAspect="1"/>
                    </pic:cNvPicPr>
                  </pic:nvPicPr>
                  <pic:blipFill>
                    <a:blip r:embed="rId34"/>
                    <a:stretch>
                      <a:fillRect/>
                    </a:stretch>
                  </pic:blipFill>
                  <pic:spPr>
                    <a:xfrm>
                      <a:off x="0" y="0"/>
                      <a:ext cx="5813425" cy="7751445"/>
                    </a:xfrm>
                    <a:prstGeom prst="rect">
                      <a:avLst/>
                    </a:prstGeom>
                  </pic:spPr>
                </pic:pic>
              </a:graphicData>
            </a:graphic>
          </wp:inline>
        </w:drawing>
      </w:r>
    </w:p>
    <w:sectPr>
      <w:pgSz w:w="11906" w:h="16838"/>
      <w:pgMar w:top="1247" w:right="1361" w:bottom="1247" w:left="1361"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afterLines="0"/>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afterLines="0"/>
      <w:ind w:right="360"/>
      <w:rPr>
        <w:rFonts w:hint="eastAsia"/>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iQuk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DiQukVAgAAFw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afterLines="0"/>
      <w:rPr>
        <w:rFonts w:hint="eastAsia" w:ascii="宋体" w:hAnsi="宋体" w:eastAsia="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9"/>
      </w:rPr>
    </w:pPr>
    <w:r>
      <w:fldChar w:fldCharType="begin"/>
    </w:r>
    <w:r>
      <w:rPr>
        <w:rStyle w:val="29"/>
      </w:rPr>
      <w:instrText xml:space="preserve">PAGE  </w:instrText>
    </w:r>
    <w:r>
      <w:fldChar w:fldCharType="separate"/>
    </w:r>
    <w:r>
      <w:rPr>
        <w:rStyle w:val="29"/>
      </w:rPr>
      <w:t>36</w:t>
    </w:r>
    <w:r>
      <w:fldChar w:fldCharType="end"/>
    </w:r>
  </w:p>
  <w:p>
    <w:pPr>
      <w:pStyle w:val="1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afterLines="0"/>
      <w:ind w:right="360"/>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afterLines="0"/>
      <w:rPr>
        <w:rFonts w:hint="eastAsia" w:ascii="宋体" w:hAnsi="宋体" w:eastAsia="宋体"/>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27CC01"/>
    <w:multiLevelType w:val="singleLevel"/>
    <w:tmpl w:val="AE27CC01"/>
    <w:lvl w:ilvl="0" w:tentative="0">
      <w:start w:val="1"/>
      <w:numFmt w:val="decimal"/>
      <w:suff w:val="nothing"/>
      <w:lvlText w:val="（%1）"/>
      <w:lvlJc w:val="left"/>
    </w:lvl>
  </w:abstractNum>
  <w:abstractNum w:abstractNumId="1">
    <w:nsid w:val="C624CC9C"/>
    <w:multiLevelType w:val="singleLevel"/>
    <w:tmpl w:val="C624CC9C"/>
    <w:lvl w:ilvl="0" w:tentative="0">
      <w:start w:val="1"/>
      <w:numFmt w:val="decimal"/>
      <w:suff w:val="nothing"/>
      <w:lvlText w:val="%1、"/>
      <w:lvlJc w:val="left"/>
    </w:lvl>
  </w:abstractNum>
  <w:abstractNum w:abstractNumId="2">
    <w:nsid w:val="128D4870"/>
    <w:multiLevelType w:val="singleLevel"/>
    <w:tmpl w:val="128D4870"/>
    <w:lvl w:ilvl="0" w:tentative="0">
      <w:start w:val="1"/>
      <w:numFmt w:val="decimal"/>
      <w:suff w:val="nothing"/>
      <w:lvlText w:val="%1、"/>
      <w:lvlJc w:val="left"/>
    </w:lvl>
  </w:abstractNum>
  <w:abstractNum w:abstractNumId="3">
    <w:nsid w:val="27966D63"/>
    <w:multiLevelType w:val="singleLevel"/>
    <w:tmpl w:val="27966D63"/>
    <w:lvl w:ilvl="0" w:tentative="0">
      <w:start w:val="1"/>
      <w:numFmt w:val="decimal"/>
      <w:suff w:val="nothing"/>
      <w:lvlText w:val="%1、"/>
      <w:lvlJc w:val="left"/>
    </w:lvl>
  </w:abstractNum>
  <w:abstractNum w:abstractNumId="4">
    <w:nsid w:val="325B4800"/>
    <w:multiLevelType w:val="singleLevel"/>
    <w:tmpl w:val="325B4800"/>
    <w:lvl w:ilvl="0" w:tentative="0">
      <w:start w:val="2"/>
      <w:numFmt w:val="decimal"/>
      <w:suff w:val="nothing"/>
      <w:lvlText w:val="（%1）"/>
      <w:lvlJc w:val="left"/>
    </w:lvl>
  </w:abstractNum>
  <w:abstractNum w:abstractNumId="5">
    <w:nsid w:val="57673C9E"/>
    <w:multiLevelType w:val="singleLevel"/>
    <w:tmpl w:val="57673C9E"/>
    <w:lvl w:ilvl="0" w:tentative="0">
      <w:start w:val="1"/>
      <w:numFmt w:val="decimal"/>
      <w:suff w:val="nothing"/>
      <w:lvlText w:val="%1、"/>
      <w:lvlJc w:val="left"/>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attachedTemplate r:id="rId1"/>
  <w:documentProtection w:enforcement="0"/>
  <w:defaultTabStop w:val="420"/>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997BD7"/>
    <w:rsid w:val="00035C1D"/>
    <w:rsid w:val="00084826"/>
    <w:rsid w:val="002B7878"/>
    <w:rsid w:val="003E1836"/>
    <w:rsid w:val="00DE2876"/>
    <w:rsid w:val="00E557C9"/>
    <w:rsid w:val="01051F98"/>
    <w:rsid w:val="016C34A0"/>
    <w:rsid w:val="0179249D"/>
    <w:rsid w:val="01A67D20"/>
    <w:rsid w:val="01E51F0A"/>
    <w:rsid w:val="0204204C"/>
    <w:rsid w:val="02183A3E"/>
    <w:rsid w:val="02384FE3"/>
    <w:rsid w:val="02390730"/>
    <w:rsid w:val="023C63CB"/>
    <w:rsid w:val="029C0231"/>
    <w:rsid w:val="02C426B6"/>
    <w:rsid w:val="039372E0"/>
    <w:rsid w:val="03DA38F2"/>
    <w:rsid w:val="03EC6884"/>
    <w:rsid w:val="042921BB"/>
    <w:rsid w:val="04480CF8"/>
    <w:rsid w:val="049F122A"/>
    <w:rsid w:val="05665F84"/>
    <w:rsid w:val="05955919"/>
    <w:rsid w:val="05A32F30"/>
    <w:rsid w:val="05B13F70"/>
    <w:rsid w:val="05DB50BD"/>
    <w:rsid w:val="060472BA"/>
    <w:rsid w:val="064861BF"/>
    <w:rsid w:val="066E2C6B"/>
    <w:rsid w:val="076C5165"/>
    <w:rsid w:val="07AE39AD"/>
    <w:rsid w:val="086B0012"/>
    <w:rsid w:val="0885414C"/>
    <w:rsid w:val="08EC2C26"/>
    <w:rsid w:val="08F82571"/>
    <w:rsid w:val="09453EB9"/>
    <w:rsid w:val="0964004D"/>
    <w:rsid w:val="09862C50"/>
    <w:rsid w:val="09982892"/>
    <w:rsid w:val="09B26A8C"/>
    <w:rsid w:val="09CF471E"/>
    <w:rsid w:val="09E443EE"/>
    <w:rsid w:val="0A2E399D"/>
    <w:rsid w:val="0A3F49C2"/>
    <w:rsid w:val="0A694770"/>
    <w:rsid w:val="0A9612D6"/>
    <w:rsid w:val="0ADC3EC3"/>
    <w:rsid w:val="0B142AE5"/>
    <w:rsid w:val="0B1E74DE"/>
    <w:rsid w:val="0B3C54FD"/>
    <w:rsid w:val="0B4E11C5"/>
    <w:rsid w:val="0B57181F"/>
    <w:rsid w:val="0B7D694E"/>
    <w:rsid w:val="0B992278"/>
    <w:rsid w:val="0CEA662F"/>
    <w:rsid w:val="0D075308"/>
    <w:rsid w:val="0D657526"/>
    <w:rsid w:val="0DC1085F"/>
    <w:rsid w:val="0E734D76"/>
    <w:rsid w:val="0EAE517E"/>
    <w:rsid w:val="0EC423C3"/>
    <w:rsid w:val="0EED0E8D"/>
    <w:rsid w:val="0EF4429D"/>
    <w:rsid w:val="0EF61441"/>
    <w:rsid w:val="0F1141C9"/>
    <w:rsid w:val="0F9C3E0D"/>
    <w:rsid w:val="0FDF2BB8"/>
    <w:rsid w:val="0FE20575"/>
    <w:rsid w:val="0FED1CF4"/>
    <w:rsid w:val="10297BF8"/>
    <w:rsid w:val="10405347"/>
    <w:rsid w:val="104D73E7"/>
    <w:rsid w:val="106C42FD"/>
    <w:rsid w:val="10CD150D"/>
    <w:rsid w:val="11102155"/>
    <w:rsid w:val="1137412A"/>
    <w:rsid w:val="118F3AD5"/>
    <w:rsid w:val="11CA55A6"/>
    <w:rsid w:val="11CB23CA"/>
    <w:rsid w:val="11D72E5D"/>
    <w:rsid w:val="11F11C66"/>
    <w:rsid w:val="11FA547B"/>
    <w:rsid w:val="121A091F"/>
    <w:rsid w:val="123D4593"/>
    <w:rsid w:val="12470747"/>
    <w:rsid w:val="12823703"/>
    <w:rsid w:val="12B070B5"/>
    <w:rsid w:val="12E919B9"/>
    <w:rsid w:val="12FF77AA"/>
    <w:rsid w:val="1301430F"/>
    <w:rsid w:val="13CB6D66"/>
    <w:rsid w:val="13D15213"/>
    <w:rsid w:val="14000979"/>
    <w:rsid w:val="14004D37"/>
    <w:rsid w:val="141E34BE"/>
    <w:rsid w:val="143E3EFD"/>
    <w:rsid w:val="14A72FAC"/>
    <w:rsid w:val="14B73930"/>
    <w:rsid w:val="14E23A90"/>
    <w:rsid w:val="153417BC"/>
    <w:rsid w:val="155962B0"/>
    <w:rsid w:val="15723968"/>
    <w:rsid w:val="15B76F7B"/>
    <w:rsid w:val="165D1BEC"/>
    <w:rsid w:val="16775AB8"/>
    <w:rsid w:val="16BB13FF"/>
    <w:rsid w:val="174C5931"/>
    <w:rsid w:val="17A1455B"/>
    <w:rsid w:val="17BE5505"/>
    <w:rsid w:val="17E606B9"/>
    <w:rsid w:val="17F32D4F"/>
    <w:rsid w:val="17F71F65"/>
    <w:rsid w:val="180D2FC6"/>
    <w:rsid w:val="18881513"/>
    <w:rsid w:val="18BC0543"/>
    <w:rsid w:val="18BC44C1"/>
    <w:rsid w:val="18CC4850"/>
    <w:rsid w:val="18CF24C4"/>
    <w:rsid w:val="18CF721C"/>
    <w:rsid w:val="18FD25D1"/>
    <w:rsid w:val="191D3F11"/>
    <w:rsid w:val="191E2BCA"/>
    <w:rsid w:val="192C7D6B"/>
    <w:rsid w:val="199244A7"/>
    <w:rsid w:val="19EB0D6A"/>
    <w:rsid w:val="1A0C7BD9"/>
    <w:rsid w:val="1A2563FF"/>
    <w:rsid w:val="1A8254DC"/>
    <w:rsid w:val="1A8530F8"/>
    <w:rsid w:val="1A8A65E2"/>
    <w:rsid w:val="1A8C4E9F"/>
    <w:rsid w:val="1AC32734"/>
    <w:rsid w:val="1AD20E9B"/>
    <w:rsid w:val="1B1E7C93"/>
    <w:rsid w:val="1B327536"/>
    <w:rsid w:val="1B5E4132"/>
    <w:rsid w:val="1B903AAF"/>
    <w:rsid w:val="1B9628A1"/>
    <w:rsid w:val="1BFF4706"/>
    <w:rsid w:val="1C7F7EFF"/>
    <w:rsid w:val="1CA12355"/>
    <w:rsid w:val="1CB433C3"/>
    <w:rsid w:val="1D0F7E3A"/>
    <w:rsid w:val="1D21296D"/>
    <w:rsid w:val="1D4A577B"/>
    <w:rsid w:val="1D5A14F6"/>
    <w:rsid w:val="1D79311A"/>
    <w:rsid w:val="1DC41FC9"/>
    <w:rsid w:val="1DDE4C3C"/>
    <w:rsid w:val="1E085EA1"/>
    <w:rsid w:val="1E0A1905"/>
    <w:rsid w:val="1E32111D"/>
    <w:rsid w:val="1E411417"/>
    <w:rsid w:val="1E54576F"/>
    <w:rsid w:val="1E5C3295"/>
    <w:rsid w:val="1EA86498"/>
    <w:rsid w:val="1EAE1671"/>
    <w:rsid w:val="1EF42C7C"/>
    <w:rsid w:val="1F4C6292"/>
    <w:rsid w:val="1F90304A"/>
    <w:rsid w:val="1F926797"/>
    <w:rsid w:val="1F98209B"/>
    <w:rsid w:val="1FEA684F"/>
    <w:rsid w:val="204A30EA"/>
    <w:rsid w:val="205C4D09"/>
    <w:rsid w:val="20BC6AB2"/>
    <w:rsid w:val="20C27FDA"/>
    <w:rsid w:val="20D245F5"/>
    <w:rsid w:val="211201AD"/>
    <w:rsid w:val="21937D0E"/>
    <w:rsid w:val="224259EF"/>
    <w:rsid w:val="22501D6E"/>
    <w:rsid w:val="22633629"/>
    <w:rsid w:val="22D32E7C"/>
    <w:rsid w:val="236B17E1"/>
    <w:rsid w:val="238F2E52"/>
    <w:rsid w:val="23A81DEA"/>
    <w:rsid w:val="23B41B40"/>
    <w:rsid w:val="23DF0CEF"/>
    <w:rsid w:val="242806FD"/>
    <w:rsid w:val="243253DB"/>
    <w:rsid w:val="24602859"/>
    <w:rsid w:val="24611FE7"/>
    <w:rsid w:val="24CD26C9"/>
    <w:rsid w:val="24FA3B38"/>
    <w:rsid w:val="253D3A33"/>
    <w:rsid w:val="257B301C"/>
    <w:rsid w:val="25935394"/>
    <w:rsid w:val="25B732ED"/>
    <w:rsid w:val="25C30818"/>
    <w:rsid w:val="261F72BC"/>
    <w:rsid w:val="2626606A"/>
    <w:rsid w:val="26D34298"/>
    <w:rsid w:val="26F21A4E"/>
    <w:rsid w:val="271D1174"/>
    <w:rsid w:val="27250549"/>
    <w:rsid w:val="278A15FC"/>
    <w:rsid w:val="27BF2F0A"/>
    <w:rsid w:val="28215C81"/>
    <w:rsid w:val="28294B69"/>
    <w:rsid w:val="284B0000"/>
    <w:rsid w:val="285619C9"/>
    <w:rsid w:val="28935EA0"/>
    <w:rsid w:val="289A6546"/>
    <w:rsid w:val="29435723"/>
    <w:rsid w:val="29665045"/>
    <w:rsid w:val="299D6A7A"/>
    <w:rsid w:val="29AA022F"/>
    <w:rsid w:val="2A1F0C46"/>
    <w:rsid w:val="2A4C322F"/>
    <w:rsid w:val="2B060853"/>
    <w:rsid w:val="2B8D1F0C"/>
    <w:rsid w:val="2BEF0FB0"/>
    <w:rsid w:val="2BFA5A69"/>
    <w:rsid w:val="2C0558CC"/>
    <w:rsid w:val="2C107D09"/>
    <w:rsid w:val="2C8C5DD1"/>
    <w:rsid w:val="2C953EFC"/>
    <w:rsid w:val="2CB0491D"/>
    <w:rsid w:val="2CC63988"/>
    <w:rsid w:val="2CCC5D72"/>
    <w:rsid w:val="2D015893"/>
    <w:rsid w:val="2D4A784A"/>
    <w:rsid w:val="2D621C89"/>
    <w:rsid w:val="2DAE3F3B"/>
    <w:rsid w:val="2DFB005A"/>
    <w:rsid w:val="2E7034CB"/>
    <w:rsid w:val="2EC56923"/>
    <w:rsid w:val="2EEC2FAC"/>
    <w:rsid w:val="2EF83959"/>
    <w:rsid w:val="2F081A73"/>
    <w:rsid w:val="2F232CBF"/>
    <w:rsid w:val="2F286D02"/>
    <w:rsid w:val="2FA31CF2"/>
    <w:rsid w:val="2FFF3042"/>
    <w:rsid w:val="30107E5B"/>
    <w:rsid w:val="30132987"/>
    <w:rsid w:val="303203E5"/>
    <w:rsid w:val="307379F3"/>
    <w:rsid w:val="30823183"/>
    <w:rsid w:val="31492D5F"/>
    <w:rsid w:val="314C5F2F"/>
    <w:rsid w:val="316233EA"/>
    <w:rsid w:val="31AC5412"/>
    <w:rsid w:val="3206672A"/>
    <w:rsid w:val="320952E2"/>
    <w:rsid w:val="323D1D40"/>
    <w:rsid w:val="328802AC"/>
    <w:rsid w:val="32941CB8"/>
    <w:rsid w:val="32C02763"/>
    <w:rsid w:val="332B1B75"/>
    <w:rsid w:val="33495D31"/>
    <w:rsid w:val="339532D0"/>
    <w:rsid w:val="33955A24"/>
    <w:rsid w:val="339E526A"/>
    <w:rsid w:val="33F93C79"/>
    <w:rsid w:val="34481DEA"/>
    <w:rsid w:val="348D6A8E"/>
    <w:rsid w:val="34983334"/>
    <w:rsid w:val="34C44B95"/>
    <w:rsid w:val="34DE28F3"/>
    <w:rsid w:val="34E372CA"/>
    <w:rsid w:val="350D656C"/>
    <w:rsid w:val="35AB4F2B"/>
    <w:rsid w:val="35F70433"/>
    <w:rsid w:val="360C6227"/>
    <w:rsid w:val="366471F5"/>
    <w:rsid w:val="36884045"/>
    <w:rsid w:val="369440B6"/>
    <w:rsid w:val="36BE18FD"/>
    <w:rsid w:val="36C3530B"/>
    <w:rsid w:val="36F86DF5"/>
    <w:rsid w:val="37365454"/>
    <w:rsid w:val="37C7702D"/>
    <w:rsid w:val="37FF4CEF"/>
    <w:rsid w:val="382A6DA0"/>
    <w:rsid w:val="38693E87"/>
    <w:rsid w:val="38880FF9"/>
    <w:rsid w:val="38997BD7"/>
    <w:rsid w:val="389B530F"/>
    <w:rsid w:val="38CF3470"/>
    <w:rsid w:val="391246B5"/>
    <w:rsid w:val="39E47729"/>
    <w:rsid w:val="3A291625"/>
    <w:rsid w:val="3A386305"/>
    <w:rsid w:val="3A47753C"/>
    <w:rsid w:val="3A4E2913"/>
    <w:rsid w:val="3ABC6E71"/>
    <w:rsid w:val="3ACF208C"/>
    <w:rsid w:val="3ADD3647"/>
    <w:rsid w:val="3AE923B0"/>
    <w:rsid w:val="3B411BE2"/>
    <w:rsid w:val="3B921638"/>
    <w:rsid w:val="3BA528B1"/>
    <w:rsid w:val="3BD24064"/>
    <w:rsid w:val="3C0733F2"/>
    <w:rsid w:val="3C1026FC"/>
    <w:rsid w:val="3C1A2C5F"/>
    <w:rsid w:val="3C4B3EA1"/>
    <w:rsid w:val="3C4F6968"/>
    <w:rsid w:val="3CB673F6"/>
    <w:rsid w:val="3D0C659C"/>
    <w:rsid w:val="3D0D50DB"/>
    <w:rsid w:val="3DC44583"/>
    <w:rsid w:val="3DE83D24"/>
    <w:rsid w:val="3E803436"/>
    <w:rsid w:val="3E8D7585"/>
    <w:rsid w:val="3F12221D"/>
    <w:rsid w:val="3F305183"/>
    <w:rsid w:val="3F587F07"/>
    <w:rsid w:val="3FCC75FB"/>
    <w:rsid w:val="3FE5411A"/>
    <w:rsid w:val="402A0FC8"/>
    <w:rsid w:val="4076434C"/>
    <w:rsid w:val="40932816"/>
    <w:rsid w:val="41222328"/>
    <w:rsid w:val="41575B88"/>
    <w:rsid w:val="416C7672"/>
    <w:rsid w:val="419B2A8C"/>
    <w:rsid w:val="41A64048"/>
    <w:rsid w:val="41EA5EEE"/>
    <w:rsid w:val="42622399"/>
    <w:rsid w:val="431C79F9"/>
    <w:rsid w:val="43266721"/>
    <w:rsid w:val="432D496D"/>
    <w:rsid w:val="436B16B6"/>
    <w:rsid w:val="43773F49"/>
    <w:rsid w:val="43854737"/>
    <w:rsid w:val="43950E38"/>
    <w:rsid w:val="43BA0CAA"/>
    <w:rsid w:val="43F055DB"/>
    <w:rsid w:val="440C0477"/>
    <w:rsid w:val="448F52AB"/>
    <w:rsid w:val="44EB45BB"/>
    <w:rsid w:val="45033A7D"/>
    <w:rsid w:val="452F5202"/>
    <w:rsid w:val="453B7ED0"/>
    <w:rsid w:val="453D7AAF"/>
    <w:rsid w:val="456346C4"/>
    <w:rsid w:val="456D2078"/>
    <w:rsid w:val="45B603DC"/>
    <w:rsid w:val="45C30E80"/>
    <w:rsid w:val="460F0216"/>
    <w:rsid w:val="463272E1"/>
    <w:rsid w:val="46581566"/>
    <w:rsid w:val="468818AD"/>
    <w:rsid w:val="46A35D8A"/>
    <w:rsid w:val="46E33006"/>
    <w:rsid w:val="46E41851"/>
    <w:rsid w:val="46E93566"/>
    <w:rsid w:val="47A25AEE"/>
    <w:rsid w:val="47C74DEF"/>
    <w:rsid w:val="47E2020C"/>
    <w:rsid w:val="47E63D9B"/>
    <w:rsid w:val="47E84343"/>
    <w:rsid w:val="47FB38C8"/>
    <w:rsid w:val="48280DF5"/>
    <w:rsid w:val="487F1D37"/>
    <w:rsid w:val="48A84009"/>
    <w:rsid w:val="48C03A9A"/>
    <w:rsid w:val="48D60008"/>
    <w:rsid w:val="48E571BB"/>
    <w:rsid w:val="48E57BE4"/>
    <w:rsid w:val="48E82A66"/>
    <w:rsid w:val="4905519F"/>
    <w:rsid w:val="49077152"/>
    <w:rsid w:val="496F602B"/>
    <w:rsid w:val="49DB6009"/>
    <w:rsid w:val="4A0A005F"/>
    <w:rsid w:val="4A1A4B97"/>
    <w:rsid w:val="4A3D133A"/>
    <w:rsid w:val="4A6768A2"/>
    <w:rsid w:val="4A9B1CA6"/>
    <w:rsid w:val="4AD52BAB"/>
    <w:rsid w:val="4B4317A4"/>
    <w:rsid w:val="4B626E12"/>
    <w:rsid w:val="4B9370A0"/>
    <w:rsid w:val="4BB31215"/>
    <w:rsid w:val="4BF3703A"/>
    <w:rsid w:val="4BF51EA6"/>
    <w:rsid w:val="4C0D755A"/>
    <w:rsid w:val="4C1B540C"/>
    <w:rsid w:val="4CAB3CFA"/>
    <w:rsid w:val="4CBE34E3"/>
    <w:rsid w:val="4CD82559"/>
    <w:rsid w:val="4D0970ED"/>
    <w:rsid w:val="4D1A15AF"/>
    <w:rsid w:val="4D1E59A8"/>
    <w:rsid w:val="4D5A4C02"/>
    <w:rsid w:val="4D772C5D"/>
    <w:rsid w:val="4D773DBE"/>
    <w:rsid w:val="4E0768AE"/>
    <w:rsid w:val="4F035EC8"/>
    <w:rsid w:val="50532550"/>
    <w:rsid w:val="505D58B3"/>
    <w:rsid w:val="5098106F"/>
    <w:rsid w:val="50D62ADE"/>
    <w:rsid w:val="50DD5522"/>
    <w:rsid w:val="50DE331E"/>
    <w:rsid w:val="50E6713B"/>
    <w:rsid w:val="50EB5CF5"/>
    <w:rsid w:val="50FE14BE"/>
    <w:rsid w:val="51340B52"/>
    <w:rsid w:val="51984C71"/>
    <w:rsid w:val="51A055DE"/>
    <w:rsid w:val="51C54068"/>
    <w:rsid w:val="51E67D74"/>
    <w:rsid w:val="52003C43"/>
    <w:rsid w:val="521663E1"/>
    <w:rsid w:val="521C4882"/>
    <w:rsid w:val="525D76DA"/>
    <w:rsid w:val="526B573E"/>
    <w:rsid w:val="53107732"/>
    <w:rsid w:val="53110B1B"/>
    <w:rsid w:val="531F65D5"/>
    <w:rsid w:val="534F1F5D"/>
    <w:rsid w:val="53504EA5"/>
    <w:rsid w:val="538C459E"/>
    <w:rsid w:val="5398097D"/>
    <w:rsid w:val="539A7488"/>
    <w:rsid w:val="53BC7514"/>
    <w:rsid w:val="53D46FFD"/>
    <w:rsid w:val="54575C8C"/>
    <w:rsid w:val="548C2C1A"/>
    <w:rsid w:val="54A200DB"/>
    <w:rsid w:val="54BA6C9A"/>
    <w:rsid w:val="54FC0B17"/>
    <w:rsid w:val="55261BEA"/>
    <w:rsid w:val="55357510"/>
    <w:rsid w:val="557512C4"/>
    <w:rsid w:val="55C346AA"/>
    <w:rsid w:val="55DE7802"/>
    <w:rsid w:val="56110841"/>
    <w:rsid w:val="564B31E3"/>
    <w:rsid w:val="5662220D"/>
    <w:rsid w:val="566C1DCE"/>
    <w:rsid w:val="568A16A5"/>
    <w:rsid w:val="569E3106"/>
    <w:rsid w:val="56E31A3C"/>
    <w:rsid w:val="56F34C40"/>
    <w:rsid w:val="5731253E"/>
    <w:rsid w:val="573D42E7"/>
    <w:rsid w:val="578C6AB1"/>
    <w:rsid w:val="57A55C14"/>
    <w:rsid w:val="57D21B5D"/>
    <w:rsid w:val="58571247"/>
    <w:rsid w:val="58A44FDD"/>
    <w:rsid w:val="58C0617F"/>
    <w:rsid w:val="58EF7955"/>
    <w:rsid w:val="592779D0"/>
    <w:rsid w:val="596D51E4"/>
    <w:rsid w:val="59723F1C"/>
    <w:rsid w:val="59894768"/>
    <w:rsid w:val="59A90BBB"/>
    <w:rsid w:val="59D66593"/>
    <w:rsid w:val="5A0C09E1"/>
    <w:rsid w:val="5A186CB0"/>
    <w:rsid w:val="5A1A2F09"/>
    <w:rsid w:val="5A535EF5"/>
    <w:rsid w:val="5A5C2695"/>
    <w:rsid w:val="5A6C0960"/>
    <w:rsid w:val="5A7A7C30"/>
    <w:rsid w:val="5A8E2ACE"/>
    <w:rsid w:val="5A9960BF"/>
    <w:rsid w:val="5AA53957"/>
    <w:rsid w:val="5AFD0C17"/>
    <w:rsid w:val="5B3A5F81"/>
    <w:rsid w:val="5B7D1848"/>
    <w:rsid w:val="5B962EE1"/>
    <w:rsid w:val="5BB149A6"/>
    <w:rsid w:val="5BBE742F"/>
    <w:rsid w:val="5BD27ED7"/>
    <w:rsid w:val="5C060619"/>
    <w:rsid w:val="5CAB2D52"/>
    <w:rsid w:val="5CF81CFC"/>
    <w:rsid w:val="5D4334C3"/>
    <w:rsid w:val="5D5B2070"/>
    <w:rsid w:val="5DAD1686"/>
    <w:rsid w:val="5DE016B1"/>
    <w:rsid w:val="5DF74449"/>
    <w:rsid w:val="5E1730DB"/>
    <w:rsid w:val="5E207873"/>
    <w:rsid w:val="5E7148D9"/>
    <w:rsid w:val="5E9F4015"/>
    <w:rsid w:val="5E9F5F0B"/>
    <w:rsid w:val="5EAE068F"/>
    <w:rsid w:val="5ED17089"/>
    <w:rsid w:val="5EE810BD"/>
    <w:rsid w:val="5F483A11"/>
    <w:rsid w:val="5F7D470A"/>
    <w:rsid w:val="5FAC612A"/>
    <w:rsid w:val="5FAE7C04"/>
    <w:rsid w:val="605C12AC"/>
    <w:rsid w:val="60671048"/>
    <w:rsid w:val="60847C97"/>
    <w:rsid w:val="60A40B7D"/>
    <w:rsid w:val="60F34297"/>
    <w:rsid w:val="611B6B33"/>
    <w:rsid w:val="613F4EF8"/>
    <w:rsid w:val="616A4118"/>
    <w:rsid w:val="6186446E"/>
    <w:rsid w:val="61BB0779"/>
    <w:rsid w:val="61BD0A40"/>
    <w:rsid w:val="61F57090"/>
    <w:rsid w:val="62113059"/>
    <w:rsid w:val="625F24F9"/>
    <w:rsid w:val="62AB7900"/>
    <w:rsid w:val="62E927D9"/>
    <w:rsid w:val="633158F8"/>
    <w:rsid w:val="636F6B52"/>
    <w:rsid w:val="638B3734"/>
    <w:rsid w:val="63C07A39"/>
    <w:rsid w:val="63E70CF4"/>
    <w:rsid w:val="64225413"/>
    <w:rsid w:val="643A47D1"/>
    <w:rsid w:val="644812D6"/>
    <w:rsid w:val="645B0F9C"/>
    <w:rsid w:val="64CC2844"/>
    <w:rsid w:val="64FD6A13"/>
    <w:rsid w:val="65092BE0"/>
    <w:rsid w:val="65124A4C"/>
    <w:rsid w:val="653C112A"/>
    <w:rsid w:val="661509E3"/>
    <w:rsid w:val="663D6B3F"/>
    <w:rsid w:val="666E10B1"/>
    <w:rsid w:val="66961E59"/>
    <w:rsid w:val="66E97E94"/>
    <w:rsid w:val="67CE5924"/>
    <w:rsid w:val="67D12AC2"/>
    <w:rsid w:val="67D65FD0"/>
    <w:rsid w:val="680142C8"/>
    <w:rsid w:val="685C4BCD"/>
    <w:rsid w:val="68A02A73"/>
    <w:rsid w:val="68B97B10"/>
    <w:rsid w:val="68C2737E"/>
    <w:rsid w:val="69F851C2"/>
    <w:rsid w:val="6A533894"/>
    <w:rsid w:val="6A837C10"/>
    <w:rsid w:val="6AB1016A"/>
    <w:rsid w:val="6ABB2889"/>
    <w:rsid w:val="6AFC1CE9"/>
    <w:rsid w:val="6B26055A"/>
    <w:rsid w:val="6B9D5992"/>
    <w:rsid w:val="6BD44B48"/>
    <w:rsid w:val="6BE413B9"/>
    <w:rsid w:val="6BED6FC9"/>
    <w:rsid w:val="6C352F1C"/>
    <w:rsid w:val="6C6F1A97"/>
    <w:rsid w:val="6CAD1177"/>
    <w:rsid w:val="6CD24F86"/>
    <w:rsid w:val="6D4B7916"/>
    <w:rsid w:val="6D5104CB"/>
    <w:rsid w:val="6D535020"/>
    <w:rsid w:val="6D717EFF"/>
    <w:rsid w:val="6D9F2145"/>
    <w:rsid w:val="6DE6036B"/>
    <w:rsid w:val="6DF74B40"/>
    <w:rsid w:val="6E1D7DB5"/>
    <w:rsid w:val="6E546E97"/>
    <w:rsid w:val="6EB11A6F"/>
    <w:rsid w:val="6EB15C84"/>
    <w:rsid w:val="6ED71151"/>
    <w:rsid w:val="6F772B2E"/>
    <w:rsid w:val="6FBA491B"/>
    <w:rsid w:val="6FC76BC7"/>
    <w:rsid w:val="6FCF534E"/>
    <w:rsid w:val="70063265"/>
    <w:rsid w:val="700F7254"/>
    <w:rsid w:val="704645C8"/>
    <w:rsid w:val="7060386F"/>
    <w:rsid w:val="70B87629"/>
    <w:rsid w:val="70C67D6D"/>
    <w:rsid w:val="711C1537"/>
    <w:rsid w:val="71307966"/>
    <w:rsid w:val="71597487"/>
    <w:rsid w:val="7192575F"/>
    <w:rsid w:val="719C3447"/>
    <w:rsid w:val="72061E3F"/>
    <w:rsid w:val="726279B4"/>
    <w:rsid w:val="72CC6651"/>
    <w:rsid w:val="72DE7013"/>
    <w:rsid w:val="73136D2B"/>
    <w:rsid w:val="733C62AE"/>
    <w:rsid w:val="73A57B98"/>
    <w:rsid w:val="73AA53C7"/>
    <w:rsid w:val="74033527"/>
    <w:rsid w:val="74553FAF"/>
    <w:rsid w:val="74876AED"/>
    <w:rsid w:val="74A37A80"/>
    <w:rsid w:val="74B56AC6"/>
    <w:rsid w:val="75251701"/>
    <w:rsid w:val="7535014C"/>
    <w:rsid w:val="755D0957"/>
    <w:rsid w:val="756247B6"/>
    <w:rsid w:val="756E6D23"/>
    <w:rsid w:val="75A00343"/>
    <w:rsid w:val="75ED52A5"/>
    <w:rsid w:val="76060F0B"/>
    <w:rsid w:val="76524B98"/>
    <w:rsid w:val="769B5727"/>
    <w:rsid w:val="76BD555E"/>
    <w:rsid w:val="76D469EF"/>
    <w:rsid w:val="772E14F9"/>
    <w:rsid w:val="77E10F8A"/>
    <w:rsid w:val="785B4E1F"/>
    <w:rsid w:val="78881215"/>
    <w:rsid w:val="78C2096E"/>
    <w:rsid w:val="78CE37BB"/>
    <w:rsid w:val="792B7F39"/>
    <w:rsid w:val="79436A1F"/>
    <w:rsid w:val="79463F26"/>
    <w:rsid w:val="794D12E5"/>
    <w:rsid w:val="79755EED"/>
    <w:rsid w:val="79B07C68"/>
    <w:rsid w:val="79D36DE2"/>
    <w:rsid w:val="79FF1B66"/>
    <w:rsid w:val="7A2C1279"/>
    <w:rsid w:val="7A4A2490"/>
    <w:rsid w:val="7A77386A"/>
    <w:rsid w:val="7A773BBC"/>
    <w:rsid w:val="7A8A5ADC"/>
    <w:rsid w:val="7A9E137F"/>
    <w:rsid w:val="7AA90138"/>
    <w:rsid w:val="7ABD6BDB"/>
    <w:rsid w:val="7AC54DAE"/>
    <w:rsid w:val="7AD125C6"/>
    <w:rsid w:val="7B2726AE"/>
    <w:rsid w:val="7B6E2BC9"/>
    <w:rsid w:val="7B9C6E74"/>
    <w:rsid w:val="7B9F0D10"/>
    <w:rsid w:val="7BF87B01"/>
    <w:rsid w:val="7BFE746F"/>
    <w:rsid w:val="7C133B42"/>
    <w:rsid w:val="7C177CF6"/>
    <w:rsid w:val="7C597F74"/>
    <w:rsid w:val="7C843813"/>
    <w:rsid w:val="7C882FB2"/>
    <w:rsid w:val="7C94443D"/>
    <w:rsid w:val="7C981379"/>
    <w:rsid w:val="7CAD195C"/>
    <w:rsid w:val="7CC35FCF"/>
    <w:rsid w:val="7D180A75"/>
    <w:rsid w:val="7DA252F8"/>
    <w:rsid w:val="7DA53937"/>
    <w:rsid w:val="7DCC62EB"/>
    <w:rsid w:val="7E12666C"/>
    <w:rsid w:val="7E8661FB"/>
    <w:rsid w:val="7EFB3B9F"/>
    <w:rsid w:val="7F0A053A"/>
    <w:rsid w:val="7F1D4BD2"/>
    <w:rsid w:val="7F2B1226"/>
    <w:rsid w:val="7F3536A7"/>
    <w:rsid w:val="7F3A2724"/>
    <w:rsid w:val="7F4500A4"/>
    <w:rsid w:val="7F5034FD"/>
    <w:rsid w:val="7F6E61C3"/>
    <w:rsid w:val="7F7D5DD5"/>
    <w:rsid w:val="7FAA4A9C"/>
    <w:rsid w:val="7FCC77A3"/>
    <w:rsid w:val="7FDB2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beforeLines="0" w:after="120" w:afterLines="0" w:line="1000" w:lineRule="exact"/>
      <w:jc w:val="left"/>
      <w:outlineLvl w:val="0"/>
    </w:pPr>
    <w:rPr>
      <w:rFonts w:eastAsia="黑体"/>
      <w:kern w:val="44"/>
      <w:sz w:val="32"/>
    </w:rPr>
  </w:style>
  <w:style w:type="paragraph" w:styleId="4">
    <w:name w:val="heading 2"/>
    <w:basedOn w:val="1"/>
    <w:next w:val="1"/>
    <w:qFormat/>
    <w:uiPriority w:val="0"/>
    <w:pPr>
      <w:keepNext/>
      <w:keepLines/>
      <w:spacing w:line="800" w:lineRule="exact"/>
      <w:jc w:val="left"/>
      <w:outlineLvl w:val="1"/>
    </w:pPr>
    <w:rPr>
      <w:rFonts w:eastAsia="黑体"/>
      <w:sz w:val="28"/>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2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pPr>
  </w:style>
  <w:style w:type="paragraph" w:styleId="6">
    <w:name w:val="Normal Indent"/>
    <w:basedOn w:val="1"/>
    <w:qFormat/>
    <w:uiPriority w:val="0"/>
    <w:pPr>
      <w:ind w:firstLine="420"/>
    </w:pPr>
  </w:style>
  <w:style w:type="paragraph" w:styleId="7">
    <w:name w:val="annotation text"/>
    <w:basedOn w:val="1"/>
    <w:qFormat/>
    <w:uiPriority w:val="0"/>
    <w:pPr>
      <w:jc w:val="left"/>
    </w:pPr>
  </w:style>
  <w:style w:type="paragraph" w:styleId="8">
    <w:name w:val="Body Text Indent"/>
    <w:basedOn w:val="1"/>
    <w:link w:val="31"/>
    <w:qFormat/>
    <w:uiPriority w:val="0"/>
    <w:pPr>
      <w:ind w:left="-540" w:leftChars="-257" w:firstLine="640" w:firstLineChars="200"/>
    </w:pPr>
    <w:rPr>
      <w:sz w:val="32"/>
    </w:rPr>
  </w:style>
  <w:style w:type="paragraph" w:styleId="9">
    <w:name w:val="Plain Text"/>
    <w:basedOn w:val="1"/>
    <w:qFormat/>
    <w:uiPriority w:val="0"/>
    <w:pPr>
      <w:adjustRightInd w:val="0"/>
      <w:snapToGrid w:val="0"/>
    </w:pPr>
    <w:rPr>
      <w:rFonts w:ascii="宋体" w:hAnsi="Courier New" w:eastAsia="宋体"/>
      <w:sz w:val="21"/>
      <w:lang w:val="en-US" w:eastAsia="zh-CN" w:bidi="ar-SA"/>
    </w:rPr>
  </w:style>
  <w:style w:type="paragraph" w:styleId="10">
    <w:name w:val="Body Text Indent 2"/>
    <w:basedOn w:val="1"/>
    <w:link w:val="33"/>
    <w:qFormat/>
    <w:uiPriority w:val="0"/>
    <w:pPr>
      <w:keepNext w:val="0"/>
      <w:keepLines w:val="0"/>
      <w:widowControl w:val="0"/>
      <w:suppressLineNumbers w:val="0"/>
      <w:spacing w:before="0" w:beforeAutospacing="0" w:after="0" w:afterAutospacing="0" w:line="360" w:lineRule="auto"/>
      <w:ind w:left="420" w:leftChars="200" w:right="0"/>
      <w:jc w:val="both"/>
    </w:pPr>
    <w:rPr>
      <w:rFonts w:hint="default" w:ascii="Times New Roman" w:hAnsi="Times New Roman" w:eastAsia="宋体" w:cs="Times New Roman"/>
      <w:kern w:val="2"/>
      <w:sz w:val="24"/>
      <w:szCs w:val="24"/>
      <w:lang w:val="en-US" w:eastAsia="zh-CN" w:bidi="ar"/>
    </w:rPr>
  </w:style>
  <w:style w:type="paragraph" w:styleId="11">
    <w:name w:val="footer"/>
    <w:basedOn w:val="1"/>
    <w:qFormat/>
    <w:uiPriority w:val="0"/>
    <w:pPr>
      <w:tabs>
        <w:tab w:val="center" w:pos="4153"/>
        <w:tab w:val="right" w:pos="8306"/>
      </w:tabs>
    </w:pPr>
    <w:rPr>
      <w:rFonts w:ascii="Tahoma" w:hAnsi="Tahoma"/>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rPr>
  </w:style>
  <w:style w:type="paragraph" w:styleId="13">
    <w:name w:val="toc 1"/>
    <w:basedOn w:val="1"/>
    <w:next w:val="1"/>
    <w:qFormat/>
    <w:uiPriority w:val="0"/>
    <w:pPr>
      <w:tabs>
        <w:tab w:val="right" w:leader="dot" w:pos="8450"/>
      </w:tabs>
      <w:spacing w:line="360" w:lineRule="auto"/>
      <w:jc w:val="center"/>
    </w:pPr>
  </w:style>
  <w:style w:type="paragraph" w:styleId="14">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16">
    <w:name w:val="Strong"/>
    <w:basedOn w:val="15"/>
    <w:qFormat/>
    <w:uiPriority w:val="0"/>
    <w:rPr>
      <w:b/>
    </w:rPr>
  </w:style>
  <w:style w:type="character" w:styleId="17">
    <w:name w:val="page number"/>
    <w:basedOn w:val="15"/>
    <w:qFormat/>
    <w:uiPriority w:val="0"/>
  </w:style>
  <w:style w:type="character" w:styleId="18">
    <w:name w:val="FollowedHyperlink"/>
    <w:basedOn w:val="15"/>
    <w:qFormat/>
    <w:uiPriority w:val="0"/>
    <w:rPr>
      <w:color w:val="020505"/>
      <w:u w:val="none"/>
    </w:rPr>
  </w:style>
  <w:style w:type="character" w:styleId="19">
    <w:name w:val="Emphasis"/>
    <w:basedOn w:val="15"/>
    <w:qFormat/>
    <w:uiPriority w:val="0"/>
  </w:style>
  <w:style w:type="character" w:styleId="20">
    <w:name w:val="HTML Definition"/>
    <w:basedOn w:val="15"/>
    <w:qFormat/>
    <w:uiPriority w:val="0"/>
  </w:style>
  <w:style w:type="character" w:styleId="21">
    <w:name w:val="HTML Acronym"/>
    <w:basedOn w:val="15"/>
    <w:qFormat/>
    <w:uiPriority w:val="0"/>
  </w:style>
  <w:style w:type="character" w:styleId="22">
    <w:name w:val="HTML Variable"/>
    <w:basedOn w:val="15"/>
    <w:qFormat/>
    <w:uiPriority w:val="0"/>
  </w:style>
  <w:style w:type="character" w:styleId="23">
    <w:name w:val="Hyperlink"/>
    <w:basedOn w:val="15"/>
    <w:qFormat/>
    <w:uiPriority w:val="0"/>
    <w:rPr>
      <w:color w:val="020505"/>
      <w:u w:val="none"/>
    </w:rPr>
  </w:style>
  <w:style w:type="character" w:styleId="24">
    <w:name w:val="HTML Code"/>
    <w:basedOn w:val="15"/>
    <w:qFormat/>
    <w:uiPriority w:val="0"/>
    <w:rPr>
      <w:rFonts w:ascii="Courier New" w:hAnsi="Courier New"/>
      <w:sz w:val="20"/>
    </w:rPr>
  </w:style>
  <w:style w:type="character" w:styleId="25">
    <w:name w:val="HTML Cite"/>
    <w:basedOn w:val="15"/>
    <w:qFormat/>
    <w:uiPriority w:val="0"/>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8">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9">
    <w:name w:val="page number"/>
    <w:basedOn w:val="15"/>
    <w:qFormat/>
    <w:uiPriority w:val="0"/>
  </w:style>
  <w:style w:type="character" w:customStyle="1" w:styleId="30">
    <w:name w:val="icon"/>
    <w:basedOn w:val="15"/>
    <w:qFormat/>
    <w:uiPriority w:val="0"/>
  </w:style>
  <w:style w:type="character" w:customStyle="1" w:styleId="31">
    <w:name w:val="正文文本缩进 字符"/>
    <w:basedOn w:val="15"/>
    <w:link w:val="8"/>
    <w:qFormat/>
    <w:uiPriority w:val="0"/>
    <w:rPr>
      <w:kern w:val="2"/>
      <w:sz w:val="21"/>
      <w:szCs w:val="24"/>
    </w:rPr>
  </w:style>
  <w:style w:type="character" w:customStyle="1" w:styleId="32">
    <w:name w:val="正文文本首行缩进 2 字符"/>
    <w:basedOn w:val="31"/>
    <w:qFormat/>
    <w:uiPriority w:val="0"/>
    <w:rPr>
      <w:kern w:val="2"/>
      <w:sz w:val="21"/>
      <w:szCs w:val="24"/>
    </w:rPr>
  </w:style>
  <w:style w:type="character" w:customStyle="1" w:styleId="33">
    <w:name w:val="正文文本缩进 2 字符"/>
    <w:basedOn w:val="15"/>
    <w:link w:val="10"/>
    <w:qFormat/>
    <w:uiPriority w:val="0"/>
    <w:rPr>
      <w:kern w:val="2"/>
      <w:sz w:val="24"/>
      <w:szCs w:val="24"/>
    </w:rPr>
  </w:style>
  <w:style w:type="character" w:customStyle="1" w:styleId="34">
    <w:name w:val="正文文本缩进 2 字符1"/>
    <w:basedOn w:val="15"/>
    <w:qFormat/>
    <w:uiPriority w:val="0"/>
    <w:rPr>
      <w:kern w:val="2"/>
      <w:sz w:val="21"/>
      <w:szCs w:val="24"/>
    </w:rPr>
  </w:style>
  <w:style w:type="paragraph" w:customStyle="1" w:styleId="35">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36">
    <w:name w:val="Table Paragraph"/>
    <w:basedOn w:val="1"/>
    <w:qFormat/>
    <w:uiPriority w:val="1"/>
    <w:pPr>
      <w:jc w:val="center"/>
    </w:pPr>
    <w:rPr>
      <w:rFonts w:ascii="宋体" w:hAnsi="宋体" w:cs="宋体"/>
      <w:lang w:val="zh-CN" w:bidi="zh-CN"/>
    </w:rPr>
  </w:style>
  <w:style w:type="paragraph" w:customStyle="1" w:styleId="37">
    <w:name w:val="Default"/>
    <w:qFormat/>
    <w:uiPriority w:val="0"/>
    <w:pPr>
      <w:widowControl w:val="0"/>
      <w:autoSpaceDE w:val="0"/>
      <w:autoSpaceDN w:val="0"/>
      <w:adjustRightInd w:val="0"/>
    </w:pPr>
    <w:rPr>
      <w:rFonts w:ascii="华文中宋" w:hAnsi="Calibri" w:eastAsia="华文中宋" w:cs="华文中宋"/>
      <w:color w:val="000000"/>
      <w:sz w:val="24"/>
      <w:szCs w:val="24"/>
      <w:lang w:val="en-US" w:eastAsia="zh-CN" w:bidi="ar-SA"/>
    </w:rPr>
  </w:style>
  <w:style w:type="paragraph" w:customStyle="1" w:styleId="38">
    <w:name w:val="Default1"/>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9">
    <w:name w:val="萝卜"/>
    <w:basedOn w:val="1"/>
    <w:qFormat/>
    <w:uiPriority w:val="0"/>
    <w:pPr>
      <w:widowControl/>
      <w:spacing w:line="360" w:lineRule="auto"/>
      <w:ind w:firstLine="200" w:firstLineChars="200"/>
    </w:pPr>
    <w:rPr>
      <w:rFonts w:ascii="Calibri" w:hAnsi="Calibri" w:eastAsia="宋体" w:cs="Times New Roman"/>
      <w:kern w:val="0"/>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QH-20160719COFJ\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2018-08-03T01:17:00Z</dcterms:created>
  <dc:creator>Administrator</dc:creator>
  <cp:lastModifiedBy>Administrator</cp:lastModifiedBy>
  <cp:lastPrinted>2019-06-20T06:22:34Z</cp:lastPrinted>
  <dcterms:modified xsi:type="dcterms:W3CDTF">2019-06-20T06:24:46Z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